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E79C85">
      <w:pPr>
        <w:adjustRightInd w:val="0"/>
        <w:snapToGrid w:val="0"/>
        <w:rPr>
          <w:rFonts w:hint="default" w:ascii="Times New Roman" w:hAnsi="Times New Roman" w:cs="Times New Roman"/>
          <w:color w:val="auto"/>
          <w:highlight w:val="none"/>
        </w:rPr>
      </w:pPr>
    </w:p>
    <w:p w14:paraId="1B9EB033">
      <w:pPr>
        <w:rPr>
          <w:rFonts w:hint="default" w:ascii="Times New Roman" w:hAnsi="Times New Roman" w:cs="Times New Roman"/>
          <w:color w:val="auto"/>
          <w:sz w:val="30"/>
          <w:szCs w:val="30"/>
          <w:highlight w:val="none"/>
        </w:rPr>
      </w:pPr>
    </w:p>
    <w:p w14:paraId="00F73FFC">
      <w:pPr>
        <w:adjustRightInd w:val="0"/>
        <w:snapToGrid w:val="0"/>
        <w:spacing w:line="360" w:lineRule="auto"/>
        <w:jc w:val="center"/>
        <w:rPr>
          <w:rFonts w:hint="default" w:ascii="Times New Roman" w:hAnsi="Times New Roman" w:cs="Times New Roman"/>
          <w:b/>
          <w:color w:val="auto"/>
          <w:sz w:val="48"/>
          <w:szCs w:val="48"/>
          <w:highlight w:val="none"/>
        </w:rPr>
      </w:pPr>
      <w:r>
        <w:rPr>
          <w:rFonts w:hint="eastAsia" w:ascii="Times New Roman" w:hAnsi="Times New Roman" w:cs="Times New Roman"/>
          <w:b/>
          <w:color w:val="auto"/>
          <w:sz w:val="48"/>
          <w:szCs w:val="48"/>
          <w:highlight w:val="none"/>
          <w:lang w:val="en-US" w:eastAsia="zh-CN"/>
        </w:rPr>
        <w:t>平昌县第二人民医院</w:t>
      </w:r>
      <w:r>
        <w:rPr>
          <w:rFonts w:hint="default" w:ascii="Times New Roman" w:hAnsi="Times New Roman" w:cs="Times New Roman"/>
          <w:b/>
          <w:color w:val="auto"/>
          <w:sz w:val="48"/>
          <w:szCs w:val="48"/>
          <w:highlight w:val="none"/>
          <w:lang w:val="en-US" w:eastAsia="zh-CN"/>
        </w:rPr>
        <w:t>新增</w:t>
      </w:r>
      <w:r>
        <w:rPr>
          <w:rFonts w:hint="default" w:ascii="Times New Roman" w:hAnsi="Times New Roman" w:cs="Times New Roman"/>
          <w:b/>
          <w:color w:val="auto"/>
          <w:sz w:val="48"/>
          <w:szCs w:val="48"/>
          <w:highlight w:val="none"/>
        </w:rPr>
        <w:t>数字减影血管造影机（DSA）项目</w:t>
      </w:r>
    </w:p>
    <w:p w14:paraId="26543518">
      <w:pPr>
        <w:adjustRightInd w:val="0"/>
        <w:snapToGrid w:val="0"/>
        <w:spacing w:line="360" w:lineRule="auto"/>
        <w:jc w:val="center"/>
        <w:rPr>
          <w:rFonts w:hint="default" w:ascii="Times New Roman" w:hAnsi="Times New Roman" w:cs="Times New Roman"/>
          <w:b/>
          <w:color w:val="auto"/>
          <w:sz w:val="48"/>
          <w:szCs w:val="48"/>
          <w:highlight w:val="none"/>
        </w:rPr>
      </w:pPr>
      <w:r>
        <w:rPr>
          <w:rFonts w:hint="default" w:ascii="Times New Roman" w:hAnsi="Times New Roman" w:cs="Times New Roman"/>
          <w:b/>
          <w:color w:val="auto"/>
          <w:sz w:val="48"/>
          <w:szCs w:val="48"/>
          <w:highlight w:val="none"/>
        </w:rPr>
        <w:t>环境影响报告表</w:t>
      </w:r>
    </w:p>
    <w:p w14:paraId="51E5E1E0">
      <w:pPr>
        <w:adjustRightInd w:val="0"/>
        <w:snapToGrid w:val="0"/>
        <w:outlineLvl w:val="0"/>
        <w:rPr>
          <w:rFonts w:hint="default" w:ascii="Times New Roman" w:hAnsi="Times New Roman" w:cs="Times New Roman"/>
          <w:color w:val="auto"/>
          <w:sz w:val="32"/>
          <w:szCs w:val="32"/>
          <w:highlight w:val="none"/>
        </w:rPr>
      </w:pPr>
    </w:p>
    <w:p w14:paraId="67AD278A">
      <w:pPr>
        <w:adjustRightInd w:val="0"/>
        <w:snapToGrid w:val="0"/>
        <w:jc w:val="center"/>
        <w:rPr>
          <w:rFonts w:hint="default" w:ascii="Times New Roman" w:hAnsi="Times New Roman" w:cs="Times New Roman"/>
          <w:b/>
          <w:color w:val="auto"/>
          <w:sz w:val="44"/>
          <w:szCs w:val="44"/>
          <w:highlight w:val="none"/>
        </w:rPr>
      </w:pPr>
      <w:bookmarkStart w:id="0" w:name="_Toc485996417"/>
      <w:r>
        <w:rPr>
          <w:rFonts w:hint="default" w:ascii="Times New Roman" w:hAnsi="Times New Roman" w:cs="Times New Roman"/>
          <w:b/>
          <w:color w:val="auto"/>
          <w:sz w:val="44"/>
          <w:szCs w:val="44"/>
          <w:highlight w:val="none"/>
        </w:rPr>
        <w:t>（</w:t>
      </w:r>
      <w:r>
        <w:rPr>
          <w:rFonts w:hint="eastAsia" w:ascii="Times New Roman" w:hAnsi="Times New Roman" w:cs="Times New Roman"/>
          <w:b/>
          <w:color w:val="auto"/>
          <w:sz w:val="44"/>
          <w:szCs w:val="44"/>
          <w:highlight w:val="none"/>
          <w:lang w:val="en-US" w:eastAsia="zh-CN"/>
        </w:rPr>
        <w:t>公示</w:t>
      </w:r>
      <w:r>
        <w:rPr>
          <w:rFonts w:hint="default" w:ascii="Times New Roman" w:hAnsi="Times New Roman" w:cs="Times New Roman"/>
          <w:b/>
          <w:color w:val="auto"/>
          <w:sz w:val="44"/>
          <w:szCs w:val="44"/>
          <w:highlight w:val="none"/>
        </w:rPr>
        <w:t>稿）</w:t>
      </w:r>
      <w:bookmarkEnd w:id="0"/>
    </w:p>
    <w:p w14:paraId="1CA48F06">
      <w:pPr>
        <w:adjustRightInd w:val="0"/>
        <w:snapToGrid w:val="0"/>
        <w:rPr>
          <w:rFonts w:hint="default" w:ascii="Times New Roman" w:hAnsi="Times New Roman" w:cs="Times New Roman"/>
          <w:color w:val="auto"/>
          <w:sz w:val="52"/>
          <w:szCs w:val="52"/>
          <w:highlight w:val="none"/>
        </w:rPr>
      </w:pPr>
    </w:p>
    <w:p w14:paraId="4F62ABF1">
      <w:pPr>
        <w:adjustRightInd w:val="0"/>
        <w:snapToGrid w:val="0"/>
        <w:rPr>
          <w:rFonts w:hint="default" w:ascii="Times New Roman" w:hAnsi="Times New Roman" w:cs="Times New Roman"/>
          <w:color w:val="auto"/>
          <w:sz w:val="52"/>
          <w:szCs w:val="52"/>
          <w:highlight w:val="none"/>
        </w:rPr>
      </w:pPr>
    </w:p>
    <w:p w14:paraId="7F08D29D">
      <w:pPr>
        <w:pStyle w:val="32"/>
        <w:snapToGrid w:val="0"/>
        <w:rPr>
          <w:rFonts w:hint="default" w:ascii="Times New Roman" w:hAnsi="Times New Roman" w:cs="Times New Roman"/>
          <w:color w:val="auto"/>
          <w:sz w:val="52"/>
          <w:szCs w:val="52"/>
          <w:highlight w:val="none"/>
        </w:rPr>
      </w:pPr>
    </w:p>
    <w:p w14:paraId="15A5F815">
      <w:pPr>
        <w:pStyle w:val="34"/>
        <w:adjustRightInd w:val="0"/>
        <w:snapToGrid w:val="0"/>
        <w:ind w:left="0"/>
        <w:rPr>
          <w:rFonts w:hint="default" w:ascii="Times New Roman" w:hAnsi="Times New Roman" w:cs="Times New Roman"/>
          <w:color w:val="auto"/>
          <w:sz w:val="52"/>
          <w:szCs w:val="52"/>
          <w:highlight w:val="none"/>
        </w:rPr>
      </w:pPr>
    </w:p>
    <w:p w14:paraId="63ED813E">
      <w:pPr>
        <w:adjustRightInd w:val="0"/>
        <w:snapToGrid w:val="0"/>
        <w:rPr>
          <w:rFonts w:hint="default" w:ascii="Times New Roman" w:hAnsi="Times New Roman" w:cs="Times New Roman"/>
          <w:color w:val="auto"/>
          <w:sz w:val="52"/>
          <w:szCs w:val="52"/>
          <w:highlight w:val="none"/>
        </w:rPr>
      </w:pPr>
    </w:p>
    <w:p w14:paraId="5D4BD4DC">
      <w:pPr>
        <w:pStyle w:val="32"/>
        <w:rPr>
          <w:rFonts w:hint="default" w:ascii="Times New Roman" w:hAnsi="Times New Roman" w:cs="Times New Roman"/>
          <w:color w:val="auto"/>
          <w:highlight w:val="none"/>
        </w:rPr>
      </w:pPr>
    </w:p>
    <w:p w14:paraId="2DB03F6C">
      <w:pPr>
        <w:pStyle w:val="34"/>
        <w:rPr>
          <w:rFonts w:hint="default" w:ascii="Times New Roman" w:hAnsi="Times New Roman" w:cs="Times New Roman"/>
          <w:color w:val="auto"/>
          <w:highlight w:val="none"/>
        </w:rPr>
      </w:pPr>
    </w:p>
    <w:p w14:paraId="1A04ECEE">
      <w:pPr>
        <w:rPr>
          <w:rFonts w:hint="default" w:ascii="Times New Roman" w:hAnsi="Times New Roman" w:cs="Times New Roman"/>
          <w:color w:val="auto"/>
          <w:highlight w:val="none"/>
        </w:rPr>
      </w:pPr>
    </w:p>
    <w:p w14:paraId="1A953A18">
      <w:pPr>
        <w:rPr>
          <w:rFonts w:hint="default" w:ascii="Times New Roman" w:hAnsi="Times New Roman" w:cs="Times New Roman"/>
          <w:color w:val="auto"/>
          <w:highlight w:val="none"/>
        </w:rPr>
      </w:pPr>
    </w:p>
    <w:p w14:paraId="11BEF8D2">
      <w:pPr>
        <w:adjustRightInd w:val="0"/>
        <w:snapToGrid w:val="0"/>
        <w:rPr>
          <w:rFonts w:hint="default" w:ascii="Times New Roman" w:hAnsi="Times New Roman" w:cs="Times New Roman"/>
          <w:color w:val="auto"/>
          <w:sz w:val="52"/>
          <w:szCs w:val="52"/>
          <w:highlight w:val="none"/>
        </w:rPr>
      </w:pPr>
    </w:p>
    <w:p w14:paraId="44CC380D">
      <w:pPr>
        <w:adjustRightInd w:val="0"/>
        <w:snapToGrid w:val="0"/>
        <w:spacing w:line="360" w:lineRule="auto"/>
        <w:jc w:val="center"/>
        <w:rPr>
          <w:rFonts w:hint="default" w:ascii="Times New Roman" w:hAnsi="Times New Roman" w:cs="Times New Roman"/>
          <w:b/>
          <w:bCs/>
          <w:color w:val="auto"/>
          <w:sz w:val="36"/>
          <w:szCs w:val="36"/>
          <w:highlight w:val="none"/>
        </w:rPr>
      </w:pPr>
      <w:r>
        <w:rPr>
          <w:rFonts w:hint="eastAsia" w:ascii="Times New Roman" w:hAnsi="Times New Roman" w:cs="Times New Roman"/>
          <w:b/>
          <w:bCs/>
          <w:color w:val="auto"/>
          <w:sz w:val="36"/>
          <w:szCs w:val="36"/>
          <w:highlight w:val="none"/>
          <w:lang w:val="en-US" w:eastAsia="zh-CN"/>
        </w:rPr>
        <w:t>平昌县第二</w:t>
      </w:r>
      <w:r>
        <w:rPr>
          <w:rFonts w:hint="default" w:ascii="Times New Roman" w:hAnsi="Times New Roman" w:cs="Times New Roman"/>
          <w:b/>
          <w:bCs/>
          <w:color w:val="auto"/>
          <w:sz w:val="36"/>
          <w:szCs w:val="36"/>
          <w:highlight w:val="none"/>
        </w:rPr>
        <w:t>人民医院</w:t>
      </w:r>
    </w:p>
    <w:p w14:paraId="6EC6F495">
      <w:pPr>
        <w:adjustRightInd w:val="0"/>
        <w:snapToGrid w:val="0"/>
        <w:spacing w:line="360" w:lineRule="auto"/>
        <w:jc w:val="center"/>
        <w:rPr>
          <w:rFonts w:hint="default" w:ascii="Times New Roman" w:hAnsi="Times New Roman" w:cs="Times New Roman"/>
          <w:b/>
          <w:bCs/>
          <w:color w:val="auto"/>
          <w:sz w:val="36"/>
          <w:szCs w:val="36"/>
          <w:highlight w:val="none"/>
        </w:rPr>
      </w:pPr>
      <w:r>
        <w:rPr>
          <w:rFonts w:hint="default" w:ascii="Times New Roman" w:hAnsi="Times New Roman" w:cs="Times New Roman"/>
          <w:b/>
          <w:bCs/>
          <w:color w:val="auto"/>
          <w:sz w:val="36"/>
          <w:szCs w:val="36"/>
          <w:highlight w:val="none"/>
        </w:rPr>
        <w:t>202</w:t>
      </w:r>
      <w:r>
        <w:rPr>
          <w:rFonts w:hint="eastAsia" w:ascii="Times New Roman" w:hAnsi="Times New Roman" w:cs="Times New Roman"/>
          <w:b/>
          <w:bCs/>
          <w:color w:val="auto"/>
          <w:sz w:val="36"/>
          <w:szCs w:val="36"/>
          <w:highlight w:val="none"/>
          <w:lang w:val="en-US" w:eastAsia="zh-CN"/>
        </w:rPr>
        <w:t>6</w:t>
      </w:r>
      <w:r>
        <w:rPr>
          <w:rFonts w:hint="default" w:ascii="Times New Roman" w:hAnsi="Times New Roman" w:cs="Times New Roman"/>
          <w:b/>
          <w:bCs/>
          <w:color w:val="auto"/>
          <w:sz w:val="36"/>
          <w:szCs w:val="36"/>
          <w:highlight w:val="none"/>
        </w:rPr>
        <w:t>年</w:t>
      </w:r>
      <w:r>
        <w:rPr>
          <w:rFonts w:hint="eastAsia" w:ascii="Times New Roman" w:hAnsi="Times New Roman" w:cs="Times New Roman"/>
          <w:b/>
          <w:bCs/>
          <w:color w:val="auto"/>
          <w:sz w:val="36"/>
          <w:szCs w:val="36"/>
          <w:highlight w:val="none"/>
          <w:lang w:val="en-US" w:eastAsia="zh-CN"/>
        </w:rPr>
        <w:t>5</w:t>
      </w:r>
      <w:r>
        <w:rPr>
          <w:rFonts w:hint="default" w:ascii="Times New Roman" w:hAnsi="Times New Roman" w:cs="Times New Roman"/>
          <w:b/>
          <w:bCs/>
          <w:color w:val="auto"/>
          <w:sz w:val="36"/>
          <w:szCs w:val="36"/>
          <w:highlight w:val="none"/>
        </w:rPr>
        <w:t>月</w:t>
      </w:r>
    </w:p>
    <w:p w14:paraId="5605BAD6">
      <w:pPr>
        <w:adjustRightInd w:val="0"/>
        <w:snapToGrid w:val="0"/>
        <w:jc w:val="center"/>
        <w:rPr>
          <w:rFonts w:hint="default" w:ascii="Times New Roman" w:hAnsi="Times New Roman" w:cs="Times New Roman"/>
          <w:color w:val="auto"/>
          <w:sz w:val="36"/>
          <w:szCs w:val="36"/>
          <w:highlight w:val="none"/>
        </w:rPr>
      </w:pPr>
    </w:p>
    <w:p w14:paraId="21E38B90">
      <w:pPr>
        <w:adjustRightInd w:val="0"/>
        <w:snapToGrid w:val="0"/>
        <w:jc w:val="center"/>
        <w:rPr>
          <w:rFonts w:hint="default" w:ascii="Times New Roman" w:hAnsi="Times New Roman" w:cs="Times New Roman"/>
          <w:color w:val="auto"/>
          <w:sz w:val="36"/>
          <w:szCs w:val="36"/>
          <w:highlight w:val="none"/>
        </w:rPr>
      </w:pPr>
    </w:p>
    <w:p w14:paraId="432174BC">
      <w:pPr>
        <w:adjustRightInd w:val="0"/>
        <w:snapToGrid w:val="0"/>
        <w:jc w:val="center"/>
        <w:rPr>
          <w:rFonts w:hint="default" w:ascii="Times New Roman" w:hAnsi="Times New Roman" w:cs="Times New Roman"/>
          <w:b/>
          <w:color w:val="auto"/>
          <w:sz w:val="36"/>
          <w:szCs w:val="36"/>
          <w:highlight w:val="none"/>
        </w:rPr>
      </w:pPr>
      <w:r>
        <w:rPr>
          <w:rFonts w:hint="default" w:ascii="Times New Roman" w:hAnsi="Times New Roman" w:cs="Times New Roman"/>
          <w:b/>
          <w:color w:val="auto"/>
          <w:sz w:val="36"/>
          <w:szCs w:val="36"/>
          <w:highlight w:val="none"/>
        </w:rPr>
        <w:t>生态环境部监制</w:t>
      </w:r>
    </w:p>
    <w:p w14:paraId="68FCB6D0">
      <w:pPr>
        <w:pStyle w:val="32"/>
        <w:snapToGrid w:val="0"/>
        <w:rPr>
          <w:rFonts w:hint="default" w:ascii="Times New Roman" w:hAnsi="Times New Roman" w:cs="Times New Roman"/>
          <w:b/>
          <w:color w:val="auto"/>
          <w:sz w:val="36"/>
          <w:szCs w:val="36"/>
          <w:highlight w:val="none"/>
        </w:rPr>
      </w:pPr>
      <w:r>
        <w:rPr>
          <w:rFonts w:hint="default" w:ascii="Times New Roman" w:hAnsi="Times New Roman" w:cs="Times New Roman"/>
          <w:b/>
          <w:color w:val="auto"/>
          <w:sz w:val="36"/>
          <w:szCs w:val="36"/>
          <w:highlight w:val="none"/>
        </w:rPr>
        <w:br w:type="page"/>
      </w:r>
    </w:p>
    <w:p w14:paraId="5404764D">
      <w:pPr>
        <w:rPr>
          <w:rFonts w:hint="default" w:ascii="Times New Roman" w:hAnsi="Times New Roman" w:cs="Times New Roman"/>
          <w:color w:val="auto"/>
          <w:sz w:val="30"/>
          <w:szCs w:val="30"/>
          <w:highlight w:val="none"/>
        </w:rPr>
      </w:pPr>
    </w:p>
    <w:p w14:paraId="14E9E4F9">
      <w:pPr>
        <w:jc w:val="center"/>
        <w:rPr>
          <w:rFonts w:hint="default" w:ascii="Times New Roman" w:hAnsi="Times New Roman" w:cs="Times New Roman"/>
          <w:b/>
          <w:color w:val="auto"/>
          <w:sz w:val="40"/>
          <w:szCs w:val="40"/>
          <w:highlight w:val="none"/>
        </w:rPr>
      </w:pPr>
      <w:r>
        <w:rPr>
          <w:rFonts w:hint="default" w:ascii="Times New Roman" w:hAnsi="Times New Roman" w:cs="Times New Roman"/>
          <w:b/>
          <w:color w:val="auto"/>
          <w:sz w:val="40"/>
          <w:szCs w:val="40"/>
          <w:highlight w:val="none"/>
        </w:rPr>
        <w:t>核技术利用建设项目</w:t>
      </w:r>
    </w:p>
    <w:p w14:paraId="786CDC4E">
      <w:pPr>
        <w:jc w:val="center"/>
        <w:rPr>
          <w:rFonts w:hint="default" w:ascii="Times New Roman" w:hAnsi="Times New Roman" w:cs="Times New Roman"/>
          <w:b/>
          <w:color w:val="auto"/>
          <w:sz w:val="40"/>
          <w:szCs w:val="40"/>
          <w:highlight w:val="none"/>
        </w:rPr>
      </w:pPr>
    </w:p>
    <w:p w14:paraId="223A2581">
      <w:pPr>
        <w:adjustRightInd w:val="0"/>
        <w:snapToGrid w:val="0"/>
        <w:spacing w:line="360" w:lineRule="auto"/>
        <w:jc w:val="center"/>
        <w:rPr>
          <w:rFonts w:hint="default" w:ascii="Times New Roman" w:hAnsi="Times New Roman" w:cs="Times New Roman"/>
          <w:b/>
          <w:color w:val="auto"/>
          <w:sz w:val="48"/>
          <w:szCs w:val="48"/>
          <w:highlight w:val="none"/>
        </w:rPr>
      </w:pPr>
    </w:p>
    <w:p w14:paraId="2E2FE2FB">
      <w:pPr>
        <w:adjustRightInd w:val="0"/>
        <w:snapToGrid w:val="0"/>
        <w:spacing w:line="360" w:lineRule="auto"/>
        <w:jc w:val="center"/>
        <w:rPr>
          <w:rFonts w:hint="default" w:ascii="Times New Roman" w:hAnsi="Times New Roman" w:cs="Times New Roman"/>
          <w:b/>
          <w:color w:val="auto"/>
          <w:sz w:val="48"/>
          <w:szCs w:val="48"/>
          <w:highlight w:val="none"/>
        </w:rPr>
      </w:pPr>
      <w:r>
        <w:rPr>
          <w:rFonts w:hint="eastAsia" w:ascii="Times New Roman" w:hAnsi="Times New Roman" w:cs="Times New Roman"/>
          <w:b/>
          <w:color w:val="auto"/>
          <w:sz w:val="48"/>
          <w:szCs w:val="48"/>
          <w:highlight w:val="none"/>
          <w:lang w:val="en-US" w:eastAsia="zh-CN"/>
        </w:rPr>
        <w:t>平昌县第二</w:t>
      </w:r>
      <w:r>
        <w:rPr>
          <w:rFonts w:hint="default" w:ascii="Times New Roman" w:hAnsi="Times New Roman" w:cs="Times New Roman"/>
          <w:b/>
          <w:color w:val="auto"/>
          <w:sz w:val="48"/>
          <w:szCs w:val="48"/>
          <w:highlight w:val="none"/>
          <w:lang w:val="en-US" w:eastAsia="zh-CN"/>
        </w:rPr>
        <w:t>人民医院</w:t>
      </w:r>
      <w:r>
        <w:rPr>
          <w:rFonts w:hint="default" w:ascii="Times New Roman" w:hAnsi="Times New Roman" w:cs="Times New Roman"/>
          <w:b/>
          <w:color w:val="auto"/>
          <w:sz w:val="48"/>
          <w:szCs w:val="48"/>
          <w:highlight w:val="none"/>
        </w:rPr>
        <w:t>新增数字减影血管造影机（DSA）项目</w:t>
      </w:r>
    </w:p>
    <w:p w14:paraId="74483375">
      <w:pPr>
        <w:adjustRightInd w:val="0"/>
        <w:snapToGrid w:val="0"/>
        <w:spacing w:line="360" w:lineRule="auto"/>
        <w:jc w:val="center"/>
        <w:rPr>
          <w:rFonts w:hint="default" w:ascii="Times New Roman" w:hAnsi="Times New Roman" w:cs="Times New Roman"/>
          <w:b/>
          <w:color w:val="auto"/>
          <w:sz w:val="48"/>
          <w:szCs w:val="48"/>
          <w:highlight w:val="none"/>
        </w:rPr>
      </w:pPr>
      <w:r>
        <w:rPr>
          <w:rFonts w:hint="default" w:ascii="Times New Roman" w:hAnsi="Times New Roman" w:cs="Times New Roman"/>
          <w:b/>
          <w:color w:val="auto"/>
          <w:sz w:val="48"/>
          <w:szCs w:val="48"/>
          <w:highlight w:val="none"/>
        </w:rPr>
        <w:t>环境影响报告表</w:t>
      </w:r>
    </w:p>
    <w:p w14:paraId="24A654CE">
      <w:pPr>
        <w:adjustRightInd w:val="0"/>
        <w:snapToGrid w:val="0"/>
        <w:spacing w:line="720" w:lineRule="auto"/>
        <w:jc w:val="center"/>
        <w:rPr>
          <w:rFonts w:hint="default" w:ascii="Times New Roman" w:hAnsi="Times New Roman" w:cs="Times New Roman"/>
          <w:color w:val="auto"/>
          <w:sz w:val="72"/>
          <w:szCs w:val="72"/>
          <w:highlight w:val="none"/>
        </w:rPr>
      </w:pPr>
    </w:p>
    <w:p w14:paraId="60971B55">
      <w:pPr>
        <w:adjustRightInd w:val="0"/>
        <w:snapToGrid w:val="0"/>
        <w:spacing w:line="720" w:lineRule="auto"/>
        <w:jc w:val="center"/>
        <w:rPr>
          <w:rFonts w:hint="default" w:ascii="Times New Roman" w:hAnsi="Times New Roman" w:cs="Times New Roman"/>
          <w:color w:val="auto"/>
          <w:sz w:val="44"/>
          <w:szCs w:val="52"/>
          <w:highlight w:val="none"/>
        </w:rPr>
      </w:pPr>
    </w:p>
    <w:p w14:paraId="5B1D0C5F">
      <w:pPr>
        <w:adjustRightInd w:val="0"/>
        <w:snapToGrid w:val="0"/>
        <w:rPr>
          <w:rFonts w:hint="default" w:ascii="Times New Roman" w:hAnsi="Times New Roman" w:cs="Times New Roman"/>
          <w:color w:val="auto"/>
          <w:sz w:val="52"/>
          <w:szCs w:val="52"/>
          <w:highlight w:val="none"/>
        </w:rPr>
      </w:pPr>
    </w:p>
    <w:p w14:paraId="006553C0">
      <w:pPr>
        <w:adjustRightInd w:val="0"/>
        <w:snapToGrid w:val="0"/>
        <w:rPr>
          <w:rFonts w:hint="default" w:ascii="Times New Roman" w:hAnsi="Times New Roman" w:cs="Times New Roman"/>
          <w:color w:val="auto"/>
          <w:sz w:val="52"/>
          <w:szCs w:val="52"/>
          <w:highlight w:val="none"/>
        </w:rPr>
      </w:pPr>
    </w:p>
    <w:p w14:paraId="37C1F355">
      <w:pPr>
        <w:tabs>
          <w:tab w:val="left" w:pos="3300"/>
        </w:tabs>
        <w:adjustRightInd w:val="0"/>
        <w:snapToGrid w:val="0"/>
        <w:spacing w:line="360" w:lineRule="auto"/>
        <w:rPr>
          <w:rFonts w:hint="default" w:ascii="Times New Roman" w:hAnsi="Times New Roman" w:cs="Times New Roman"/>
          <w:b/>
          <w:color w:val="auto"/>
          <w:sz w:val="32"/>
          <w:szCs w:val="32"/>
          <w:highlight w:val="none"/>
        </w:rPr>
      </w:pPr>
      <w:r>
        <w:rPr>
          <w:rFonts w:hint="default" w:ascii="Times New Roman" w:hAnsi="Times New Roman" w:cs="Times New Roman"/>
          <w:b/>
          <w:color w:val="auto"/>
          <w:sz w:val="32"/>
          <w:szCs w:val="32"/>
          <w:highlight w:val="none"/>
        </w:rPr>
        <w:t>建设单位：</w:t>
      </w:r>
      <w:r>
        <w:rPr>
          <w:rFonts w:hint="eastAsia" w:ascii="Times New Roman" w:hAnsi="Times New Roman" w:cs="Times New Roman"/>
          <w:b/>
          <w:color w:val="auto"/>
          <w:sz w:val="32"/>
          <w:szCs w:val="32"/>
          <w:highlight w:val="none"/>
          <w:lang w:val="en-US" w:eastAsia="zh-CN"/>
        </w:rPr>
        <w:t>平昌县第二</w:t>
      </w:r>
      <w:r>
        <w:rPr>
          <w:rFonts w:hint="default" w:ascii="Times New Roman" w:hAnsi="Times New Roman" w:cs="Times New Roman"/>
          <w:b/>
          <w:color w:val="auto"/>
          <w:sz w:val="32"/>
          <w:szCs w:val="32"/>
          <w:highlight w:val="none"/>
        </w:rPr>
        <w:t>人民医院</w:t>
      </w:r>
    </w:p>
    <w:p w14:paraId="2C927D31">
      <w:pPr>
        <w:tabs>
          <w:tab w:val="left" w:pos="3300"/>
        </w:tabs>
        <w:adjustRightInd w:val="0"/>
        <w:snapToGrid w:val="0"/>
        <w:spacing w:line="360" w:lineRule="auto"/>
        <w:rPr>
          <w:rFonts w:hint="default" w:ascii="Times New Roman" w:hAnsi="Times New Roman" w:cs="Times New Roman"/>
          <w:b/>
          <w:color w:val="auto"/>
          <w:sz w:val="32"/>
          <w:szCs w:val="32"/>
          <w:highlight w:val="none"/>
        </w:rPr>
      </w:pPr>
      <w:r>
        <w:rPr>
          <w:rFonts w:hint="default" w:ascii="Times New Roman" w:hAnsi="Times New Roman" w:cs="Times New Roman"/>
          <w:b/>
          <w:color w:val="auto"/>
          <w:sz w:val="32"/>
          <w:szCs w:val="32"/>
          <w:highlight w:val="none"/>
        </w:rPr>
        <w:t xml:space="preserve">建设单位法人代表（签名或签章）： </w:t>
      </w:r>
    </w:p>
    <w:p w14:paraId="50A7E653">
      <w:pPr>
        <w:tabs>
          <w:tab w:val="left" w:pos="3300"/>
        </w:tabs>
        <w:adjustRightInd w:val="0"/>
        <w:snapToGrid w:val="0"/>
        <w:spacing w:line="360" w:lineRule="auto"/>
        <w:rPr>
          <w:rFonts w:hint="default" w:ascii="Times New Roman" w:hAnsi="Times New Roman" w:cs="Times New Roman"/>
          <w:b/>
          <w:color w:val="auto"/>
          <w:sz w:val="32"/>
          <w:szCs w:val="32"/>
          <w:highlight w:val="none"/>
          <w:lang w:val="en-US" w:eastAsia="zh-CN"/>
        </w:rPr>
      </w:pPr>
      <w:r>
        <w:rPr>
          <w:rFonts w:hint="default" w:ascii="Times New Roman" w:hAnsi="Times New Roman" w:cs="Times New Roman"/>
          <w:b/>
          <w:color w:val="auto"/>
          <w:sz w:val="32"/>
          <w:szCs w:val="32"/>
          <w:highlight w:val="none"/>
        </w:rPr>
        <w:t>通讯地址：</w:t>
      </w:r>
      <w:r>
        <w:rPr>
          <w:rFonts w:hint="eastAsia" w:ascii="Times New Roman" w:hAnsi="Times New Roman" w:cs="Times New Roman"/>
          <w:b/>
          <w:color w:val="auto"/>
          <w:sz w:val="32"/>
          <w:szCs w:val="32"/>
          <w:highlight w:val="none"/>
          <w:lang w:val="en-US" w:eastAsia="zh-CN"/>
        </w:rPr>
        <w:t>平昌县同州街道办事处新平街东段张家沟巷5号</w:t>
      </w:r>
    </w:p>
    <w:p w14:paraId="0276AA88">
      <w:pPr>
        <w:tabs>
          <w:tab w:val="left" w:pos="3300"/>
        </w:tabs>
        <w:adjustRightInd w:val="0"/>
        <w:snapToGrid w:val="0"/>
        <w:spacing w:line="360" w:lineRule="auto"/>
        <w:rPr>
          <w:rFonts w:hint="default" w:ascii="Times New Roman" w:hAnsi="Times New Roman" w:eastAsia="宋体" w:cs="Times New Roman"/>
          <w:b/>
          <w:color w:val="auto"/>
          <w:sz w:val="32"/>
          <w:szCs w:val="32"/>
          <w:highlight w:val="none"/>
          <w:lang w:val="en-US" w:eastAsia="zh-CN"/>
        </w:rPr>
      </w:pPr>
      <w:r>
        <w:rPr>
          <w:rFonts w:hint="default" w:ascii="Times New Roman" w:hAnsi="Times New Roman" w:cs="Times New Roman"/>
          <w:b/>
          <w:color w:val="auto"/>
          <w:sz w:val="32"/>
          <w:szCs w:val="32"/>
          <w:highlight w:val="none"/>
        </w:rPr>
        <w:t>邮政编码：/             联系人：</w:t>
      </w:r>
      <w:r>
        <w:rPr>
          <w:rFonts w:hint="eastAsia" w:ascii="Times New Roman" w:hAnsi="Times New Roman" w:cs="Times New Roman"/>
          <w:b/>
          <w:color w:val="auto"/>
          <w:sz w:val="32"/>
          <w:szCs w:val="32"/>
          <w:highlight w:val="none"/>
          <w:lang w:val="en-US" w:eastAsia="zh-CN"/>
        </w:rPr>
        <w:t>***</w:t>
      </w:r>
    </w:p>
    <w:p w14:paraId="7623CBF2">
      <w:pPr>
        <w:widowControl/>
        <w:adjustRightInd w:val="0"/>
        <w:snapToGrid w:val="0"/>
        <w:jc w:val="left"/>
        <w:rPr>
          <w:rFonts w:hint="default" w:ascii="Times New Roman" w:hAnsi="Times New Roman" w:eastAsia="宋体" w:cs="Times New Roman"/>
          <w:b/>
          <w:color w:val="auto"/>
          <w:sz w:val="32"/>
          <w:szCs w:val="32"/>
          <w:highlight w:val="none"/>
          <w:lang w:val="en-US" w:eastAsia="zh-CN"/>
        </w:rPr>
        <w:sectPr>
          <w:footerReference r:id="rId3" w:type="default"/>
          <w:pgSz w:w="11906" w:h="16838"/>
          <w:pgMar w:top="1440" w:right="1800" w:bottom="1440" w:left="1800" w:header="851" w:footer="1191" w:gutter="0"/>
          <w:pgBorders>
            <w:top w:val="none" w:sz="0" w:space="0"/>
            <w:left w:val="none" w:sz="0" w:space="0"/>
            <w:bottom w:val="none" w:sz="0" w:space="0"/>
            <w:right w:val="none" w:sz="0" w:space="0"/>
          </w:pgBorders>
          <w:pgNumType w:start="1"/>
          <w:cols w:space="720" w:num="1"/>
          <w:docGrid w:type="lines" w:linePitch="312" w:charSpace="0"/>
        </w:sectPr>
      </w:pPr>
      <w:r>
        <w:rPr>
          <w:rFonts w:hint="default" w:ascii="Times New Roman" w:hAnsi="Times New Roman" w:cs="Times New Roman"/>
          <w:b/>
          <w:color w:val="auto"/>
          <w:sz w:val="32"/>
          <w:szCs w:val="32"/>
          <w:highlight w:val="none"/>
        </w:rPr>
        <w:t>电子邮箱：/             联系电话：</w:t>
      </w:r>
      <w:r>
        <w:rPr>
          <w:rFonts w:hint="eastAsia" w:ascii="Times New Roman" w:hAnsi="Times New Roman" w:cs="Times New Roman"/>
          <w:b/>
          <w:color w:val="auto"/>
          <w:sz w:val="32"/>
          <w:szCs w:val="32"/>
          <w:highlight w:val="none"/>
          <w:lang w:val="en-US" w:eastAsia="zh-CN"/>
        </w:rPr>
        <w:t>*****</w:t>
      </w:r>
    </w:p>
    <w:p w14:paraId="06770268">
      <w:pPr>
        <w:rPr>
          <w:rFonts w:hint="default" w:ascii="Times New Roman" w:hAnsi="Times New Roman" w:cs="Times New Roman"/>
          <w:bCs/>
          <w:color w:val="auto"/>
          <w:spacing w:val="20"/>
          <w:sz w:val="24"/>
          <w:highlight w:val="none"/>
        </w:rPr>
      </w:pPr>
    </w:p>
    <w:p w14:paraId="78672EA2">
      <w:pPr>
        <w:adjustRightInd w:val="0"/>
        <w:snapToGrid w:val="0"/>
        <w:spacing w:line="360" w:lineRule="auto"/>
        <w:jc w:val="center"/>
        <w:rPr>
          <w:rFonts w:hint="default" w:ascii="Times New Roman" w:hAnsi="Times New Roman" w:cs="Times New Roman"/>
          <w:color w:val="auto"/>
          <w:highlight w:val="none"/>
        </w:rPr>
      </w:pPr>
      <w:r>
        <w:rPr>
          <w:rFonts w:hint="default" w:ascii="Times New Roman" w:hAnsi="Times New Roman" w:cs="Times New Roman"/>
          <w:b/>
          <w:color w:val="auto"/>
          <w:spacing w:val="20"/>
          <w:sz w:val="28"/>
          <w:szCs w:val="28"/>
          <w:highlight w:val="none"/>
        </w:rPr>
        <w:t>目录</w:t>
      </w:r>
    </w:p>
    <w:sdt>
      <w:sdtPr>
        <w:rPr>
          <w:rFonts w:hint="default" w:ascii="Times New Roman" w:hAnsi="Times New Roman" w:eastAsia="宋体" w:cs="Times New Roman"/>
          <w:color w:val="auto"/>
          <w:kern w:val="2"/>
          <w:sz w:val="21"/>
          <w:szCs w:val="24"/>
          <w:highlight w:val="none"/>
          <w:lang w:val="en-US" w:eastAsia="zh-CN" w:bidi="ar-SA"/>
        </w:rPr>
        <w:id w:val="147466061"/>
        <w15:color w:val="DBDBDB"/>
        <w:docPartObj>
          <w:docPartGallery w:val="Table of Contents"/>
          <w:docPartUnique/>
        </w:docPartObj>
      </w:sdtPr>
      <w:sdtEndPr>
        <w:rPr>
          <w:rFonts w:hint="default" w:ascii="Times New Roman" w:hAnsi="Times New Roman" w:eastAsia="宋体" w:cs="Times New Roman"/>
          <w:color w:val="auto"/>
          <w:kern w:val="2"/>
          <w:sz w:val="21"/>
          <w:szCs w:val="24"/>
          <w:highlight w:val="none"/>
          <w:lang w:val="en-US" w:eastAsia="zh-CN" w:bidi="ar-SA"/>
        </w:rPr>
      </w:sdtEndPr>
      <w:sdtContent>
        <w:p w14:paraId="3D49C312">
          <w:pPr>
            <w:spacing w:before="0" w:beforeLines="0" w:after="0" w:afterLines="0" w:line="240" w:lineRule="auto"/>
            <w:ind w:left="0" w:leftChars="0" w:right="0" w:rightChars="0" w:firstLine="0" w:firstLineChars="0"/>
            <w:jc w:val="center"/>
            <w:rPr>
              <w:rFonts w:hint="default" w:ascii="Times New Roman" w:hAnsi="Times New Roman" w:cs="Times New Roman"/>
              <w:color w:val="auto"/>
              <w:highlight w:val="none"/>
            </w:rPr>
          </w:pPr>
        </w:p>
        <w:p w14:paraId="642C7614">
          <w:pPr>
            <w:pStyle w:val="18"/>
            <w:tabs>
              <w:tab w:val="right" w:leader="dot" w:pos="8306"/>
              <w:tab w:val="clear" w:pos="8312"/>
            </w:tabs>
            <w:rPr>
              <w:rFonts w:hint="default" w:ascii="Times New Roman" w:hAnsi="Times New Roman" w:cs="Times New Roman"/>
              <w:color w:val="auto"/>
              <w:highlight w:val="none"/>
            </w:rPr>
          </w:pP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TOC \o "1-1" \h \u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_Toc12651 </w:instrText>
          </w:r>
          <w:r>
            <w:rPr>
              <w:rFonts w:hint="default" w:ascii="Times New Roman" w:hAnsi="Times New Roman" w:cs="Times New Roman"/>
              <w:color w:val="auto"/>
              <w:highlight w:val="none"/>
            </w:rPr>
            <w:fldChar w:fldCharType="separate"/>
          </w:r>
          <w:r>
            <w:rPr>
              <w:rFonts w:hint="default" w:ascii="Times New Roman" w:hAnsi="Times New Roman" w:cs="Times New Roman"/>
              <w:bCs/>
              <w:color w:val="auto"/>
              <w:szCs w:val="30"/>
              <w:highlight w:val="none"/>
            </w:rPr>
            <w:t>表1  项目基本情况</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_Toc12651 \h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3</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65A982E9">
          <w:pPr>
            <w:pStyle w:val="18"/>
            <w:tabs>
              <w:tab w:val="right" w:leader="dot" w:pos="8306"/>
              <w:tab w:val="clear" w:pos="8312"/>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_Toc2422 </w:instrText>
          </w:r>
          <w:r>
            <w:rPr>
              <w:rFonts w:hint="default" w:ascii="Times New Roman" w:hAnsi="Times New Roman" w:cs="Times New Roman"/>
              <w:color w:val="auto"/>
              <w:highlight w:val="none"/>
            </w:rPr>
            <w:fldChar w:fldCharType="separate"/>
          </w:r>
          <w:r>
            <w:rPr>
              <w:rFonts w:hint="default" w:ascii="Times New Roman" w:hAnsi="Times New Roman" w:cs="Times New Roman"/>
              <w:bCs/>
              <w:color w:val="auto"/>
              <w:szCs w:val="30"/>
              <w:highlight w:val="none"/>
            </w:rPr>
            <w:t>表2  放射源</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_Toc2422 \h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17</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1D81D61F">
          <w:pPr>
            <w:pStyle w:val="18"/>
            <w:tabs>
              <w:tab w:val="right" w:leader="dot" w:pos="8306"/>
              <w:tab w:val="clear" w:pos="8312"/>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_Toc28400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30"/>
              <w:highlight w:val="none"/>
            </w:rPr>
            <w:t>表3  非密封放射性物质</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_Toc28400 \h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17</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77342097">
          <w:pPr>
            <w:pStyle w:val="18"/>
            <w:tabs>
              <w:tab w:val="right" w:leader="dot" w:pos="8306"/>
              <w:tab w:val="clear" w:pos="8312"/>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_Toc2593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30"/>
              <w:highlight w:val="none"/>
            </w:rPr>
            <w:t>表4  射线装置</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_Toc2593 \h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18</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2317C6CB">
          <w:pPr>
            <w:pStyle w:val="18"/>
            <w:tabs>
              <w:tab w:val="right" w:leader="dot" w:pos="8306"/>
              <w:tab w:val="clear" w:pos="8312"/>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_Toc22620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30"/>
              <w:highlight w:val="none"/>
            </w:rPr>
            <w:t>表5  废弃物（重点是放射性废弃物）</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_Toc22620 \h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18</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550C03F8">
          <w:pPr>
            <w:pStyle w:val="18"/>
            <w:tabs>
              <w:tab w:val="right" w:leader="dot" w:pos="8306"/>
              <w:tab w:val="clear" w:pos="8312"/>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_Toc17971 </w:instrText>
          </w:r>
          <w:r>
            <w:rPr>
              <w:rFonts w:hint="default" w:ascii="Times New Roman" w:hAnsi="Times New Roman" w:cs="Times New Roman"/>
              <w:color w:val="auto"/>
              <w:highlight w:val="none"/>
            </w:rPr>
            <w:fldChar w:fldCharType="separate"/>
          </w:r>
          <w:r>
            <w:rPr>
              <w:rFonts w:hint="default" w:ascii="Times New Roman" w:hAnsi="Times New Roman" w:cs="Times New Roman"/>
              <w:bCs/>
              <w:color w:val="auto"/>
              <w:szCs w:val="30"/>
              <w:highlight w:val="none"/>
              <w:lang w:val="en-GB"/>
            </w:rPr>
            <w:t>表6 评价依据</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_Toc17971 \h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19</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63C31A8A">
          <w:pPr>
            <w:pStyle w:val="18"/>
            <w:tabs>
              <w:tab w:val="right" w:leader="dot" w:pos="8306"/>
              <w:tab w:val="clear" w:pos="8312"/>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_Toc2885 </w:instrText>
          </w:r>
          <w:r>
            <w:rPr>
              <w:rFonts w:hint="default" w:ascii="Times New Roman" w:hAnsi="Times New Roman" w:cs="Times New Roman"/>
              <w:color w:val="auto"/>
              <w:highlight w:val="none"/>
            </w:rPr>
            <w:fldChar w:fldCharType="separate"/>
          </w:r>
          <w:r>
            <w:rPr>
              <w:rFonts w:hint="default" w:ascii="Times New Roman" w:hAnsi="Times New Roman" w:cs="Times New Roman"/>
              <w:bCs/>
              <w:color w:val="auto"/>
              <w:szCs w:val="30"/>
              <w:highlight w:val="none"/>
              <w:lang w:val="en-GB"/>
            </w:rPr>
            <w:t>表7 保护目标与评价标准</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_Toc2885 \h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21</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16CC6A91">
          <w:pPr>
            <w:pStyle w:val="18"/>
            <w:tabs>
              <w:tab w:val="right" w:leader="dot" w:pos="8306"/>
              <w:tab w:val="clear" w:pos="8312"/>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_Toc1979 </w:instrText>
          </w:r>
          <w:r>
            <w:rPr>
              <w:rFonts w:hint="default" w:ascii="Times New Roman" w:hAnsi="Times New Roman" w:cs="Times New Roman"/>
              <w:color w:val="auto"/>
              <w:highlight w:val="none"/>
            </w:rPr>
            <w:fldChar w:fldCharType="separate"/>
          </w:r>
          <w:r>
            <w:rPr>
              <w:rFonts w:hint="default" w:ascii="Times New Roman" w:hAnsi="Times New Roman" w:cs="Times New Roman"/>
              <w:bCs/>
              <w:color w:val="auto"/>
              <w:szCs w:val="30"/>
              <w:highlight w:val="none"/>
              <w:lang w:val="en-GB"/>
            </w:rPr>
            <w:t>表8 环境质量和辐射现状</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_Toc1979 \h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24</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7F77F490">
          <w:pPr>
            <w:pStyle w:val="18"/>
            <w:tabs>
              <w:tab w:val="right" w:leader="dot" w:pos="8306"/>
              <w:tab w:val="clear" w:pos="8312"/>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_Toc2314 </w:instrText>
          </w:r>
          <w:r>
            <w:rPr>
              <w:rFonts w:hint="default" w:ascii="Times New Roman" w:hAnsi="Times New Roman" w:cs="Times New Roman"/>
              <w:color w:val="auto"/>
              <w:highlight w:val="none"/>
            </w:rPr>
            <w:fldChar w:fldCharType="separate"/>
          </w:r>
          <w:r>
            <w:rPr>
              <w:rFonts w:hint="default" w:ascii="Times New Roman" w:hAnsi="Times New Roman" w:cs="Times New Roman"/>
              <w:bCs/>
              <w:color w:val="auto"/>
              <w:szCs w:val="30"/>
              <w:highlight w:val="none"/>
              <w:lang w:val="en-GB"/>
            </w:rPr>
            <w:t>表9 项目工程分析与源项</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_Toc2314 \h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30</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6B320FAD">
          <w:pPr>
            <w:pStyle w:val="18"/>
            <w:tabs>
              <w:tab w:val="right" w:leader="dot" w:pos="8306"/>
              <w:tab w:val="clear" w:pos="8312"/>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_Toc21500 </w:instrText>
          </w:r>
          <w:r>
            <w:rPr>
              <w:rFonts w:hint="default" w:ascii="Times New Roman" w:hAnsi="Times New Roman" w:cs="Times New Roman"/>
              <w:color w:val="auto"/>
              <w:highlight w:val="none"/>
            </w:rPr>
            <w:fldChar w:fldCharType="separate"/>
          </w:r>
          <w:r>
            <w:rPr>
              <w:rFonts w:hint="default" w:ascii="Times New Roman" w:hAnsi="Times New Roman" w:cs="Times New Roman"/>
              <w:bCs/>
              <w:color w:val="auto"/>
              <w:szCs w:val="30"/>
              <w:highlight w:val="none"/>
              <w:lang w:val="en-GB"/>
            </w:rPr>
            <w:t>表10 辐射安全与防护</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_Toc21500 \h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44</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226A90F5">
          <w:pPr>
            <w:pStyle w:val="18"/>
            <w:tabs>
              <w:tab w:val="right" w:leader="dot" w:pos="8306"/>
              <w:tab w:val="clear" w:pos="8312"/>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_Toc11701 </w:instrText>
          </w:r>
          <w:r>
            <w:rPr>
              <w:rFonts w:hint="default" w:ascii="Times New Roman" w:hAnsi="Times New Roman" w:cs="Times New Roman"/>
              <w:color w:val="auto"/>
              <w:highlight w:val="none"/>
            </w:rPr>
            <w:fldChar w:fldCharType="separate"/>
          </w:r>
          <w:r>
            <w:rPr>
              <w:rFonts w:hint="default" w:ascii="Times New Roman" w:hAnsi="Times New Roman" w:cs="Times New Roman"/>
              <w:bCs/>
              <w:color w:val="auto"/>
              <w:kern w:val="44"/>
              <w:szCs w:val="30"/>
              <w:highlight w:val="none"/>
              <w:lang w:val="en-GB"/>
            </w:rPr>
            <w:t>表11 环境影响分析</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_Toc11701 \h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58</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5FB08FC6">
          <w:pPr>
            <w:pStyle w:val="18"/>
            <w:tabs>
              <w:tab w:val="right" w:leader="dot" w:pos="8306"/>
              <w:tab w:val="clear" w:pos="8312"/>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_Toc15179 </w:instrText>
          </w:r>
          <w:r>
            <w:rPr>
              <w:rFonts w:hint="default" w:ascii="Times New Roman" w:hAnsi="Times New Roman" w:cs="Times New Roman"/>
              <w:color w:val="auto"/>
              <w:highlight w:val="none"/>
            </w:rPr>
            <w:fldChar w:fldCharType="separate"/>
          </w:r>
          <w:r>
            <w:rPr>
              <w:rFonts w:hint="default" w:ascii="Times New Roman" w:hAnsi="Times New Roman" w:cs="Times New Roman"/>
              <w:bCs/>
              <w:color w:val="auto"/>
              <w:szCs w:val="30"/>
              <w:highlight w:val="none"/>
              <w:lang w:val="en-GB"/>
            </w:rPr>
            <w:t>表12 辐射安全管理</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_Toc15179 \h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82</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3E54CCB8">
          <w:pPr>
            <w:pStyle w:val="18"/>
            <w:tabs>
              <w:tab w:val="right" w:leader="dot" w:pos="8306"/>
              <w:tab w:val="clear" w:pos="8312"/>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_Toc8953 </w:instrText>
          </w:r>
          <w:r>
            <w:rPr>
              <w:rFonts w:hint="default" w:ascii="Times New Roman" w:hAnsi="Times New Roman" w:cs="Times New Roman"/>
              <w:color w:val="auto"/>
              <w:highlight w:val="none"/>
            </w:rPr>
            <w:fldChar w:fldCharType="separate"/>
          </w:r>
          <w:r>
            <w:rPr>
              <w:rFonts w:hint="default" w:ascii="Times New Roman" w:hAnsi="Times New Roman" w:cs="Times New Roman"/>
              <w:bCs/>
              <w:color w:val="auto"/>
              <w:szCs w:val="30"/>
              <w:highlight w:val="none"/>
              <w:lang w:val="en-GB"/>
            </w:rPr>
            <w:t>表13 结论与建议</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_Toc8953 \h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90</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15E80CC0">
          <w:pPr>
            <w:adjustRightInd w:val="0"/>
            <w:snapToGrid w:val="0"/>
            <w:spacing w:line="360" w:lineRule="auto"/>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rPr>
            <w:fldChar w:fldCharType="end"/>
          </w:r>
        </w:p>
      </w:sdtContent>
    </w:sdt>
    <w:p w14:paraId="5D2E79F0">
      <w:pPr>
        <w:pStyle w:val="8"/>
        <w:rPr>
          <w:rFonts w:hint="default" w:ascii="Times New Roman" w:hAnsi="Times New Roman" w:cs="Times New Roman"/>
          <w:color w:val="auto"/>
          <w:highlight w:val="none"/>
        </w:rPr>
      </w:pPr>
    </w:p>
    <w:p w14:paraId="4165F243">
      <w:pPr>
        <w:adjustRightInd w:val="0"/>
        <w:snapToGrid w:val="0"/>
        <w:spacing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附件：</w:t>
      </w:r>
    </w:p>
    <w:p w14:paraId="616A1840">
      <w:pPr>
        <w:adjustRightInd w:val="0"/>
        <w:snapToGrid w:val="0"/>
        <w:spacing w:line="360" w:lineRule="auto"/>
        <w:rPr>
          <w:rFonts w:hint="eastAsia" w:ascii="Times New Roman" w:hAnsi="Times New Roman" w:cs="Times New Roman"/>
          <w:b w:val="0"/>
          <w:bCs w:val="0"/>
          <w:color w:val="auto"/>
          <w:sz w:val="24"/>
          <w:highlight w:val="none"/>
          <w:lang w:val="en-US" w:eastAsia="zh-CN"/>
        </w:rPr>
      </w:pPr>
      <w:r>
        <w:rPr>
          <w:rFonts w:hint="eastAsia" w:ascii="Times New Roman" w:hAnsi="Times New Roman" w:cs="Times New Roman"/>
          <w:b w:val="0"/>
          <w:bCs w:val="0"/>
          <w:color w:val="auto"/>
          <w:sz w:val="24"/>
          <w:highlight w:val="none"/>
          <w:lang w:val="en-US" w:eastAsia="zh-CN"/>
        </w:rPr>
        <w:t>附件1 委托书</w:t>
      </w:r>
    </w:p>
    <w:p w14:paraId="5624B327">
      <w:pPr>
        <w:adjustRightInd w:val="0"/>
        <w:snapToGrid w:val="0"/>
        <w:spacing w:line="360" w:lineRule="auto"/>
        <w:rPr>
          <w:rFonts w:hint="eastAsia" w:ascii="Times New Roman" w:hAnsi="Times New Roman" w:cs="Times New Roman"/>
          <w:b w:val="0"/>
          <w:bCs w:val="0"/>
          <w:color w:val="auto"/>
          <w:sz w:val="24"/>
          <w:highlight w:val="none"/>
          <w:lang w:val="en-US" w:eastAsia="zh-CN"/>
        </w:rPr>
      </w:pPr>
      <w:r>
        <w:rPr>
          <w:rFonts w:hint="eastAsia" w:ascii="Times New Roman" w:hAnsi="Times New Roman" w:cs="Times New Roman"/>
          <w:b w:val="0"/>
          <w:bCs w:val="0"/>
          <w:color w:val="auto"/>
          <w:sz w:val="24"/>
          <w:highlight w:val="none"/>
          <w:lang w:val="en-US" w:eastAsia="zh-CN"/>
        </w:rPr>
        <w:t>附件2 事业单位法人证书</w:t>
      </w:r>
    </w:p>
    <w:p w14:paraId="0E1930B1">
      <w:pPr>
        <w:adjustRightInd w:val="0"/>
        <w:snapToGrid w:val="0"/>
        <w:spacing w:line="360" w:lineRule="auto"/>
        <w:rPr>
          <w:rFonts w:hint="eastAsia" w:ascii="Times New Roman" w:hAnsi="Times New Roman" w:cs="Times New Roman"/>
          <w:b w:val="0"/>
          <w:bCs w:val="0"/>
          <w:color w:val="auto"/>
          <w:sz w:val="24"/>
          <w:highlight w:val="none"/>
          <w:lang w:val="en-US" w:eastAsia="zh-CN"/>
        </w:rPr>
      </w:pPr>
      <w:r>
        <w:rPr>
          <w:rFonts w:hint="eastAsia" w:ascii="Times New Roman" w:hAnsi="Times New Roman" w:cs="Times New Roman"/>
          <w:b w:val="0"/>
          <w:bCs w:val="0"/>
          <w:color w:val="auto"/>
          <w:sz w:val="24"/>
          <w:highlight w:val="none"/>
          <w:lang w:val="en-US" w:eastAsia="zh-CN"/>
        </w:rPr>
        <w:t>附件3 平昌县第二人民医院辐射许可证副本</w:t>
      </w:r>
    </w:p>
    <w:p w14:paraId="3D65A74E">
      <w:pPr>
        <w:adjustRightInd w:val="0"/>
        <w:snapToGrid w:val="0"/>
        <w:spacing w:line="360" w:lineRule="auto"/>
        <w:rPr>
          <w:rFonts w:hint="eastAsia" w:ascii="Times New Roman" w:hAnsi="Times New Roman" w:cs="Times New Roman"/>
          <w:b w:val="0"/>
          <w:bCs w:val="0"/>
          <w:color w:val="auto"/>
          <w:sz w:val="24"/>
          <w:highlight w:val="none"/>
          <w:lang w:val="en-US" w:eastAsia="zh-CN"/>
        </w:rPr>
      </w:pPr>
      <w:r>
        <w:rPr>
          <w:rFonts w:hint="eastAsia" w:ascii="Times New Roman" w:hAnsi="Times New Roman" w:cs="Times New Roman"/>
          <w:b w:val="0"/>
          <w:bCs w:val="0"/>
          <w:color w:val="auto"/>
          <w:sz w:val="24"/>
          <w:highlight w:val="none"/>
          <w:lang w:val="en-US" w:eastAsia="zh-CN"/>
        </w:rPr>
        <w:t>附件4 医院大环评的批复</w:t>
      </w:r>
    </w:p>
    <w:p w14:paraId="69141587">
      <w:pPr>
        <w:adjustRightInd w:val="0"/>
        <w:snapToGrid w:val="0"/>
        <w:spacing w:line="360" w:lineRule="auto"/>
        <w:rPr>
          <w:rFonts w:hint="eastAsia" w:ascii="Times New Roman" w:hAnsi="Times New Roman" w:cs="Times New Roman"/>
          <w:b w:val="0"/>
          <w:bCs w:val="0"/>
          <w:color w:val="auto"/>
          <w:sz w:val="24"/>
          <w:highlight w:val="none"/>
          <w:lang w:val="en-US" w:eastAsia="zh-CN"/>
        </w:rPr>
      </w:pPr>
      <w:r>
        <w:rPr>
          <w:rFonts w:hint="eastAsia" w:ascii="Times New Roman" w:hAnsi="Times New Roman" w:cs="Times New Roman"/>
          <w:b w:val="0"/>
          <w:bCs w:val="0"/>
          <w:color w:val="auto"/>
          <w:sz w:val="24"/>
          <w:highlight w:val="none"/>
          <w:lang w:val="en-US" w:eastAsia="zh-CN"/>
        </w:rPr>
        <w:t>附件5 2025年年度评估报告</w:t>
      </w:r>
    </w:p>
    <w:p w14:paraId="608C6D29">
      <w:pPr>
        <w:adjustRightInd w:val="0"/>
        <w:snapToGrid w:val="0"/>
        <w:spacing w:line="360" w:lineRule="auto"/>
        <w:rPr>
          <w:rFonts w:hint="eastAsia" w:ascii="Times New Roman" w:hAnsi="Times New Roman" w:cs="Times New Roman"/>
          <w:b w:val="0"/>
          <w:bCs w:val="0"/>
          <w:color w:val="auto"/>
          <w:sz w:val="24"/>
          <w:highlight w:val="none"/>
          <w:lang w:val="en-US" w:eastAsia="zh-CN"/>
        </w:rPr>
      </w:pPr>
      <w:r>
        <w:rPr>
          <w:rFonts w:hint="eastAsia" w:ascii="Times New Roman" w:hAnsi="Times New Roman" w:cs="Times New Roman"/>
          <w:b w:val="0"/>
          <w:bCs w:val="0"/>
          <w:color w:val="auto"/>
          <w:sz w:val="24"/>
          <w:highlight w:val="none"/>
          <w:lang w:val="en-US" w:eastAsia="zh-CN"/>
        </w:rPr>
        <w:t>附件6 现有辐射场所监测报告</w:t>
      </w:r>
    </w:p>
    <w:p w14:paraId="5E607E0D">
      <w:pPr>
        <w:adjustRightInd w:val="0"/>
        <w:snapToGrid w:val="0"/>
        <w:spacing w:line="360" w:lineRule="auto"/>
        <w:rPr>
          <w:rFonts w:hint="eastAsia" w:ascii="Times New Roman" w:hAnsi="Times New Roman" w:cs="Times New Roman"/>
          <w:b w:val="0"/>
          <w:bCs w:val="0"/>
          <w:color w:val="auto"/>
          <w:sz w:val="24"/>
          <w:highlight w:val="none"/>
          <w:lang w:val="en-US" w:eastAsia="zh-CN"/>
        </w:rPr>
      </w:pPr>
      <w:r>
        <w:rPr>
          <w:rFonts w:hint="eastAsia" w:ascii="Times New Roman" w:hAnsi="Times New Roman" w:cs="Times New Roman"/>
          <w:b w:val="0"/>
          <w:bCs w:val="0"/>
          <w:color w:val="auto"/>
          <w:sz w:val="24"/>
          <w:highlight w:val="none"/>
          <w:lang w:val="en-US" w:eastAsia="zh-CN"/>
        </w:rPr>
        <w:t>附件7 不动产权证书</w:t>
      </w:r>
    </w:p>
    <w:p w14:paraId="06620AEB">
      <w:pPr>
        <w:adjustRightInd w:val="0"/>
        <w:snapToGrid w:val="0"/>
        <w:spacing w:line="360" w:lineRule="auto"/>
        <w:rPr>
          <w:rFonts w:hint="eastAsia" w:ascii="Times New Roman" w:hAnsi="Times New Roman" w:cs="Times New Roman"/>
          <w:b w:val="0"/>
          <w:bCs w:val="0"/>
          <w:color w:val="auto"/>
          <w:sz w:val="24"/>
          <w:highlight w:val="none"/>
          <w:lang w:val="en-US" w:eastAsia="zh-CN"/>
        </w:rPr>
      </w:pPr>
      <w:r>
        <w:rPr>
          <w:rFonts w:hint="eastAsia" w:ascii="Times New Roman" w:hAnsi="Times New Roman" w:cs="Times New Roman"/>
          <w:b w:val="0"/>
          <w:bCs w:val="0"/>
          <w:color w:val="auto"/>
          <w:sz w:val="24"/>
          <w:highlight w:val="none"/>
          <w:lang w:val="en-US" w:eastAsia="zh-CN"/>
        </w:rPr>
        <w:t>附件8 环境本底检测报告</w:t>
      </w:r>
    </w:p>
    <w:p w14:paraId="003925B4">
      <w:pPr>
        <w:tabs>
          <w:tab w:val="left" w:pos="640"/>
        </w:tabs>
        <w:adjustRightInd w:val="0"/>
        <w:snapToGrid w:val="0"/>
        <w:spacing w:line="360" w:lineRule="auto"/>
        <w:ind w:left="840" w:leftChars="0" w:hanging="840" w:hangingChars="350"/>
        <w:rPr>
          <w:rFonts w:hint="eastAsia" w:ascii="Times New Roman" w:hAnsi="Times New Roman" w:cs="Times New Roman"/>
          <w:b w:val="0"/>
          <w:bCs w:val="0"/>
          <w:color w:val="auto"/>
          <w:sz w:val="24"/>
          <w:highlight w:val="none"/>
          <w:lang w:val="en-US" w:eastAsia="zh-CN"/>
        </w:rPr>
      </w:pPr>
      <w:r>
        <w:rPr>
          <w:rFonts w:hint="eastAsia" w:ascii="Times New Roman" w:hAnsi="Times New Roman" w:cs="Times New Roman"/>
          <w:b w:val="0"/>
          <w:bCs w:val="0"/>
          <w:color w:val="auto"/>
          <w:sz w:val="24"/>
          <w:highlight w:val="none"/>
          <w:lang w:val="en-US" w:eastAsia="zh-CN"/>
        </w:rPr>
        <w:t>附件9 医院辐射事故应急预案文件、辐射设备操作规程、设备维护维修制度、岗位职责、射线装置台账管理制度、培训制度、个人剂量管理制度等制度文件</w:t>
      </w:r>
    </w:p>
    <w:p w14:paraId="576778D5">
      <w:pPr>
        <w:adjustRightInd w:val="0"/>
        <w:snapToGrid w:val="0"/>
        <w:spacing w:line="360" w:lineRule="auto"/>
        <w:rPr>
          <w:rFonts w:hint="eastAsia" w:ascii="Times New Roman" w:hAnsi="Times New Roman" w:cs="Times New Roman"/>
          <w:b w:val="0"/>
          <w:bCs w:val="0"/>
          <w:color w:val="auto"/>
          <w:sz w:val="24"/>
          <w:highlight w:val="none"/>
          <w:lang w:val="en-US" w:eastAsia="zh-CN"/>
        </w:rPr>
      </w:pPr>
      <w:r>
        <w:rPr>
          <w:rFonts w:hint="eastAsia" w:ascii="Times New Roman" w:hAnsi="Times New Roman" w:cs="Times New Roman"/>
          <w:b w:val="0"/>
          <w:bCs w:val="0"/>
          <w:color w:val="auto"/>
          <w:sz w:val="24"/>
          <w:highlight w:val="none"/>
          <w:lang w:val="en-US" w:eastAsia="zh-CN"/>
        </w:rPr>
        <w:t>附件10 屏蔽防护条件说明</w:t>
      </w:r>
    </w:p>
    <w:p w14:paraId="4BA543D0">
      <w:pPr>
        <w:adjustRightInd w:val="0"/>
        <w:snapToGrid w:val="0"/>
        <w:spacing w:line="360" w:lineRule="auto"/>
        <w:rPr>
          <w:rFonts w:hint="eastAsia" w:ascii="Times New Roman" w:hAnsi="Times New Roman" w:cs="Times New Roman"/>
          <w:b w:val="0"/>
          <w:bCs w:val="0"/>
          <w:color w:val="auto"/>
          <w:sz w:val="24"/>
          <w:highlight w:val="none"/>
          <w:lang w:val="en-US" w:eastAsia="zh-CN"/>
        </w:rPr>
      </w:pPr>
      <w:r>
        <w:rPr>
          <w:rFonts w:hint="eastAsia" w:ascii="Times New Roman" w:hAnsi="Times New Roman" w:cs="Times New Roman"/>
          <w:b w:val="0"/>
          <w:bCs w:val="0"/>
          <w:color w:val="auto"/>
          <w:sz w:val="24"/>
          <w:highlight w:val="none"/>
          <w:lang w:val="en-US" w:eastAsia="zh-CN"/>
        </w:rPr>
        <w:t>附件11 辐射安全与防护考核承诺书</w:t>
      </w:r>
    </w:p>
    <w:p w14:paraId="2C68BC33">
      <w:pPr>
        <w:adjustRightInd w:val="0"/>
        <w:snapToGrid w:val="0"/>
        <w:spacing w:line="360" w:lineRule="auto"/>
        <w:rPr>
          <w:rFonts w:hint="eastAsia" w:ascii="Times New Roman" w:hAnsi="Times New Roman" w:cs="Times New Roman"/>
          <w:b w:val="0"/>
          <w:bCs w:val="0"/>
          <w:color w:val="auto"/>
          <w:sz w:val="24"/>
          <w:highlight w:val="none"/>
          <w:lang w:val="en-US" w:eastAsia="zh-CN"/>
        </w:rPr>
      </w:pPr>
      <w:r>
        <w:rPr>
          <w:rFonts w:hint="eastAsia" w:ascii="Times New Roman" w:hAnsi="Times New Roman" w:cs="Times New Roman"/>
          <w:b w:val="0"/>
          <w:bCs w:val="0"/>
          <w:color w:val="auto"/>
          <w:sz w:val="24"/>
          <w:highlight w:val="none"/>
          <w:lang w:val="en-US" w:eastAsia="zh-CN"/>
        </w:rPr>
        <w:t>附件12 关于射线装置的承诺书</w:t>
      </w:r>
    </w:p>
    <w:p w14:paraId="3B621AEB">
      <w:pPr>
        <w:adjustRightInd w:val="0"/>
        <w:snapToGrid w:val="0"/>
        <w:spacing w:line="360" w:lineRule="auto"/>
        <w:rPr>
          <w:rFonts w:hint="eastAsia" w:ascii="Times New Roman" w:hAnsi="Times New Roman" w:cs="Times New Roman"/>
          <w:b w:val="0"/>
          <w:bCs w:val="0"/>
          <w:color w:val="auto"/>
          <w:sz w:val="24"/>
          <w:highlight w:val="none"/>
          <w:lang w:val="en-US" w:eastAsia="zh-CN"/>
        </w:rPr>
      </w:pPr>
      <w:r>
        <w:rPr>
          <w:rFonts w:hint="eastAsia" w:ascii="Times New Roman" w:hAnsi="Times New Roman" w:cs="Times New Roman"/>
          <w:b w:val="0"/>
          <w:bCs w:val="0"/>
          <w:color w:val="auto"/>
          <w:sz w:val="24"/>
          <w:highlight w:val="none"/>
          <w:lang w:val="en-US" w:eastAsia="zh-CN"/>
        </w:rPr>
        <w:t>附件13 医用高分子纳米辐射屏蔽板铅当量检测报告</w:t>
      </w:r>
    </w:p>
    <w:p w14:paraId="5194F396">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highlight w:val="none"/>
          <w:lang w:val="en-US" w:eastAsia="zh-CN"/>
        </w:rPr>
      </w:pPr>
    </w:p>
    <w:p w14:paraId="014F66A2">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highlight w:val="none"/>
          <w:lang w:val="en-US" w:eastAsia="zh-CN"/>
        </w:rPr>
      </w:pPr>
    </w:p>
    <w:p w14:paraId="3A444C8E">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highlight w:val="none"/>
          <w:lang w:val="en-US" w:eastAsia="zh-CN"/>
        </w:rPr>
      </w:pPr>
    </w:p>
    <w:p w14:paraId="6820F61C">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highlight w:val="none"/>
          <w:lang w:val="en-US" w:eastAsia="zh-CN"/>
        </w:rPr>
      </w:pPr>
    </w:p>
    <w:p w14:paraId="539A054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附图：</w:t>
      </w:r>
    </w:p>
    <w:p w14:paraId="586865AB">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rPr>
        <w:t>附图1</w:t>
      </w:r>
      <w:r>
        <w:rPr>
          <w:rFonts w:hint="default" w:ascii="Times New Roman" w:hAnsi="Times New Roman" w:cs="Times New Roman"/>
          <w:color w:val="auto"/>
          <w:sz w:val="24"/>
          <w:highlight w:val="none"/>
          <w:lang w:val="en-US" w:eastAsia="zh-CN"/>
        </w:rPr>
        <w:t>-1 本项目地理位置图</w:t>
      </w:r>
    </w:p>
    <w:p w14:paraId="35BD7CE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 xml:space="preserve">附图2 </w:t>
      </w:r>
      <w:r>
        <w:rPr>
          <w:rFonts w:hint="eastAsia" w:ascii="Times New Roman" w:hAnsi="Times New Roman" w:cs="Times New Roman"/>
          <w:color w:val="auto"/>
          <w:sz w:val="24"/>
          <w:highlight w:val="none"/>
          <w:lang w:val="en-US" w:eastAsia="zh-CN"/>
        </w:rPr>
        <w:t>医院外环境关系图</w:t>
      </w:r>
    </w:p>
    <w:p w14:paraId="1EB95DE4">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附图3</w:t>
      </w:r>
      <w:r>
        <w:rPr>
          <w:rFonts w:hint="eastAsia" w:ascii="Times New Roman" w:hAnsi="Times New Roman" w:cs="Times New Roman"/>
          <w:color w:val="auto"/>
          <w:sz w:val="24"/>
          <w:highlight w:val="none"/>
          <w:lang w:val="en-US" w:eastAsia="zh-CN"/>
        </w:rPr>
        <w:t>-1 50m范围图1</w:t>
      </w:r>
    </w:p>
    <w:p w14:paraId="14FC845D">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附图</w:t>
      </w:r>
      <w:r>
        <w:rPr>
          <w:rFonts w:hint="eastAsia" w:ascii="Times New Roman" w:hAnsi="Times New Roman" w:cs="Times New Roman"/>
          <w:color w:val="auto"/>
          <w:sz w:val="24"/>
          <w:highlight w:val="none"/>
          <w:lang w:val="en-US" w:eastAsia="zh-CN"/>
        </w:rPr>
        <w:t>3-2</w:t>
      </w:r>
      <w:r>
        <w:rPr>
          <w:rFonts w:hint="default" w:ascii="Times New Roman" w:hAnsi="Times New Roman" w:cs="Times New Roman"/>
          <w:color w:val="auto"/>
          <w:sz w:val="24"/>
          <w:highlight w:val="none"/>
          <w:lang w:val="en-US" w:eastAsia="zh-CN"/>
        </w:rPr>
        <w:t xml:space="preserve"> </w:t>
      </w:r>
      <w:r>
        <w:rPr>
          <w:rFonts w:hint="eastAsia" w:ascii="Times New Roman" w:hAnsi="Times New Roman" w:cs="Times New Roman"/>
          <w:color w:val="auto"/>
          <w:sz w:val="24"/>
          <w:highlight w:val="none"/>
          <w:lang w:val="en-US" w:eastAsia="zh-CN"/>
        </w:rPr>
        <w:t>50m范围图2</w:t>
      </w:r>
    </w:p>
    <w:p w14:paraId="07197E6A">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default"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附图4 介入室平面图</w:t>
      </w:r>
    </w:p>
    <w:p w14:paraId="2CA62B5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附图5</w:t>
      </w:r>
      <w:r>
        <w:rPr>
          <w:rFonts w:hint="eastAsia" w:ascii="Times New Roman" w:hAnsi="Times New Roman" w:cs="Times New Roman"/>
          <w:color w:val="auto"/>
          <w:sz w:val="24"/>
          <w:highlight w:val="none"/>
          <w:lang w:val="en-US" w:eastAsia="zh-CN"/>
        </w:rPr>
        <w:t>-1 监测布点图1</w:t>
      </w:r>
    </w:p>
    <w:p w14:paraId="56FDB391">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附图5</w:t>
      </w:r>
      <w:r>
        <w:rPr>
          <w:rFonts w:hint="eastAsia" w:ascii="Times New Roman" w:hAnsi="Times New Roman" w:cs="Times New Roman"/>
          <w:color w:val="auto"/>
          <w:sz w:val="24"/>
          <w:highlight w:val="none"/>
          <w:lang w:val="en-US" w:eastAsia="zh-CN"/>
        </w:rPr>
        <w:t>-2 监测布点图2</w:t>
      </w:r>
    </w:p>
    <w:p w14:paraId="7A5B91C6">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附图5</w:t>
      </w:r>
      <w:r>
        <w:rPr>
          <w:rFonts w:hint="eastAsia" w:ascii="Times New Roman" w:hAnsi="Times New Roman" w:cs="Times New Roman"/>
          <w:color w:val="auto"/>
          <w:sz w:val="24"/>
          <w:highlight w:val="none"/>
          <w:lang w:val="en-US" w:eastAsia="zh-CN"/>
        </w:rPr>
        <w:t>-3 监测布点图3</w:t>
      </w:r>
    </w:p>
    <w:p w14:paraId="04429106">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附图5</w:t>
      </w:r>
      <w:r>
        <w:rPr>
          <w:rFonts w:hint="eastAsia" w:ascii="Times New Roman" w:hAnsi="Times New Roman" w:cs="Times New Roman"/>
          <w:color w:val="auto"/>
          <w:sz w:val="24"/>
          <w:highlight w:val="none"/>
          <w:lang w:val="en-US" w:eastAsia="zh-CN"/>
        </w:rPr>
        <w:t>-4 监测布点图4</w:t>
      </w:r>
    </w:p>
    <w:p w14:paraId="4DF14CA5">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附图5</w:t>
      </w:r>
      <w:r>
        <w:rPr>
          <w:rFonts w:hint="eastAsia" w:ascii="Times New Roman" w:hAnsi="Times New Roman" w:cs="Times New Roman"/>
          <w:color w:val="auto"/>
          <w:sz w:val="24"/>
          <w:highlight w:val="none"/>
          <w:lang w:val="en-US" w:eastAsia="zh-CN"/>
        </w:rPr>
        <w:t>-5 监测布点图5</w:t>
      </w:r>
    </w:p>
    <w:p w14:paraId="5A5ABEE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附图6 人流、物流图</w:t>
      </w:r>
    </w:p>
    <w:p w14:paraId="0476587B">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附图7  DSA介入室所在楼层平面图</w:t>
      </w:r>
    </w:p>
    <w:p w14:paraId="0375A4B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附图8  DSA介入室楼上平面布置图</w:t>
      </w:r>
    </w:p>
    <w:p w14:paraId="77072E5A">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附图9  监督区、控制区示意图</w:t>
      </w:r>
    </w:p>
    <w:p w14:paraId="0C3BD046">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default"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附图10  DSA介入室楼下平面布置图</w:t>
      </w:r>
    </w:p>
    <w:p w14:paraId="63650A7B">
      <w:pPr>
        <w:adjustRightInd w:val="0"/>
        <w:snapToGrid w:val="0"/>
        <w:spacing w:line="360" w:lineRule="auto"/>
        <w:ind w:firstLine="480" w:firstLineChars="200"/>
        <w:rPr>
          <w:rFonts w:hint="default" w:ascii="Times New Roman" w:hAnsi="Times New Roman" w:cs="Times New Roman"/>
          <w:color w:val="auto"/>
          <w:sz w:val="24"/>
          <w:highlight w:val="none"/>
          <w:lang w:val="en-US" w:eastAsia="zh-CN"/>
        </w:rPr>
      </w:pPr>
    </w:p>
    <w:p w14:paraId="4176BB8D">
      <w:pPr>
        <w:pStyle w:val="8"/>
        <w:rPr>
          <w:rFonts w:hint="default" w:ascii="Times New Roman" w:hAnsi="Times New Roman" w:cs="Times New Roman"/>
          <w:color w:val="auto"/>
          <w:sz w:val="24"/>
          <w:highlight w:val="none"/>
          <w:lang w:val="en-US" w:eastAsia="zh-CN"/>
        </w:rPr>
      </w:pPr>
    </w:p>
    <w:p w14:paraId="39285AC6">
      <w:pPr>
        <w:rPr>
          <w:rFonts w:hint="default" w:ascii="Times New Roman" w:hAnsi="Times New Roman" w:cs="Times New Roman"/>
          <w:color w:val="auto"/>
          <w:sz w:val="24"/>
          <w:highlight w:val="none"/>
          <w:lang w:val="en-US" w:eastAsia="zh-CN"/>
        </w:rPr>
      </w:pPr>
    </w:p>
    <w:p w14:paraId="0AEB26D5">
      <w:pPr>
        <w:pStyle w:val="10"/>
        <w:rPr>
          <w:rFonts w:hint="default" w:ascii="Times New Roman" w:hAnsi="Times New Roman" w:cs="Times New Roman"/>
          <w:color w:val="auto"/>
          <w:sz w:val="24"/>
          <w:highlight w:val="none"/>
          <w:lang w:val="en-US" w:eastAsia="zh-CN"/>
        </w:rPr>
      </w:pPr>
    </w:p>
    <w:p w14:paraId="73187BC5">
      <w:pPr>
        <w:pStyle w:val="10"/>
        <w:rPr>
          <w:rFonts w:hint="default" w:ascii="Times New Roman" w:hAnsi="Times New Roman" w:cs="Times New Roman"/>
          <w:color w:val="auto"/>
          <w:sz w:val="24"/>
          <w:highlight w:val="none"/>
          <w:lang w:val="en-US" w:eastAsia="zh-CN"/>
        </w:rPr>
      </w:pPr>
    </w:p>
    <w:p w14:paraId="524C7914">
      <w:pPr>
        <w:pStyle w:val="10"/>
        <w:rPr>
          <w:rFonts w:hint="default" w:ascii="Times New Roman" w:hAnsi="Times New Roman" w:cs="Times New Roman"/>
          <w:color w:val="auto"/>
          <w:sz w:val="24"/>
          <w:highlight w:val="none"/>
          <w:lang w:val="en-US" w:eastAsia="zh-CN"/>
        </w:rPr>
      </w:pPr>
    </w:p>
    <w:p w14:paraId="07797954">
      <w:pPr>
        <w:pStyle w:val="10"/>
        <w:rPr>
          <w:rFonts w:hint="default" w:ascii="Times New Roman" w:hAnsi="Times New Roman" w:cs="Times New Roman"/>
          <w:color w:val="auto"/>
          <w:sz w:val="24"/>
          <w:highlight w:val="none"/>
          <w:lang w:val="en-US" w:eastAsia="zh-CN"/>
        </w:rPr>
      </w:pPr>
    </w:p>
    <w:p w14:paraId="2EDDE534">
      <w:pPr>
        <w:pStyle w:val="10"/>
        <w:rPr>
          <w:rFonts w:hint="default" w:ascii="Times New Roman" w:hAnsi="Times New Roman" w:cs="Times New Roman"/>
          <w:color w:val="auto"/>
          <w:sz w:val="24"/>
          <w:highlight w:val="none"/>
          <w:lang w:val="en-US" w:eastAsia="zh-CN"/>
        </w:rPr>
      </w:pPr>
    </w:p>
    <w:p w14:paraId="21CAE1E5">
      <w:pPr>
        <w:pStyle w:val="10"/>
        <w:rPr>
          <w:rFonts w:hint="default" w:ascii="Times New Roman" w:hAnsi="Times New Roman" w:cs="Times New Roman"/>
          <w:color w:val="auto"/>
          <w:sz w:val="24"/>
          <w:highlight w:val="none"/>
          <w:lang w:val="en-US" w:eastAsia="zh-CN"/>
        </w:rPr>
      </w:pPr>
    </w:p>
    <w:p w14:paraId="542AA9C0">
      <w:pPr>
        <w:pStyle w:val="10"/>
        <w:rPr>
          <w:rFonts w:hint="default" w:ascii="Times New Roman" w:hAnsi="Times New Roman" w:cs="Times New Roman"/>
          <w:color w:val="auto"/>
          <w:sz w:val="24"/>
          <w:highlight w:val="none"/>
          <w:lang w:val="en-US" w:eastAsia="zh-CN"/>
        </w:rPr>
      </w:pPr>
    </w:p>
    <w:p w14:paraId="5F8F1B01">
      <w:pPr>
        <w:pStyle w:val="2"/>
        <w:adjustRightInd w:val="0"/>
        <w:snapToGrid w:val="0"/>
        <w:spacing w:before="0" w:after="0"/>
        <w:jc w:val="center"/>
        <w:rPr>
          <w:rFonts w:hint="default" w:ascii="Times New Roman" w:hAnsi="Times New Roman" w:cs="Times New Roman"/>
          <w:b w:val="0"/>
          <w:bCs/>
          <w:color w:val="auto"/>
          <w:sz w:val="30"/>
          <w:szCs w:val="30"/>
          <w:highlight w:val="none"/>
        </w:rPr>
      </w:pPr>
      <w:bookmarkStart w:id="1" w:name="_Toc12651"/>
      <w:bookmarkStart w:id="2" w:name="_Toc25553"/>
      <w:r>
        <w:rPr>
          <w:rFonts w:hint="default" w:ascii="Times New Roman" w:hAnsi="Times New Roman" w:cs="Times New Roman"/>
          <w:b w:val="0"/>
          <w:bCs/>
          <w:color w:val="auto"/>
          <w:sz w:val="30"/>
          <w:szCs w:val="30"/>
          <w:highlight w:val="none"/>
        </w:rPr>
        <w:t>表1  项目基本情况</w:t>
      </w:r>
      <w:bookmarkEnd w:id="1"/>
      <w:bookmarkEnd w:id="2"/>
    </w:p>
    <w:tbl>
      <w:tblPr>
        <w:tblStyle w:val="22"/>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6"/>
        <w:gridCol w:w="1112"/>
        <w:gridCol w:w="1073"/>
        <w:gridCol w:w="1464"/>
        <w:gridCol w:w="1367"/>
        <w:gridCol w:w="1222"/>
        <w:gridCol w:w="153"/>
        <w:gridCol w:w="1515"/>
      </w:tblGrid>
      <w:tr w14:paraId="1BDA5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4" w:type="pct"/>
            <w:gridSpan w:val="2"/>
            <w:vAlign w:val="center"/>
          </w:tcPr>
          <w:p w14:paraId="36E8370F">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建设项目名称</w:t>
            </w:r>
          </w:p>
        </w:tc>
        <w:tc>
          <w:tcPr>
            <w:tcW w:w="3985" w:type="pct"/>
            <w:gridSpan w:val="6"/>
            <w:vAlign w:val="center"/>
          </w:tcPr>
          <w:p w14:paraId="6A74EB1C">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平昌县第二人民医院新增</w:t>
            </w:r>
            <w:r>
              <w:rPr>
                <w:rFonts w:hint="default" w:ascii="Times New Roman" w:hAnsi="Times New Roman" w:cs="Times New Roman"/>
                <w:color w:val="auto"/>
                <w:sz w:val="24"/>
                <w:highlight w:val="none"/>
              </w:rPr>
              <w:t>数字减影血管造影机（DSA）项目</w:t>
            </w:r>
          </w:p>
        </w:tc>
      </w:tr>
      <w:tr w14:paraId="5D744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014" w:type="pct"/>
            <w:gridSpan w:val="2"/>
            <w:vAlign w:val="center"/>
          </w:tcPr>
          <w:p w14:paraId="4529012D">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建设单位</w:t>
            </w:r>
          </w:p>
        </w:tc>
        <w:tc>
          <w:tcPr>
            <w:tcW w:w="3985" w:type="pct"/>
            <w:gridSpan w:val="6"/>
            <w:vAlign w:val="center"/>
          </w:tcPr>
          <w:p w14:paraId="6DB39FFE">
            <w:pPr>
              <w:adjustRightInd w:val="0"/>
              <w:snapToGrid w:val="0"/>
              <w:jc w:val="center"/>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平昌县第二人民医院</w:t>
            </w:r>
          </w:p>
        </w:tc>
      </w:tr>
      <w:tr w14:paraId="7A27B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1014" w:type="pct"/>
            <w:gridSpan w:val="2"/>
            <w:vAlign w:val="center"/>
          </w:tcPr>
          <w:p w14:paraId="350DC266">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法人代表</w:t>
            </w:r>
          </w:p>
        </w:tc>
        <w:tc>
          <w:tcPr>
            <w:tcW w:w="629" w:type="pct"/>
            <w:vAlign w:val="center"/>
          </w:tcPr>
          <w:p w14:paraId="4C830AF1">
            <w:pPr>
              <w:tabs>
                <w:tab w:val="left" w:pos="3300"/>
              </w:tabs>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w:t>
            </w:r>
          </w:p>
        </w:tc>
        <w:tc>
          <w:tcPr>
            <w:tcW w:w="859" w:type="pct"/>
            <w:vAlign w:val="center"/>
          </w:tcPr>
          <w:p w14:paraId="2460C592">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联系人</w:t>
            </w:r>
          </w:p>
        </w:tc>
        <w:tc>
          <w:tcPr>
            <w:tcW w:w="801" w:type="pct"/>
            <w:vAlign w:val="center"/>
          </w:tcPr>
          <w:p w14:paraId="7F58480A">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w:t>
            </w:r>
          </w:p>
        </w:tc>
        <w:tc>
          <w:tcPr>
            <w:tcW w:w="717" w:type="pct"/>
            <w:vAlign w:val="center"/>
          </w:tcPr>
          <w:p w14:paraId="15E3B249">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联系电话</w:t>
            </w:r>
          </w:p>
        </w:tc>
        <w:tc>
          <w:tcPr>
            <w:tcW w:w="976" w:type="pct"/>
            <w:gridSpan w:val="2"/>
            <w:vAlign w:val="center"/>
          </w:tcPr>
          <w:p w14:paraId="101A34AB">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w:t>
            </w:r>
          </w:p>
        </w:tc>
      </w:tr>
      <w:tr w14:paraId="6EBCD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014" w:type="pct"/>
            <w:gridSpan w:val="2"/>
            <w:vAlign w:val="center"/>
          </w:tcPr>
          <w:p w14:paraId="36AFC4C5">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注册地址</w:t>
            </w:r>
          </w:p>
        </w:tc>
        <w:tc>
          <w:tcPr>
            <w:tcW w:w="3985" w:type="pct"/>
            <w:gridSpan w:val="6"/>
            <w:vAlign w:val="center"/>
          </w:tcPr>
          <w:p w14:paraId="2F5ECD6D">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平昌县同州街道办事处新平街东段张家沟巷5号</w:t>
            </w:r>
          </w:p>
        </w:tc>
      </w:tr>
      <w:tr w14:paraId="42E5C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014" w:type="pct"/>
            <w:gridSpan w:val="2"/>
            <w:vAlign w:val="center"/>
          </w:tcPr>
          <w:p w14:paraId="1265C5CD">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项目建设地点</w:t>
            </w:r>
          </w:p>
        </w:tc>
        <w:tc>
          <w:tcPr>
            <w:tcW w:w="3985" w:type="pct"/>
            <w:gridSpan w:val="6"/>
            <w:vAlign w:val="center"/>
          </w:tcPr>
          <w:p w14:paraId="56217BB4">
            <w:pPr>
              <w:adjustRightInd w:val="0"/>
              <w:snapToGrid w:val="0"/>
              <w:jc w:val="center"/>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平昌县第二人民医院</w:t>
            </w:r>
            <w:r>
              <w:rPr>
                <w:rFonts w:hint="default" w:ascii="Times New Roman" w:hAnsi="Times New Roman" w:cs="Times New Roman"/>
                <w:color w:val="auto"/>
                <w:sz w:val="24"/>
                <w:highlight w:val="none"/>
                <w:lang w:val="en-US" w:eastAsia="zh-CN"/>
              </w:rPr>
              <w:t>黄滩坝院区</w:t>
            </w:r>
            <w:r>
              <w:rPr>
                <w:rFonts w:hint="default" w:ascii="Times New Roman" w:hAnsi="Times New Roman" w:eastAsia="宋体" w:cs="Times New Roman"/>
                <w:color w:val="auto"/>
                <w:sz w:val="24"/>
                <w:highlight w:val="none"/>
                <w:lang w:val="en-US" w:eastAsia="zh-CN"/>
              </w:rPr>
              <w:t>的</w:t>
            </w:r>
            <w:r>
              <w:rPr>
                <w:rFonts w:hint="default" w:ascii="Times New Roman" w:hAnsi="Times New Roman" w:cs="Times New Roman"/>
                <w:color w:val="auto"/>
                <w:sz w:val="24"/>
                <w:highlight w:val="none"/>
                <w:lang w:val="en-US" w:eastAsia="zh-CN"/>
              </w:rPr>
              <w:t>2#</w:t>
            </w:r>
            <w:r>
              <w:rPr>
                <w:rFonts w:hint="default" w:ascii="Times New Roman" w:hAnsi="Times New Roman" w:eastAsia="宋体" w:cs="Times New Roman"/>
                <w:color w:val="auto"/>
                <w:sz w:val="24"/>
                <w:highlight w:val="none"/>
                <w:lang w:val="en-US" w:eastAsia="zh-CN"/>
              </w:rPr>
              <w:t>医疗综合楼四楼东北角</w:t>
            </w:r>
          </w:p>
        </w:tc>
      </w:tr>
      <w:tr w14:paraId="37B46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014" w:type="pct"/>
            <w:gridSpan w:val="2"/>
            <w:vAlign w:val="center"/>
          </w:tcPr>
          <w:p w14:paraId="10CBBD61">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立项审批部门</w:t>
            </w:r>
          </w:p>
        </w:tc>
        <w:tc>
          <w:tcPr>
            <w:tcW w:w="1488" w:type="pct"/>
            <w:gridSpan w:val="2"/>
            <w:vAlign w:val="center"/>
          </w:tcPr>
          <w:p w14:paraId="46B7A321">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p>
        </w:tc>
        <w:tc>
          <w:tcPr>
            <w:tcW w:w="801" w:type="pct"/>
            <w:vAlign w:val="center"/>
          </w:tcPr>
          <w:p w14:paraId="4B08197C">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批准文号</w:t>
            </w:r>
          </w:p>
        </w:tc>
        <w:tc>
          <w:tcPr>
            <w:tcW w:w="1694" w:type="pct"/>
            <w:gridSpan w:val="3"/>
            <w:vAlign w:val="center"/>
          </w:tcPr>
          <w:p w14:paraId="21EB59D4">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p>
        </w:tc>
      </w:tr>
      <w:tr w14:paraId="4A993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014" w:type="pct"/>
            <w:gridSpan w:val="2"/>
            <w:vAlign w:val="center"/>
          </w:tcPr>
          <w:p w14:paraId="27D0998D">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建设项目总投资（万元）</w:t>
            </w:r>
          </w:p>
        </w:tc>
        <w:tc>
          <w:tcPr>
            <w:tcW w:w="629" w:type="pct"/>
            <w:vAlign w:val="center"/>
          </w:tcPr>
          <w:p w14:paraId="4F0F4F84">
            <w:pPr>
              <w:adjustRightInd w:val="0"/>
              <w:snapToGrid w:val="0"/>
              <w:jc w:val="center"/>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600</w:t>
            </w:r>
          </w:p>
        </w:tc>
        <w:tc>
          <w:tcPr>
            <w:tcW w:w="859" w:type="pct"/>
            <w:vAlign w:val="center"/>
          </w:tcPr>
          <w:p w14:paraId="0A81B32D">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项目环保投资（万元）</w:t>
            </w:r>
          </w:p>
        </w:tc>
        <w:tc>
          <w:tcPr>
            <w:tcW w:w="801" w:type="pct"/>
            <w:vAlign w:val="center"/>
          </w:tcPr>
          <w:p w14:paraId="46D8CA50">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50</w:t>
            </w:r>
          </w:p>
        </w:tc>
        <w:tc>
          <w:tcPr>
            <w:tcW w:w="807" w:type="pct"/>
            <w:gridSpan w:val="2"/>
            <w:vAlign w:val="center"/>
          </w:tcPr>
          <w:p w14:paraId="4E8083EF">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投资比例</w:t>
            </w:r>
          </w:p>
        </w:tc>
        <w:tc>
          <w:tcPr>
            <w:tcW w:w="886" w:type="pct"/>
            <w:vAlign w:val="center"/>
          </w:tcPr>
          <w:p w14:paraId="5F5B2A09">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8</w:t>
            </w:r>
            <w:r>
              <w:rPr>
                <w:rFonts w:hint="default" w:ascii="Times New Roman" w:hAnsi="Times New Roman" w:cs="Times New Roman"/>
                <w:color w:val="auto"/>
                <w:sz w:val="24"/>
                <w:highlight w:val="none"/>
                <w:lang w:val="en-US" w:eastAsia="zh-CN"/>
              </w:rPr>
              <w:t>.3%</w:t>
            </w:r>
          </w:p>
        </w:tc>
      </w:tr>
      <w:tr w14:paraId="163A5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1014" w:type="pct"/>
            <w:gridSpan w:val="2"/>
            <w:vAlign w:val="center"/>
          </w:tcPr>
          <w:p w14:paraId="371343E1">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项目性质</w:t>
            </w:r>
          </w:p>
        </w:tc>
        <w:tc>
          <w:tcPr>
            <w:tcW w:w="2290" w:type="pct"/>
            <w:gridSpan w:val="3"/>
            <w:vAlign w:val="center"/>
          </w:tcPr>
          <w:p w14:paraId="6412296E">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新建  </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改建  </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扩建  □其它</w:t>
            </w:r>
          </w:p>
        </w:tc>
        <w:tc>
          <w:tcPr>
            <w:tcW w:w="807" w:type="pct"/>
            <w:gridSpan w:val="2"/>
            <w:vAlign w:val="center"/>
          </w:tcPr>
          <w:p w14:paraId="2F6A58F2">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占地面积（m</w:t>
            </w:r>
            <w:r>
              <w:rPr>
                <w:rFonts w:hint="default" w:ascii="Times New Roman" w:hAnsi="Times New Roman" w:cs="Times New Roman"/>
                <w:color w:val="auto"/>
                <w:sz w:val="24"/>
                <w:highlight w:val="none"/>
                <w:vertAlign w:val="superscript"/>
              </w:rPr>
              <w:t>2</w:t>
            </w:r>
            <w:r>
              <w:rPr>
                <w:rFonts w:hint="default" w:ascii="Times New Roman" w:hAnsi="Times New Roman" w:cs="Times New Roman"/>
                <w:color w:val="auto"/>
                <w:sz w:val="24"/>
                <w:highlight w:val="none"/>
              </w:rPr>
              <w:t>）</w:t>
            </w:r>
          </w:p>
        </w:tc>
        <w:tc>
          <w:tcPr>
            <w:tcW w:w="886" w:type="pct"/>
            <w:vAlign w:val="center"/>
          </w:tcPr>
          <w:p w14:paraId="0F1B05CC">
            <w:pPr>
              <w:adjustRightInd w:val="0"/>
              <w:snapToGrid w:val="0"/>
              <w:jc w:val="center"/>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186.94</w:t>
            </w:r>
          </w:p>
        </w:tc>
      </w:tr>
      <w:tr w14:paraId="1C383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361" w:type="pct"/>
            <w:vMerge w:val="restart"/>
            <w:vAlign w:val="center"/>
          </w:tcPr>
          <w:p w14:paraId="75A13666">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应用类型</w:t>
            </w:r>
          </w:p>
        </w:tc>
        <w:tc>
          <w:tcPr>
            <w:tcW w:w="653" w:type="pct"/>
            <w:vMerge w:val="restart"/>
            <w:vAlign w:val="center"/>
          </w:tcPr>
          <w:p w14:paraId="0CB85213">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放射源</w:t>
            </w:r>
          </w:p>
        </w:tc>
        <w:tc>
          <w:tcPr>
            <w:tcW w:w="629" w:type="pct"/>
            <w:vAlign w:val="center"/>
          </w:tcPr>
          <w:p w14:paraId="0112B2D9">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□销售</w:t>
            </w:r>
          </w:p>
        </w:tc>
        <w:tc>
          <w:tcPr>
            <w:tcW w:w="3356" w:type="pct"/>
            <w:gridSpan w:val="5"/>
            <w:vAlign w:val="center"/>
          </w:tcPr>
          <w:p w14:paraId="7ED8FCE8">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1 \* ROMAN \* MERGEFORMAT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I</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类□</w:t>
            </w: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2 \* ROMAN \* MERGEFORMAT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II</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类□</w:t>
            </w: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3 \* ROMAN \* MERGEFORMAT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III</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类□</w:t>
            </w: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4 \* ROMAN \* MERGEFORMAT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IV</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类□</w:t>
            </w: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5 \* ROMAN \* MERGEFORMAT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V</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类</w:t>
            </w:r>
          </w:p>
        </w:tc>
      </w:tr>
      <w:tr w14:paraId="1037D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61" w:type="pct"/>
            <w:vMerge w:val="continue"/>
            <w:vAlign w:val="center"/>
          </w:tcPr>
          <w:p w14:paraId="2554C69D">
            <w:pPr>
              <w:adjustRightInd w:val="0"/>
              <w:snapToGrid w:val="0"/>
              <w:jc w:val="center"/>
              <w:rPr>
                <w:rFonts w:hint="default" w:ascii="Times New Roman" w:hAnsi="Times New Roman" w:cs="Times New Roman"/>
                <w:color w:val="auto"/>
                <w:sz w:val="24"/>
                <w:highlight w:val="none"/>
              </w:rPr>
            </w:pPr>
          </w:p>
        </w:tc>
        <w:tc>
          <w:tcPr>
            <w:tcW w:w="653" w:type="pct"/>
            <w:vMerge w:val="continue"/>
            <w:vAlign w:val="center"/>
          </w:tcPr>
          <w:p w14:paraId="46E4A1FC">
            <w:pPr>
              <w:adjustRightInd w:val="0"/>
              <w:snapToGrid w:val="0"/>
              <w:jc w:val="center"/>
              <w:rPr>
                <w:rFonts w:hint="default" w:ascii="Times New Roman" w:hAnsi="Times New Roman" w:cs="Times New Roman"/>
                <w:color w:val="auto"/>
                <w:sz w:val="24"/>
                <w:highlight w:val="none"/>
              </w:rPr>
            </w:pPr>
          </w:p>
        </w:tc>
        <w:tc>
          <w:tcPr>
            <w:tcW w:w="629" w:type="pct"/>
            <w:vAlign w:val="center"/>
          </w:tcPr>
          <w:p w14:paraId="6CA9B22B">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□使用</w:t>
            </w:r>
          </w:p>
        </w:tc>
        <w:tc>
          <w:tcPr>
            <w:tcW w:w="3356" w:type="pct"/>
            <w:gridSpan w:val="5"/>
            <w:vAlign w:val="center"/>
          </w:tcPr>
          <w:p w14:paraId="214DB20C">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1 \* ROMAN \* MERGEFORMAT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I</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类（医疗使用）□</w:t>
            </w: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2 \* ROMAN \* MERGEFORMAT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II</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类□</w:t>
            </w: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3 \* ROMAN \* MERGEFORMAT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III</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类□</w:t>
            </w: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4 \* ROMAN \* MERGEFORMAT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IV</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类□</w:t>
            </w: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5 \* ROMAN \* MERGEFORMAT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V</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类</w:t>
            </w:r>
          </w:p>
        </w:tc>
      </w:tr>
      <w:tr w14:paraId="45ABE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361" w:type="pct"/>
            <w:vMerge w:val="continue"/>
            <w:vAlign w:val="center"/>
          </w:tcPr>
          <w:p w14:paraId="4B115718">
            <w:pPr>
              <w:adjustRightInd w:val="0"/>
              <w:snapToGrid w:val="0"/>
              <w:jc w:val="center"/>
              <w:rPr>
                <w:rFonts w:hint="default" w:ascii="Times New Roman" w:hAnsi="Times New Roman" w:cs="Times New Roman"/>
                <w:color w:val="auto"/>
                <w:sz w:val="24"/>
                <w:highlight w:val="none"/>
              </w:rPr>
            </w:pPr>
          </w:p>
        </w:tc>
        <w:tc>
          <w:tcPr>
            <w:tcW w:w="653" w:type="pct"/>
            <w:vMerge w:val="restart"/>
            <w:vAlign w:val="center"/>
          </w:tcPr>
          <w:p w14:paraId="3CECC494">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非密封放射性物质</w:t>
            </w:r>
          </w:p>
        </w:tc>
        <w:tc>
          <w:tcPr>
            <w:tcW w:w="629" w:type="pct"/>
            <w:vAlign w:val="center"/>
          </w:tcPr>
          <w:p w14:paraId="362EBC6E">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□生产</w:t>
            </w:r>
          </w:p>
        </w:tc>
        <w:tc>
          <w:tcPr>
            <w:tcW w:w="3356" w:type="pct"/>
            <w:gridSpan w:val="5"/>
            <w:vAlign w:val="center"/>
          </w:tcPr>
          <w:p w14:paraId="0BEFEB82">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□制备PET用放射性药物</w:t>
            </w:r>
          </w:p>
        </w:tc>
      </w:tr>
      <w:tr w14:paraId="49CCB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361" w:type="pct"/>
            <w:vMerge w:val="continue"/>
            <w:vAlign w:val="center"/>
          </w:tcPr>
          <w:p w14:paraId="5CA3D51A">
            <w:pPr>
              <w:adjustRightInd w:val="0"/>
              <w:snapToGrid w:val="0"/>
              <w:jc w:val="center"/>
              <w:rPr>
                <w:rFonts w:hint="default" w:ascii="Times New Roman" w:hAnsi="Times New Roman" w:cs="Times New Roman"/>
                <w:color w:val="auto"/>
                <w:sz w:val="24"/>
                <w:highlight w:val="none"/>
              </w:rPr>
            </w:pPr>
          </w:p>
        </w:tc>
        <w:tc>
          <w:tcPr>
            <w:tcW w:w="653" w:type="pct"/>
            <w:vMerge w:val="continue"/>
            <w:vAlign w:val="center"/>
          </w:tcPr>
          <w:p w14:paraId="38A78F88">
            <w:pPr>
              <w:adjustRightInd w:val="0"/>
              <w:snapToGrid w:val="0"/>
              <w:jc w:val="center"/>
              <w:rPr>
                <w:rFonts w:hint="default" w:ascii="Times New Roman" w:hAnsi="Times New Roman" w:cs="Times New Roman"/>
                <w:color w:val="auto"/>
                <w:sz w:val="24"/>
                <w:highlight w:val="none"/>
              </w:rPr>
            </w:pPr>
          </w:p>
        </w:tc>
        <w:tc>
          <w:tcPr>
            <w:tcW w:w="629" w:type="pct"/>
            <w:vAlign w:val="center"/>
          </w:tcPr>
          <w:p w14:paraId="2B9554F0">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□销售</w:t>
            </w:r>
          </w:p>
        </w:tc>
        <w:tc>
          <w:tcPr>
            <w:tcW w:w="3356" w:type="pct"/>
            <w:gridSpan w:val="5"/>
            <w:vAlign w:val="center"/>
          </w:tcPr>
          <w:p w14:paraId="3A86186C">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p>
        </w:tc>
      </w:tr>
      <w:tr w14:paraId="37E95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361" w:type="pct"/>
            <w:vMerge w:val="continue"/>
            <w:vAlign w:val="center"/>
          </w:tcPr>
          <w:p w14:paraId="6A4DF15C">
            <w:pPr>
              <w:adjustRightInd w:val="0"/>
              <w:snapToGrid w:val="0"/>
              <w:jc w:val="center"/>
              <w:rPr>
                <w:rFonts w:hint="default" w:ascii="Times New Roman" w:hAnsi="Times New Roman" w:cs="Times New Roman"/>
                <w:color w:val="auto"/>
                <w:sz w:val="24"/>
                <w:highlight w:val="none"/>
              </w:rPr>
            </w:pPr>
          </w:p>
        </w:tc>
        <w:tc>
          <w:tcPr>
            <w:tcW w:w="653" w:type="pct"/>
            <w:vMerge w:val="continue"/>
            <w:vAlign w:val="center"/>
          </w:tcPr>
          <w:p w14:paraId="19703F43">
            <w:pPr>
              <w:adjustRightInd w:val="0"/>
              <w:snapToGrid w:val="0"/>
              <w:jc w:val="center"/>
              <w:rPr>
                <w:rFonts w:hint="default" w:ascii="Times New Roman" w:hAnsi="Times New Roman" w:cs="Times New Roman"/>
                <w:color w:val="auto"/>
                <w:sz w:val="24"/>
                <w:highlight w:val="none"/>
              </w:rPr>
            </w:pPr>
          </w:p>
        </w:tc>
        <w:tc>
          <w:tcPr>
            <w:tcW w:w="629" w:type="pct"/>
            <w:vAlign w:val="center"/>
          </w:tcPr>
          <w:p w14:paraId="50830729">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□使用</w:t>
            </w:r>
          </w:p>
        </w:tc>
        <w:tc>
          <w:tcPr>
            <w:tcW w:w="3356" w:type="pct"/>
            <w:gridSpan w:val="5"/>
            <w:vAlign w:val="center"/>
          </w:tcPr>
          <w:p w14:paraId="62920345">
            <w:pPr>
              <w:adjustRightInd w:val="0"/>
              <w:snapToGrid w:val="0"/>
              <w:ind w:firstLine="2280" w:firstLineChars="95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□乙  □丙</w:t>
            </w:r>
          </w:p>
        </w:tc>
      </w:tr>
      <w:tr w14:paraId="552EF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361" w:type="pct"/>
            <w:vMerge w:val="continue"/>
            <w:vAlign w:val="center"/>
          </w:tcPr>
          <w:p w14:paraId="74E20BBD">
            <w:pPr>
              <w:adjustRightInd w:val="0"/>
              <w:snapToGrid w:val="0"/>
              <w:jc w:val="center"/>
              <w:rPr>
                <w:rFonts w:hint="default" w:ascii="Times New Roman" w:hAnsi="Times New Roman" w:cs="Times New Roman"/>
                <w:color w:val="auto"/>
                <w:sz w:val="24"/>
                <w:highlight w:val="none"/>
              </w:rPr>
            </w:pPr>
          </w:p>
        </w:tc>
        <w:tc>
          <w:tcPr>
            <w:tcW w:w="653" w:type="pct"/>
            <w:vMerge w:val="restart"/>
            <w:vAlign w:val="center"/>
          </w:tcPr>
          <w:p w14:paraId="76BCE36D">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射线装置</w:t>
            </w:r>
          </w:p>
        </w:tc>
        <w:tc>
          <w:tcPr>
            <w:tcW w:w="629" w:type="pct"/>
            <w:vAlign w:val="center"/>
          </w:tcPr>
          <w:p w14:paraId="48A08C8D">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□生产</w:t>
            </w:r>
          </w:p>
        </w:tc>
        <w:tc>
          <w:tcPr>
            <w:tcW w:w="3356" w:type="pct"/>
            <w:gridSpan w:val="5"/>
            <w:vAlign w:val="center"/>
          </w:tcPr>
          <w:p w14:paraId="6CE1B6DE">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2 \* ROMAN \* MERGEFORMAT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II</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类□</w:t>
            </w: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3 \* ROMAN \* MERGEFORMAT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III</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类</w:t>
            </w:r>
          </w:p>
        </w:tc>
      </w:tr>
      <w:tr w14:paraId="42D9A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361" w:type="pct"/>
            <w:vMerge w:val="continue"/>
            <w:vAlign w:val="center"/>
          </w:tcPr>
          <w:p w14:paraId="4FD2B14E">
            <w:pPr>
              <w:adjustRightInd w:val="0"/>
              <w:snapToGrid w:val="0"/>
              <w:jc w:val="center"/>
              <w:rPr>
                <w:rFonts w:hint="default" w:ascii="Times New Roman" w:hAnsi="Times New Roman" w:cs="Times New Roman"/>
                <w:color w:val="auto"/>
                <w:sz w:val="24"/>
                <w:highlight w:val="none"/>
              </w:rPr>
            </w:pPr>
          </w:p>
        </w:tc>
        <w:tc>
          <w:tcPr>
            <w:tcW w:w="653" w:type="pct"/>
            <w:vMerge w:val="continue"/>
            <w:vAlign w:val="center"/>
          </w:tcPr>
          <w:p w14:paraId="411C6BA7">
            <w:pPr>
              <w:adjustRightInd w:val="0"/>
              <w:snapToGrid w:val="0"/>
              <w:jc w:val="center"/>
              <w:rPr>
                <w:rFonts w:hint="default" w:ascii="Times New Roman" w:hAnsi="Times New Roman" w:cs="Times New Roman"/>
                <w:color w:val="auto"/>
                <w:sz w:val="24"/>
                <w:highlight w:val="none"/>
              </w:rPr>
            </w:pPr>
          </w:p>
        </w:tc>
        <w:tc>
          <w:tcPr>
            <w:tcW w:w="629" w:type="pct"/>
            <w:vAlign w:val="center"/>
          </w:tcPr>
          <w:p w14:paraId="17929276">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□销售</w:t>
            </w:r>
          </w:p>
        </w:tc>
        <w:tc>
          <w:tcPr>
            <w:tcW w:w="3356" w:type="pct"/>
            <w:gridSpan w:val="5"/>
            <w:vAlign w:val="center"/>
          </w:tcPr>
          <w:p w14:paraId="468F459B">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2 \* ROMAN \* MERGEFORMAT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II</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类□</w:t>
            </w: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3 \* ROMAN \* MERGEFORMAT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III</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类</w:t>
            </w:r>
          </w:p>
        </w:tc>
      </w:tr>
      <w:tr w14:paraId="51691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361" w:type="pct"/>
            <w:vMerge w:val="continue"/>
            <w:vAlign w:val="center"/>
          </w:tcPr>
          <w:p w14:paraId="4FC8EE70">
            <w:pPr>
              <w:adjustRightInd w:val="0"/>
              <w:snapToGrid w:val="0"/>
              <w:jc w:val="center"/>
              <w:rPr>
                <w:rFonts w:hint="default" w:ascii="Times New Roman" w:hAnsi="Times New Roman" w:cs="Times New Roman"/>
                <w:color w:val="auto"/>
                <w:sz w:val="24"/>
                <w:highlight w:val="none"/>
              </w:rPr>
            </w:pPr>
          </w:p>
        </w:tc>
        <w:tc>
          <w:tcPr>
            <w:tcW w:w="653" w:type="pct"/>
            <w:vMerge w:val="continue"/>
            <w:vAlign w:val="center"/>
          </w:tcPr>
          <w:p w14:paraId="70B66FCB">
            <w:pPr>
              <w:adjustRightInd w:val="0"/>
              <w:snapToGrid w:val="0"/>
              <w:jc w:val="center"/>
              <w:rPr>
                <w:rFonts w:hint="default" w:ascii="Times New Roman" w:hAnsi="Times New Roman" w:cs="Times New Roman"/>
                <w:color w:val="auto"/>
                <w:sz w:val="24"/>
                <w:highlight w:val="none"/>
              </w:rPr>
            </w:pPr>
          </w:p>
        </w:tc>
        <w:tc>
          <w:tcPr>
            <w:tcW w:w="629" w:type="pct"/>
            <w:vAlign w:val="center"/>
          </w:tcPr>
          <w:p w14:paraId="0D429950">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☑使用</w:t>
            </w:r>
          </w:p>
        </w:tc>
        <w:tc>
          <w:tcPr>
            <w:tcW w:w="3356" w:type="pct"/>
            <w:gridSpan w:val="5"/>
            <w:vAlign w:val="center"/>
          </w:tcPr>
          <w:p w14:paraId="1193B332">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2 \* ROMAN \* MERGEFORMAT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II</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类□</w:t>
            </w: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3 \* ROMAN \* MERGEFORMAT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III</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类</w:t>
            </w:r>
          </w:p>
        </w:tc>
      </w:tr>
      <w:tr w14:paraId="07B54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361" w:type="pct"/>
            <w:vMerge w:val="continue"/>
            <w:vAlign w:val="center"/>
          </w:tcPr>
          <w:p w14:paraId="5234A6A5">
            <w:pPr>
              <w:adjustRightInd w:val="0"/>
              <w:snapToGrid w:val="0"/>
              <w:jc w:val="center"/>
              <w:rPr>
                <w:rFonts w:hint="default" w:ascii="Times New Roman" w:hAnsi="Times New Roman" w:cs="Times New Roman"/>
                <w:color w:val="auto"/>
                <w:sz w:val="24"/>
                <w:highlight w:val="none"/>
              </w:rPr>
            </w:pPr>
          </w:p>
        </w:tc>
        <w:tc>
          <w:tcPr>
            <w:tcW w:w="653" w:type="pct"/>
            <w:vAlign w:val="center"/>
          </w:tcPr>
          <w:p w14:paraId="3C01C364">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其他</w:t>
            </w:r>
          </w:p>
        </w:tc>
        <w:tc>
          <w:tcPr>
            <w:tcW w:w="3985" w:type="pct"/>
            <w:gridSpan w:val="6"/>
            <w:vAlign w:val="center"/>
          </w:tcPr>
          <w:p w14:paraId="1EE9B01D">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无</w:t>
            </w:r>
          </w:p>
        </w:tc>
      </w:tr>
      <w:tr w14:paraId="0E491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8"/>
            <w:vAlign w:val="center"/>
          </w:tcPr>
          <w:p w14:paraId="2912F038">
            <w:pPr>
              <w:adjustRightInd w:val="0"/>
              <w:snapToGrid w:val="0"/>
              <w:spacing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项目概述</w:t>
            </w:r>
          </w:p>
          <w:p w14:paraId="6A6A8776">
            <w:pPr>
              <w:adjustRightInd w:val="0"/>
              <w:snapToGrid w:val="0"/>
              <w:spacing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一、建设单位情况</w:t>
            </w:r>
          </w:p>
          <w:p w14:paraId="64DAE72E">
            <w:pPr>
              <w:adjustRightInd w:val="0"/>
              <w:snapToGrid w:val="0"/>
              <w:spacing w:line="360" w:lineRule="auto"/>
              <w:ind w:firstLine="500" w:firstLineChars="200"/>
              <w:rPr>
                <w:rFonts w:hint="default" w:ascii="Times New Roman" w:hAnsi="Times New Roman" w:eastAsia="宋体" w:cs="Times New Roman"/>
                <w:color w:val="auto"/>
                <w:spacing w:val="5"/>
                <w:sz w:val="24"/>
                <w:highlight w:val="none"/>
                <w:shd w:val="clear" w:color="auto" w:fill="FFFFFF"/>
                <w:lang w:val="en-US" w:eastAsia="zh-CN"/>
              </w:rPr>
            </w:pPr>
            <w:r>
              <w:rPr>
                <w:rFonts w:hint="default" w:ascii="Times New Roman" w:hAnsi="Times New Roman" w:cs="Times New Roman"/>
                <w:color w:val="auto"/>
                <w:spacing w:val="5"/>
                <w:sz w:val="24"/>
                <w:highlight w:val="none"/>
                <w:shd w:val="clear" w:color="auto" w:fill="FFFFFF"/>
                <w:lang w:val="en-US" w:eastAsia="zh-CN"/>
              </w:rPr>
              <w:t>平昌县第二人民医院始建于1953年，位于平昌县新平街东段。医院历史悠久，经过60余年发展，成为本地集医疗、急救、教学、预防、保健、公共卫生等多功能于一体国家二级综合医院。平昌县第二人民医院床位合计300余张，现有职工400余人，高级技术职称10人，中级技术职称70余人。医院有5个院区，平昌县江口中心卫生院泻巴分院、平昌县</w:t>
            </w:r>
            <w:r>
              <w:rPr>
                <w:rFonts w:hint="default" w:ascii="Times New Roman" w:hAnsi="Times New Roman" w:eastAsia="宋体" w:cs="Times New Roman"/>
                <w:color w:val="auto"/>
                <w:spacing w:val="5"/>
                <w:sz w:val="24"/>
                <w:highlight w:val="none"/>
                <w:shd w:val="clear" w:color="auto" w:fill="FFFFFF"/>
                <w:lang w:val="en-US" w:eastAsia="zh-CN"/>
              </w:rPr>
              <w:t>第二人民医院老院区、平昌县小桥街社区卫生服务中心、平昌县江口中心卫生院坦溪分院、平昌县金宝社区卫生服务中心。</w:t>
            </w:r>
          </w:p>
          <w:p w14:paraId="3025A3CD">
            <w:pPr>
              <w:adjustRightInd w:val="0"/>
              <w:snapToGrid w:val="0"/>
              <w:spacing w:line="360" w:lineRule="auto"/>
              <w:ind w:firstLine="500" w:firstLineChars="200"/>
              <w:rPr>
                <w:rFonts w:hint="default" w:ascii="Times New Roman" w:hAnsi="Times New Roman" w:eastAsia="宋体" w:cs="Times New Roman"/>
                <w:color w:val="auto"/>
                <w:spacing w:val="5"/>
                <w:sz w:val="24"/>
                <w:highlight w:val="none"/>
                <w:shd w:val="clear" w:color="auto" w:fill="FFFFFF"/>
                <w:lang w:val="en-US" w:eastAsia="zh-CN"/>
              </w:rPr>
            </w:pPr>
            <w:r>
              <w:rPr>
                <w:rFonts w:hint="default" w:ascii="Times New Roman" w:hAnsi="Times New Roman" w:eastAsia="宋体" w:cs="Times New Roman"/>
                <w:color w:val="auto"/>
                <w:spacing w:val="5"/>
                <w:sz w:val="24"/>
                <w:highlight w:val="none"/>
                <w:shd w:val="clear" w:color="auto" w:fill="FFFFFF"/>
                <w:lang w:val="en-US" w:eastAsia="zh-CN"/>
              </w:rPr>
              <w:t>平昌县第二人民医院统一社会信用代码为：12513723MB1C8995XD，事业单位法人证书见附件2。现已开展核技术利用项目，且已取得辐射安全许可证，编号为川环辐证[17051]。有限期至2028年6月24日。种类和范围为：使用</w:t>
            </w:r>
            <w:r>
              <w:rPr>
                <w:rFonts w:hint="default" w:ascii="Times New Roman" w:hAnsi="Times New Roman" w:eastAsia="微软雅黑" w:cs="Times New Roman"/>
                <w:color w:val="auto"/>
                <w:spacing w:val="5"/>
                <w:sz w:val="24"/>
                <w:highlight w:val="none"/>
                <w:shd w:val="clear" w:color="auto" w:fill="FFFFFF"/>
                <w:lang w:val="en-US" w:eastAsia="zh-CN"/>
              </w:rPr>
              <w:t>Ⅲ</w:t>
            </w:r>
            <w:r>
              <w:rPr>
                <w:rFonts w:hint="default" w:ascii="Times New Roman" w:hAnsi="Times New Roman" w:eastAsia="宋体" w:cs="Times New Roman"/>
                <w:color w:val="auto"/>
                <w:spacing w:val="5"/>
                <w:sz w:val="24"/>
                <w:highlight w:val="none"/>
                <w:shd w:val="clear" w:color="auto" w:fill="FFFFFF"/>
                <w:lang w:val="en-US" w:eastAsia="zh-CN"/>
              </w:rPr>
              <w:t>类射线装置。</w:t>
            </w:r>
          </w:p>
          <w:p w14:paraId="257CD8C7">
            <w:pPr>
              <w:adjustRightInd w:val="0"/>
              <w:snapToGrid w:val="0"/>
              <w:spacing w:line="360" w:lineRule="auto"/>
              <w:ind w:firstLine="500" w:firstLineChars="200"/>
              <w:rPr>
                <w:rFonts w:hint="default" w:ascii="Times New Roman" w:hAnsi="Times New Roman" w:eastAsia="宋体" w:cs="Times New Roman"/>
                <w:color w:val="auto"/>
                <w:spacing w:val="5"/>
                <w:sz w:val="24"/>
                <w:highlight w:val="none"/>
                <w:shd w:val="clear" w:color="auto" w:fill="FFFFFF"/>
                <w:lang w:val="en-US" w:eastAsia="zh-CN"/>
              </w:rPr>
            </w:pPr>
            <w:r>
              <w:rPr>
                <w:rFonts w:hint="default" w:ascii="Times New Roman" w:hAnsi="Times New Roman" w:eastAsia="宋体" w:cs="Times New Roman"/>
                <w:color w:val="auto"/>
                <w:spacing w:val="5"/>
                <w:sz w:val="24"/>
                <w:highlight w:val="none"/>
                <w:shd w:val="clear" w:color="auto" w:fill="FFFFFF"/>
                <w:lang w:val="en-US" w:eastAsia="zh-CN"/>
              </w:rPr>
              <w:t>5个院区涉及到的射线装置情况见下表：</w:t>
            </w:r>
          </w:p>
          <w:p w14:paraId="5CD79E92">
            <w:pPr>
              <w:pStyle w:val="8"/>
              <w:numPr>
                <w:ilvl w:val="0"/>
                <w:numId w:val="3"/>
              </w:numPr>
              <w:ind w:left="425" w:leftChars="0" w:hanging="425" w:firstLineChars="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平昌县第二人民医院现有的射线装置一览表</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5"/>
              <w:gridCol w:w="1377"/>
              <w:gridCol w:w="631"/>
              <w:gridCol w:w="2334"/>
              <w:gridCol w:w="1383"/>
              <w:gridCol w:w="1383"/>
            </w:tblGrid>
            <w:tr w14:paraId="0F425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vAlign w:val="center"/>
                </w:tcPr>
                <w:p w14:paraId="4DCD16AC">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辐射活动场所名称</w:t>
                  </w:r>
                </w:p>
              </w:tc>
              <w:tc>
                <w:tcPr>
                  <w:tcW w:w="1377" w:type="dxa"/>
                  <w:vAlign w:val="center"/>
                </w:tcPr>
                <w:p w14:paraId="582FBA33">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装置分类名称</w:t>
                  </w:r>
                </w:p>
              </w:tc>
              <w:tc>
                <w:tcPr>
                  <w:tcW w:w="631" w:type="dxa"/>
                  <w:vAlign w:val="center"/>
                </w:tcPr>
                <w:p w14:paraId="01F69DE1">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类别</w:t>
                  </w:r>
                </w:p>
              </w:tc>
              <w:tc>
                <w:tcPr>
                  <w:tcW w:w="2334" w:type="dxa"/>
                  <w:vAlign w:val="center"/>
                </w:tcPr>
                <w:p w14:paraId="014B2445">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场所地址</w:t>
                  </w:r>
                </w:p>
              </w:tc>
              <w:tc>
                <w:tcPr>
                  <w:tcW w:w="1383" w:type="dxa"/>
                  <w:vAlign w:val="center"/>
                </w:tcPr>
                <w:p w14:paraId="7B066A80">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eastAsia" w:ascii="Times New Roman" w:hAnsi="Times New Roman" w:cs="Times New Roman"/>
                      <w:color w:val="auto"/>
                      <w:spacing w:val="5"/>
                      <w:sz w:val="21"/>
                      <w:szCs w:val="21"/>
                      <w:highlight w:val="none"/>
                      <w:shd w:val="clear" w:color="auto" w:fill="FFFFFF"/>
                      <w:vertAlign w:val="baseline"/>
                      <w:lang w:val="en-US" w:eastAsia="zh-CN"/>
                    </w:rPr>
                    <w:t>厂家</w:t>
                  </w:r>
                </w:p>
              </w:tc>
              <w:tc>
                <w:tcPr>
                  <w:tcW w:w="1383" w:type="dxa"/>
                  <w:vAlign w:val="center"/>
                </w:tcPr>
                <w:p w14:paraId="6DDD2380">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所在院区</w:t>
                  </w:r>
                </w:p>
              </w:tc>
            </w:tr>
            <w:tr w14:paraId="3DCA2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vAlign w:val="center"/>
                </w:tcPr>
                <w:p w14:paraId="7D24CC46">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DR5室</w:t>
                  </w:r>
                </w:p>
              </w:tc>
              <w:tc>
                <w:tcPr>
                  <w:tcW w:w="1377" w:type="dxa"/>
                  <w:vAlign w:val="center"/>
                </w:tcPr>
                <w:p w14:paraId="72BF8041">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医用诊断X射线装置</w:t>
                  </w:r>
                </w:p>
              </w:tc>
              <w:tc>
                <w:tcPr>
                  <w:tcW w:w="631" w:type="dxa"/>
                  <w:vAlign w:val="center"/>
                </w:tcPr>
                <w:p w14:paraId="362B94C0">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Ⅲ类</w:t>
                  </w:r>
                </w:p>
              </w:tc>
              <w:tc>
                <w:tcPr>
                  <w:tcW w:w="2334" w:type="dxa"/>
                  <w:vAlign w:val="center"/>
                </w:tcPr>
                <w:p w14:paraId="69E2F513">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四川省巴中市平昌县江口街道星光大道16号</w:t>
                  </w:r>
                </w:p>
              </w:tc>
              <w:tc>
                <w:tcPr>
                  <w:tcW w:w="1383" w:type="dxa"/>
                  <w:vAlign w:val="center"/>
                </w:tcPr>
                <w:p w14:paraId="4BE377EA">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eastAsia" w:ascii="Times New Roman" w:hAnsi="Times New Roman" w:eastAsia="宋体" w:cs="Times New Roman"/>
                      <w:color w:val="auto"/>
                      <w:spacing w:val="5"/>
                      <w:sz w:val="21"/>
                      <w:szCs w:val="21"/>
                      <w:highlight w:val="none"/>
                      <w:shd w:val="clear" w:color="auto" w:fill="FFFFFF"/>
                      <w:vertAlign w:val="baseline"/>
                      <w:lang w:val="en-US" w:eastAsia="zh-CN"/>
                    </w:rPr>
                    <w:t>飞利浦医疗(苏州)有限公司</w:t>
                  </w:r>
                </w:p>
              </w:tc>
              <w:tc>
                <w:tcPr>
                  <w:tcW w:w="1383" w:type="dxa"/>
                  <w:vAlign w:val="center"/>
                </w:tcPr>
                <w:p w14:paraId="0EF51177">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平昌县江口中心卫生院泻巴分院</w:t>
                  </w:r>
                </w:p>
              </w:tc>
            </w:tr>
            <w:tr w14:paraId="4264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vAlign w:val="center"/>
                </w:tcPr>
                <w:p w14:paraId="1DFA9E3F">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第二手术间</w:t>
                  </w:r>
                </w:p>
              </w:tc>
              <w:tc>
                <w:tcPr>
                  <w:tcW w:w="1377" w:type="dxa"/>
                  <w:vAlign w:val="center"/>
                </w:tcPr>
                <w:p w14:paraId="3AA269DA">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医用诊断X射线装置</w:t>
                  </w:r>
                </w:p>
              </w:tc>
              <w:tc>
                <w:tcPr>
                  <w:tcW w:w="631" w:type="dxa"/>
                  <w:vAlign w:val="center"/>
                </w:tcPr>
                <w:p w14:paraId="181F872F">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Ⅲ类</w:t>
                  </w:r>
                </w:p>
              </w:tc>
              <w:tc>
                <w:tcPr>
                  <w:tcW w:w="2334" w:type="dxa"/>
                  <w:vAlign w:val="center"/>
                </w:tcPr>
                <w:p w14:paraId="13848E20">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四川省巴中市平昌县同州街道办事处新平街东段张家沟巷5号7楼</w:t>
                  </w:r>
                </w:p>
              </w:tc>
              <w:tc>
                <w:tcPr>
                  <w:tcW w:w="1383" w:type="dxa"/>
                  <w:vAlign w:val="center"/>
                </w:tcPr>
                <w:p w14:paraId="607F334F">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eastAsia" w:ascii="Times New Roman" w:hAnsi="Times New Roman" w:eastAsia="宋体" w:cs="Times New Roman"/>
                      <w:color w:val="auto"/>
                      <w:spacing w:val="5"/>
                      <w:sz w:val="21"/>
                      <w:szCs w:val="21"/>
                      <w:highlight w:val="none"/>
                      <w:shd w:val="clear" w:color="auto" w:fill="FFFFFF"/>
                      <w:vertAlign w:val="baseline"/>
                      <w:lang w:val="en-US" w:eastAsia="zh-CN"/>
                    </w:rPr>
                    <w:t>飞利浦医疗有限公司</w:t>
                  </w: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 xml:space="preserve"> </w:t>
                  </w:r>
                </w:p>
              </w:tc>
              <w:tc>
                <w:tcPr>
                  <w:tcW w:w="1383" w:type="dxa"/>
                  <w:vAlign w:val="center"/>
                </w:tcPr>
                <w:p w14:paraId="386CBB18">
                  <w:pPr>
                    <w:pStyle w:val="8"/>
                    <w:jc w:val="both"/>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平昌县第二人民医院老院区</w:t>
                  </w:r>
                </w:p>
              </w:tc>
            </w:tr>
            <w:tr w14:paraId="1D5A2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vAlign w:val="center"/>
                </w:tcPr>
                <w:p w14:paraId="52BA5727">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DR3室</w:t>
                  </w:r>
                </w:p>
              </w:tc>
              <w:tc>
                <w:tcPr>
                  <w:tcW w:w="1377" w:type="dxa"/>
                  <w:vAlign w:val="center"/>
                </w:tcPr>
                <w:p w14:paraId="4386E4BB">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医用诊断X射线装置</w:t>
                  </w:r>
                </w:p>
              </w:tc>
              <w:tc>
                <w:tcPr>
                  <w:tcW w:w="631" w:type="dxa"/>
                  <w:vAlign w:val="center"/>
                </w:tcPr>
                <w:p w14:paraId="752EDA22">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Ⅲ类</w:t>
                  </w:r>
                </w:p>
              </w:tc>
              <w:tc>
                <w:tcPr>
                  <w:tcW w:w="2334" w:type="dxa"/>
                  <w:vAlign w:val="center"/>
                </w:tcPr>
                <w:p w14:paraId="1BF83047">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四川省巴中市平昌县江口镇东风路77号</w:t>
                  </w:r>
                </w:p>
              </w:tc>
              <w:tc>
                <w:tcPr>
                  <w:tcW w:w="1383" w:type="dxa"/>
                  <w:vAlign w:val="center"/>
                </w:tcPr>
                <w:p w14:paraId="79605E74">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eastAsia" w:ascii="Times New Roman" w:hAnsi="Times New Roman" w:eastAsia="宋体" w:cs="Times New Roman"/>
                      <w:color w:val="auto"/>
                      <w:spacing w:val="5"/>
                      <w:sz w:val="21"/>
                      <w:szCs w:val="21"/>
                      <w:highlight w:val="none"/>
                      <w:shd w:val="clear" w:color="auto" w:fill="FFFFFF"/>
                      <w:vertAlign w:val="baseline"/>
                      <w:lang w:val="en-US" w:eastAsia="zh-CN"/>
                    </w:rPr>
                    <w:t>北京万东医疗科技股份有限公司</w:t>
                  </w:r>
                </w:p>
              </w:tc>
              <w:tc>
                <w:tcPr>
                  <w:tcW w:w="1383" w:type="dxa"/>
                  <w:vAlign w:val="center"/>
                </w:tcPr>
                <w:p w14:paraId="71D11AC1">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平昌县小桥街社区卫生服务中心</w:t>
                  </w:r>
                </w:p>
              </w:tc>
            </w:tr>
            <w:tr w14:paraId="1EE91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vAlign w:val="center"/>
                </w:tcPr>
                <w:p w14:paraId="408A2CF5">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DR4室</w:t>
                  </w:r>
                </w:p>
              </w:tc>
              <w:tc>
                <w:tcPr>
                  <w:tcW w:w="1377" w:type="dxa"/>
                  <w:vAlign w:val="center"/>
                </w:tcPr>
                <w:p w14:paraId="3034408D">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医用诊断X射线装置</w:t>
                  </w:r>
                </w:p>
              </w:tc>
              <w:tc>
                <w:tcPr>
                  <w:tcW w:w="631" w:type="dxa"/>
                  <w:vAlign w:val="center"/>
                </w:tcPr>
                <w:p w14:paraId="1BB0A96C">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Ⅲ类</w:t>
                  </w:r>
                </w:p>
              </w:tc>
              <w:tc>
                <w:tcPr>
                  <w:tcW w:w="2334" w:type="dxa"/>
                  <w:vAlign w:val="center"/>
                </w:tcPr>
                <w:p w14:paraId="005357A2">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四川省巴中市平昌县坦溪镇新溪街10号</w:t>
                  </w:r>
                </w:p>
              </w:tc>
              <w:tc>
                <w:tcPr>
                  <w:tcW w:w="1383" w:type="dxa"/>
                  <w:vAlign w:val="center"/>
                </w:tcPr>
                <w:p w14:paraId="3978D1E5">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eastAsia" w:ascii="Times New Roman" w:hAnsi="Times New Roman" w:eastAsia="宋体" w:cs="Times New Roman"/>
                      <w:color w:val="auto"/>
                      <w:spacing w:val="5"/>
                      <w:sz w:val="21"/>
                      <w:szCs w:val="21"/>
                      <w:highlight w:val="none"/>
                      <w:shd w:val="clear" w:color="auto" w:fill="FFFFFF"/>
                      <w:vertAlign w:val="baseline"/>
                      <w:lang w:val="en-US" w:eastAsia="zh-CN"/>
                    </w:rPr>
                    <w:t>华润万东医疗装备股份有限公司</w:t>
                  </w:r>
                </w:p>
              </w:tc>
              <w:tc>
                <w:tcPr>
                  <w:tcW w:w="1383" w:type="dxa"/>
                  <w:vAlign w:val="center"/>
                </w:tcPr>
                <w:p w14:paraId="02CE7A2C">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平昌县江口中心卫生院坦溪分院</w:t>
                  </w:r>
                </w:p>
              </w:tc>
            </w:tr>
            <w:tr w14:paraId="5492C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vAlign w:val="center"/>
                </w:tcPr>
                <w:p w14:paraId="417531AA">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DR2室</w:t>
                  </w:r>
                </w:p>
              </w:tc>
              <w:tc>
                <w:tcPr>
                  <w:tcW w:w="1377" w:type="dxa"/>
                  <w:vAlign w:val="center"/>
                </w:tcPr>
                <w:p w14:paraId="2F9D350E">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医用诊断X射线装置</w:t>
                  </w:r>
                </w:p>
              </w:tc>
              <w:tc>
                <w:tcPr>
                  <w:tcW w:w="631" w:type="dxa"/>
                  <w:vAlign w:val="center"/>
                </w:tcPr>
                <w:p w14:paraId="6C4E6A61">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Ⅲ类</w:t>
                  </w:r>
                </w:p>
              </w:tc>
              <w:tc>
                <w:tcPr>
                  <w:tcW w:w="2334" w:type="dxa"/>
                  <w:vAlign w:val="center"/>
                </w:tcPr>
                <w:p w14:paraId="6DD609B3">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四川省巴中市平昌县金宝新区狮城佳苑</w:t>
                  </w:r>
                </w:p>
              </w:tc>
              <w:tc>
                <w:tcPr>
                  <w:tcW w:w="1383" w:type="dxa"/>
                  <w:vAlign w:val="center"/>
                </w:tcPr>
                <w:p w14:paraId="6AA7D343">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eastAsia" w:ascii="Times New Roman" w:hAnsi="Times New Roman" w:eastAsia="宋体" w:cs="Times New Roman"/>
                      <w:color w:val="auto"/>
                      <w:spacing w:val="5"/>
                      <w:sz w:val="21"/>
                      <w:szCs w:val="21"/>
                      <w:highlight w:val="none"/>
                      <w:shd w:val="clear" w:color="auto" w:fill="FFFFFF"/>
                      <w:vertAlign w:val="baseline"/>
                      <w:lang w:val="en-US" w:eastAsia="zh-CN"/>
                    </w:rPr>
                    <w:t>南京卡普科技有限公司</w:t>
                  </w:r>
                </w:p>
              </w:tc>
              <w:tc>
                <w:tcPr>
                  <w:tcW w:w="1383" w:type="dxa"/>
                  <w:vAlign w:val="center"/>
                </w:tcPr>
                <w:p w14:paraId="75F2756B">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平昌县金宝社区卫生服务中心</w:t>
                  </w:r>
                </w:p>
              </w:tc>
            </w:tr>
            <w:tr w14:paraId="7A752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vAlign w:val="center"/>
                </w:tcPr>
                <w:p w14:paraId="25923381">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CT室</w:t>
                  </w:r>
                </w:p>
              </w:tc>
              <w:tc>
                <w:tcPr>
                  <w:tcW w:w="1377" w:type="dxa"/>
                  <w:vAlign w:val="center"/>
                </w:tcPr>
                <w:p w14:paraId="45C05EB4">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医用X射线计算机断层扫描（CT）装置</w:t>
                  </w:r>
                </w:p>
              </w:tc>
              <w:tc>
                <w:tcPr>
                  <w:tcW w:w="631" w:type="dxa"/>
                  <w:vAlign w:val="center"/>
                </w:tcPr>
                <w:p w14:paraId="2B7103F2">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Ⅲ类</w:t>
                  </w:r>
                </w:p>
              </w:tc>
              <w:tc>
                <w:tcPr>
                  <w:tcW w:w="2334" w:type="dxa"/>
                  <w:vAlign w:val="center"/>
                </w:tcPr>
                <w:p w14:paraId="6FD292BB">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四川省巴中市平昌县同州街道办事处新平街东段张家沟巷5号</w:t>
                  </w:r>
                </w:p>
              </w:tc>
              <w:tc>
                <w:tcPr>
                  <w:tcW w:w="1383" w:type="dxa"/>
                  <w:vAlign w:val="center"/>
                </w:tcPr>
                <w:p w14:paraId="11DFB24C">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eastAsia" w:ascii="Times New Roman" w:hAnsi="Times New Roman" w:eastAsia="宋体" w:cs="Times New Roman"/>
                      <w:color w:val="auto"/>
                      <w:spacing w:val="5"/>
                      <w:sz w:val="21"/>
                      <w:szCs w:val="21"/>
                      <w:highlight w:val="none"/>
                      <w:shd w:val="clear" w:color="auto" w:fill="FFFFFF"/>
                      <w:vertAlign w:val="baseline"/>
                      <w:lang w:val="en-US" w:eastAsia="zh-CN"/>
                    </w:rPr>
                    <w:t>深圳蓝韵医学影像有限公司</w:t>
                  </w:r>
                </w:p>
              </w:tc>
              <w:tc>
                <w:tcPr>
                  <w:tcW w:w="1383" w:type="dxa"/>
                  <w:vAlign w:val="center"/>
                </w:tcPr>
                <w:p w14:paraId="6D5A3128">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平昌县第二人民医院老院区</w:t>
                  </w:r>
                </w:p>
              </w:tc>
            </w:tr>
            <w:tr w14:paraId="19D25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vAlign w:val="center"/>
                </w:tcPr>
                <w:p w14:paraId="241C9AF3">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DR1室</w:t>
                  </w:r>
                </w:p>
              </w:tc>
              <w:tc>
                <w:tcPr>
                  <w:tcW w:w="1377" w:type="dxa"/>
                  <w:vAlign w:val="center"/>
                </w:tcPr>
                <w:p w14:paraId="7085F9FE">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医用诊断X射线装置</w:t>
                  </w:r>
                </w:p>
              </w:tc>
              <w:tc>
                <w:tcPr>
                  <w:tcW w:w="631" w:type="dxa"/>
                  <w:vAlign w:val="center"/>
                </w:tcPr>
                <w:p w14:paraId="4F662C53">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Ⅲ类</w:t>
                  </w:r>
                </w:p>
              </w:tc>
              <w:tc>
                <w:tcPr>
                  <w:tcW w:w="2334" w:type="dxa"/>
                  <w:vAlign w:val="center"/>
                </w:tcPr>
                <w:p w14:paraId="0D58550A">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四川省巴中市平昌县同州街道办事处新平街东段张家沟巷5号</w:t>
                  </w:r>
                </w:p>
              </w:tc>
              <w:tc>
                <w:tcPr>
                  <w:tcW w:w="1383" w:type="dxa"/>
                  <w:vAlign w:val="center"/>
                </w:tcPr>
                <w:p w14:paraId="737470E6">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eastAsia" w:ascii="Times New Roman" w:hAnsi="Times New Roman" w:eastAsia="宋体" w:cs="Times New Roman"/>
                      <w:color w:val="auto"/>
                      <w:spacing w:val="5"/>
                      <w:sz w:val="21"/>
                      <w:szCs w:val="21"/>
                      <w:highlight w:val="none"/>
                      <w:shd w:val="clear" w:color="auto" w:fill="FFFFFF"/>
                      <w:vertAlign w:val="baseline"/>
                      <w:lang w:val="en-US" w:eastAsia="zh-CN"/>
                    </w:rPr>
                    <w:t>南京爱普医疗设备股份有限公司</w:t>
                  </w:r>
                </w:p>
              </w:tc>
              <w:tc>
                <w:tcPr>
                  <w:tcW w:w="1383" w:type="dxa"/>
                  <w:vAlign w:val="center"/>
                </w:tcPr>
                <w:p w14:paraId="38536C91">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平昌县第二人民医院老院区</w:t>
                  </w:r>
                </w:p>
              </w:tc>
            </w:tr>
          </w:tbl>
          <w:p w14:paraId="6B16E7DD">
            <w:pPr>
              <w:adjustRightInd w:val="0"/>
              <w:snapToGrid w:val="0"/>
              <w:spacing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二、项目由来和编制目的</w:t>
            </w:r>
          </w:p>
          <w:p w14:paraId="2DBCF3A3">
            <w:pPr>
              <w:adjustRightInd w:val="0"/>
              <w:snapToGrid w:val="0"/>
              <w:spacing w:line="360" w:lineRule="auto"/>
              <w:rPr>
                <w:rFonts w:hint="default" w:ascii="Times New Roman" w:hAnsi="Times New Roman" w:eastAsia="宋体" w:cs="Times New Roman"/>
                <w:color w:val="auto"/>
                <w:spacing w:val="5"/>
                <w:sz w:val="24"/>
                <w:highlight w:val="none"/>
                <w:shd w:val="clear" w:color="auto" w:fill="FFFFFF"/>
                <w:lang w:val="en-US" w:eastAsia="zh-CN"/>
              </w:rPr>
            </w:pPr>
            <w:r>
              <w:rPr>
                <w:rFonts w:hint="default" w:ascii="Times New Roman" w:hAnsi="Times New Roman" w:cs="Times New Roman"/>
                <w:b/>
                <w:bCs/>
                <w:color w:val="auto"/>
                <w:sz w:val="24"/>
                <w:highlight w:val="none"/>
              </w:rPr>
              <w:t>（一）任务由来</w:t>
            </w:r>
          </w:p>
          <w:p w14:paraId="76413F0C">
            <w:pPr>
              <w:adjustRightInd w:val="0"/>
              <w:snapToGrid w:val="0"/>
              <w:spacing w:line="360" w:lineRule="auto"/>
              <w:ind w:firstLine="50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pacing w:val="5"/>
                <w:sz w:val="24"/>
                <w:highlight w:val="none"/>
                <w:shd w:val="clear" w:color="auto" w:fill="FFFFFF"/>
                <w:lang w:val="en-US" w:eastAsia="zh-CN"/>
              </w:rPr>
              <w:t>2016年平昌县第二人民在平昌县金宝新区黄滩坝建设“平昌县第二人民医院”项目，该项目已编制《平昌县第二人民医院建设项目环境影响报告书》，并取得环评批复。该院区目前在装修，尚未投入使用。</w:t>
            </w:r>
            <w:r>
              <w:rPr>
                <w:rFonts w:hint="default" w:ascii="Times New Roman" w:hAnsi="Times New Roman" w:cs="Times New Roman"/>
                <w:color w:val="auto"/>
                <w:sz w:val="24"/>
                <w:highlight w:val="none"/>
                <w:lang w:val="en-US" w:eastAsia="zh-CN"/>
              </w:rPr>
              <w:t>为满足平昌县第二人民医院各科室的介入治疗需求，拟将</w:t>
            </w:r>
            <w:r>
              <w:rPr>
                <w:rFonts w:hint="default" w:ascii="Times New Roman" w:hAnsi="Times New Roman" w:eastAsia="宋体" w:cs="Times New Roman"/>
                <w:color w:val="auto"/>
                <w:spacing w:val="5"/>
                <w:sz w:val="24"/>
                <w:highlight w:val="none"/>
                <w:shd w:val="clear" w:color="auto" w:fill="FFFFFF"/>
                <w:lang w:val="en-US" w:eastAsia="zh-CN"/>
              </w:rPr>
              <w:t>2#医疗综合楼四楼东北角建设为</w:t>
            </w:r>
            <w:r>
              <w:rPr>
                <w:rFonts w:hint="default" w:ascii="Times New Roman" w:hAnsi="Times New Roman" w:cs="Times New Roman"/>
                <w:color w:val="auto"/>
                <w:sz w:val="24"/>
                <w:highlight w:val="none"/>
                <w:lang w:val="en-US" w:eastAsia="zh-CN"/>
              </w:rPr>
              <w:t>1间DSA机房及其辅房，并在DSA机房内安装1台数字减影血管造影机（DSA）。</w:t>
            </w:r>
            <w:r>
              <w:rPr>
                <w:rFonts w:hint="default" w:ascii="Times New Roman" w:hAnsi="Times New Roman" w:cs="Times New Roman"/>
                <w:color w:val="auto"/>
                <w:sz w:val="24"/>
                <w:highlight w:val="none"/>
              </w:rPr>
              <w:t>建设单位从事放射介入的辐射工作人员已有</w:t>
            </w:r>
            <w:r>
              <w:rPr>
                <w:rFonts w:hint="eastAsia" w:ascii="Times New Roman" w:hAnsi="Times New Roman" w:cs="Times New Roman"/>
                <w:color w:val="auto"/>
                <w:sz w:val="24"/>
                <w:highlight w:val="none"/>
                <w:lang w:val="en-US" w:eastAsia="zh-CN"/>
              </w:rPr>
              <w:t>26</w:t>
            </w:r>
            <w:r>
              <w:rPr>
                <w:rFonts w:hint="default" w:ascii="Times New Roman" w:hAnsi="Times New Roman" w:cs="Times New Roman"/>
                <w:color w:val="auto"/>
                <w:sz w:val="24"/>
                <w:highlight w:val="none"/>
              </w:rPr>
              <w:t>名辐射工作人员，本项目拟</w:t>
            </w:r>
            <w:r>
              <w:rPr>
                <w:rFonts w:hint="default" w:ascii="Times New Roman" w:hAnsi="Times New Roman" w:cs="Times New Roman"/>
                <w:color w:val="auto"/>
                <w:sz w:val="24"/>
                <w:highlight w:val="none"/>
                <w:lang w:val="en-US" w:eastAsia="zh-CN"/>
              </w:rPr>
              <w:t>新增辐射工作人员6人（4名医生，2名护师）。</w:t>
            </w:r>
            <w:r>
              <w:rPr>
                <w:rFonts w:hint="default" w:ascii="Times New Roman" w:hAnsi="Times New Roman" w:cs="Times New Roman"/>
                <w:color w:val="auto"/>
                <w:sz w:val="24"/>
                <w:highlight w:val="none"/>
              </w:rPr>
              <w:t>本项目建成后，该</w:t>
            </w:r>
            <w:r>
              <w:rPr>
                <w:rFonts w:hint="default"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rPr>
              <w:t>台DSA将用于开展</w:t>
            </w:r>
            <w:r>
              <w:rPr>
                <w:rFonts w:hint="default" w:ascii="Times New Roman" w:hAnsi="Times New Roman" w:cs="Times New Roman"/>
                <w:color w:val="auto"/>
                <w:sz w:val="24"/>
                <w:highlight w:val="none"/>
                <w:lang w:val="en-US" w:eastAsia="zh-CN"/>
              </w:rPr>
              <w:t>神经内科和神经外科</w:t>
            </w:r>
            <w:r>
              <w:rPr>
                <w:rFonts w:hint="default" w:ascii="Times New Roman" w:hAnsi="Times New Roman" w:cs="Times New Roman"/>
                <w:color w:val="auto"/>
                <w:sz w:val="24"/>
                <w:highlight w:val="none"/>
              </w:rPr>
              <w:t>的介入手术。</w:t>
            </w:r>
          </w:p>
          <w:p w14:paraId="56D75E9E">
            <w:pPr>
              <w:adjustRightInd w:val="0"/>
              <w:snapToGrid w:val="0"/>
              <w:spacing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（二）编制目的</w:t>
            </w:r>
          </w:p>
          <w:p w14:paraId="192842B2">
            <w:pPr>
              <w:autoSpaceDN w:val="0"/>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按照《中华人民共和国环境保护法》《中华人民共和国环境影响评价法》《中华人民共和国放射性污染防治法》</w:t>
            </w:r>
            <w:r>
              <w:rPr>
                <w:rFonts w:hint="eastAsia" w:ascii="Times New Roman" w:hAnsi="Times New Roman" w:cs="Times New Roman"/>
                <w:color w:val="auto"/>
                <w:sz w:val="24"/>
                <w:highlight w:val="none"/>
                <w:lang w:eastAsia="zh-CN"/>
              </w:rPr>
              <w:t>《放射性同位素与射线装置安全和防护条例》</w:t>
            </w:r>
            <w:r>
              <w:rPr>
                <w:rFonts w:hint="default" w:ascii="Times New Roman" w:hAnsi="Times New Roman" w:cs="Times New Roman"/>
                <w:color w:val="auto"/>
                <w:sz w:val="24"/>
                <w:highlight w:val="none"/>
              </w:rPr>
              <w:t>（国务院令第449号）和《放射性同位素与射线装置安全和防护管理办法》（国家环保部令第18号）的规定和要求，本项目需进行环境影响评价。根据《建设项目环境影响评价分类管理名录（2021年版）》（生态环境部令第16号，2021年1月1日起施行），本项目属于“第五十五项—172条核技术利用建设项目—使用Ⅱ类射线装置”，本项目应编制环境影响报告表。根据《四川省生态环境厅</w:t>
            </w:r>
            <w:r>
              <w:rPr>
                <w:rFonts w:hint="default" w:ascii="Times New Roman" w:hAnsi="Times New Roman" w:cs="Times New Roman"/>
                <w:color w:val="auto"/>
                <w:sz w:val="24"/>
                <w:highlight w:val="none"/>
                <w:lang w:val="en-US" w:eastAsia="zh-CN"/>
              </w:rPr>
              <w:t>审批环境影响评价文件的建设项目目录（2025年本）》</w:t>
            </w:r>
            <w:r>
              <w:rPr>
                <w:rFonts w:hint="default" w:ascii="Times New Roman" w:hAnsi="Times New Roman" w:cs="Times New Roman"/>
                <w:color w:val="auto"/>
                <w:sz w:val="24"/>
                <w:highlight w:val="none"/>
              </w:rPr>
              <w:t>，本项目应报</w:t>
            </w:r>
            <w:r>
              <w:rPr>
                <w:rFonts w:hint="default" w:ascii="Times New Roman" w:hAnsi="Times New Roman" w:cs="Times New Roman"/>
                <w:color w:val="auto"/>
                <w:sz w:val="24"/>
                <w:highlight w:val="none"/>
                <w:lang w:val="en-US" w:eastAsia="zh-CN"/>
              </w:rPr>
              <w:t>巴中市</w:t>
            </w:r>
            <w:r>
              <w:rPr>
                <w:rFonts w:hint="default" w:ascii="Times New Roman" w:hAnsi="Times New Roman" w:cs="Times New Roman"/>
                <w:color w:val="auto"/>
                <w:sz w:val="24"/>
                <w:highlight w:val="none"/>
              </w:rPr>
              <w:t>生态环境局审查批准。</w:t>
            </w:r>
            <w:bookmarkStart w:id="75" w:name="_GoBack"/>
            <w:bookmarkEnd w:id="75"/>
          </w:p>
          <w:p w14:paraId="69F04817">
            <w:pPr>
              <w:adjustRightInd w:val="0"/>
              <w:snapToGrid w:val="0"/>
              <w:spacing w:line="360" w:lineRule="auto"/>
              <w:ind w:firstLine="500" w:firstLineChars="200"/>
              <w:rPr>
                <w:rFonts w:hint="default" w:ascii="Times New Roman" w:hAnsi="Times New Roman" w:cs="Times New Roman"/>
                <w:color w:val="auto"/>
                <w:sz w:val="24"/>
                <w:highlight w:val="none"/>
              </w:rPr>
            </w:pPr>
            <w:r>
              <w:rPr>
                <w:rFonts w:hint="default" w:ascii="Times New Roman" w:hAnsi="Times New Roman" w:cs="Times New Roman"/>
                <w:color w:val="auto"/>
                <w:spacing w:val="5"/>
                <w:sz w:val="24"/>
                <w:highlight w:val="none"/>
                <w:shd w:val="clear" w:color="auto" w:fill="FFFFFF"/>
                <w:lang w:val="en-US" w:eastAsia="zh-CN"/>
              </w:rPr>
              <w:t>平昌县第二人民医院</w:t>
            </w:r>
            <w:r>
              <w:rPr>
                <w:rFonts w:hint="default" w:ascii="Times New Roman" w:hAnsi="Times New Roman" w:cs="Times New Roman"/>
                <w:color w:val="auto"/>
                <w:sz w:val="24"/>
                <w:highlight w:val="none"/>
              </w:rPr>
              <w:t>委托四川中环康源卫生技术服务有限公司编制该项目的环境影响报告表（委托书见附件1）。四川中环康源卫生技术服务有限公司接受本项目环境报告表编制工作的委托后，在进行现场踏勘、实地调查了解项目所在地环境条件和充分研读相关法律法规、规章制度、技术资料后，在项目区域环境质量现状评价的基础上，对项目的环境影响进行了预测，并按相应标准进行评价。同时，就项目对环境可能造成的影响、项目单位从事相应辐射活动的能力、拟采取的辐射安全和防护措施及相关管理制度等进行了评价分析，在此基础上提出合理可行的对策和建议，编制完成本报告表。</w:t>
            </w:r>
          </w:p>
          <w:p w14:paraId="2B067232">
            <w:pPr>
              <w:adjustRightInd w:val="0"/>
              <w:snapToGrid w:val="0"/>
              <w:spacing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三、环境影响评价报告信息公开</w:t>
            </w:r>
          </w:p>
          <w:p w14:paraId="6200A2BF">
            <w:pPr>
              <w:autoSpaceDE w:val="0"/>
              <w:autoSpaceDN w:val="0"/>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为进一步保障公众对环境保护的参与权、知情权和监督权，加强环境影响评价工作的公开、透明，方便公民、法人和其他组织获取生态环境主管部门环境影响评价信息，加大环境影响评价公众参与公开力度，依据国家生态环境部颁布的《建设项目环境影响评价政府信息公开指南》的规定，结合四川省生态环境厅要求，建设单位在向生态环境主管部门提交建设项目环境影响报告表前，应依法主动公开建设项目环境影响报告表全本信息。</w:t>
            </w:r>
          </w:p>
          <w:p w14:paraId="35A61D10">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根据以上要求，医院于202</w:t>
            </w:r>
            <w:r>
              <w:rPr>
                <w:rFonts w:hint="default"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lang w:val="en-US" w:eastAsia="zh-CN"/>
              </w:rPr>
              <w:t>4</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lang w:val="en-US" w:eastAsia="zh-CN"/>
              </w:rPr>
              <w:t>13</w:t>
            </w:r>
            <w:r>
              <w:rPr>
                <w:rFonts w:hint="default" w:ascii="Times New Roman" w:hAnsi="Times New Roman" w:cs="Times New Roman"/>
                <w:color w:val="auto"/>
                <w:sz w:val="24"/>
                <w:highlight w:val="none"/>
              </w:rPr>
              <w:t>日在</w:t>
            </w:r>
            <w:r>
              <w:rPr>
                <w:rFonts w:hint="default" w:ascii="Times New Roman" w:hAnsi="Times New Roman" w:cs="Times New Roman"/>
                <w:color w:val="auto"/>
                <w:spacing w:val="5"/>
                <w:sz w:val="24"/>
                <w:highlight w:val="none"/>
                <w:shd w:val="clear" w:color="auto" w:fill="FFFFFF"/>
                <w:lang w:val="en-US" w:eastAsia="zh-CN"/>
              </w:rPr>
              <w:t>平昌县第二人民医院</w:t>
            </w:r>
            <w:r>
              <w:rPr>
                <w:rFonts w:hint="default" w:ascii="Times New Roman" w:hAnsi="Times New Roman" w:cs="Times New Roman"/>
                <w:color w:val="auto"/>
                <w:sz w:val="24"/>
                <w:highlight w:val="none"/>
              </w:rPr>
              <w:t>官网上对《</w:t>
            </w:r>
            <w:r>
              <w:rPr>
                <w:rFonts w:hint="default" w:ascii="Times New Roman" w:hAnsi="Times New Roman" w:cs="Times New Roman"/>
                <w:color w:val="auto"/>
                <w:sz w:val="24"/>
                <w:highlight w:val="none"/>
                <w:lang w:val="en-US" w:eastAsia="zh-CN"/>
              </w:rPr>
              <w:t>平昌县第二人民医院新增</w:t>
            </w:r>
            <w:r>
              <w:rPr>
                <w:rFonts w:hint="default" w:ascii="Times New Roman" w:hAnsi="Times New Roman" w:cs="Times New Roman"/>
                <w:color w:val="auto"/>
                <w:sz w:val="24"/>
                <w:highlight w:val="none"/>
              </w:rPr>
              <w:t>数字减影血管造影机（DSA）项目》的环境影响报告表进行了全文公示。公示网址（http://pcsh1953.cn/aspx/main/news_show.aspx?id=19094&amp;channel=news）及截图如下：</w:t>
            </w:r>
          </w:p>
          <w:p w14:paraId="7010BBC5">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color w:val="auto"/>
                <w:sz w:val="24"/>
                <w:highlight w:val="none"/>
              </w:rPr>
            </w:pPr>
            <w:r>
              <w:rPr>
                <w:rFonts w:hint="default" w:ascii="Times New Roman" w:hAnsi="Times New Roman" w:eastAsia="宋体" w:cs="Times New Roman"/>
                <w:color w:val="auto"/>
                <w:sz w:val="24"/>
                <w:highlight w:val="none"/>
                <w:lang w:eastAsia="zh-CN"/>
              </w:rPr>
              <w:drawing>
                <wp:anchor distT="0" distB="0" distL="114300" distR="114300" simplePos="0" relativeHeight="251673600" behindDoc="0" locked="0" layoutInCell="1" allowOverlap="1">
                  <wp:simplePos x="0" y="0"/>
                  <wp:positionH relativeFrom="column">
                    <wp:posOffset>937260</wp:posOffset>
                  </wp:positionH>
                  <wp:positionV relativeFrom="paragraph">
                    <wp:posOffset>42545</wp:posOffset>
                  </wp:positionV>
                  <wp:extent cx="3166745" cy="2524125"/>
                  <wp:effectExtent l="9525" t="9525" r="24130" b="19050"/>
                  <wp:wrapSquare wrapText="bothSides"/>
                  <wp:docPr id="34" name="图片 34" descr="平昌县第二人民医院新增数字减影血管造影机（DSA）项目环境影响评价报告表的公示 - - 平昌县第二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平昌县第二人民医院新增数字减影血管造影机（DSA）项目环境影响评价报告表的公示 - - 平昌县第二人"/>
                          <pic:cNvPicPr>
                            <a:picLocks noChangeAspect="1"/>
                          </pic:cNvPicPr>
                        </pic:nvPicPr>
                        <pic:blipFill>
                          <a:blip r:embed="rId9"/>
                          <a:stretch>
                            <a:fillRect/>
                          </a:stretch>
                        </pic:blipFill>
                        <pic:spPr>
                          <a:xfrm>
                            <a:off x="0" y="0"/>
                            <a:ext cx="3166745" cy="2524125"/>
                          </a:xfrm>
                          <a:prstGeom prst="rect">
                            <a:avLst/>
                          </a:prstGeom>
                          <a:ln>
                            <a:solidFill>
                              <a:schemeClr val="tx1"/>
                            </a:solidFill>
                          </a:ln>
                        </pic:spPr>
                      </pic:pic>
                    </a:graphicData>
                  </a:graphic>
                </wp:anchor>
              </w:drawing>
            </w:r>
          </w:p>
          <w:p w14:paraId="18960421">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color w:val="auto"/>
                <w:sz w:val="24"/>
                <w:highlight w:val="none"/>
              </w:rPr>
            </w:pPr>
          </w:p>
          <w:p w14:paraId="1D8B2F3D">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color w:val="auto"/>
                <w:sz w:val="24"/>
                <w:highlight w:val="none"/>
              </w:rPr>
            </w:pPr>
          </w:p>
          <w:p w14:paraId="133033F4">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color w:val="auto"/>
                <w:sz w:val="24"/>
                <w:highlight w:val="none"/>
              </w:rPr>
            </w:pPr>
          </w:p>
          <w:p w14:paraId="4EE071B5">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color w:val="auto"/>
                <w:sz w:val="24"/>
                <w:highlight w:val="none"/>
              </w:rPr>
            </w:pPr>
          </w:p>
          <w:p w14:paraId="73551FBD">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color w:val="auto"/>
                <w:sz w:val="24"/>
                <w:highlight w:val="none"/>
              </w:rPr>
            </w:pPr>
          </w:p>
          <w:p w14:paraId="793F7BC0">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color w:val="auto"/>
                <w:sz w:val="24"/>
                <w:highlight w:val="none"/>
              </w:rPr>
            </w:pPr>
          </w:p>
          <w:p w14:paraId="4A8C142F">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eastAsia="zh-CN"/>
              </w:rPr>
            </w:pPr>
          </w:p>
          <w:p w14:paraId="0F675ED4">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color w:val="auto"/>
                <w:sz w:val="24"/>
                <w:highlight w:val="none"/>
              </w:rPr>
            </w:pPr>
          </w:p>
          <w:p w14:paraId="699EBCAE">
            <w:pPr>
              <w:pStyle w:val="8"/>
              <w:jc w:val="center"/>
              <w:rPr>
                <w:rFonts w:hint="default" w:ascii="Times New Roman" w:hAnsi="Times New Roman" w:cs="Times New Roman"/>
                <w:color w:val="auto"/>
                <w:sz w:val="24"/>
                <w:highlight w:val="none"/>
              </w:rPr>
            </w:pPr>
          </w:p>
          <w:p w14:paraId="7DA756E4">
            <w:pPr>
              <w:rPr>
                <w:rFonts w:hint="default" w:ascii="Times New Roman" w:hAnsi="Times New Roman" w:cs="Times New Roman"/>
                <w:color w:val="auto"/>
                <w:sz w:val="24"/>
                <w:highlight w:val="none"/>
              </w:rPr>
            </w:pPr>
          </w:p>
          <w:p w14:paraId="7AF1EBDF">
            <w:pPr>
              <w:pStyle w:val="32"/>
              <w:numPr>
                <w:ilvl w:val="0"/>
                <w:numId w:val="4"/>
              </w:numPr>
              <w:snapToGrid w:val="0"/>
              <w:spacing w:line="360" w:lineRule="auto"/>
              <w:ind w:left="425" w:leftChars="0" w:hanging="425"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 xml:space="preserve">  公示截图</w:t>
            </w:r>
          </w:p>
          <w:p w14:paraId="76C8750B">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公示后，未收到单位和个人有关本项目情况的反馈意见。</w:t>
            </w:r>
          </w:p>
          <w:p w14:paraId="0F448539">
            <w:pPr>
              <w:adjustRightInd w:val="0"/>
              <w:snapToGrid w:val="0"/>
              <w:spacing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三、项目建设内容及规模</w:t>
            </w:r>
          </w:p>
          <w:p w14:paraId="25E94F61">
            <w:pPr>
              <w:adjustRightInd w:val="0"/>
              <w:snapToGrid w:val="0"/>
              <w:spacing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（一）工程概况</w:t>
            </w:r>
          </w:p>
          <w:p w14:paraId="5E8E39A1">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lang w:val="en-US" w:eastAsia="zh-CN"/>
              </w:rPr>
              <w:t>平昌县第二人民医院新增</w:t>
            </w:r>
            <w:r>
              <w:rPr>
                <w:rFonts w:hint="default" w:ascii="Times New Roman" w:hAnsi="Times New Roman" w:cs="Times New Roman"/>
                <w:color w:val="auto"/>
                <w:sz w:val="24"/>
                <w:highlight w:val="none"/>
              </w:rPr>
              <w:t>数字减影血管造影机（DSA）项目</w:t>
            </w:r>
          </w:p>
          <w:p w14:paraId="4141584C">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建设单位：</w:t>
            </w:r>
            <w:r>
              <w:rPr>
                <w:rFonts w:hint="default" w:ascii="Times New Roman" w:hAnsi="Times New Roman" w:cs="Times New Roman"/>
                <w:color w:val="auto"/>
                <w:sz w:val="24"/>
                <w:highlight w:val="none"/>
                <w:lang w:val="en-US" w:eastAsia="zh-CN"/>
              </w:rPr>
              <w:t>平昌县第二人民医院</w:t>
            </w:r>
          </w:p>
          <w:p w14:paraId="415AD2CD">
            <w:pPr>
              <w:adjustRightInd w:val="0"/>
              <w:snapToGrid w:val="0"/>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建设性质：</w:t>
            </w:r>
            <w:r>
              <w:rPr>
                <w:rFonts w:hint="default" w:ascii="Times New Roman" w:hAnsi="Times New Roman" w:cs="Times New Roman"/>
                <w:color w:val="auto"/>
                <w:sz w:val="24"/>
                <w:highlight w:val="none"/>
                <w:lang w:val="en-US" w:eastAsia="zh-CN"/>
              </w:rPr>
              <w:t>新建</w:t>
            </w:r>
          </w:p>
          <w:p w14:paraId="751621D4">
            <w:pPr>
              <w:adjustRightInd w:val="0"/>
              <w:snapToGrid w:val="0"/>
              <w:spacing w:line="360" w:lineRule="auto"/>
              <w:ind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rPr>
              <w:t>建设地点：</w:t>
            </w:r>
            <w:r>
              <w:rPr>
                <w:rFonts w:hint="default" w:ascii="Times New Roman" w:hAnsi="Times New Roman" w:eastAsia="宋体" w:cs="Times New Roman"/>
                <w:color w:val="auto"/>
                <w:sz w:val="24"/>
                <w:highlight w:val="none"/>
                <w:lang w:val="en-US" w:eastAsia="zh-CN"/>
              </w:rPr>
              <w:t>平昌县第二人民医院</w:t>
            </w:r>
            <w:r>
              <w:rPr>
                <w:rFonts w:hint="default" w:ascii="Times New Roman" w:hAnsi="Times New Roman" w:cs="Times New Roman"/>
                <w:color w:val="auto"/>
                <w:sz w:val="24"/>
                <w:highlight w:val="none"/>
                <w:lang w:val="en-US" w:eastAsia="zh-CN"/>
              </w:rPr>
              <w:t>黄滩坝院区</w:t>
            </w:r>
            <w:r>
              <w:rPr>
                <w:rFonts w:hint="default" w:ascii="Times New Roman" w:hAnsi="Times New Roman" w:eastAsia="宋体" w:cs="Times New Roman"/>
                <w:color w:val="auto"/>
                <w:sz w:val="24"/>
                <w:highlight w:val="none"/>
                <w:lang w:val="en-US" w:eastAsia="zh-CN"/>
              </w:rPr>
              <w:t>的</w:t>
            </w:r>
            <w:r>
              <w:rPr>
                <w:rFonts w:hint="default" w:ascii="Times New Roman" w:hAnsi="Times New Roman" w:cs="Times New Roman"/>
                <w:color w:val="auto"/>
                <w:sz w:val="24"/>
                <w:highlight w:val="none"/>
                <w:lang w:val="en-US" w:eastAsia="zh-CN"/>
              </w:rPr>
              <w:t>2#</w:t>
            </w:r>
            <w:r>
              <w:rPr>
                <w:rFonts w:hint="default" w:ascii="Times New Roman" w:hAnsi="Times New Roman" w:eastAsia="宋体" w:cs="Times New Roman"/>
                <w:color w:val="auto"/>
                <w:sz w:val="24"/>
                <w:highlight w:val="none"/>
                <w:lang w:val="en-US" w:eastAsia="zh-CN"/>
              </w:rPr>
              <w:t>医疗综合楼四楼东北角</w:t>
            </w:r>
          </w:p>
          <w:p w14:paraId="72BDA074">
            <w:pPr>
              <w:adjustRightInd w:val="0"/>
              <w:snapToGrid w:val="0"/>
              <w:spacing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（二）工程建设内容及规模</w:t>
            </w:r>
          </w:p>
          <w:p w14:paraId="0E006140">
            <w:pPr>
              <w:adjustRightInd w:val="0"/>
              <w:snapToGrid w:val="0"/>
              <w:spacing w:line="360" w:lineRule="auto"/>
              <w:ind w:firstLine="500" w:firstLineChars="200"/>
              <w:rPr>
                <w:rFonts w:hint="default" w:ascii="Times New Roman" w:hAnsi="Times New Roman" w:eastAsia="宋体" w:cs="Times New Roman"/>
                <w:color w:val="auto"/>
                <w:spacing w:val="5"/>
                <w:sz w:val="24"/>
                <w:highlight w:val="none"/>
                <w:shd w:val="clear" w:color="auto" w:fill="FFFFFF"/>
                <w:lang w:val="en-US" w:eastAsia="zh-CN"/>
              </w:rPr>
            </w:pPr>
            <w:r>
              <w:rPr>
                <w:rFonts w:hint="default" w:ascii="Times New Roman" w:hAnsi="Times New Roman" w:cs="Times New Roman"/>
                <w:color w:val="auto"/>
                <w:spacing w:val="5"/>
                <w:sz w:val="24"/>
                <w:highlight w:val="none"/>
                <w:shd w:val="clear" w:color="auto" w:fill="FFFFFF"/>
                <w:lang w:val="en-US" w:eastAsia="zh-CN"/>
              </w:rPr>
              <w:t>项目拟在</w:t>
            </w:r>
            <w:r>
              <w:rPr>
                <w:rFonts w:hint="default" w:ascii="Times New Roman" w:hAnsi="Times New Roman" w:eastAsia="宋体" w:cs="Times New Roman"/>
                <w:color w:val="auto"/>
                <w:sz w:val="24"/>
                <w:highlight w:val="none"/>
                <w:lang w:val="en-US" w:eastAsia="zh-CN"/>
              </w:rPr>
              <w:t>平昌县第二人民医院</w:t>
            </w:r>
            <w:r>
              <w:rPr>
                <w:rFonts w:hint="default" w:ascii="Times New Roman" w:hAnsi="Times New Roman" w:cs="Times New Roman"/>
                <w:color w:val="auto"/>
                <w:sz w:val="24"/>
                <w:highlight w:val="none"/>
                <w:lang w:val="en-US" w:eastAsia="zh-CN"/>
              </w:rPr>
              <w:t>黄滩坝院区</w:t>
            </w:r>
            <w:r>
              <w:rPr>
                <w:rFonts w:hint="default" w:ascii="Times New Roman" w:hAnsi="Times New Roman" w:eastAsia="宋体" w:cs="Times New Roman"/>
                <w:color w:val="auto"/>
                <w:sz w:val="24"/>
                <w:highlight w:val="none"/>
                <w:lang w:val="en-US" w:eastAsia="zh-CN"/>
              </w:rPr>
              <w:t>的</w:t>
            </w:r>
            <w:r>
              <w:rPr>
                <w:rFonts w:hint="default" w:ascii="Times New Roman" w:hAnsi="Times New Roman" w:cs="Times New Roman"/>
                <w:color w:val="auto"/>
                <w:sz w:val="24"/>
                <w:highlight w:val="none"/>
                <w:lang w:val="en-US" w:eastAsia="zh-CN"/>
              </w:rPr>
              <w:t>2#</w:t>
            </w:r>
            <w:r>
              <w:rPr>
                <w:rFonts w:hint="default" w:ascii="Times New Roman" w:hAnsi="Times New Roman" w:eastAsia="宋体" w:cs="Times New Roman"/>
                <w:color w:val="auto"/>
                <w:sz w:val="24"/>
                <w:highlight w:val="none"/>
                <w:lang w:val="en-US" w:eastAsia="zh-CN"/>
              </w:rPr>
              <w:t>医疗综合楼四楼东北角建设</w:t>
            </w:r>
          </w:p>
          <w:p w14:paraId="3CA1DDED">
            <w:pPr>
              <w:adjustRightInd w:val="0"/>
              <w:snapToGrid w:val="0"/>
              <w:spacing w:line="360" w:lineRule="auto"/>
              <w:rPr>
                <w:rFonts w:hint="default" w:ascii="Times New Roman" w:hAnsi="Times New Roman" w:cs="Times New Roman"/>
                <w:color w:val="auto"/>
                <w:spacing w:val="5"/>
                <w:sz w:val="24"/>
                <w:highlight w:val="none"/>
                <w:shd w:val="clear" w:color="auto" w:fill="FFFFFF"/>
                <w:lang w:val="en-US" w:eastAsia="zh-CN"/>
              </w:rPr>
            </w:pPr>
            <w:r>
              <w:rPr>
                <w:rFonts w:hint="default" w:ascii="Times New Roman" w:hAnsi="Times New Roman" w:cs="Times New Roman"/>
                <w:color w:val="auto"/>
                <w:spacing w:val="5"/>
                <w:sz w:val="24"/>
                <w:highlight w:val="none"/>
                <w:shd w:val="clear" w:color="auto" w:fill="FFFFFF"/>
                <w:lang w:val="en-US" w:eastAsia="zh-CN"/>
              </w:rPr>
              <w:t>1个介入治疗室。在介入室安装使用1台</w:t>
            </w:r>
            <w:r>
              <w:rPr>
                <w:rFonts w:hint="default" w:ascii="Times New Roman" w:hAnsi="Times New Roman" w:cs="Times New Roman"/>
                <w:color w:val="auto"/>
                <w:spacing w:val="5"/>
                <w:sz w:val="24"/>
                <w:highlight w:val="none"/>
                <w:shd w:val="clear" w:color="auto" w:fill="FFFFFF"/>
              </w:rPr>
              <w:t>数字减影血管造影机（DSA），</w:t>
            </w:r>
            <w:r>
              <w:rPr>
                <w:rFonts w:hint="default" w:ascii="Times New Roman" w:hAnsi="Times New Roman" w:cs="Times New Roman"/>
                <w:color w:val="auto"/>
                <w:spacing w:val="5"/>
                <w:sz w:val="24"/>
                <w:highlight w:val="none"/>
                <w:shd w:val="clear" w:color="auto" w:fill="FFFFFF"/>
                <w:lang w:val="en-US" w:eastAsia="zh-CN"/>
              </w:rPr>
              <w:t>该台DSA厂家型号为飞利浦Azurion5 M20，额定管电压为125kV，电流为1000mA。</w:t>
            </w:r>
          </w:p>
          <w:p w14:paraId="2B02D3C4">
            <w:pPr>
              <w:pStyle w:val="32"/>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根据院方预计，本项目投入使用后，DSA</w:t>
            </w:r>
            <w:r>
              <w:rPr>
                <w:rFonts w:hint="default" w:ascii="Times New Roman" w:hAnsi="Times New Roman" w:cs="Times New Roman"/>
                <w:color w:val="auto"/>
                <w:highlight w:val="none"/>
                <w:lang w:val="en-US" w:eastAsia="zh-CN"/>
              </w:rPr>
              <w:t>介入室</w:t>
            </w:r>
            <w:r>
              <w:rPr>
                <w:rFonts w:hint="default" w:ascii="Times New Roman" w:hAnsi="Times New Roman" w:cs="Times New Roman"/>
                <w:color w:val="auto"/>
                <w:highlight w:val="none"/>
              </w:rPr>
              <w:t>年手术量约为</w:t>
            </w:r>
            <w:r>
              <w:rPr>
                <w:rFonts w:hint="default" w:ascii="Times New Roman" w:hAnsi="Times New Roman" w:cs="Times New Roman"/>
                <w:color w:val="auto"/>
                <w:highlight w:val="none"/>
                <w:lang w:val="en-US" w:eastAsia="zh-CN"/>
              </w:rPr>
              <w:t>300</w:t>
            </w:r>
            <w:r>
              <w:rPr>
                <w:rFonts w:hint="default" w:ascii="Times New Roman" w:hAnsi="Times New Roman" w:cs="Times New Roman"/>
                <w:color w:val="auto"/>
                <w:highlight w:val="none"/>
              </w:rPr>
              <w:t>台（</w:t>
            </w:r>
            <w:r>
              <w:rPr>
                <w:rFonts w:hint="default" w:ascii="Times New Roman" w:hAnsi="Times New Roman" w:cs="Times New Roman"/>
                <w:color w:val="auto"/>
                <w:highlight w:val="none"/>
                <w:lang w:val="en-US" w:eastAsia="zh-CN"/>
              </w:rPr>
              <w:t>神经内科170</w:t>
            </w:r>
            <w:r>
              <w:rPr>
                <w:rFonts w:hint="default" w:ascii="Times New Roman" w:hAnsi="Times New Roman" w:cs="Times New Roman"/>
                <w:color w:val="auto"/>
                <w:highlight w:val="none"/>
              </w:rPr>
              <w:t>台，</w:t>
            </w:r>
            <w:r>
              <w:rPr>
                <w:rFonts w:hint="default" w:ascii="Times New Roman" w:hAnsi="Times New Roman" w:cs="Times New Roman"/>
                <w:color w:val="auto"/>
                <w:highlight w:val="none"/>
                <w:lang w:val="en-US" w:eastAsia="zh-CN"/>
              </w:rPr>
              <w:t>神经外科130台</w:t>
            </w:r>
            <w:r>
              <w:rPr>
                <w:rFonts w:hint="default" w:ascii="Times New Roman" w:hAnsi="Times New Roman" w:cs="Times New Roman"/>
                <w:color w:val="auto"/>
                <w:highlight w:val="none"/>
              </w:rPr>
              <w:t>）。</w:t>
            </w:r>
          </w:p>
          <w:p w14:paraId="550FB855">
            <w:pPr>
              <w:autoSpaceDE w:val="0"/>
              <w:autoSpaceDN w:val="0"/>
              <w:adjustRightInd w:val="0"/>
              <w:snapToGrid w:val="0"/>
              <w:spacing w:line="360" w:lineRule="auto"/>
              <w:ind w:firstLine="480" w:firstLineChars="200"/>
              <w:rPr>
                <w:rFonts w:hint="default" w:ascii="Times New Roman" w:hAnsi="Times New Roman" w:cs="Times New Roman"/>
                <w:color w:val="auto"/>
                <w:spacing w:val="5"/>
                <w:sz w:val="24"/>
                <w:highlight w:val="none"/>
                <w:shd w:val="clear" w:color="auto" w:fill="FFFFFF"/>
              </w:rPr>
            </w:pPr>
            <w:r>
              <w:rPr>
                <w:rFonts w:hint="default" w:ascii="Times New Roman" w:hAnsi="Times New Roman" w:cs="Times New Roman"/>
                <w:color w:val="auto"/>
                <w:sz w:val="24"/>
                <w:highlight w:val="none"/>
              </w:rPr>
              <w:t>根据院方预计，单台</w:t>
            </w:r>
            <w:r>
              <w:rPr>
                <w:rFonts w:hint="default" w:ascii="Times New Roman" w:hAnsi="Times New Roman" w:cs="Times New Roman"/>
                <w:color w:val="auto"/>
                <w:sz w:val="24"/>
                <w:highlight w:val="none"/>
                <w:lang w:val="en-US" w:eastAsia="zh-CN"/>
              </w:rPr>
              <w:t>神经内科</w:t>
            </w:r>
            <w:r>
              <w:rPr>
                <w:rFonts w:hint="default" w:ascii="Times New Roman" w:hAnsi="Times New Roman" w:cs="Times New Roman"/>
                <w:color w:val="auto"/>
                <w:sz w:val="24"/>
                <w:highlight w:val="none"/>
              </w:rPr>
              <w:t>介入手术透视时间为</w:t>
            </w:r>
            <w:r>
              <w:rPr>
                <w:rFonts w:hint="default" w:ascii="Times New Roman" w:hAnsi="Times New Roman" w:cs="Times New Roman"/>
                <w:color w:val="auto"/>
                <w:sz w:val="24"/>
                <w:highlight w:val="none"/>
                <w:lang w:val="en-US" w:eastAsia="zh-CN"/>
              </w:rPr>
              <w:t>20</w:t>
            </w:r>
            <w:r>
              <w:rPr>
                <w:rFonts w:hint="default" w:ascii="Times New Roman" w:hAnsi="Times New Roman" w:cs="Times New Roman"/>
                <w:color w:val="auto"/>
                <w:sz w:val="24"/>
                <w:highlight w:val="none"/>
              </w:rPr>
              <w:t>min，拍片时间为</w:t>
            </w:r>
            <w:r>
              <w:rPr>
                <w:rFonts w:hint="default" w:ascii="Times New Roman" w:hAnsi="Times New Roman" w:cs="Times New Roman"/>
                <w:color w:val="auto"/>
                <w:sz w:val="24"/>
                <w:highlight w:val="none"/>
                <w:lang w:val="en-US" w:eastAsia="zh-CN"/>
              </w:rPr>
              <w:t>60</w:t>
            </w:r>
            <w:r>
              <w:rPr>
                <w:rFonts w:hint="default" w:ascii="Times New Roman" w:hAnsi="Times New Roman" w:cs="Times New Roman"/>
                <w:color w:val="auto"/>
                <w:sz w:val="24"/>
                <w:highlight w:val="none"/>
              </w:rPr>
              <w:t>s；</w:t>
            </w:r>
            <w:r>
              <w:rPr>
                <w:rFonts w:hint="default" w:ascii="Times New Roman" w:hAnsi="Times New Roman" w:cs="Times New Roman"/>
                <w:color w:val="auto"/>
                <w:sz w:val="24"/>
                <w:highlight w:val="none"/>
                <w:lang w:val="en-US" w:eastAsia="zh-CN"/>
              </w:rPr>
              <w:t>神经外科</w:t>
            </w:r>
            <w:r>
              <w:rPr>
                <w:rFonts w:hint="default" w:ascii="Times New Roman" w:hAnsi="Times New Roman" w:cs="Times New Roman"/>
                <w:color w:val="auto"/>
                <w:sz w:val="24"/>
                <w:highlight w:val="none"/>
              </w:rPr>
              <w:t>单台透视时间为</w:t>
            </w:r>
            <w:r>
              <w:rPr>
                <w:rFonts w:hint="default" w:ascii="Times New Roman" w:hAnsi="Times New Roman" w:cs="Times New Roman"/>
                <w:color w:val="auto"/>
                <w:sz w:val="24"/>
                <w:highlight w:val="none"/>
                <w:lang w:val="en-US" w:eastAsia="zh-CN"/>
              </w:rPr>
              <w:t>15</w:t>
            </w:r>
            <w:r>
              <w:rPr>
                <w:rFonts w:hint="default" w:ascii="Times New Roman" w:hAnsi="Times New Roman" w:cs="Times New Roman"/>
                <w:color w:val="auto"/>
                <w:sz w:val="24"/>
                <w:highlight w:val="none"/>
              </w:rPr>
              <w:t>min，拍片时间为45s</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因此本项目DSA合计出束时间为</w:t>
            </w:r>
            <w:bookmarkStart w:id="3" w:name="_Hlk185953435"/>
            <w:r>
              <w:rPr>
                <w:rFonts w:hint="default" w:ascii="Times New Roman" w:hAnsi="Times New Roman" w:cs="Times New Roman"/>
                <w:color w:val="auto"/>
                <w:sz w:val="24"/>
                <w:highlight w:val="none"/>
                <w:lang w:val="en-US" w:eastAsia="zh-CN"/>
              </w:rPr>
              <w:t>93.625</w:t>
            </w:r>
            <w:r>
              <w:rPr>
                <w:rFonts w:hint="default" w:ascii="Times New Roman" w:hAnsi="Times New Roman" w:cs="Times New Roman"/>
                <w:color w:val="auto"/>
                <w:sz w:val="24"/>
                <w:highlight w:val="none"/>
              </w:rPr>
              <w:t>h</w:t>
            </w:r>
            <w:bookmarkEnd w:id="3"/>
            <w:r>
              <w:rPr>
                <w:rFonts w:hint="default" w:ascii="Times New Roman" w:hAnsi="Times New Roman" w:cs="Times New Roman"/>
                <w:color w:val="auto"/>
                <w:sz w:val="24"/>
                <w:highlight w:val="none"/>
              </w:rPr>
              <w:t>（透视：</w:t>
            </w:r>
            <w:r>
              <w:rPr>
                <w:rFonts w:hint="default" w:ascii="Times New Roman" w:hAnsi="Times New Roman" w:cs="Times New Roman"/>
                <w:color w:val="auto"/>
                <w:sz w:val="24"/>
                <w:highlight w:val="none"/>
                <w:lang w:val="en-US" w:eastAsia="zh-CN"/>
              </w:rPr>
              <w:t>89.167</w:t>
            </w:r>
            <w:r>
              <w:rPr>
                <w:rFonts w:hint="default" w:ascii="Times New Roman" w:hAnsi="Times New Roman" w:cs="Times New Roman"/>
                <w:color w:val="auto"/>
                <w:sz w:val="24"/>
                <w:highlight w:val="none"/>
              </w:rPr>
              <w:t>h；拍片</w:t>
            </w:r>
            <w:r>
              <w:rPr>
                <w:rFonts w:hint="default" w:ascii="Times New Roman" w:hAnsi="Times New Roman" w:cs="Times New Roman"/>
                <w:color w:val="auto"/>
                <w:sz w:val="24"/>
                <w:highlight w:val="none"/>
                <w:lang w:val="en-US" w:eastAsia="zh-CN"/>
              </w:rPr>
              <w:t>4.458</w:t>
            </w:r>
            <w:r>
              <w:rPr>
                <w:rFonts w:hint="default" w:ascii="Times New Roman" w:hAnsi="Times New Roman" w:cs="Times New Roman"/>
                <w:color w:val="auto"/>
                <w:sz w:val="24"/>
                <w:highlight w:val="none"/>
              </w:rPr>
              <w:t>h），曝光方向由下而上。</w:t>
            </w:r>
          </w:p>
          <w:p w14:paraId="26E40948">
            <w:pPr>
              <w:pStyle w:val="32"/>
              <w:numPr>
                <w:ilvl w:val="0"/>
                <w:numId w:val="5"/>
              </w:numPr>
              <w:snapToGrid w:val="0"/>
              <w:spacing w:line="360" w:lineRule="auto"/>
              <w:rPr>
                <w:rFonts w:hint="default" w:ascii="Times New Roman" w:hAnsi="Times New Roman" w:cs="Times New Roman"/>
                <w:b/>
                <w:bCs/>
                <w:color w:val="auto"/>
                <w:spacing w:val="5"/>
                <w:highlight w:val="none"/>
                <w:shd w:val="clear" w:color="auto" w:fill="FFFFFF"/>
              </w:rPr>
            </w:pPr>
            <w:r>
              <w:rPr>
                <w:rFonts w:hint="default" w:ascii="Times New Roman" w:hAnsi="Times New Roman" w:cs="Times New Roman"/>
                <w:b/>
                <w:bCs/>
                <w:color w:val="auto"/>
                <w:spacing w:val="5"/>
                <w:highlight w:val="none"/>
                <w:shd w:val="clear" w:color="auto" w:fill="FFFFFF"/>
              </w:rPr>
              <w:t>DSA</w:t>
            </w:r>
            <w:r>
              <w:rPr>
                <w:rFonts w:hint="default" w:ascii="Times New Roman" w:hAnsi="Times New Roman" w:cs="Times New Roman"/>
                <w:b/>
                <w:bCs/>
                <w:color w:val="auto"/>
                <w:spacing w:val="5"/>
                <w:highlight w:val="none"/>
                <w:shd w:val="clear" w:color="auto" w:fill="FFFFFF"/>
                <w:lang w:val="en-US" w:eastAsia="zh-CN"/>
              </w:rPr>
              <w:t>介入室</w:t>
            </w:r>
            <w:r>
              <w:rPr>
                <w:rFonts w:hint="default" w:ascii="Times New Roman" w:hAnsi="Times New Roman" w:cs="Times New Roman"/>
                <w:b/>
                <w:bCs/>
                <w:color w:val="auto"/>
                <w:spacing w:val="5"/>
                <w:highlight w:val="none"/>
                <w:shd w:val="clear" w:color="auto" w:fill="FFFFFF"/>
                <w:lang w:eastAsia="zh-CN"/>
              </w:rPr>
              <w:t>的</w:t>
            </w:r>
            <w:r>
              <w:rPr>
                <w:rFonts w:hint="default" w:ascii="Times New Roman" w:hAnsi="Times New Roman" w:cs="Times New Roman"/>
                <w:b/>
                <w:bCs/>
                <w:color w:val="auto"/>
                <w:spacing w:val="5"/>
                <w:highlight w:val="none"/>
                <w:shd w:val="clear" w:color="auto" w:fill="FFFFFF"/>
                <w:lang w:val="en-US" w:eastAsia="zh-CN"/>
              </w:rPr>
              <w:t>建设</w:t>
            </w:r>
          </w:p>
          <w:p w14:paraId="61E3E5B0">
            <w:pPr>
              <w:pStyle w:val="32"/>
              <w:snapToGrid w:val="0"/>
              <w:spacing w:line="360" w:lineRule="auto"/>
              <w:ind w:firstLine="50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spacing w:val="5"/>
                <w:highlight w:val="none"/>
                <w:shd w:val="clear" w:color="auto" w:fill="FFFFFF"/>
                <w:lang w:val="en-US" w:eastAsia="zh-CN"/>
              </w:rPr>
              <w:t>医院拟在</w:t>
            </w:r>
            <w:r>
              <w:rPr>
                <w:rFonts w:hint="default" w:ascii="Times New Roman" w:hAnsi="Times New Roman" w:cs="Times New Roman"/>
                <w:color w:val="auto"/>
                <w:sz w:val="24"/>
                <w:highlight w:val="none"/>
                <w:lang w:val="en-US" w:eastAsia="zh-CN"/>
              </w:rPr>
              <w:t>2#</w:t>
            </w:r>
            <w:r>
              <w:rPr>
                <w:rFonts w:hint="default" w:ascii="Times New Roman" w:hAnsi="Times New Roman" w:eastAsia="宋体" w:cs="Times New Roman"/>
                <w:color w:val="auto"/>
                <w:sz w:val="24"/>
                <w:highlight w:val="none"/>
                <w:lang w:val="en-US" w:eastAsia="zh-CN"/>
              </w:rPr>
              <w:t>医疗综合楼四楼东北角</w:t>
            </w:r>
            <w:r>
              <w:rPr>
                <w:rFonts w:hint="default" w:ascii="Times New Roman" w:hAnsi="Times New Roman" w:cs="Times New Roman"/>
                <w:color w:val="auto"/>
                <w:sz w:val="24"/>
                <w:highlight w:val="none"/>
                <w:lang w:val="en-US" w:eastAsia="zh-CN"/>
              </w:rPr>
              <w:t>建设DSA介入室。DSA介入室有效使用面积47.2m</w:t>
            </w:r>
            <w:r>
              <w:rPr>
                <w:rFonts w:hint="default" w:ascii="Times New Roman" w:hAnsi="Times New Roman" w:cs="Times New Roman"/>
                <w:color w:val="auto"/>
                <w:sz w:val="24"/>
                <w:highlight w:val="none"/>
                <w:vertAlign w:val="superscript"/>
                <w:lang w:val="en-US" w:eastAsia="zh-CN"/>
              </w:rPr>
              <w:t>2</w:t>
            </w:r>
            <w:r>
              <w:rPr>
                <w:rFonts w:hint="default" w:ascii="Times New Roman" w:hAnsi="Times New Roman" w:cs="Times New Roman"/>
                <w:color w:val="auto"/>
                <w:sz w:val="24"/>
                <w:highlight w:val="none"/>
                <w:vertAlign w:val="baseline"/>
                <w:lang w:val="en-US" w:eastAsia="zh-CN"/>
              </w:rPr>
              <w:t>（长8.2m×宽5.7m，层高4.45m，吊顶高度3m），DSA介入室配套使用1间</w:t>
            </w:r>
            <w:r>
              <w:rPr>
                <w:rFonts w:hint="default" w:ascii="Times New Roman" w:hAnsi="Times New Roman" w:cs="Times New Roman"/>
                <w:color w:val="auto"/>
                <w:spacing w:val="5"/>
                <w:sz w:val="24"/>
                <w:highlight w:val="none"/>
                <w:shd w:val="clear" w:color="auto" w:fill="FFFFFF"/>
                <w:lang w:val="en-US" w:eastAsia="zh-CN"/>
              </w:rPr>
              <w:t>设备间（16.9m</w:t>
            </w:r>
            <w:r>
              <w:rPr>
                <w:rFonts w:hint="default" w:ascii="Times New Roman" w:hAnsi="Times New Roman" w:cs="Times New Roman"/>
                <w:color w:val="auto"/>
                <w:spacing w:val="5"/>
                <w:sz w:val="24"/>
                <w:highlight w:val="none"/>
                <w:shd w:val="clear" w:color="auto" w:fill="FFFFFF"/>
                <w:vertAlign w:val="superscript"/>
                <w:lang w:val="en-US" w:eastAsia="zh-CN"/>
              </w:rPr>
              <w:t>2</w:t>
            </w:r>
            <w:r>
              <w:rPr>
                <w:rFonts w:hint="default" w:ascii="Times New Roman" w:hAnsi="Times New Roman" w:cs="Times New Roman"/>
                <w:color w:val="auto"/>
                <w:spacing w:val="5"/>
                <w:sz w:val="24"/>
                <w:highlight w:val="none"/>
                <w:shd w:val="clear" w:color="auto" w:fill="FFFFFF"/>
                <w:lang w:val="en-US" w:eastAsia="zh-CN"/>
              </w:rPr>
              <w:t>）、1间污物间（11.3m</w:t>
            </w:r>
            <w:r>
              <w:rPr>
                <w:rFonts w:hint="default" w:ascii="Times New Roman" w:hAnsi="Times New Roman" w:cs="Times New Roman"/>
                <w:color w:val="auto"/>
                <w:spacing w:val="5"/>
                <w:sz w:val="24"/>
                <w:highlight w:val="none"/>
                <w:shd w:val="clear" w:color="auto" w:fill="FFFFFF"/>
                <w:vertAlign w:val="superscript"/>
                <w:lang w:val="en-US" w:eastAsia="zh-CN"/>
              </w:rPr>
              <w:t>2</w:t>
            </w:r>
            <w:r>
              <w:rPr>
                <w:rFonts w:hint="default" w:ascii="Times New Roman" w:hAnsi="Times New Roman" w:cs="Times New Roman"/>
                <w:color w:val="auto"/>
                <w:spacing w:val="5"/>
                <w:sz w:val="24"/>
                <w:highlight w:val="none"/>
                <w:shd w:val="clear" w:color="auto" w:fill="FFFFFF"/>
                <w:lang w:val="en-US" w:eastAsia="zh-CN"/>
              </w:rPr>
              <w:t>）、1间控制室（22.1m</w:t>
            </w:r>
            <w:r>
              <w:rPr>
                <w:rFonts w:hint="default" w:ascii="Times New Roman" w:hAnsi="Times New Roman" w:cs="Times New Roman"/>
                <w:color w:val="auto"/>
                <w:spacing w:val="5"/>
                <w:sz w:val="24"/>
                <w:highlight w:val="none"/>
                <w:shd w:val="clear" w:color="auto" w:fill="FFFFFF"/>
                <w:vertAlign w:val="superscript"/>
                <w:lang w:val="en-US" w:eastAsia="zh-CN"/>
              </w:rPr>
              <w:t>2</w:t>
            </w:r>
            <w:r>
              <w:rPr>
                <w:rFonts w:hint="default" w:ascii="Times New Roman" w:hAnsi="Times New Roman" w:cs="Times New Roman"/>
                <w:color w:val="auto"/>
                <w:spacing w:val="5"/>
                <w:sz w:val="24"/>
                <w:highlight w:val="none"/>
                <w:shd w:val="clear" w:color="auto" w:fill="FFFFFF"/>
                <w:lang w:val="en-US" w:eastAsia="zh-CN"/>
              </w:rPr>
              <w:t>）、1间患者恢复室（10.5m</w:t>
            </w:r>
            <w:r>
              <w:rPr>
                <w:rFonts w:hint="default" w:ascii="Times New Roman" w:hAnsi="Times New Roman" w:cs="Times New Roman"/>
                <w:color w:val="auto"/>
                <w:spacing w:val="5"/>
                <w:sz w:val="24"/>
                <w:highlight w:val="none"/>
                <w:shd w:val="clear" w:color="auto" w:fill="FFFFFF"/>
                <w:vertAlign w:val="superscript"/>
                <w:lang w:val="en-US" w:eastAsia="zh-CN"/>
              </w:rPr>
              <w:t>2</w:t>
            </w:r>
            <w:r>
              <w:rPr>
                <w:rFonts w:hint="default" w:ascii="Times New Roman" w:hAnsi="Times New Roman" w:cs="Times New Roman"/>
                <w:color w:val="auto"/>
                <w:spacing w:val="5"/>
                <w:sz w:val="24"/>
                <w:highlight w:val="none"/>
                <w:shd w:val="clear" w:color="auto" w:fill="FFFFFF"/>
                <w:lang w:val="en-US" w:eastAsia="zh-CN"/>
              </w:rPr>
              <w:t>）、1间高值耗材存放处（8.68m</w:t>
            </w:r>
            <w:r>
              <w:rPr>
                <w:rFonts w:hint="default" w:ascii="Times New Roman" w:hAnsi="Times New Roman" w:cs="Times New Roman"/>
                <w:color w:val="auto"/>
                <w:spacing w:val="5"/>
                <w:sz w:val="24"/>
                <w:highlight w:val="none"/>
                <w:shd w:val="clear" w:color="auto" w:fill="FFFFFF"/>
                <w:vertAlign w:val="superscript"/>
                <w:lang w:val="en-US" w:eastAsia="zh-CN"/>
              </w:rPr>
              <w:t>2</w:t>
            </w:r>
            <w:r>
              <w:rPr>
                <w:rFonts w:hint="default" w:ascii="Times New Roman" w:hAnsi="Times New Roman" w:cs="Times New Roman"/>
                <w:color w:val="auto"/>
                <w:spacing w:val="5"/>
                <w:sz w:val="24"/>
                <w:highlight w:val="none"/>
                <w:shd w:val="clear" w:color="auto" w:fill="FFFFFF"/>
                <w:lang w:val="en-US" w:eastAsia="zh-CN"/>
              </w:rPr>
              <w:t>）、1个患者缓冲区（27.2m</w:t>
            </w:r>
            <w:r>
              <w:rPr>
                <w:rFonts w:hint="default" w:ascii="Times New Roman" w:hAnsi="Times New Roman" w:cs="Times New Roman"/>
                <w:color w:val="auto"/>
                <w:spacing w:val="5"/>
                <w:sz w:val="24"/>
                <w:highlight w:val="none"/>
                <w:shd w:val="clear" w:color="auto" w:fill="FFFFFF"/>
                <w:vertAlign w:val="superscript"/>
                <w:lang w:val="en-US" w:eastAsia="zh-CN"/>
              </w:rPr>
              <w:t>2</w:t>
            </w:r>
            <w:r>
              <w:rPr>
                <w:rFonts w:hint="default" w:ascii="Times New Roman" w:hAnsi="Times New Roman" w:cs="Times New Roman"/>
                <w:color w:val="auto"/>
                <w:spacing w:val="5"/>
                <w:sz w:val="24"/>
                <w:highlight w:val="none"/>
                <w:shd w:val="clear" w:color="auto" w:fill="FFFFFF"/>
                <w:lang w:val="en-US" w:eastAsia="zh-CN"/>
              </w:rPr>
              <w:t>）、1间患者卫生间（5.46m</w:t>
            </w:r>
            <w:r>
              <w:rPr>
                <w:rFonts w:hint="default" w:ascii="Times New Roman" w:hAnsi="Times New Roman" w:cs="Times New Roman"/>
                <w:color w:val="auto"/>
                <w:spacing w:val="5"/>
                <w:sz w:val="24"/>
                <w:highlight w:val="none"/>
                <w:shd w:val="clear" w:color="auto" w:fill="FFFFFF"/>
                <w:vertAlign w:val="superscript"/>
                <w:lang w:val="en-US" w:eastAsia="zh-CN"/>
              </w:rPr>
              <w:t>2</w:t>
            </w:r>
            <w:r>
              <w:rPr>
                <w:rFonts w:hint="default" w:ascii="Times New Roman" w:hAnsi="Times New Roman" w:cs="Times New Roman"/>
                <w:color w:val="auto"/>
                <w:spacing w:val="5"/>
                <w:sz w:val="24"/>
                <w:highlight w:val="none"/>
                <w:shd w:val="clear" w:color="auto" w:fill="FFFFFF"/>
                <w:lang w:val="en-US" w:eastAsia="zh-CN"/>
              </w:rPr>
              <w:t>）、1个医护人员更衣间和卫浴间（18.7m</w:t>
            </w:r>
            <w:r>
              <w:rPr>
                <w:rFonts w:hint="default" w:ascii="Times New Roman" w:hAnsi="Times New Roman" w:cs="Times New Roman"/>
                <w:color w:val="auto"/>
                <w:spacing w:val="5"/>
                <w:sz w:val="24"/>
                <w:highlight w:val="none"/>
                <w:shd w:val="clear" w:color="auto" w:fill="FFFFFF"/>
                <w:vertAlign w:val="superscript"/>
                <w:lang w:val="en-US" w:eastAsia="zh-CN"/>
              </w:rPr>
              <w:t>2</w:t>
            </w:r>
            <w:r>
              <w:rPr>
                <w:rFonts w:hint="default" w:ascii="Times New Roman" w:hAnsi="Times New Roman" w:cs="Times New Roman"/>
                <w:color w:val="auto"/>
                <w:spacing w:val="5"/>
                <w:sz w:val="24"/>
                <w:highlight w:val="none"/>
                <w:shd w:val="clear" w:color="auto" w:fill="FFFFFF"/>
                <w:lang w:val="en-US" w:eastAsia="zh-CN"/>
              </w:rPr>
              <w:t>）、1个医护通道（7.4m</w:t>
            </w:r>
            <w:r>
              <w:rPr>
                <w:rFonts w:hint="default" w:ascii="Times New Roman" w:hAnsi="Times New Roman" w:cs="Times New Roman"/>
                <w:color w:val="auto"/>
                <w:spacing w:val="5"/>
                <w:sz w:val="24"/>
                <w:highlight w:val="none"/>
                <w:shd w:val="clear" w:color="auto" w:fill="FFFFFF"/>
                <w:vertAlign w:val="superscript"/>
                <w:lang w:val="en-US" w:eastAsia="zh-CN"/>
              </w:rPr>
              <w:t>2</w:t>
            </w:r>
            <w:r>
              <w:rPr>
                <w:rFonts w:hint="default" w:ascii="Times New Roman" w:hAnsi="Times New Roman" w:cs="Times New Roman"/>
                <w:color w:val="auto"/>
                <w:spacing w:val="5"/>
                <w:sz w:val="24"/>
                <w:highlight w:val="none"/>
                <w:shd w:val="clear" w:color="auto" w:fill="FFFFFF"/>
                <w:lang w:val="en-US" w:eastAsia="zh-CN"/>
              </w:rPr>
              <w:t>）、1个污物通道（11.5m</w:t>
            </w:r>
            <w:r>
              <w:rPr>
                <w:rFonts w:hint="default" w:ascii="Times New Roman" w:hAnsi="Times New Roman" w:cs="Times New Roman"/>
                <w:color w:val="auto"/>
                <w:spacing w:val="5"/>
                <w:sz w:val="24"/>
                <w:highlight w:val="none"/>
                <w:shd w:val="clear" w:color="auto" w:fill="FFFFFF"/>
                <w:vertAlign w:val="superscript"/>
                <w:lang w:val="en-US" w:eastAsia="zh-CN"/>
              </w:rPr>
              <w:t>2</w:t>
            </w:r>
            <w:r>
              <w:rPr>
                <w:rFonts w:hint="default" w:ascii="Times New Roman" w:hAnsi="Times New Roman" w:cs="Times New Roman"/>
                <w:color w:val="auto"/>
                <w:spacing w:val="5"/>
                <w:sz w:val="24"/>
                <w:highlight w:val="none"/>
                <w:shd w:val="clear" w:color="auto" w:fill="FFFFFF"/>
                <w:lang w:val="en-US" w:eastAsia="zh-CN"/>
              </w:rPr>
              <w:t>）等。</w:t>
            </w:r>
          </w:p>
          <w:p w14:paraId="223448B0">
            <w:pPr>
              <w:pStyle w:val="34"/>
              <w:rPr>
                <w:rFonts w:hint="default" w:ascii="Times New Roman" w:hAnsi="Times New Roman" w:cs="Times New Roman"/>
                <w:color w:val="auto"/>
                <w:highlight w:val="none"/>
                <w:lang w:val="en-US" w:eastAsia="zh-CN"/>
              </w:rPr>
            </w:pPr>
            <w:r>
              <w:rPr>
                <w:rFonts w:hint="default" w:ascii="Times New Roman" w:hAnsi="Times New Roman" w:cs="Times New Roman"/>
                <w:color w:val="auto"/>
                <w:spacing w:val="5"/>
                <w:sz w:val="24"/>
                <w:highlight w:val="none"/>
                <w:shd w:val="clear" w:color="auto" w:fill="FFFFFF"/>
                <w:lang w:val="en-US" w:eastAsia="zh-CN"/>
              </w:rPr>
              <w:t>介入室平面图见下图：</w:t>
            </w:r>
          </w:p>
          <w:p w14:paraId="14789B39">
            <w:p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drawing>
                <wp:inline distT="0" distB="0" distL="114300" distR="114300">
                  <wp:extent cx="5257800" cy="3183255"/>
                  <wp:effectExtent l="9525" t="9525" r="9525" b="26670"/>
                  <wp:docPr id="6" name="图片 6" descr="文中平面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文中平面图"/>
                          <pic:cNvPicPr>
                            <a:picLocks noChangeAspect="1"/>
                          </pic:cNvPicPr>
                        </pic:nvPicPr>
                        <pic:blipFill>
                          <a:blip r:embed="rId10"/>
                          <a:srcRect t="11549" b="12772"/>
                          <a:stretch>
                            <a:fillRect/>
                          </a:stretch>
                        </pic:blipFill>
                        <pic:spPr>
                          <a:xfrm>
                            <a:off x="0" y="0"/>
                            <a:ext cx="5257800" cy="3183255"/>
                          </a:xfrm>
                          <a:prstGeom prst="rect">
                            <a:avLst/>
                          </a:prstGeom>
                          <a:ln>
                            <a:solidFill>
                              <a:schemeClr val="tx1"/>
                            </a:solidFill>
                          </a:ln>
                        </pic:spPr>
                      </pic:pic>
                    </a:graphicData>
                  </a:graphic>
                </wp:inline>
              </w:drawing>
            </w:r>
          </w:p>
          <w:p w14:paraId="2686CC5F">
            <w:pPr>
              <w:pStyle w:val="32"/>
              <w:numPr>
                <w:ilvl w:val="0"/>
                <w:numId w:val="4"/>
              </w:numPr>
              <w:snapToGrid w:val="0"/>
              <w:spacing w:line="360" w:lineRule="auto"/>
              <w:ind w:left="425" w:leftChars="0" w:hanging="425" w:firstLine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本项目平面布置图</w:t>
            </w:r>
          </w:p>
          <w:p w14:paraId="692A0A0B">
            <w:pPr>
              <w:keepNext w:val="0"/>
              <w:keepLines w:val="0"/>
              <w:pageBreakBefore w:val="0"/>
              <w:widowControl w:val="0"/>
              <w:kinsoku/>
              <w:wordWrap/>
              <w:overflowPunct/>
              <w:topLinePunct w:val="0"/>
              <w:autoSpaceDE/>
              <w:autoSpaceDN/>
              <w:bidi w:val="0"/>
              <w:adjustRightInd/>
              <w:snapToGrid/>
              <w:spacing w:line="360" w:lineRule="auto"/>
              <w:ind w:left="0" w:leftChars="0" w:firstLine="660" w:firstLineChars="275"/>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DSA介入室采用的防护设计为：手术室四周墙体200mm厚实心砖砌体+22mm复合射线防护板；顶部为150mm混凝土+22mm复合射线防护板；底部为150mm混凝土+45mm硫酸钡水泥；DSA介入室设置有5扇门，设备间门（长1100mm×高2100mm，3mmPb防护门），污物间门（长1100mm×高2100mm，3mmPb防护门），控制室门（长1100mm×高2100mm，3mmPb防护门），高值耗材存放间门（长1100mm×高2100mm，3mmPb防护门），患者通道平移</w:t>
            </w:r>
            <w:r>
              <w:rPr>
                <w:rFonts w:hint="eastAsia" w:ascii="Times New Roman" w:hAnsi="Times New Roman" w:cs="Times New Roman"/>
                <w:color w:val="auto"/>
                <w:sz w:val="24"/>
                <w:szCs w:val="24"/>
                <w:highlight w:val="none"/>
                <w:lang w:val="en-US" w:eastAsia="zh-CN"/>
              </w:rPr>
              <w:t>推拉</w:t>
            </w:r>
            <w:r>
              <w:rPr>
                <w:rFonts w:hint="default" w:ascii="Times New Roman" w:hAnsi="Times New Roman" w:cs="Times New Roman"/>
                <w:color w:val="auto"/>
                <w:sz w:val="24"/>
                <w:szCs w:val="24"/>
                <w:highlight w:val="none"/>
                <w:lang w:val="en-US" w:eastAsia="zh-CN"/>
              </w:rPr>
              <w:t>门（长1800mm×高2250mm，3mmPb防护门），设备间双开</w:t>
            </w:r>
            <w:r>
              <w:rPr>
                <w:rFonts w:hint="eastAsia" w:ascii="Times New Roman" w:hAnsi="Times New Roman" w:cs="Times New Roman"/>
                <w:color w:val="auto"/>
                <w:sz w:val="24"/>
                <w:szCs w:val="24"/>
                <w:highlight w:val="none"/>
                <w:lang w:val="en-US" w:eastAsia="zh-CN"/>
              </w:rPr>
              <w:t>平开</w:t>
            </w:r>
            <w:r>
              <w:rPr>
                <w:rFonts w:hint="default" w:ascii="Times New Roman" w:hAnsi="Times New Roman" w:cs="Times New Roman"/>
                <w:color w:val="auto"/>
                <w:sz w:val="24"/>
                <w:szCs w:val="24"/>
                <w:highlight w:val="none"/>
                <w:lang w:val="en-US" w:eastAsia="zh-CN"/>
              </w:rPr>
              <w:t>门（长1</w:t>
            </w:r>
            <w:r>
              <w:rPr>
                <w:rFonts w:hint="eastAsia"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lang w:val="en-US" w:eastAsia="zh-CN"/>
              </w:rPr>
              <w:t>00mm×高2100mm，3mmPb防护门，共2樘）。DSA介入室设置1扇观察窗（规格为长1500mm×高900mm，3mmPb铅当量）。</w:t>
            </w:r>
          </w:p>
          <w:p w14:paraId="12F3682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本项目屏蔽防护条件见下表。</w:t>
            </w:r>
          </w:p>
          <w:p w14:paraId="6B2D9FD2">
            <w:pPr>
              <w:pStyle w:val="8"/>
              <w:numPr>
                <w:ilvl w:val="0"/>
                <w:numId w:val="3"/>
              </w:numPr>
              <w:ind w:left="425" w:leftChars="0" w:hanging="425"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表 DSA介入室屏蔽防护一览表</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1"/>
              <w:gridCol w:w="1875"/>
              <w:gridCol w:w="4630"/>
            </w:tblGrid>
            <w:tr w14:paraId="03C90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81" w:type="dxa"/>
                  <w:vAlign w:val="center"/>
                </w:tcPr>
                <w:p w14:paraId="7777B348">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场所</w:t>
                  </w:r>
                </w:p>
              </w:tc>
              <w:tc>
                <w:tcPr>
                  <w:tcW w:w="1875" w:type="dxa"/>
                  <w:vAlign w:val="center"/>
                </w:tcPr>
                <w:p w14:paraId="5F2FFE22">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屏蔽方位</w:t>
                  </w:r>
                </w:p>
              </w:tc>
              <w:tc>
                <w:tcPr>
                  <w:tcW w:w="4630" w:type="dxa"/>
                  <w:vAlign w:val="center"/>
                </w:tcPr>
                <w:p w14:paraId="1168FBAB">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设计屏蔽材料</w:t>
                  </w:r>
                </w:p>
              </w:tc>
            </w:tr>
            <w:tr w14:paraId="0B4D0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81" w:type="dxa"/>
                  <w:vMerge w:val="restart"/>
                  <w:vAlign w:val="center"/>
                </w:tcPr>
                <w:p w14:paraId="0F96B81B">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DSA手术室</w:t>
                  </w:r>
                </w:p>
              </w:tc>
              <w:tc>
                <w:tcPr>
                  <w:tcW w:w="1875" w:type="dxa"/>
                  <w:vAlign w:val="center"/>
                </w:tcPr>
                <w:p w14:paraId="73786D22">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四周墙体</w:t>
                  </w:r>
                </w:p>
              </w:tc>
              <w:tc>
                <w:tcPr>
                  <w:tcW w:w="4630" w:type="dxa"/>
                  <w:vAlign w:val="center"/>
                </w:tcPr>
                <w:p w14:paraId="39A73B6F">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lang w:val="en-US" w:eastAsia="zh-CN"/>
                    </w:rPr>
                    <w:t>200mm厚实心砖砌体+22mm复合射线防护板</w:t>
                  </w:r>
                </w:p>
              </w:tc>
            </w:tr>
            <w:tr w14:paraId="5BE55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81" w:type="dxa"/>
                  <w:vMerge w:val="continue"/>
                  <w:vAlign w:val="center"/>
                </w:tcPr>
                <w:p w14:paraId="38E3A24C">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auto"/>
                      <w:sz w:val="21"/>
                      <w:szCs w:val="21"/>
                      <w:highlight w:val="none"/>
                      <w:vertAlign w:val="baseline"/>
                      <w:lang w:val="en-US" w:eastAsia="zh-CN"/>
                    </w:rPr>
                  </w:pPr>
                </w:p>
              </w:tc>
              <w:tc>
                <w:tcPr>
                  <w:tcW w:w="1875" w:type="dxa"/>
                  <w:vAlign w:val="center"/>
                </w:tcPr>
                <w:p w14:paraId="26B57D6A">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顶部</w:t>
                  </w:r>
                </w:p>
              </w:tc>
              <w:tc>
                <w:tcPr>
                  <w:tcW w:w="4630" w:type="dxa"/>
                  <w:vAlign w:val="center"/>
                </w:tcPr>
                <w:p w14:paraId="3D5ED85B">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lang w:val="en-US" w:eastAsia="zh-CN"/>
                    </w:rPr>
                    <w:t>150mm混凝土+22mm复合射线防护板</w:t>
                  </w:r>
                </w:p>
              </w:tc>
            </w:tr>
            <w:tr w14:paraId="059DA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81" w:type="dxa"/>
                  <w:vMerge w:val="continue"/>
                  <w:vAlign w:val="center"/>
                </w:tcPr>
                <w:p w14:paraId="28FFA25D">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auto"/>
                      <w:sz w:val="21"/>
                      <w:szCs w:val="21"/>
                      <w:highlight w:val="none"/>
                      <w:vertAlign w:val="baseline"/>
                      <w:lang w:val="en-US" w:eastAsia="zh-CN"/>
                    </w:rPr>
                  </w:pPr>
                </w:p>
              </w:tc>
              <w:tc>
                <w:tcPr>
                  <w:tcW w:w="1875" w:type="dxa"/>
                  <w:vAlign w:val="center"/>
                </w:tcPr>
                <w:p w14:paraId="35F252C7">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底部</w:t>
                  </w:r>
                </w:p>
              </w:tc>
              <w:tc>
                <w:tcPr>
                  <w:tcW w:w="4630" w:type="dxa"/>
                  <w:vAlign w:val="center"/>
                </w:tcPr>
                <w:p w14:paraId="54D23749">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lang w:val="en-US" w:eastAsia="zh-CN"/>
                    </w:rPr>
                    <w:t>150mm混凝土+45mm硫酸钡水泥</w:t>
                  </w:r>
                </w:p>
              </w:tc>
            </w:tr>
            <w:tr w14:paraId="0A640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81" w:type="dxa"/>
                  <w:vMerge w:val="continue"/>
                  <w:vAlign w:val="center"/>
                </w:tcPr>
                <w:p w14:paraId="5A64D6B9">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auto"/>
                      <w:sz w:val="21"/>
                      <w:szCs w:val="21"/>
                      <w:highlight w:val="none"/>
                      <w:vertAlign w:val="baseline"/>
                      <w:lang w:val="en-US" w:eastAsia="zh-CN"/>
                    </w:rPr>
                  </w:pPr>
                </w:p>
              </w:tc>
              <w:tc>
                <w:tcPr>
                  <w:tcW w:w="1875" w:type="dxa"/>
                  <w:vAlign w:val="center"/>
                </w:tcPr>
                <w:p w14:paraId="47065D9E">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DSA介入室5扇门</w:t>
                  </w:r>
                </w:p>
              </w:tc>
              <w:tc>
                <w:tcPr>
                  <w:tcW w:w="4630" w:type="dxa"/>
                  <w:vAlign w:val="center"/>
                </w:tcPr>
                <w:p w14:paraId="36927F53">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3mmPb铅防护门</w:t>
                  </w:r>
                </w:p>
              </w:tc>
            </w:tr>
            <w:tr w14:paraId="38181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81" w:type="dxa"/>
                  <w:vMerge w:val="continue"/>
                  <w:vAlign w:val="center"/>
                </w:tcPr>
                <w:p w14:paraId="7A4782F7">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auto"/>
                      <w:sz w:val="21"/>
                      <w:szCs w:val="21"/>
                      <w:highlight w:val="none"/>
                      <w:vertAlign w:val="baseline"/>
                      <w:lang w:val="en-US" w:eastAsia="zh-CN"/>
                    </w:rPr>
                  </w:pPr>
                </w:p>
              </w:tc>
              <w:tc>
                <w:tcPr>
                  <w:tcW w:w="1875" w:type="dxa"/>
                  <w:vAlign w:val="center"/>
                </w:tcPr>
                <w:p w14:paraId="74A806B8">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观察窗</w:t>
                  </w:r>
                </w:p>
              </w:tc>
              <w:tc>
                <w:tcPr>
                  <w:tcW w:w="4630" w:type="dxa"/>
                  <w:vAlign w:val="center"/>
                </w:tcPr>
                <w:p w14:paraId="780A74F4">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3mmPb铅观察窗</w:t>
                  </w:r>
                </w:p>
              </w:tc>
            </w:tr>
          </w:tbl>
          <w:p w14:paraId="72D8AF58">
            <w:pPr>
              <w:pStyle w:val="32"/>
              <w:snapToGrid w:val="0"/>
              <w:spacing w:line="360" w:lineRule="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（四）项目组成内容及主要环境问题</w:t>
            </w:r>
          </w:p>
          <w:p w14:paraId="7ADE72D3">
            <w:pPr>
              <w:pStyle w:val="8"/>
              <w:numPr>
                <w:ilvl w:val="0"/>
                <w:numId w:val="3"/>
              </w:numPr>
              <w:ind w:left="425" w:leftChars="0" w:hanging="425"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建设项目组成及主要的环境问题表</w:t>
            </w:r>
          </w:p>
          <w:tbl>
            <w:tblPr>
              <w:tblStyle w:val="22"/>
              <w:tblpPr w:leftFromText="180" w:rightFromText="180" w:vertAnchor="text" w:tblpXSpec="center" w:tblpY="1"/>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82"/>
              <w:gridCol w:w="511"/>
              <w:gridCol w:w="5436"/>
              <w:gridCol w:w="792"/>
              <w:gridCol w:w="775"/>
            </w:tblGrid>
            <w:tr w14:paraId="07322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4" w:hRule="atLeast"/>
                <w:jc w:val="center"/>
              </w:trPr>
              <w:tc>
                <w:tcPr>
                  <w:tcW w:w="471" w:type="pct"/>
                  <w:vMerge w:val="restart"/>
                  <w:vAlign w:val="center"/>
                </w:tcPr>
                <w:p w14:paraId="73AF7DE4">
                  <w:pPr>
                    <w:adjustRightInd w:val="0"/>
                    <w:snapToGrid w:val="0"/>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名称</w:t>
                  </w:r>
                </w:p>
              </w:tc>
              <w:tc>
                <w:tcPr>
                  <w:tcW w:w="3583" w:type="pct"/>
                  <w:gridSpan w:val="2"/>
                  <w:vMerge w:val="restart"/>
                  <w:vAlign w:val="center"/>
                </w:tcPr>
                <w:p w14:paraId="4525E31A">
                  <w:pPr>
                    <w:adjustRightInd w:val="0"/>
                    <w:snapToGrid w:val="0"/>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建设内容及规模</w:t>
                  </w:r>
                </w:p>
              </w:tc>
              <w:tc>
                <w:tcPr>
                  <w:tcW w:w="944" w:type="pct"/>
                  <w:gridSpan w:val="2"/>
                  <w:vAlign w:val="center"/>
                </w:tcPr>
                <w:p w14:paraId="7194A3EC">
                  <w:pPr>
                    <w:adjustRightInd w:val="0"/>
                    <w:snapToGrid w:val="0"/>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可能产生的环境问题</w:t>
                  </w:r>
                </w:p>
              </w:tc>
            </w:tr>
            <w:tr w14:paraId="32470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97" w:hRule="atLeast"/>
                <w:jc w:val="center"/>
              </w:trPr>
              <w:tc>
                <w:tcPr>
                  <w:tcW w:w="471" w:type="pct"/>
                  <w:vMerge w:val="continue"/>
                  <w:vAlign w:val="center"/>
                </w:tcPr>
                <w:p w14:paraId="081D6346">
                  <w:pPr>
                    <w:adjustRightInd w:val="0"/>
                    <w:snapToGrid w:val="0"/>
                    <w:jc w:val="center"/>
                    <w:rPr>
                      <w:rFonts w:hint="default" w:ascii="Times New Roman" w:hAnsi="Times New Roman" w:cs="Times New Roman"/>
                      <w:caps/>
                      <w:color w:val="auto"/>
                      <w:szCs w:val="21"/>
                      <w:highlight w:val="none"/>
                    </w:rPr>
                  </w:pPr>
                </w:p>
              </w:tc>
              <w:tc>
                <w:tcPr>
                  <w:tcW w:w="3583" w:type="pct"/>
                  <w:gridSpan w:val="2"/>
                  <w:vMerge w:val="continue"/>
                  <w:vAlign w:val="center"/>
                </w:tcPr>
                <w:p w14:paraId="16394E06">
                  <w:pPr>
                    <w:adjustRightInd w:val="0"/>
                    <w:snapToGrid w:val="0"/>
                    <w:jc w:val="center"/>
                    <w:rPr>
                      <w:rFonts w:hint="default" w:ascii="Times New Roman" w:hAnsi="Times New Roman" w:cs="Times New Roman"/>
                      <w:caps/>
                      <w:color w:val="auto"/>
                      <w:szCs w:val="21"/>
                      <w:highlight w:val="none"/>
                    </w:rPr>
                  </w:pPr>
                </w:p>
              </w:tc>
              <w:tc>
                <w:tcPr>
                  <w:tcW w:w="477" w:type="pct"/>
                  <w:vAlign w:val="center"/>
                </w:tcPr>
                <w:p w14:paraId="5E70B6A8">
                  <w:pPr>
                    <w:adjustRightInd w:val="0"/>
                    <w:snapToGrid w:val="0"/>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施工期</w:t>
                  </w:r>
                </w:p>
              </w:tc>
              <w:tc>
                <w:tcPr>
                  <w:tcW w:w="466" w:type="pct"/>
                  <w:vAlign w:val="center"/>
                </w:tcPr>
                <w:p w14:paraId="63C0A7BE">
                  <w:pPr>
                    <w:adjustRightInd w:val="0"/>
                    <w:snapToGrid w:val="0"/>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营运期</w:t>
                  </w:r>
                </w:p>
              </w:tc>
            </w:tr>
            <w:tr w14:paraId="238A5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1" w:type="pct"/>
                  <w:vAlign w:val="center"/>
                </w:tcPr>
                <w:p w14:paraId="57BC240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主体工程</w:t>
                  </w:r>
                </w:p>
              </w:tc>
              <w:tc>
                <w:tcPr>
                  <w:tcW w:w="3583" w:type="pct"/>
                  <w:gridSpan w:val="2"/>
                  <w:vAlign w:val="center"/>
                </w:tcPr>
                <w:p w14:paraId="46109EBD">
                  <w:pPr>
                    <w:pStyle w:val="51"/>
                    <w:keepNext w:val="0"/>
                    <w:keepLines w:val="0"/>
                    <w:pageBreakBefore w:val="0"/>
                    <w:widowControl w:val="0"/>
                    <w:kinsoku/>
                    <w:wordWrap/>
                    <w:overflowPunct/>
                    <w:topLinePunct w:val="0"/>
                    <w:autoSpaceDE/>
                    <w:autoSpaceDN/>
                    <w:bidi w:val="0"/>
                    <w:adjustRightInd w:val="0"/>
                    <w:snapToGrid w:val="0"/>
                    <w:spacing w:line="240" w:lineRule="auto"/>
                    <w:ind w:firstLine="440" w:firstLineChars="200"/>
                    <w:jc w:val="both"/>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pacing w:val="5"/>
                      <w:sz w:val="21"/>
                      <w:szCs w:val="21"/>
                      <w:highlight w:val="none"/>
                      <w:shd w:val="clear" w:color="auto" w:fill="FFFFFF"/>
                      <w:lang w:val="en-US" w:eastAsia="zh-CN"/>
                    </w:rPr>
                    <w:t>医院拟在</w:t>
                  </w:r>
                  <w:r>
                    <w:rPr>
                      <w:rFonts w:hint="default" w:ascii="Times New Roman" w:hAnsi="Times New Roman"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val="en-US" w:eastAsia="zh-CN"/>
                    </w:rPr>
                    <w:t>医疗综合楼四楼东北角</w:t>
                  </w:r>
                  <w:r>
                    <w:rPr>
                      <w:rFonts w:hint="default" w:ascii="Times New Roman" w:hAnsi="Times New Roman" w:cs="Times New Roman"/>
                      <w:color w:val="auto"/>
                      <w:sz w:val="21"/>
                      <w:szCs w:val="21"/>
                      <w:highlight w:val="none"/>
                      <w:lang w:val="en-US" w:eastAsia="zh-CN"/>
                    </w:rPr>
                    <w:t>建设DSA介入室。DSA介入室有效使用面积47.2m</w:t>
                  </w:r>
                  <w:r>
                    <w:rPr>
                      <w:rFonts w:hint="default" w:ascii="Times New Roman" w:hAnsi="Times New Roman" w:cs="Times New Roman"/>
                      <w:color w:val="auto"/>
                      <w:sz w:val="21"/>
                      <w:szCs w:val="21"/>
                      <w:highlight w:val="none"/>
                      <w:vertAlign w:val="superscript"/>
                      <w:lang w:val="en-US" w:eastAsia="zh-CN"/>
                    </w:rPr>
                    <w:t>2</w:t>
                  </w:r>
                  <w:r>
                    <w:rPr>
                      <w:rFonts w:hint="default" w:ascii="Times New Roman" w:hAnsi="Times New Roman" w:cs="Times New Roman"/>
                      <w:color w:val="auto"/>
                      <w:sz w:val="21"/>
                      <w:szCs w:val="21"/>
                      <w:highlight w:val="none"/>
                      <w:vertAlign w:val="baseline"/>
                      <w:lang w:val="en-US" w:eastAsia="zh-CN"/>
                    </w:rPr>
                    <w:t>（长8.2m×宽5.7m，层高4.45m，吊顶高度3m）。</w:t>
                  </w:r>
                </w:p>
                <w:p w14:paraId="050D7B31">
                  <w:pPr>
                    <w:pStyle w:val="51"/>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jc w:val="both"/>
                    <w:textAlignment w:val="auto"/>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防护条件：</w:t>
                  </w:r>
                </w:p>
                <w:p w14:paraId="5BC3C841">
                  <w:pPr>
                    <w:pStyle w:val="51"/>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jc w:val="both"/>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四周墙体：</w:t>
                  </w:r>
                  <w:r>
                    <w:rPr>
                      <w:rFonts w:hint="default" w:ascii="Times New Roman" w:hAnsi="Times New Roman" w:cs="Times New Roman"/>
                      <w:color w:val="auto"/>
                      <w:sz w:val="21"/>
                      <w:szCs w:val="21"/>
                      <w:highlight w:val="none"/>
                      <w:vertAlign w:val="baseline"/>
                      <w:lang w:val="en-US" w:eastAsia="zh-CN"/>
                    </w:rPr>
                    <w:t>DSA介入室墙体建筑楼板为</w:t>
                  </w:r>
                  <w:r>
                    <w:rPr>
                      <w:rFonts w:hint="eastAsia" w:ascii="Times New Roman" w:hAnsi="Times New Roman" w:cs="Times New Roman"/>
                      <w:color w:val="auto"/>
                      <w:sz w:val="21"/>
                      <w:szCs w:val="21"/>
                      <w:highlight w:val="none"/>
                      <w:vertAlign w:val="baseline"/>
                      <w:lang w:val="en-US" w:eastAsia="zh-CN"/>
                    </w:rPr>
                    <w:t>200</w:t>
                  </w:r>
                  <w:r>
                    <w:rPr>
                      <w:rFonts w:hint="default" w:ascii="Times New Roman" w:hAnsi="Times New Roman" w:cs="Times New Roman"/>
                      <w:color w:val="auto"/>
                      <w:sz w:val="21"/>
                      <w:szCs w:val="21"/>
                      <w:highlight w:val="none"/>
                      <w:vertAlign w:val="baseline"/>
                      <w:lang w:val="en-US" w:eastAsia="zh-CN"/>
                    </w:rPr>
                    <w:t>mm实心砖墙体，在墙体两面安装钢架龙骨，龙骨采用40*40*2镀锌矩管主龙骨，40*40*12镀锌矩管次龙骨，主龙骨间距450mm，次龙骨间距900mm。墙壁两面龙骨上安装12mm石膏板；在DSA介入室一面石膏板上采用螺钉固定安装22mm厚复合射线防护板，防护板尺寸为1000mm×3000mm，接缝处采用50mm宽同铅当量铅板覆盖。最后使用6mm医疗洁净板装饰。</w:t>
                  </w:r>
                  <w:r>
                    <w:rPr>
                      <w:rFonts w:hint="eastAsia" w:ascii="Times New Roman" w:hAnsi="Times New Roman" w:cs="Times New Roman"/>
                      <w:color w:val="auto"/>
                      <w:sz w:val="21"/>
                      <w:szCs w:val="21"/>
                      <w:highlight w:val="none"/>
                      <w:vertAlign w:val="baseline"/>
                      <w:lang w:val="en-US" w:eastAsia="zh-CN"/>
                    </w:rPr>
                    <w:t xml:space="preserve"> </w:t>
                  </w:r>
                </w:p>
                <w:p w14:paraId="67DA0C5F">
                  <w:pPr>
                    <w:pStyle w:val="51"/>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jc w:val="both"/>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地面结构：</w:t>
                  </w:r>
                  <w:r>
                    <w:rPr>
                      <w:rFonts w:hint="default" w:ascii="Times New Roman" w:hAnsi="Times New Roman" w:cs="Times New Roman"/>
                      <w:color w:val="auto"/>
                      <w:sz w:val="21"/>
                      <w:szCs w:val="21"/>
                      <w:highlight w:val="none"/>
                      <w:vertAlign w:val="baseline"/>
                      <w:lang w:val="en-US" w:eastAsia="zh-CN"/>
                    </w:rPr>
                    <w:t>DSA介入室地面原土建楼板为150mm混凝土，在楼板上方刷45mm厚硫酸钡水泥，硫酸钡水泥上方采用水泥砂浆自流平，最后采用2mmPVC地面做地面装饰。</w:t>
                  </w:r>
                </w:p>
                <w:p w14:paraId="09E47E81">
                  <w:pPr>
                    <w:pStyle w:val="51"/>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jc w:val="both"/>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顶部：</w:t>
                  </w:r>
                  <w:r>
                    <w:rPr>
                      <w:rFonts w:hint="default" w:ascii="Times New Roman" w:hAnsi="Times New Roman" w:cs="Times New Roman"/>
                      <w:b w:val="0"/>
                      <w:bCs w:val="0"/>
                      <w:color w:val="auto"/>
                      <w:sz w:val="21"/>
                      <w:szCs w:val="21"/>
                      <w:highlight w:val="none"/>
                      <w:vertAlign w:val="baseline"/>
                      <w:lang w:val="en-US" w:eastAsia="zh-CN"/>
                    </w:rPr>
                    <w:t>在</w:t>
                  </w:r>
                  <w:r>
                    <w:rPr>
                      <w:rFonts w:hint="default" w:ascii="Times New Roman" w:hAnsi="Times New Roman" w:cs="Times New Roman"/>
                      <w:color w:val="auto"/>
                      <w:sz w:val="21"/>
                      <w:szCs w:val="21"/>
                      <w:highlight w:val="none"/>
                      <w:vertAlign w:val="baseline"/>
                      <w:lang w:val="en-US" w:eastAsia="zh-CN"/>
                    </w:rPr>
                    <w:t>DSA介入室顶部建筑楼板安装吊杆，吊杆上架设轻钢龙骨，在龙骨上安装22mm厚复合射线防护板，防护板尺寸为1000mm×3000mm，接缝处采用50mm宽同铅当量铅板覆盖。复合射线防护板下方加设9.5mm石膏板，最后采用6mm医疗洁净板作为顶部装饰。</w:t>
                  </w:r>
                </w:p>
                <w:p w14:paraId="2ADA2E30">
                  <w:pPr>
                    <w:pStyle w:val="51"/>
                    <w:keepNext w:val="0"/>
                    <w:keepLines w:val="0"/>
                    <w:pageBreakBefore w:val="0"/>
                    <w:widowControl w:val="0"/>
                    <w:kinsoku/>
                    <w:wordWrap/>
                    <w:overflowPunct/>
                    <w:topLinePunct w:val="0"/>
                    <w:autoSpaceDE/>
                    <w:autoSpaceDN/>
                    <w:bidi w:val="0"/>
                    <w:adjustRightInd w:val="0"/>
                    <w:snapToGrid w:val="0"/>
                    <w:spacing w:line="240" w:lineRule="auto"/>
                    <w:ind w:firstLine="442" w:firstLineChars="200"/>
                    <w:jc w:val="both"/>
                    <w:textAlignment w:val="auto"/>
                    <w:rPr>
                      <w:rFonts w:hint="default" w:ascii="Times New Roman" w:hAnsi="Times New Roman" w:cs="Times New Roman"/>
                      <w:b/>
                      <w:bCs/>
                      <w:color w:val="auto"/>
                      <w:spacing w:val="5"/>
                      <w:sz w:val="21"/>
                      <w:szCs w:val="21"/>
                      <w:highlight w:val="none"/>
                      <w:shd w:val="clear" w:color="auto" w:fill="FFFFFF"/>
                      <w:lang w:val="en-US" w:eastAsia="zh-CN"/>
                    </w:rPr>
                  </w:pPr>
                  <w:r>
                    <w:rPr>
                      <w:rFonts w:hint="default" w:ascii="Times New Roman" w:hAnsi="Times New Roman" w:cs="Times New Roman"/>
                      <w:b/>
                      <w:bCs/>
                      <w:color w:val="auto"/>
                      <w:spacing w:val="5"/>
                      <w:sz w:val="21"/>
                      <w:szCs w:val="21"/>
                      <w:highlight w:val="none"/>
                      <w:shd w:val="clear" w:color="auto" w:fill="FFFFFF"/>
                      <w:lang w:val="en-US" w:eastAsia="zh-CN"/>
                    </w:rPr>
                    <w:t>通排风系统穿墙及电缆沟：</w:t>
                  </w:r>
                </w:p>
                <w:p w14:paraId="12618395">
                  <w:pPr>
                    <w:pStyle w:val="51"/>
                    <w:adjustRightInd w:val="0"/>
                    <w:snapToGrid w:val="0"/>
                    <w:ind w:firstLine="420" w:firstLineChars="200"/>
                    <w:jc w:val="both"/>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电缆线穿孔位置采用U型穿孔，并在穿墙口采用铅橡胶套进行封堵并加盖不锈钢盖板，避免漏射产生。为防止射线泄漏，DSA介入室通排风管道穿墙处采用3mm铅当量的铅板包裹。</w:t>
                  </w:r>
                </w:p>
                <w:p w14:paraId="5F0AC0E8">
                  <w:pPr>
                    <w:pStyle w:val="51"/>
                    <w:adjustRightInd w:val="0"/>
                    <w:snapToGrid w:val="0"/>
                    <w:ind w:firstLine="420" w:firstLineChars="200"/>
                    <w:jc w:val="both"/>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该台DSA厂家型号为飞利浦Azurion5 M20，最大管电压125kV，最大管电流1000mA。</w:t>
                  </w:r>
                </w:p>
                <w:p w14:paraId="3AA56470">
                  <w:pPr>
                    <w:pStyle w:val="51"/>
                    <w:adjustRightInd w:val="0"/>
                    <w:snapToGrid w:val="0"/>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vertAlign w:val="baseline"/>
                      <w:lang w:val="en-US" w:eastAsia="zh-CN"/>
                    </w:rPr>
                    <w:t>本项目DSA合计出束时间为93.625h（透视：89.167h；拍片4.458h），曝光方向由下而上。</w:t>
                  </w:r>
                </w:p>
              </w:tc>
              <w:tc>
                <w:tcPr>
                  <w:tcW w:w="477" w:type="pct"/>
                  <w:vMerge w:val="restart"/>
                  <w:vAlign w:val="center"/>
                </w:tcPr>
                <w:p w14:paraId="59D396D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施工期：噪声、扬尘、废水、固体废物；</w:t>
                  </w:r>
                </w:p>
                <w:p w14:paraId="6E0DD877">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安装调试期：X射线</w:t>
                  </w:r>
                </w:p>
                <w:p w14:paraId="3F56716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臭氧、氮氧化物</w:t>
                  </w:r>
                </w:p>
                <w:p w14:paraId="13AC955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66" w:type="pct"/>
                  <w:vAlign w:val="center"/>
                </w:tcPr>
                <w:p w14:paraId="02C2947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X射线</w:t>
                  </w:r>
                </w:p>
                <w:p w14:paraId="6BA21F7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臭氧、氮氧化物</w:t>
                  </w:r>
                </w:p>
                <w:p w14:paraId="6E8A262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噪声</w:t>
                  </w:r>
                </w:p>
                <w:p w14:paraId="438C45E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医疗废物</w:t>
                  </w:r>
                </w:p>
              </w:tc>
            </w:tr>
            <w:tr w14:paraId="1559F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1" w:type="pct"/>
                  <w:vAlign w:val="center"/>
                </w:tcPr>
                <w:p w14:paraId="221A941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辅助工程</w:t>
                  </w:r>
                </w:p>
              </w:tc>
              <w:tc>
                <w:tcPr>
                  <w:tcW w:w="3583" w:type="pct"/>
                  <w:gridSpan w:val="2"/>
                  <w:vAlign w:val="center"/>
                </w:tcPr>
                <w:p w14:paraId="45FC63C3">
                  <w:pPr>
                    <w:pStyle w:val="51"/>
                    <w:adjustRightInd w:val="0"/>
                    <w:snapToGrid w:val="0"/>
                    <w:ind w:firstLine="420" w:firstLineChars="200"/>
                    <w:jc w:val="both"/>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vertAlign w:val="baseline"/>
                      <w:lang w:val="en-US" w:eastAsia="zh-CN"/>
                    </w:rPr>
                    <w:t>DSA介入室配套使用1间</w:t>
                  </w:r>
                  <w:r>
                    <w:rPr>
                      <w:rFonts w:hint="default" w:ascii="Times New Roman" w:hAnsi="Times New Roman" w:cs="Times New Roman"/>
                      <w:color w:val="auto"/>
                      <w:spacing w:val="5"/>
                      <w:sz w:val="21"/>
                      <w:szCs w:val="21"/>
                      <w:highlight w:val="none"/>
                      <w:shd w:val="clear" w:color="auto" w:fill="FFFFFF"/>
                      <w:lang w:val="en-US" w:eastAsia="zh-CN"/>
                    </w:rPr>
                    <w:t>设备间（16.9m</w:t>
                  </w:r>
                  <w:r>
                    <w:rPr>
                      <w:rFonts w:hint="default" w:ascii="Times New Roman" w:hAnsi="Times New Roman" w:cs="Times New Roman"/>
                      <w:color w:val="auto"/>
                      <w:spacing w:val="5"/>
                      <w:sz w:val="21"/>
                      <w:szCs w:val="21"/>
                      <w:highlight w:val="none"/>
                      <w:shd w:val="clear" w:color="auto" w:fill="FFFFFF"/>
                      <w:vertAlign w:val="superscript"/>
                      <w:lang w:val="en-US" w:eastAsia="zh-CN"/>
                    </w:rPr>
                    <w:t>2</w:t>
                  </w:r>
                  <w:r>
                    <w:rPr>
                      <w:rFonts w:hint="default" w:ascii="Times New Roman" w:hAnsi="Times New Roman" w:cs="Times New Roman"/>
                      <w:color w:val="auto"/>
                      <w:spacing w:val="5"/>
                      <w:sz w:val="21"/>
                      <w:szCs w:val="21"/>
                      <w:highlight w:val="none"/>
                      <w:shd w:val="clear" w:color="auto" w:fill="FFFFFF"/>
                      <w:lang w:val="en-US" w:eastAsia="zh-CN"/>
                    </w:rPr>
                    <w:t>）、1间污物间（11.3m</w:t>
                  </w:r>
                  <w:r>
                    <w:rPr>
                      <w:rFonts w:hint="default" w:ascii="Times New Roman" w:hAnsi="Times New Roman" w:cs="Times New Roman"/>
                      <w:color w:val="auto"/>
                      <w:spacing w:val="5"/>
                      <w:sz w:val="21"/>
                      <w:szCs w:val="21"/>
                      <w:highlight w:val="none"/>
                      <w:shd w:val="clear" w:color="auto" w:fill="FFFFFF"/>
                      <w:vertAlign w:val="superscript"/>
                      <w:lang w:val="en-US" w:eastAsia="zh-CN"/>
                    </w:rPr>
                    <w:t>2</w:t>
                  </w:r>
                  <w:r>
                    <w:rPr>
                      <w:rFonts w:hint="default" w:ascii="Times New Roman" w:hAnsi="Times New Roman" w:cs="Times New Roman"/>
                      <w:color w:val="auto"/>
                      <w:spacing w:val="5"/>
                      <w:sz w:val="21"/>
                      <w:szCs w:val="21"/>
                      <w:highlight w:val="none"/>
                      <w:shd w:val="clear" w:color="auto" w:fill="FFFFFF"/>
                      <w:lang w:val="en-US" w:eastAsia="zh-CN"/>
                    </w:rPr>
                    <w:t>）、1间控制室（22.1m</w:t>
                  </w:r>
                  <w:r>
                    <w:rPr>
                      <w:rFonts w:hint="default" w:ascii="Times New Roman" w:hAnsi="Times New Roman" w:cs="Times New Roman"/>
                      <w:color w:val="auto"/>
                      <w:spacing w:val="5"/>
                      <w:sz w:val="21"/>
                      <w:szCs w:val="21"/>
                      <w:highlight w:val="none"/>
                      <w:shd w:val="clear" w:color="auto" w:fill="FFFFFF"/>
                      <w:vertAlign w:val="superscript"/>
                      <w:lang w:val="en-US" w:eastAsia="zh-CN"/>
                    </w:rPr>
                    <w:t>2</w:t>
                  </w:r>
                  <w:r>
                    <w:rPr>
                      <w:rFonts w:hint="default" w:ascii="Times New Roman" w:hAnsi="Times New Roman" w:cs="Times New Roman"/>
                      <w:color w:val="auto"/>
                      <w:spacing w:val="5"/>
                      <w:sz w:val="21"/>
                      <w:szCs w:val="21"/>
                      <w:highlight w:val="none"/>
                      <w:shd w:val="clear" w:color="auto" w:fill="FFFFFF"/>
                      <w:lang w:val="en-US" w:eastAsia="zh-CN"/>
                    </w:rPr>
                    <w:t>）、1间患者恢复室（10.5m</w:t>
                  </w:r>
                  <w:r>
                    <w:rPr>
                      <w:rFonts w:hint="default" w:ascii="Times New Roman" w:hAnsi="Times New Roman" w:cs="Times New Roman"/>
                      <w:color w:val="auto"/>
                      <w:spacing w:val="5"/>
                      <w:sz w:val="21"/>
                      <w:szCs w:val="21"/>
                      <w:highlight w:val="none"/>
                      <w:shd w:val="clear" w:color="auto" w:fill="FFFFFF"/>
                      <w:vertAlign w:val="superscript"/>
                      <w:lang w:val="en-US" w:eastAsia="zh-CN"/>
                    </w:rPr>
                    <w:t>2</w:t>
                  </w:r>
                  <w:r>
                    <w:rPr>
                      <w:rFonts w:hint="default" w:ascii="Times New Roman" w:hAnsi="Times New Roman" w:cs="Times New Roman"/>
                      <w:color w:val="auto"/>
                      <w:spacing w:val="5"/>
                      <w:sz w:val="21"/>
                      <w:szCs w:val="21"/>
                      <w:highlight w:val="none"/>
                      <w:shd w:val="clear" w:color="auto" w:fill="FFFFFF"/>
                      <w:lang w:val="en-US" w:eastAsia="zh-CN"/>
                    </w:rPr>
                    <w:t>）、1间高值耗材存放处（8.68m</w:t>
                  </w:r>
                  <w:r>
                    <w:rPr>
                      <w:rFonts w:hint="default" w:ascii="Times New Roman" w:hAnsi="Times New Roman" w:cs="Times New Roman"/>
                      <w:color w:val="auto"/>
                      <w:spacing w:val="5"/>
                      <w:sz w:val="21"/>
                      <w:szCs w:val="21"/>
                      <w:highlight w:val="none"/>
                      <w:shd w:val="clear" w:color="auto" w:fill="FFFFFF"/>
                      <w:vertAlign w:val="superscript"/>
                      <w:lang w:val="en-US" w:eastAsia="zh-CN"/>
                    </w:rPr>
                    <w:t>2</w:t>
                  </w:r>
                  <w:r>
                    <w:rPr>
                      <w:rFonts w:hint="default" w:ascii="Times New Roman" w:hAnsi="Times New Roman" w:cs="Times New Roman"/>
                      <w:color w:val="auto"/>
                      <w:spacing w:val="5"/>
                      <w:sz w:val="21"/>
                      <w:szCs w:val="21"/>
                      <w:highlight w:val="none"/>
                      <w:shd w:val="clear" w:color="auto" w:fill="FFFFFF"/>
                      <w:lang w:val="en-US" w:eastAsia="zh-CN"/>
                    </w:rPr>
                    <w:t>）、1个患者缓冲区（27.2m</w:t>
                  </w:r>
                  <w:r>
                    <w:rPr>
                      <w:rFonts w:hint="default" w:ascii="Times New Roman" w:hAnsi="Times New Roman" w:cs="Times New Roman"/>
                      <w:color w:val="auto"/>
                      <w:spacing w:val="5"/>
                      <w:sz w:val="21"/>
                      <w:szCs w:val="21"/>
                      <w:highlight w:val="none"/>
                      <w:shd w:val="clear" w:color="auto" w:fill="FFFFFF"/>
                      <w:vertAlign w:val="superscript"/>
                      <w:lang w:val="en-US" w:eastAsia="zh-CN"/>
                    </w:rPr>
                    <w:t>2</w:t>
                  </w:r>
                  <w:r>
                    <w:rPr>
                      <w:rFonts w:hint="default" w:ascii="Times New Roman" w:hAnsi="Times New Roman" w:cs="Times New Roman"/>
                      <w:color w:val="auto"/>
                      <w:spacing w:val="5"/>
                      <w:sz w:val="21"/>
                      <w:szCs w:val="21"/>
                      <w:highlight w:val="none"/>
                      <w:shd w:val="clear" w:color="auto" w:fill="FFFFFF"/>
                      <w:lang w:val="en-US" w:eastAsia="zh-CN"/>
                    </w:rPr>
                    <w:t>）、1间患者卫生间（5.46m</w:t>
                  </w:r>
                  <w:r>
                    <w:rPr>
                      <w:rFonts w:hint="default" w:ascii="Times New Roman" w:hAnsi="Times New Roman" w:cs="Times New Roman"/>
                      <w:color w:val="auto"/>
                      <w:spacing w:val="5"/>
                      <w:sz w:val="21"/>
                      <w:szCs w:val="21"/>
                      <w:highlight w:val="none"/>
                      <w:shd w:val="clear" w:color="auto" w:fill="FFFFFF"/>
                      <w:vertAlign w:val="superscript"/>
                      <w:lang w:val="en-US" w:eastAsia="zh-CN"/>
                    </w:rPr>
                    <w:t>2</w:t>
                  </w:r>
                  <w:r>
                    <w:rPr>
                      <w:rFonts w:hint="default" w:ascii="Times New Roman" w:hAnsi="Times New Roman" w:cs="Times New Roman"/>
                      <w:color w:val="auto"/>
                      <w:spacing w:val="5"/>
                      <w:sz w:val="21"/>
                      <w:szCs w:val="21"/>
                      <w:highlight w:val="none"/>
                      <w:shd w:val="clear" w:color="auto" w:fill="FFFFFF"/>
                      <w:lang w:val="en-US" w:eastAsia="zh-CN"/>
                    </w:rPr>
                    <w:t>）、1个医护人员更衣间和卫浴间（18.7m</w:t>
                  </w:r>
                  <w:r>
                    <w:rPr>
                      <w:rFonts w:hint="default" w:ascii="Times New Roman" w:hAnsi="Times New Roman" w:cs="Times New Roman"/>
                      <w:color w:val="auto"/>
                      <w:spacing w:val="5"/>
                      <w:sz w:val="21"/>
                      <w:szCs w:val="21"/>
                      <w:highlight w:val="none"/>
                      <w:shd w:val="clear" w:color="auto" w:fill="FFFFFF"/>
                      <w:vertAlign w:val="superscript"/>
                      <w:lang w:val="en-US" w:eastAsia="zh-CN"/>
                    </w:rPr>
                    <w:t>2</w:t>
                  </w:r>
                  <w:r>
                    <w:rPr>
                      <w:rFonts w:hint="default" w:ascii="Times New Roman" w:hAnsi="Times New Roman" w:cs="Times New Roman"/>
                      <w:color w:val="auto"/>
                      <w:spacing w:val="5"/>
                      <w:sz w:val="21"/>
                      <w:szCs w:val="21"/>
                      <w:highlight w:val="none"/>
                      <w:shd w:val="clear" w:color="auto" w:fill="FFFFFF"/>
                      <w:lang w:val="en-US" w:eastAsia="zh-CN"/>
                    </w:rPr>
                    <w:t>）、1个医护通道（7.4m</w:t>
                  </w:r>
                  <w:r>
                    <w:rPr>
                      <w:rFonts w:hint="default" w:ascii="Times New Roman" w:hAnsi="Times New Roman" w:cs="Times New Roman"/>
                      <w:color w:val="auto"/>
                      <w:spacing w:val="5"/>
                      <w:sz w:val="21"/>
                      <w:szCs w:val="21"/>
                      <w:highlight w:val="none"/>
                      <w:shd w:val="clear" w:color="auto" w:fill="FFFFFF"/>
                      <w:vertAlign w:val="superscript"/>
                      <w:lang w:val="en-US" w:eastAsia="zh-CN"/>
                    </w:rPr>
                    <w:t>2</w:t>
                  </w:r>
                  <w:r>
                    <w:rPr>
                      <w:rFonts w:hint="default" w:ascii="Times New Roman" w:hAnsi="Times New Roman" w:cs="Times New Roman"/>
                      <w:color w:val="auto"/>
                      <w:spacing w:val="5"/>
                      <w:sz w:val="21"/>
                      <w:szCs w:val="21"/>
                      <w:highlight w:val="none"/>
                      <w:shd w:val="clear" w:color="auto" w:fill="FFFFFF"/>
                      <w:lang w:val="en-US" w:eastAsia="zh-CN"/>
                    </w:rPr>
                    <w:t>）、1个污物通道（11.5m</w:t>
                  </w:r>
                  <w:r>
                    <w:rPr>
                      <w:rFonts w:hint="default" w:ascii="Times New Roman" w:hAnsi="Times New Roman" w:cs="Times New Roman"/>
                      <w:color w:val="auto"/>
                      <w:spacing w:val="5"/>
                      <w:sz w:val="21"/>
                      <w:szCs w:val="21"/>
                      <w:highlight w:val="none"/>
                      <w:shd w:val="clear" w:color="auto" w:fill="FFFFFF"/>
                      <w:vertAlign w:val="superscript"/>
                      <w:lang w:val="en-US" w:eastAsia="zh-CN"/>
                    </w:rPr>
                    <w:t>2</w:t>
                  </w:r>
                  <w:r>
                    <w:rPr>
                      <w:rFonts w:hint="default" w:ascii="Times New Roman" w:hAnsi="Times New Roman" w:cs="Times New Roman"/>
                      <w:color w:val="auto"/>
                      <w:spacing w:val="5"/>
                      <w:sz w:val="21"/>
                      <w:szCs w:val="21"/>
                      <w:highlight w:val="none"/>
                      <w:shd w:val="clear" w:color="auto" w:fill="FFFFFF"/>
                      <w:lang w:val="en-US" w:eastAsia="zh-CN"/>
                    </w:rPr>
                    <w:t>）等。</w:t>
                  </w:r>
                </w:p>
              </w:tc>
              <w:tc>
                <w:tcPr>
                  <w:tcW w:w="477" w:type="pct"/>
                  <w:vMerge w:val="continue"/>
                  <w:vAlign w:val="center"/>
                </w:tcPr>
                <w:p w14:paraId="3185763D">
                  <w:pPr>
                    <w:adjustRightInd w:val="0"/>
                    <w:snapToGrid w:val="0"/>
                    <w:jc w:val="center"/>
                    <w:rPr>
                      <w:rFonts w:hint="default" w:ascii="Times New Roman" w:hAnsi="Times New Roman" w:cs="Times New Roman"/>
                      <w:color w:val="auto"/>
                      <w:szCs w:val="21"/>
                      <w:highlight w:val="none"/>
                    </w:rPr>
                  </w:pPr>
                </w:p>
              </w:tc>
              <w:tc>
                <w:tcPr>
                  <w:tcW w:w="466" w:type="pct"/>
                  <w:vMerge w:val="restart"/>
                  <w:vAlign w:val="center"/>
                </w:tcPr>
                <w:p w14:paraId="236207A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废水、固体废物</w:t>
                  </w:r>
                </w:p>
              </w:tc>
            </w:tr>
            <w:tr w14:paraId="0B1AF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471" w:type="pct"/>
                  <w:vAlign w:val="center"/>
                </w:tcPr>
                <w:p w14:paraId="5273CC5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公用工程</w:t>
                  </w:r>
                </w:p>
              </w:tc>
              <w:tc>
                <w:tcPr>
                  <w:tcW w:w="3583" w:type="pct"/>
                  <w:gridSpan w:val="2"/>
                  <w:vAlign w:val="center"/>
                </w:tcPr>
                <w:p w14:paraId="26E1B0CE">
                  <w:pPr>
                    <w:widowControl/>
                    <w:adjustRightInd w:val="0"/>
                    <w:snapToGrid w:val="0"/>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垃圾房、污水处理站等、市政水网、市政电网、配电系统、通讯系统等依托医院</w:t>
                  </w:r>
                  <w:r>
                    <w:rPr>
                      <w:rFonts w:hint="default" w:ascii="Times New Roman" w:hAnsi="Times New Roman" w:cs="Times New Roman"/>
                      <w:color w:val="auto"/>
                      <w:szCs w:val="21"/>
                      <w:highlight w:val="none"/>
                      <w:lang w:val="en-US" w:eastAsia="zh-CN"/>
                    </w:rPr>
                    <w:t>公用</w:t>
                  </w:r>
                  <w:r>
                    <w:rPr>
                      <w:rFonts w:hint="default" w:ascii="Times New Roman" w:hAnsi="Times New Roman" w:cs="Times New Roman"/>
                      <w:color w:val="auto"/>
                      <w:szCs w:val="21"/>
                      <w:highlight w:val="none"/>
                    </w:rPr>
                    <w:t>工程。</w:t>
                  </w:r>
                </w:p>
              </w:tc>
              <w:tc>
                <w:tcPr>
                  <w:tcW w:w="477" w:type="pct"/>
                  <w:vMerge w:val="continue"/>
                  <w:vAlign w:val="center"/>
                </w:tcPr>
                <w:p w14:paraId="4445CBD6">
                  <w:pPr>
                    <w:adjustRightInd w:val="0"/>
                    <w:snapToGrid w:val="0"/>
                    <w:jc w:val="center"/>
                    <w:rPr>
                      <w:rFonts w:hint="default" w:ascii="Times New Roman" w:hAnsi="Times New Roman" w:cs="Times New Roman"/>
                      <w:color w:val="auto"/>
                      <w:szCs w:val="21"/>
                      <w:highlight w:val="none"/>
                    </w:rPr>
                  </w:pPr>
                </w:p>
              </w:tc>
              <w:tc>
                <w:tcPr>
                  <w:tcW w:w="466" w:type="pct"/>
                  <w:vMerge w:val="continue"/>
                  <w:vAlign w:val="center"/>
                </w:tcPr>
                <w:p w14:paraId="7518EE80">
                  <w:pPr>
                    <w:adjustRightInd w:val="0"/>
                    <w:snapToGrid w:val="0"/>
                    <w:jc w:val="center"/>
                    <w:rPr>
                      <w:rFonts w:hint="default" w:ascii="Times New Roman" w:hAnsi="Times New Roman" w:cs="Times New Roman"/>
                      <w:color w:val="auto"/>
                      <w:szCs w:val="21"/>
                      <w:highlight w:val="none"/>
                    </w:rPr>
                  </w:pPr>
                </w:p>
              </w:tc>
            </w:tr>
            <w:tr w14:paraId="1146A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1" w:type="pct"/>
                  <w:vAlign w:val="center"/>
                </w:tcPr>
                <w:p w14:paraId="15065BD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办公及</w:t>
                  </w:r>
                  <w:r>
                    <w:rPr>
                      <w:rFonts w:hint="default" w:ascii="Times New Roman" w:hAnsi="Times New Roman" w:cs="Times New Roman"/>
                      <w:color w:val="auto"/>
                      <w:spacing w:val="-14"/>
                      <w:szCs w:val="21"/>
                      <w:highlight w:val="none"/>
                    </w:rPr>
                    <w:t>生活设施</w:t>
                  </w:r>
                </w:p>
              </w:tc>
              <w:tc>
                <w:tcPr>
                  <w:tcW w:w="3583" w:type="pct"/>
                  <w:gridSpan w:val="2"/>
                  <w:vAlign w:val="center"/>
                </w:tcPr>
                <w:p w14:paraId="25B24985">
                  <w:pPr>
                    <w:adjustRightInd w:val="0"/>
                    <w:snapToGrid w:val="0"/>
                    <w:ind w:firstLine="420" w:firstLineChars="200"/>
                    <w:jc w:val="left"/>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办公室、卫生间等均依托医院办公设施</w:t>
                  </w:r>
                  <w:r>
                    <w:rPr>
                      <w:rFonts w:hint="default" w:ascii="Times New Roman" w:hAnsi="Times New Roman" w:cs="Times New Roman"/>
                      <w:color w:val="auto"/>
                      <w:szCs w:val="21"/>
                      <w:highlight w:val="none"/>
                      <w:lang w:eastAsia="zh-CN"/>
                    </w:rPr>
                    <w:t>。</w:t>
                  </w:r>
                </w:p>
              </w:tc>
              <w:tc>
                <w:tcPr>
                  <w:tcW w:w="477" w:type="pct"/>
                  <w:vMerge w:val="continue"/>
                  <w:vAlign w:val="center"/>
                </w:tcPr>
                <w:p w14:paraId="4BE3CA37">
                  <w:pPr>
                    <w:adjustRightInd w:val="0"/>
                    <w:snapToGrid w:val="0"/>
                    <w:jc w:val="center"/>
                    <w:rPr>
                      <w:rFonts w:hint="default" w:ascii="Times New Roman" w:hAnsi="Times New Roman" w:cs="Times New Roman"/>
                      <w:color w:val="auto"/>
                      <w:szCs w:val="21"/>
                      <w:highlight w:val="none"/>
                    </w:rPr>
                  </w:pPr>
                </w:p>
              </w:tc>
              <w:tc>
                <w:tcPr>
                  <w:tcW w:w="466" w:type="pct"/>
                  <w:vAlign w:val="center"/>
                </w:tcPr>
                <w:p w14:paraId="7D25EDC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生活垃圾</w:t>
                  </w:r>
                </w:p>
              </w:tc>
            </w:tr>
            <w:tr w14:paraId="6EAFB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1" w:type="pct"/>
                  <w:vMerge w:val="restart"/>
                  <w:vAlign w:val="center"/>
                </w:tcPr>
                <w:p w14:paraId="3A16C8B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环保工程</w:t>
                  </w:r>
                </w:p>
              </w:tc>
              <w:tc>
                <w:tcPr>
                  <w:tcW w:w="308" w:type="pct"/>
                  <w:vAlign w:val="center"/>
                </w:tcPr>
                <w:p w14:paraId="3DD04BD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废水</w:t>
                  </w:r>
                </w:p>
              </w:tc>
              <w:tc>
                <w:tcPr>
                  <w:tcW w:w="3275" w:type="pct"/>
                  <w:vAlign w:val="center"/>
                </w:tcPr>
                <w:p w14:paraId="5EC275F6">
                  <w:pPr>
                    <w:pStyle w:val="7"/>
                    <w:keepNext w:val="0"/>
                    <w:keepLines w:val="0"/>
                    <w:pageBreakBefore w:val="0"/>
                    <w:widowControl w:val="0"/>
                    <w:kinsoku/>
                    <w:wordWrap/>
                    <w:overflowPunct/>
                    <w:topLinePunct w:val="0"/>
                    <w:autoSpaceDE/>
                    <w:autoSpaceDN/>
                    <w:bidi w:val="0"/>
                    <w:adjustRightInd w:val="0"/>
                    <w:snapToGrid w:val="0"/>
                    <w:spacing w:line="240" w:lineRule="exact"/>
                    <w:ind w:firstLine="420" w:firstLineChars="200"/>
                    <w:jc w:val="both"/>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生活污水及医疗废水依托医院设施处理，达标后排入市政污水管网</w:t>
                  </w:r>
                  <w:r>
                    <w:rPr>
                      <w:rFonts w:hint="default" w:ascii="Times New Roman" w:hAnsi="Times New Roman" w:cs="Times New Roman"/>
                      <w:color w:val="auto"/>
                      <w:szCs w:val="21"/>
                      <w:highlight w:val="none"/>
                      <w:lang w:eastAsia="zh-CN"/>
                    </w:rPr>
                    <w:t>。</w:t>
                  </w:r>
                </w:p>
              </w:tc>
              <w:tc>
                <w:tcPr>
                  <w:tcW w:w="477" w:type="pct"/>
                  <w:vMerge w:val="continue"/>
                  <w:vAlign w:val="center"/>
                </w:tcPr>
                <w:p w14:paraId="7E3D0AFB">
                  <w:pPr>
                    <w:adjustRightInd w:val="0"/>
                    <w:snapToGrid w:val="0"/>
                    <w:jc w:val="center"/>
                    <w:rPr>
                      <w:rFonts w:hint="default" w:ascii="Times New Roman" w:hAnsi="Times New Roman" w:cs="Times New Roman"/>
                      <w:color w:val="auto"/>
                      <w:szCs w:val="21"/>
                      <w:highlight w:val="none"/>
                    </w:rPr>
                  </w:pPr>
                </w:p>
              </w:tc>
              <w:tc>
                <w:tcPr>
                  <w:tcW w:w="466" w:type="pct"/>
                  <w:vAlign w:val="center"/>
                </w:tcPr>
                <w:p w14:paraId="0EC3500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废水</w:t>
                  </w:r>
                </w:p>
              </w:tc>
            </w:tr>
            <w:tr w14:paraId="5C44A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1" w:type="pct"/>
                  <w:vMerge w:val="continue"/>
                  <w:vAlign w:val="center"/>
                </w:tcPr>
                <w:p w14:paraId="33DB4A5E">
                  <w:pPr>
                    <w:adjustRightInd w:val="0"/>
                    <w:snapToGrid w:val="0"/>
                    <w:jc w:val="center"/>
                    <w:rPr>
                      <w:rFonts w:hint="default" w:ascii="Times New Roman" w:hAnsi="Times New Roman" w:cs="Times New Roman"/>
                      <w:color w:val="auto"/>
                      <w:szCs w:val="21"/>
                      <w:highlight w:val="none"/>
                    </w:rPr>
                  </w:pPr>
                  <w:bookmarkStart w:id="4" w:name="_Toc452968465"/>
                  <w:bookmarkStart w:id="5" w:name="_Toc336431507"/>
                  <w:bookmarkStart w:id="6" w:name="_Toc311726697"/>
                </w:p>
              </w:tc>
              <w:tc>
                <w:tcPr>
                  <w:tcW w:w="308" w:type="pct"/>
                  <w:vAlign w:val="center"/>
                </w:tcPr>
                <w:p w14:paraId="4A9773F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医疗废物</w:t>
                  </w:r>
                </w:p>
              </w:tc>
              <w:tc>
                <w:tcPr>
                  <w:tcW w:w="3275" w:type="pct"/>
                  <w:vAlign w:val="center"/>
                </w:tcPr>
                <w:p w14:paraId="6004FD78">
                  <w:pPr>
                    <w:pStyle w:val="59"/>
                    <w:keepNext w:val="0"/>
                    <w:keepLines w:val="0"/>
                    <w:pageBreakBefore w:val="0"/>
                    <w:widowControl w:val="0"/>
                    <w:kinsoku/>
                    <w:wordWrap/>
                    <w:overflowPunct/>
                    <w:topLinePunct w:val="0"/>
                    <w:autoSpaceDE/>
                    <w:autoSpaceDN/>
                    <w:bidi w:val="0"/>
                    <w:adjustRightInd w:val="0"/>
                    <w:snapToGrid w:val="0"/>
                    <w:spacing w:line="240" w:lineRule="exact"/>
                    <w:ind w:firstLine="420" w:firstLineChars="200"/>
                    <w:jc w:val="both"/>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本项目的医疗废物暂存于</w:t>
                  </w:r>
                  <w:r>
                    <w:rPr>
                      <w:rFonts w:hint="default" w:ascii="Times New Roman" w:hAnsi="Times New Roman" w:cs="Times New Roman"/>
                      <w:color w:val="auto"/>
                      <w:szCs w:val="21"/>
                      <w:highlight w:val="none"/>
                      <w:lang w:val="en-US" w:eastAsia="zh-CN"/>
                    </w:rPr>
                    <w:t>院区</w:t>
                  </w:r>
                  <w:r>
                    <w:rPr>
                      <w:rFonts w:hint="default" w:ascii="Times New Roman" w:hAnsi="Times New Roman" w:cs="Times New Roman"/>
                      <w:color w:val="auto"/>
                      <w:szCs w:val="21"/>
                      <w:highlight w:val="none"/>
                    </w:rPr>
                    <w:t>的医疗废物暂存间，医院</w:t>
                  </w:r>
                  <w:r>
                    <w:rPr>
                      <w:rFonts w:hint="default" w:ascii="Times New Roman" w:hAnsi="Times New Roman" w:cs="Times New Roman"/>
                      <w:color w:val="auto"/>
                      <w:szCs w:val="21"/>
                      <w:highlight w:val="none"/>
                      <w:lang w:val="en-US" w:eastAsia="zh-CN"/>
                    </w:rPr>
                    <w:t>拟</w:t>
                  </w:r>
                  <w:r>
                    <w:rPr>
                      <w:rFonts w:hint="default" w:ascii="Times New Roman" w:hAnsi="Times New Roman" w:cs="Times New Roman"/>
                      <w:color w:val="auto"/>
                      <w:szCs w:val="21"/>
                      <w:highlight w:val="none"/>
                    </w:rPr>
                    <w:t>委托</w:t>
                  </w:r>
                  <w:r>
                    <w:rPr>
                      <w:rFonts w:hint="default" w:ascii="Times New Roman" w:hAnsi="Times New Roman" w:cs="Times New Roman"/>
                      <w:color w:val="auto"/>
                      <w:szCs w:val="21"/>
                      <w:highlight w:val="none"/>
                      <w:lang w:val="en-US" w:eastAsia="zh-CN"/>
                    </w:rPr>
                    <w:t>巴中市城投医疗废物处置有限公司</w:t>
                  </w:r>
                  <w:r>
                    <w:rPr>
                      <w:rFonts w:hint="default" w:ascii="Times New Roman" w:hAnsi="Times New Roman" w:cs="Times New Roman"/>
                      <w:color w:val="auto"/>
                      <w:szCs w:val="21"/>
                      <w:highlight w:val="none"/>
                    </w:rPr>
                    <w:t>进行处理。</w:t>
                  </w:r>
                </w:p>
              </w:tc>
              <w:tc>
                <w:tcPr>
                  <w:tcW w:w="477" w:type="pct"/>
                  <w:vMerge w:val="continue"/>
                  <w:vAlign w:val="center"/>
                </w:tcPr>
                <w:p w14:paraId="1DD940E1">
                  <w:pPr>
                    <w:adjustRightInd w:val="0"/>
                    <w:snapToGrid w:val="0"/>
                    <w:jc w:val="center"/>
                    <w:rPr>
                      <w:rFonts w:hint="default" w:ascii="Times New Roman" w:hAnsi="Times New Roman" w:cs="Times New Roman"/>
                      <w:color w:val="auto"/>
                      <w:szCs w:val="21"/>
                      <w:highlight w:val="none"/>
                    </w:rPr>
                  </w:pPr>
                </w:p>
              </w:tc>
              <w:tc>
                <w:tcPr>
                  <w:tcW w:w="466" w:type="pct"/>
                  <w:vMerge w:val="restart"/>
                  <w:vAlign w:val="center"/>
                </w:tcPr>
                <w:p w14:paraId="46FF567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固体废物</w:t>
                  </w:r>
                </w:p>
              </w:tc>
            </w:tr>
            <w:tr w14:paraId="4D930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65" w:hRule="atLeast"/>
                <w:jc w:val="center"/>
              </w:trPr>
              <w:tc>
                <w:tcPr>
                  <w:tcW w:w="471" w:type="pct"/>
                  <w:vMerge w:val="continue"/>
                  <w:vAlign w:val="center"/>
                </w:tcPr>
                <w:p w14:paraId="14F29BFA">
                  <w:pPr>
                    <w:adjustRightInd w:val="0"/>
                    <w:snapToGrid w:val="0"/>
                    <w:jc w:val="center"/>
                    <w:rPr>
                      <w:rFonts w:hint="default" w:ascii="Times New Roman" w:hAnsi="Times New Roman" w:cs="Times New Roman"/>
                      <w:color w:val="auto"/>
                      <w:szCs w:val="21"/>
                      <w:highlight w:val="none"/>
                    </w:rPr>
                  </w:pPr>
                </w:p>
              </w:tc>
              <w:tc>
                <w:tcPr>
                  <w:tcW w:w="308" w:type="pct"/>
                  <w:vAlign w:val="center"/>
                </w:tcPr>
                <w:p w14:paraId="0256A53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生活垃圾</w:t>
                  </w:r>
                </w:p>
              </w:tc>
              <w:tc>
                <w:tcPr>
                  <w:tcW w:w="3275" w:type="pct"/>
                  <w:vAlign w:val="center"/>
                </w:tcPr>
                <w:p w14:paraId="05AA3489">
                  <w:pPr>
                    <w:pStyle w:val="59"/>
                    <w:keepNext w:val="0"/>
                    <w:keepLines w:val="0"/>
                    <w:pageBreakBefore w:val="0"/>
                    <w:widowControl w:val="0"/>
                    <w:kinsoku/>
                    <w:wordWrap/>
                    <w:overflowPunct/>
                    <w:topLinePunct w:val="0"/>
                    <w:autoSpaceDE/>
                    <w:autoSpaceDN/>
                    <w:bidi w:val="0"/>
                    <w:adjustRightInd w:val="0"/>
                    <w:snapToGrid w:val="0"/>
                    <w:spacing w:line="240" w:lineRule="exact"/>
                    <w:ind w:firstLine="420" w:firstLineChars="200"/>
                    <w:jc w:val="both"/>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办公、生活垃圾</w:t>
                  </w:r>
                  <w:r>
                    <w:rPr>
                      <w:rFonts w:hint="default" w:ascii="Times New Roman" w:hAnsi="Times New Roman" w:cs="Times New Roman"/>
                      <w:bCs/>
                      <w:color w:val="auto"/>
                      <w:szCs w:val="21"/>
                      <w:highlight w:val="none"/>
                    </w:rPr>
                    <w:t>各楼层设垃圾桶，每天由清洁人员收集至生活垃圾暂存间，最后统一收集由市政环卫部门每日统一清运处置。</w:t>
                  </w:r>
                </w:p>
              </w:tc>
              <w:tc>
                <w:tcPr>
                  <w:tcW w:w="477" w:type="pct"/>
                  <w:vMerge w:val="continue"/>
                  <w:vAlign w:val="center"/>
                </w:tcPr>
                <w:p w14:paraId="0F28E8FC">
                  <w:pPr>
                    <w:adjustRightInd w:val="0"/>
                    <w:snapToGrid w:val="0"/>
                    <w:jc w:val="center"/>
                    <w:rPr>
                      <w:rFonts w:hint="default" w:ascii="Times New Roman" w:hAnsi="Times New Roman" w:cs="Times New Roman"/>
                      <w:color w:val="auto"/>
                      <w:szCs w:val="21"/>
                      <w:highlight w:val="none"/>
                    </w:rPr>
                  </w:pPr>
                </w:p>
              </w:tc>
              <w:tc>
                <w:tcPr>
                  <w:tcW w:w="466" w:type="pct"/>
                  <w:vMerge w:val="continue"/>
                  <w:vAlign w:val="center"/>
                </w:tcPr>
                <w:p w14:paraId="110B3FE1">
                  <w:pPr>
                    <w:adjustRightInd w:val="0"/>
                    <w:snapToGrid w:val="0"/>
                    <w:jc w:val="center"/>
                    <w:rPr>
                      <w:rFonts w:hint="default" w:ascii="Times New Roman" w:hAnsi="Times New Roman" w:cs="Times New Roman"/>
                      <w:color w:val="auto"/>
                      <w:szCs w:val="21"/>
                      <w:highlight w:val="none"/>
                    </w:rPr>
                  </w:pPr>
                </w:p>
              </w:tc>
            </w:tr>
            <w:tr w14:paraId="64861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44" w:hRule="atLeast"/>
                <w:jc w:val="center"/>
              </w:trPr>
              <w:tc>
                <w:tcPr>
                  <w:tcW w:w="471" w:type="pct"/>
                  <w:vMerge w:val="continue"/>
                  <w:vAlign w:val="center"/>
                </w:tcPr>
                <w:p w14:paraId="47481A03">
                  <w:pPr>
                    <w:adjustRightInd w:val="0"/>
                    <w:snapToGrid w:val="0"/>
                    <w:jc w:val="center"/>
                    <w:rPr>
                      <w:rFonts w:hint="default" w:ascii="Times New Roman" w:hAnsi="Times New Roman" w:cs="Times New Roman"/>
                      <w:color w:val="auto"/>
                      <w:szCs w:val="21"/>
                      <w:highlight w:val="none"/>
                    </w:rPr>
                  </w:pPr>
                </w:p>
              </w:tc>
              <w:tc>
                <w:tcPr>
                  <w:tcW w:w="308" w:type="pct"/>
                  <w:vAlign w:val="center"/>
                </w:tcPr>
                <w:p w14:paraId="362CC8A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废气</w:t>
                  </w:r>
                </w:p>
              </w:tc>
              <w:tc>
                <w:tcPr>
                  <w:tcW w:w="3275" w:type="pct"/>
                  <w:vAlign w:val="center"/>
                </w:tcPr>
                <w:p w14:paraId="38C99463">
                  <w:pPr>
                    <w:pStyle w:val="51"/>
                    <w:adjustRightInd w:val="0"/>
                    <w:snapToGrid w:val="0"/>
                    <w:ind w:firstLine="420" w:firstLineChars="200"/>
                    <w:jc w:val="both"/>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本项目DSA介入室废气依靠拟建通排风系统排放。</w:t>
                  </w:r>
                </w:p>
              </w:tc>
              <w:tc>
                <w:tcPr>
                  <w:tcW w:w="477" w:type="pct"/>
                  <w:vMerge w:val="continue"/>
                  <w:vAlign w:val="center"/>
                </w:tcPr>
                <w:p w14:paraId="23B9D408">
                  <w:pPr>
                    <w:adjustRightInd w:val="0"/>
                    <w:snapToGrid w:val="0"/>
                    <w:jc w:val="center"/>
                    <w:rPr>
                      <w:rFonts w:hint="default" w:ascii="Times New Roman" w:hAnsi="Times New Roman" w:cs="Times New Roman"/>
                      <w:color w:val="auto"/>
                      <w:szCs w:val="21"/>
                      <w:highlight w:val="none"/>
                    </w:rPr>
                  </w:pPr>
                </w:p>
              </w:tc>
              <w:tc>
                <w:tcPr>
                  <w:tcW w:w="466" w:type="pct"/>
                  <w:vAlign w:val="center"/>
                </w:tcPr>
                <w:p w14:paraId="4BA157F6">
                  <w:pPr>
                    <w:adjustRightInd w:val="0"/>
                    <w:snapToGrid w:val="0"/>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val="en-US" w:eastAsia="zh-CN"/>
                    </w:rPr>
                    <w:t>废气</w:t>
                  </w:r>
                </w:p>
              </w:tc>
            </w:tr>
          </w:tbl>
          <w:p w14:paraId="50497F37">
            <w:pPr>
              <w:adjustRightInd w:val="0"/>
              <w:snapToGrid w:val="0"/>
              <w:spacing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（五）主要原辅材料</w:t>
            </w:r>
          </w:p>
          <w:p w14:paraId="536DACC2">
            <w:pPr>
              <w:widowControl/>
              <w:adjustRightInd w:val="0"/>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szCs w:val="22"/>
                <w:highlight w:val="none"/>
              </w:rPr>
              <w:t>本项目主要原辅材料及能耗情况见表1-</w:t>
            </w:r>
            <w:r>
              <w:rPr>
                <w:rFonts w:hint="default" w:ascii="Times New Roman" w:hAnsi="Times New Roman" w:cs="Times New Roman"/>
                <w:color w:val="auto"/>
                <w:sz w:val="24"/>
                <w:szCs w:val="22"/>
                <w:highlight w:val="none"/>
                <w:lang w:val="en-US" w:eastAsia="zh-CN"/>
              </w:rPr>
              <w:t>3</w:t>
            </w:r>
            <w:r>
              <w:rPr>
                <w:rFonts w:hint="default" w:ascii="Times New Roman" w:hAnsi="Times New Roman" w:cs="Times New Roman"/>
                <w:color w:val="auto"/>
                <w:sz w:val="24"/>
                <w:szCs w:val="22"/>
                <w:highlight w:val="none"/>
              </w:rPr>
              <w:t>。</w:t>
            </w:r>
          </w:p>
          <w:p w14:paraId="52F8B724">
            <w:pPr>
              <w:pStyle w:val="8"/>
              <w:numPr>
                <w:ilvl w:val="0"/>
                <w:numId w:val="3"/>
              </w:numPr>
              <w:ind w:left="425" w:leftChars="0" w:hanging="425"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主要原辅材料及能耗情况表</w:t>
            </w:r>
          </w:p>
          <w:tbl>
            <w:tblPr>
              <w:tblStyle w:val="22"/>
              <w:tblW w:w="4969"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28" w:type="dxa"/>
                <w:left w:w="0" w:type="dxa"/>
                <w:bottom w:w="28" w:type="dxa"/>
                <w:right w:w="0" w:type="dxa"/>
              </w:tblCellMar>
            </w:tblPr>
            <w:tblGrid>
              <w:gridCol w:w="1367"/>
              <w:gridCol w:w="1049"/>
              <w:gridCol w:w="2000"/>
              <w:gridCol w:w="1699"/>
              <w:gridCol w:w="1068"/>
              <w:gridCol w:w="1042"/>
            </w:tblGrid>
            <w:tr w14:paraId="3A152A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0" w:type="dxa"/>
                  <w:bottom w:w="28" w:type="dxa"/>
                  <w:right w:w="0" w:type="dxa"/>
                </w:tblCellMar>
              </w:tblPrEx>
              <w:trPr>
                <w:trHeight w:val="83" w:hRule="atLeast"/>
                <w:jc w:val="center"/>
              </w:trPr>
              <w:tc>
                <w:tcPr>
                  <w:tcW w:w="831"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060B1B6">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类别</w:t>
                  </w:r>
                </w:p>
              </w:tc>
              <w:tc>
                <w:tcPr>
                  <w:tcW w:w="637"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3335F9F">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名称</w:t>
                  </w:r>
                </w:p>
              </w:tc>
              <w:tc>
                <w:tcPr>
                  <w:tcW w:w="1215"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1EC476C">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数量</w:t>
                  </w:r>
                </w:p>
              </w:tc>
              <w:tc>
                <w:tcPr>
                  <w:tcW w:w="1032" w:type="pct"/>
                  <w:tcBorders>
                    <w:top w:val="single" w:color="auto" w:sz="4" w:space="0"/>
                    <w:left w:val="single" w:color="auto" w:sz="4" w:space="0"/>
                    <w:bottom w:val="single" w:color="auto" w:sz="4" w:space="0"/>
                    <w:right w:val="single" w:color="auto" w:sz="4" w:space="0"/>
                    <w:tl2br w:val="nil"/>
                    <w:tr2bl w:val="nil"/>
                  </w:tcBorders>
                  <w:shd w:val="clear" w:color="auto" w:fill="auto"/>
                  <w:tcMar>
                    <w:left w:w="0" w:type="dxa"/>
                    <w:right w:w="0" w:type="dxa"/>
                  </w:tcMar>
                  <w:vAlign w:val="center"/>
                </w:tcPr>
                <w:p w14:paraId="13B2CCB5">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来源</w:t>
                  </w:r>
                </w:p>
              </w:tc>
              <w:tc>
                <w:tcPr>
                  <w:tcW w:w="64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D36000A">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用途</w:t>
                  </w:r>
                </w:p>
              </w:tc>
              <w:tc>
                <w:tcPr>
                  <w:tcW w:w="633"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C4C446D">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备注</w:t>
                  </w:r>
                </w:p>
              </w:tc>
            </w:tr>
            <w:tr w14:paraId="0A8F7F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0" w:type="dxa"/>
                  <w:bottom w:w="28" w:type="dxa"/>
                  <w:right w:w="0" w:type="dxa"/>
                </w:tblCellMar>
              </w:tblPrEx>
              <w:trPr>
                <w:trHeight w:val="90" w:hRule="atLeast"/>
                <w:jc w:val="center"/>
              </w:trPr>
              <w:tc>
                <w:tcPr>
                  <w:tcW w:w="831" w:type="pct"/>
                  <w:tcBorders>
                    <w:top w:val="single" w:color="auto" w:sz="4" w:space="0"/>
                    <w:left w:val="single" w:color="auto" w:sz="4" w:space="0"/>
                    <w:bottom w:val="single" w:color="auto" w:sz="4" w:space="0"/>
                    <w:right w:val="single" w:color="auto" w:sz="4" w:space="0"/>
                    <w:tl2br w:val="nil"/>
                    <w:tr2bl w:val="nil"/>
                  </w:tcBorders>
                  <w:vAlign w:val="center"/>
                </w:tcPr>
                <w:p w14:paraId="2D4057E1">
                  <w:pPr>
                    <w:pStyle w:val="59"/>
                    <w:adjustRightInd w:val="0"/>
                    <w:snapToGrid w:val="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主要原辅材料</w:t>
                  </w:r>
                </w:p>
              </w:tc>
              <w:tc>
                <w:tcPr>
                  <w:tcW w:w="637" w:type="pct"/>
                  <w:tcBorders>
                    <w:top w:val="single" w:color="auto" w:sz="4" w:space="0"/>
                    <w:left w:val="single" w:color="auto" w:sz="4" w:space="0"/>
                    <w:bottom w:val="single" w:color="auto" w:sz="4" w:space="0"/>
                    <w:right w:val="single" w:color="auto" w:sz="4" w:space="0"/>
                    <w:tl2br w:val="nil"/>
                    <w:tr2bl w:val="nil"/>
                  </w:tcBorders>
                  <w:vAlign w:val="center"/>
                </w:tcPr>
                <w:p w14:paraId="59C15212">
                  <w:pPr>
                    <w:pStyle w:val="59"/>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造影剂</w:t>
                  </w:r>
                </w:p>
              </w:tc>
              <w:tc>
                <w:tcPr>
                  <w:tcW w:w="1215" w:type="pct"/>
                  <w:tcBorders>
                    <w:top w:val="single" w:color="auto" w:sz="4" w:space="0"/>
                    <w:left w:val="single" w:color="auto" w:sz="4" w:space="0"/>
                    <w:bottom w:val="single" w:color="auto" w:sz="4" w:space="0"/>
                    <w:right w:val="single" w:color="auto" w:sz="4" w:space="0"/>
                    <w:tl2br w:val="nil"/>
                    <w:tr2bl w:val="nil"/>
                  </w:tcBorders>
                  <w:vAlign w:val="center"/>
                </w:tcPr>
                <w:p w14:paraId="6F87BDC4">
                  <w:pPr>
                    <w:pStyle w:val="59"/>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50</w:t>
                  </w:r>
                  <w:r>
                    <w:rPr>
                      <w:rFonts w:hint="default" w:ascii="Times New Roman" w:hAnsi="Times New Roman" w:cs="Times New Roman"/>
                      <w:color w:val="auto"/>
                      <w:szCs w:val="21"/>
                      <w:highlight w:val="none"/>
                    </w:rPr>
                    <w:t>ml/瓶×</w:t>
                  </w:r>
                  <w:r>
                    <w:rPr>
                      <w:rFonts w:hint="default" w:ascii="Times New Roman" w:hAnsi="Times New Roman" w:cs="Times New Roman"/>
                      <w:color w:val="auto"/>
                      <w:szCs w:val="21"/>
                      <w:highlight w:val="none"/>
                      <w:lang w:val="en-US" w:eastAsia="zh-CN"/>
                    </w:rPr>
                    <w:t>4</w:t>
                  </w:r>
                  <w:r>
                    <w:rPr>
                      <w:rFonts w:hint="default" w:ascii="Times New Roman" w:hAnsi="Times New Roman" w:cs="Times New Roman"/>
                      <w:color w:val="auto"/>
                      <w:szCs w:val="21"/>
                      <w:highlight w:val="none"/>
                    </w:rPr>
                    <w:t>瓶/台手术×</w:t>
                  </w:r>
                  <w:r>
                    <w:rPr>
                      <w:rFonts w:hint="default" w:ascii="Times New Roman" w:hAnsi="Times New Roman" w:cs="Times New Roman"/>
                      <w:color w:val="auto"/>
                      <w:szCs w:val="21"/>
                      <w:highlight w:val="none"/>
                      <w:lang w:val="en-US" w:eastAsia="zh-CN"/>
                    </w:rPr>
                    <w:t>350</w:t>
                  </w:r>
                  <w:r>
                    <w:rPr>
                      <w:rFonts w:hint="default" w:ascii="Times New Roman" w:hAnsi="Times New Roman" w:cs="Times New Roman"/>
                      <w:color w:val="auto"/>
                      <w:szCs w:val="21"/>
                      <w:highlight w:val="none"/>
                    </w:rPr>
                    <w:t>台=</w:t>
                  </w:r>
                  <w:r>
                    <w:rPr>
                      <w:rFonts w:hint="default" w:ascii="Times New Roman" w:hAnsi="Times New Roman" w:cs="Times New Roman"/>
                      <w:color w:val="auto"/>
                      <w:szCs w:val="21"/>
                      <w:highlight w:val="none"/>
                      <w:lang w:val="en-US" w:eastAsia="zh-CN"/>
                    </w:rPr>
                    <w:t>70</w:t>
                  </w:r>
                  <w:r>
                    <w:rPr>
                      <w:rFonts w:hint="default" w:ascii="Times New Roman" w:hAnsi="Times New Roman" w:cs="Times New Roman"/>
                      <w:color w:val="auto"/>
                      <w:szCs w:val="21"/>
                      <w:highlight w:val="none"/>
                    </w:rPr>
                    <w:t>L</w:t>
                  </w:r>
                </w:p>
              </w:tc>
              <w:tc>
                <w:tcPr>
                  <w:tcW w:w="1032" w:type="pct"/>
                  <w:tcBorders>
                    <w:top w:val="single" w:color="auto" w:sz="4" w:space="0"/>
                    <w:left w:val="single" w:color="auto" w:sz="4" w:space="0"/>
                    <w:bottom w:val="single" w:color="auto" w:sz="4" w:space="0"/>
                    <w:right w:val="single" w:color="auto" w:sz="4" w:space="0"/>
                    <w:tl2br w:val="nil"/>
                    <w:tr2bl w:val="nil"/>
                  </w:tcBorders>
                  <w:tcMar>
                    <w:left w:w="0" w:type="dxa"/>
                    <w:right w:w="0" w:type="dxa"/>
                  </w:tcMar>
                  <w:vAlign w:val="center"/>
                </w:tcPr>
                <w:p w14:paraId="798AD066">
                  <w:pPr>
                    <w:pStyle w:val="59"/>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外购</w:t>
                  </w:r>
                </w:p>
              </w:tc>
              <w:tc>
                <w:tcPr>
                  <w:tcW w:w="649" w:type="pct"/>
                  <w:tcBorders>
                    <w:top w:val="single" w:color="auto" w:sz="4" w:space="0"/>
                    <w:left w:val="single" w:color="auto" w:sz="4" w:space="0"/>
                    <w:bottom w:val="single" w:color="auto" w:sz="4" w:space="0"/>
                    <w:right w:val="single" w:color="auto" w:sz="4" w:space="0"/>
                    <w:tl2br w:val="nil"/>
                    <w:tr2bl w:val="nil"/>
                  </w:tcBorders>
                  <w:vAlign w:val="center"/>
                </w:tcPr>
                <w:p w14:paraId="11340FA2">
                  <w:pPr>
                    <w:pStyle w:val="59"/>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造影使用</w:t>
                  </w:r>
                </w:p>
              </w:tc>
              <w:tc>
                <w:tcPr>
                  <w:tcW w:w="633" w:type="pct"/>
                  <w:tcBorders>
                    <w:top w:val="single" w:color="auto" w:sz="4" w:space="0"/>
                    <w:left w:val="single" w:color="auto" w:sz="4" w:space="0"/>
                    <w:bottom w:val="single" w:color="auto" w:sz="4" w:space="0"/>
                    <w:right w:val="single" w:color="auto" w:sz="4" w:space="0"/>
                    <w:tl2br w:val="nil"/>
                    <w:tr2bl w:val="nil"/>
                  </w:tcBorders>
                  <w:vAlign w:val="center"/>
                </w:tcPr>
                <w:p w14:paraId="0AD0EBC8">
                  <w:pPr>
                    <w:pStyle w:val="59"/>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320mg I/ml</w:t>
                  </w:r>
                </w:p>
              </w:tc>
            </w:tr>
            <w:tr w14:paraId="294D7F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0" w:type="dxa"/>
                  <w:bottom w:w="28" w:type="dxa"/>
                  <w:right w:w="0" w:type="dxa"/>
                </w:tblCellMar>
              </w:tblPrEx>
              <w:trPr>
                <w:trHeight w:val="83" w:hRule="atLeast"/>
                <w:jc w:val="center"/>
              </w:trPr>
              <w:tc>
                <w:tcPr>
                  <w:tcW w:w="831" w:type="pct"/>
                  <w:tcBorders>
                    <w:top w:val="single" w:color="auto" w:sz="4" w:space="0"/>
                    <w:left w:val="single" w:color="auto" w:sz="4" w:space="0"/>
                    <w:bottom w:val="single" w:color="auto" w:sz="4" w:space="0"/>
                    <w:right w:val="single" w:color="auto" w:sz="4" w:space="0"/>
                    <w:tl2br w:val="nil"/>
                    <w:tr2bl w:val="nil"/>
                  </w:tcBorders>
                  <w:vAlign w:val="center"/>
                </w:tcPr>
                <w:p w14:paraId="60973B97">
                  <w:pPr>
                    <w:pStyle w:val="59"/>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能源</w:t>
                  </w:r>
                </w:p>
              </w:tc>
              <w:tc>
                <w:tcPr>
                  <w:tcW w:w="637" w:type="pct"/>
                  <w:tcBorders>
                    <w:top w:val="single" w:color="auto" w:sz="4" w:space="0"/>
                    <w:left w:val="single" w:color="auto" w:sz="4" w:space="0"/>
                    <w:bottom w:val="single" w:color="auto" w:sz="4" w:space="0"/>
                    <w:right w:val="single" w:color="auto" w:sz="4" w:space="0"/>
                    <w:tl2br w:val="nil"/>
                    <w:tr2bl w:val="nil"/>
                  </w:tcBorders>
                  <w:vAlign w:val="center"/>
                </w:tcPr>
                <w:p w14:paraId="6AB8425E">
                  <w:pPr>
                    <w:pStyle w:val="59"/>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w:t>
                  </w:r>
                </w:p>
              </w:tc>
              <w:tc>
                <w:tcPr>
                  <w:tcW w:w="1215" w:type="pct"/>
                  <w:tcBorders>
                    <w:top w:val="single" w:color="auto" w:sz="4" w:space="0"/>
                    <w:left w:val="single" w:color="auto" w:sz="4" w:space="0"/>
                    <w:bottom w:val="single" w:color="auto" w:sz="4" w:space="0"/>
                    <w:right w:val="single" w:color="auto" w:sz="4" w:space="0"/>
                    <w:tl2br w:val="nil"/>
                    <w:tr2bl w:val="nil"/>
                  </w:tcBorders>
                  <w:vAlign w:val="center"/>
                </w:tcPr>
                <w:p w14:paraId="17080A99">
                  <w:pPr>
                    <w:pStyle w:val="59"/>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500kW·h/a</w:t>
                  </w:r>
                </w:p>
              </w:tc>
              <w:tc>
                <w:tcPr>
                  <w:tcW w:w="1032" w:type="pct"/>
                  <w:tcBorders>
                    <w:top w:val="single" w:color="auto" w:sz="4" w:space="0"/>
                    <w:left w:val="single" w:color="auto" w:sz="4" w:space="0"/>
                    <w:bottom w:val="single" w:color="auto" w:sz="4" w:space="0"/>
                    <w:right w:val="single" w:color="auto" w:sz="4" w:space="0"/>
                    <w:tl2br w:val="nil"/>
                    <w:tr2bl w:val="nil"/>
                  </w:tcBorders>
                  <w:tcMar>
                    <w:left w:w="0" w:type="dxa"/>
                    <w:right w:w="0" w:type="dxa"/>
                  </w:tcMar>
                  <w:vAlign w:val="center"/>
                </w:tcPr>
                <w:p w14:paraId="52BA53D9">
                  <w:pPr>
                    <w:pStyle w:val="59"/>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城市电网</w:t>
                  </w:r>
                </w:p>
              </w:tc>
              <w:tc>
                <w:tcPr>
                  <w:tcW w:w="649" w:type="pct"/>
                  <w:tcBorders>
                    <w:top w:val="single" w:color="auto" w:sz="4" w:space="0"/>
                    <w:left w:val="single" w:color="auto" w:sz="4" w:space="0"/>
                    <w:bottom w:val="single" w:color="auto" w:sz="4" w:space="0"/>
                    <w:right w:val="single" w:color="auto" w:sz="4" w:space="0"/>
                    <w:tl2br w:val="nil"/>
                    <w:tr2bl w:val="nil"/>
                  </w:tcBorders>
                  <w:vAlign w:val="center"/>
                </w:tcPr>
                <w:p w14:paraId="0A1FC52E">
                  <w:pPr>
                    <w:pStyle w:val="59"/>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机房用电</w:t>
                  </w:r>
                </w:p>
              </w:tc>
              <w:tc>
                <w:tcPr>
                  <w:tcW w:w="633" w:type="pct"/>
                  <w:tcBorders>
                    <w:top w:val="single" w:color="auto" w:sz="4" w:space="0"/>
                    <w:left w:val="single" w:color="auto" w:sz="4" w:space="0"/>
                    <w:bottom w:val="single" w:color="auto" w:sz="4" w:space="0"/>
                    <w:right w:val="single" w:color="auto" w:sz="4" w:space="0"/>
                    <w:tl2br w:val="nil"/>
                    <w:tr2bl w:val="nil"/>
                  </w:tcBorders>
                  <w:vAlign w:val="center"/>
                </w:tcPr>
                <w:p w14:paraId="78938280">
                  <w:pPr>
                    <w:pStyle w:val="59"/>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2890F0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28" w:type="dxa"/>
                  <w:left w:w="0" w:type="dxa"/>
                  <w:bottom w:w="28" w:type="dxa"/>
                  <w:right w:w="0" w:type="dxa"/>
                </w:tblCellMar>
              </w:tblPrEx>
              <w:trPr>
                <w:trHeight w:val="83" w:hRule="atLeast"/>
                <w:jc w:val="center"/>
              </w:trPr>
              <w:tc>
                <w:tcPr>
                  <w:tcW w:w="831" w:type="pct"/>
                  <w:tcBorders>
                    <w:top w:val="single" w:color="auto" w:sz="4" w:space="0"/>
                    <w:left w:val="single" w:color="auto" w:sz="4" w:space="0"/>
                    <w:bottom w:val="single" w:color="auto" w:sz="4" w:space="0"/>
                    <w:right w:val="single" w:color="auto" w:sz="4" w:space="0"/>
                    <w:tl2br w:val="nil"/>
                    <w:tr2bl w:val="nil"/>
                  </w:tcBorders>
                  <w:vAlign w:val="center"/>
                </w:tcPr>
                <w:p w14:paraId="75CC4F98">
                  <w:pPr>
                    <w:pStyle w:val="59"/>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水资源</w:t>
                  </w:r>
                </w:p>
              </w:tc>
              <w:tc>
                <w:tcPr>
                  <w:tcW w:w="637" w:type="pct"/>
                  <w:tcBorders>
                    <w:top w:val="single" w:color="auto" w:sz="4" w:space="0"/>
                    <w:left w:val="single" w:color="auto" w:sz="4" w:space="0"/>
                    <w:bottom w:val="single" w:color="auto" w:sz="4" w:space="0"/>
                    <w:right w:val="single" w:color="auto" w:sz="4" w:space="0"/>
                    <w:tl2br w:val="nil"/>
                    <w:tr2bl w:val="nil"/>
                  </w:tcBorders>
                  <w:vAlign w:val="center"/>
                </w:tcPr>
                <w:p w14:paraId="68053012">
                  <w:pPr>
                    <w:pStyle w:val="59"/>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生活用水</w:t>
                  </w:r>
                </w:p>
              </w:tc>
              <w:tc>
                <w:tcPr>
                  <w:tcW w:w="1215" w:type="pct"/>
                  <w:tcBorders>
                    <w:top w:val="single" w:color="auto" w:sz="4" w:space="0"/>
                    <w:left w:val="single" w:color="auto" w:sz="4" w:space="0"/>
                    <w:bottom w:val="single" w:color="auto" w:sz="4" w:space="0"/>
                    <w:right w:val="single" w:color="auto" w:sz="4" w:space="0"/>
                    <w:tl2br w:val="nil"/>
                    <w:tr2bl w:val="nil"/>
                  </w:tcBorders>
                  <w:vAlign w:val="center"/>
                </w:tcPr>
                <w:p w14:paraId="05A14FD8">
                  <w:pPr>
                    <w:pStyle w:val="59"/>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600m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/a</w:t>
                  </w:r>
                </w:p>
              </w:tc>
              <w:tc>
                <w:tcPr>
                  <w:tcW w:w="1032" w:type="pct"/>
                  <w:tcBorders>
                    <w:top w:val="single" w:color="auto" w:sz="4" w:space="0"/>
                    <w:left w:val="single" w:color="auto" w:sz="4" w:space="0"/>
                    <w:bottom w:val="single" w:color="auto" w:sz="4" w:space="0"/>
                    <w:right w:val="single" w:color="auto" w:sz="4" w:space="0"/>
                    <w:tl2br w:val="nil"/>
                    <w:tr2bl w:val="nil"/>
                  </w:tcBorders>
                  <w:tcMar>
                    <w:left w:w="0" w:type="dxa"/>
                    <w:right w:w="0" w:type="dxa"/>
                  </w:tcMar>
                  <w:vAlign w:val="center"/>
                </w:tcPr>
                <w:p w14:paraId="19C67F8F">
                  <w:pPr>
                    <w:pStyle w:val="59"/>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城市生活用水管网</w:t>
                  </w:r>
                </w:p>
              </w:tc>
              <w:tc>
                <w:tcPr>
                  <w:tcW w:w="649" w:type="pct"/>
                  <w:tcBorders>
                    <w:top w:val="single" w:color="auto" w:sz="4" w:space="0"/>
                    <w:left w:val="single" w:color="auto" w:sz="4" w:space="0"/>
                    <w:bottom w:val="single" w:color="auto" w:sz="4" w:space="0"/>
                    <w:right w:val="single" w:color="auto" w:sz="4" w:space="0"/>
                    <w:tl2br w:val="nil"/>
                    <w:tr2bl w:val="nil"/>
                  </w:tcBorders>
                  <w:vAlign w:val="center"/>
                </w:tcPr>
                <w:p w14:paraId="50A6A259">
                  <w:pPr>
                    <w:pStyle w:val="59"/>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生活用水</w:t>
                  </w:r>
                </w:p>
              </w:tc>
              <w:tc>
                <w:tcPr>
                  <w:tcW w:w="633" w:type="pct"/>
                  <w:tcBorders>
                    <w:top w:val="single" w:color="auto" w:sz="4" w:space="0"/>
                    <w:left w:val="single" w:color="auto" w:sz="4" w:space="0"/>
                    <w:bottom w:val="single" w:color="auto" w:sz="4" w:space="0"/>
                    <w:right w:val="single" w:color="auto" w:sz="4" w:space="0"/>
                    <w:tl2br w:val="nil"/>
                    <w:tr2bl w:val="nil"/>
                  </w:tcBorders>
                  <w:vAlign w:val="center"/>
                </w:tcPr>
                <w:p w14:paraId="66E0184C">
                  <w:pPr>
                    <w:pStyle w:val="59"/>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bl>
          <w:p w14:paraId="0CEF5466">
            <w:pPr>
              <w:pStyle w:val="62"/>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rFonts w:hint="default" w:ascii="Times New Roman" w:hAnsi="Times New Roman" w:cs="Times New Roman"/>
                <w:color w:val="auto"/>
                <w:sz w:val="24"/>
                <w:highlight w:val="none"/>
                <w:lang w:val="en-US"/>
              </w:rPr>
            </w:pPr>
            <w:r>
              <w:rPr>
                <w:rFonts w:hint="default" w:ascii="Times New Roman" w:hAnsi="Times New Roman" w:cs="Times New Roman"/>
                <w:color w:val="auto"/>
                <w:sz w:val="24"/>
                <w:highlight w:val="none"/>
              </w:rPr>
              <w:t>碘克沙醇注射液</w:t>
            </w:r>
            <w:r>
              <w:rPr>
                <w:rFonts w:hint="default" w:ascii="Times New Roman" w:hAnsi="Times New Roman" w:cs="Times New Roman"/>
                <w:color w:val="auto"/>
                <w:sz w:val="24"/>
                <w:highlight w:val="none"/>
                <w:lang w:val="en-US"/>
              </w:rPr>
              <w:t>：</w:t>
            </w:r>
            <w:r>
              <w:rPr>
                <w:rFonts w:hint="default" w:ascii="Times New Roman" w:hAnsi="Times New Roman" w:cs="Times New Roman"/>
                <w:color w:val="auto"/>
                <w:sz w:val="24"/>
                <w:highlight w:val="none"/>
              </w:rPr>
              <w:t>分子式</w:t>
            </w:r>
            <w:r>
              <w:rPr>
                <w:rFonts w:hint="default" w:ascii="Times New Roman" w:hAnsi="Times New Roman" w:cs="Times New Roman"/>
                <w:color w:val="auto"/>
                <w:sz w:val="24"/>
                <w:highlight w:val="none"/>
                <w:lang w:val="en-US"/>
              </w:rPr>
              <w:t>C</w:t>
            </w:r>
            <w:r>
              <w:rPr>
                <w:rFonts w:hint="default" w:ascii="Times New Roman" w:hAnsi="Times New Roman" w:cs="Times New Roman"/>
                <w:color w:val="auto"/>
                <w:sz w:val="24"/>
                <w:highlight w:val="none"/>
                <w:vertAlign w:val="subscript"/>
                <w:lang w:val="en-US"/>
              </w:rPr>
              <w:t>35</w:t>
            </w:r>
            <w:r>
              <w:rPr>
                <w:rFonts w:hint="default" w:ascii="Times New Roman" w:hAnsi="Times New Roman" w:cs="Times New Roman"/>
                <w:color w:val="auto"/>
                <w:sz w:val="24"/>
                <w:highlight w:val="none"/>
                <w:lang w:val="en-US"/>
              </w:rPr>
              <w:t>H</w:t>
            </w:r>
            <w:r>
              <w:rPr>
                <w:rFonts w:hint="default" w:ascii="Times New Roman" w:hAnsi="Times New Roman" w:cs="Times New Roman"/>
                <w:color w:val="auto"/>
                <w:sz w:val="24"/>
                <w:highlight w:val="none"/>
                <w:vertAlign w:val="subscript"/>
                <w:lang w:val="en-US"/>
              </w:rPr>
              <w:t>44</w:t>
            </w:r>
            <w:r>
              <w:rPr>
                <w:rFonts w:hint="default" w:ascii="Times New Roman" w:hAnsi="Times New Roman" w:cs="Times New Roman"/>
                <w:color w:val="auto"/>
                <w:sz w:val="24"/>
                <w:highlight w:val="none"/>
                <w:lang w:val="en-US"/>
              </w:rPr>
              <w:t>I</w:t>
            </w:r>
            <w:r>
              <w:rPr>
                <w:rFonts w:hint="default" w:ascii="Times New Roman" w:hAnsi="Times New Roman" w:cs="Times New Roman"/>
                <w:color w:val="auto"/>
                <w:sz w:val="24"/>
                <w:highlight w:val="none"/>
                <w:vertAlign w:val="subscript"/>
                <w:lang w:val="en-US"/>
              </w:rPr>
              <w:t>6</w:t>
            </w:r>
            <w:r>
              <w:rPr>
                <w:rFonts w:hint="default" w:ascii="Times New Roman" w:hAnsi="Times New Roman" w:cs="Times New Roman"/>
                <w:color w:val="auto"/>
                <w:sz w:val="24"/>
                <w:highlight w:val="none"/>
                <w:lang w:val="en-US"/>
              </w:rPr>
              <w:t>N</w:t>
            </w:r>
            <w:r>
              <w:rPr>
                <w:rFonts w:hint="default" w:ascii="Times New Roman" w:hAnsi="Times New Roman" w:cs="Times New Roman"/>
                <w:color w:val="auto"/>
                <w:sz w:val="24"/>
                <w:highlight w:val="none"/>
                <w:vertAlign w:val="subscript"/>
                <w:lang w:val="en-US"/>
              </w:rPr>
              <w:t xml:space="preserve">6 </w:t>
            </w:r>
            <w:r>
              <w:rPr>
                <w:rFonts w:hint="default" w:ascii="Times New Roman" w:hAnsi="Times New Roman" w:cs="Times New Roman"/>
                <w:color w:val="auto"/>
                <w:sz w:val="24"/>
                <w:highlight w:val="none"/>
                <w:lang w:val="en-US"/>
              </w:rPr>
              <w:t>O</w:t>
            </w:r>
            <w:r>
              <w:rPr>
                <w:rFonts w:hint="default" w:ascii="Times New Roman" w:hAnsi="Times New Roman" w:cs="Times New Roman"/>
                <w:color w:val="auto"/>
                <w:sz w:val="24"/>
                <w:highlight w:val="none"/>
                <w:vertAlign w:val="subscript"/>
                <w:lang w:val="en-US"/>
              </w:rPr>
              <w:t>15</w:t>
            </w:r>
            <w:r>
              <w:rPr>
                <w:rFonts w:hint="default" w:ascii="Times New Roman" w:hAnsi="Times New Roman" w:cs="Times New Roman"/>
                <w:color w:val="auto"/>
                <w:sz w:val="24"/>
                <w:highlight w:val="none"/>
                <w:lang w:val="en-US"/>
              </w:rPr>
              <w:t>，分子量1550.20，浓度为320mg I/ml，渗透压为290mosm/kg·H</w:t>
            </w:r>
            <w:r>
              <w:rPr>
                <w:rFonts w:hint="default" w:ascii="Times New Roman" w:hAnsi="Times New Roman" w:cs="Times New Roman"/>
                <w:color w:val="auto"/>
                <w:sz w:val="24"/>
                <w:highlight w:val="none"/>
                <w:vertAlign w:val="subscript"/>
                <w:lang w:val="en-US"/>
              </w:rPr>
              <w:t>2</w:t>
            </w:r>
            <w:r>
              <w:rPr>
                <w:rFonts w:hint="default" w:ascii="Times New Roman" w:hAnsi="Times New Roman" w:cs="Times New Roman"/>
                <w:color w:val="auto"/>
                <w:sz w:val="24"/>
                <w:highlight w:val="none"/>
                <w:lang w:val="en-US"/>
              </w:rPr>
              <w:t>O（37℃），粘度为11.4mPa﹒s（37℃），pH值为6.8-7.6。本品为无色或淡黄色的澄明液体。活性成分为碘克沙醇，辅料为氯化钙、氯化钠、氨丁三醇、依地酸钙钠，包装为中性硼硅玻璃输液瓶。残留有废弃造影剂的输液瓶将作为医疗废物处置。</w:t>
            </w:r>
          </w:p>
          <w:p w14:paraId="3593A5AA">
            <w:pPr>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（六）主要设备配置及技术参数</w:t>
            </w:r>
          </w:p>
          <w:p w14:paraId="53ACD454">
            <w:pPr>
              <w:pStyle w:val="62"/>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本项目拟在2#医疗综合楼四楼东北角建设DSA介入室。DSA介入室有效使用面积47.2m</w:t>
            </w:r>
            <w:r>
              <w:rPr>
                <w:rFonts w:hint="default" w:ascii="Times New Roman" w:hAnsi="Times New Roman" w:cs="Times New Roman"/>
                <w:color w:val="auto"/>
                <w:sz w:val="24"/>
                <w:highlight w:val="none"/>
                <w:vertAlign w:val="superscript"/>
                <w:lang w:val="en-US" w:eastAsia="zh-CN"/>
              </w:rPr>
              <w:t>2</w:t>
            </w:r>
            <w:r>
              <w:rPr>
                <w:rFonts w:hint="default" w:ascii="Times New Roman" w:hAnsi="Times New Roman" w:cs="Times New Roman"/>
                <w:color w:val="auto"/>
                <w:sz w:val="24"/>
                <w:highlight w:val="none"/>
                <w:lang w:val="en-US" w:eastAsia="zh-CN"/>
              </w:rPr>
              <w:t>（长8.2m×宽5.7m，层高4.45m，吊顶高度3m）。该DSA厂家型号为飞利浦Azurion5 M20，最大管电压125kV，最大管电流1000mA。主射方向从下往上。根据院方提供资料，项目开展后，DSA介入室拟供平昌县第二人民医院神经内科、神经外科开展相应接入手术。根据类比文献资料、手术医师熟练度和实际操作等实际操作等方面综合考虑得到本项目射线装置预测工况及手术人员配置情况。</w:t>
            </w:r>
          </w:p>
          <w:p w14:paraId="3894C464">
            <w:pPr>
              <w:pStyle w:val="8"/>
              <w:numPr>
                <w:ilvl w:val="0"/>
                <w:numId w:val="3"/>
              </w:numPr>
              <w:ind w:left="425" w:leftChars="0" w:hanging="425"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本项目主要设备配置及主要技术参数</w:t>
            </w:r>
          </w:p>
          <w:tbl>
            <w:tblPr>
              <w:tblStyle w:val="22"/>
              <w:tblW w:w="5000" w:type="pct"/>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83"/>
              <w:gridCol w:w="1152"/>
              <w:gridCol w:w="377"/>
              <w:gridCol w:w="1720"/>
              <w:gridCol w:w="1071"/>
              <w:gridCol w:w="1357"/>
              <w:gridCol w:w="1416"/>
            </w:tblGrid>
            <w:tr w14:paraId="35E01B4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000" w:type="pct"/>
                  <w:gridSpan w:val="7"/>
                  <w:vAlign w:val="center"/>
                </w:tcPr>
                <w:p w14:paraId="42DAA4F5">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设备参数</w:t>
                  </w:r>
                </w:p>
              </w:tc>
            </w:tr>
            <w:tr w14:paraId="018088C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411" w:type="pct"/>
                  <w:gridSpan w:val="2"/>
                  <w:vAlign w:val="center"/>
                </w:tcPr>
                <w:p w14:paraId="0E84401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机房名称</w:t>
                  </w:r>
                </w:p>
              </w:tc>
              <w:tc>
                <w:tcPr>
                  <w:tcW w:w="3588" w:type="pct"/>
                  <w:gridSpan w:val="5"/>
                  <w:vAlign w:val="center"/>
                </w:tcPr>
                <w:p w14:paraId="1AEECF1C">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DSA</w:t>
                  </w:r>
                  <w:r>
                    <w:rPr>
                      <w:rFonts w:hint="default" w:ascii="Times New Roman" w:hAnsi="Times New Roman" w:cs="Times New Roman"/>
                      <w:color w:val="auto"/>
                      <w:szCs w:val="21"/>
                      <w:highlight w:val="none"/>
                      <w:lang w:val="en-US" w:eastAsia="zh-CN"/>
                    </w:rPr>
                    <w:t>介入室</w:t>
                  </w:r>
                </w:p>
              </w:tc>
            </w:tr>
            <w:tr w14:paraId="1343BA6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411" w:type="pct"/>
                  <w:gridSpan w:val="2"/>
                  <w:vAlign w:val="center"/>
                </w:tcPr>
                <w:p w14:paraId="0682E66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设备名称</w:t>
                  </w:r>
                </w:p>
              </w:tc>
              <w:tc>
                <w:tcPr>
                  <w:tcW w:w="3588" w:type="pct"/>
                  <w:gridSpan w:val="5"/>
                  <w:vAlign w:val="center"/>
                </w:tcPr>
                <w:p w14:paraId="088F566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DSA</w:t>
                  </w:r>
                </w:p>
              </w:tc>
            </w:tr>
            <w:tr w14:paraId="28472E9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411" w:type="pct"/>
                  <w:gridSpan w:val="2"/>
                  <w:vAlign w:val="center"/>
                </w:tcPr>
                <w:p w14:paraId="0B4AFB3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厂家及型号</w:t>
                  </w:r>
                </w:p>
              </w:tc>
              <w:tc>
                <w:tcPr>
                  <w:tcW w:w="3588" w:type="pct"/>
                  <w:gridSpan w:val="5"/>
                  <w:vAlign w:val="center"/>
                </w:tcPr>
                <w:p w14:paraId="7F13EB4B">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厂家：飞利浦</w:t>
                  </w:r>
                </w:p>
                <w:p w14:paraId="36D49200">
                  <w:pPr>
                    <w:adjustRightInd w:val="0"/>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szCs w:val="21"/>
                      <w:highlight w:val="none"/>
                      <w:lang w:val="en-US" w:eastAsia="zh-CN"/>
                    </w:rPr>
                    <w:t>型号：</w:t>
                  </w:r>
                  <w:r>
                    <w:rPr>
                      <w:rFonts w:hint="default" w:ascii="Times New Roman" w:hAnsi="Times New Roman" w:cs="Times New Roman"/>
                      <w:color w:val="auto"/>
                      <w:sz w:val="21"/>
                      <w:szCs w:val="21"/>
                      <w:highlight w:val="none"/>
                      <w:vertAlign w:val="baseline"/>
                      <w:lang w:val="en-US" w:eastAsia="zh-CN"/>
                    </w:rPr>
                    <w:t>Azurion5 M20</w:t>
                  </w:r>
                </w:p>
              </w:tc>
            </w:tr>
            <w:tr w14:paraId="7B0BB5E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411" w:type="pct"/>
                  <w:gridSpan w:val="2"/>
                  <w:vAlign w:val="center"/>
                </w:tcPr>
                <w:p w14:paraId="24A4631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额定管电流</w:t>
                  </w:r>
                </w:p>
              </w:tc>
              <w:tc>
                <w:tcPr>
                  <w:tcW w:w="3588" w:type="pct"/>
                  <w:gridSpan w:val="5"/>
                  <w:vAlign w:val="center"/>
                </w:tcPr>
                <w:p w14:paraId="2F808E9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1000mA</w:t>
                  </w:r>
                </w:p>
              </w:tc>
            </w:tr>
            <w:tr w14:paraId="0D1F0B1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411" w:type="pct"/>
                  <w:gridSpan w:val="2"/>
                  <w:vAlign w:val="center"/>
                </w:tcPr>
                <w:p w14:paraId="1E29A7D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额定管电压</w:t>
                  </w:r>
                </w:p>
              </w:tc>
              <w:tc>
                <w:tcPr>
                  <w:tcW w:w="3588" w:type="pct"/>
                  <w:gridSpan w:val="5"/>
                  <w:vAlign w:val="center"/>
                </w:tcPr>
                <w:p w14:paraId="29C46BE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125kV</w:t>
                  </w:r>
                </w:p>
              </w:tc>
            </w:tr>
            <w:tr w14:paraId="1ABE28E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411" w:type="pct"/>
                  <w:gridSpan w:val="2"/>
                  <w:vAlign w:val="center"/>
                </w:tcPr>
                <w:p w14:paraId="3FE985F7">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出束方向</w:t>
                  </w:r>
                </w:p>
              </w:tc>
              <w:tc>
                <w:tcPr>
                  <w:tcW w:w="3588" w:type="pct"/>
                  <w:gridSpan w:val="5"/>
                  <w:vAlign w:val="center"/>
                </w:tcPr>
                <w:p w14:paraId="0E45AEF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定向向上</w:t>
                  </w:r>
                </w:p>
              </w:tc>
            </w:tr>
            <w:tr w14:paraId="3698024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411" w:type="pct"/>
                  <w:gridSpan w:val="2"/>
                  <w:vAlign w:val="center"/>
                </w:tcPr>
                <w:p w14:paraId="23BACB7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所在科室</w:t>
                  </w:r>
                </w:p>
              </w:tc>
              <w:tc>
                <w:tcPr>
                  <w:tcW w:w="3588" w:type="pct"/>
                  <w:gridSpan w:val="5"/>
                  <w:vAlign w:val="center"/>
                </w:tcPr>
                <w:p w14:paraId="139B6EBD">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神经内科、神经外科</w:t>
                  </w:r>
                </w:p>
              </w:tc>
            </w:tr>
            <w:tr w14:paraId="48789A8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411" w:type="pct"/>
                  <w:gridSpan w:val="2"/>
                  <w:vAlign w:val="center"/>
                </w:tcPr>
                <w:p w14:paraId="0EF82A5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常用拍片工况</w:t>
                  </w:r>
                </w:p>
              </w:tc>
              <w:tc>
                <w:tcPr>
                  <w:tcW w:w="3588" w:type="pct"/>
                  <w:gridSpan w:val="5"/>
                  <w:vAlign w:val="center"/>
                </w:tcPr>
                <w:p w14:paraId="2BB24887">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电压：</w:t>
                  </w:r>
                  <w:r>
                    <w:rPr>
                      <w:rFonts w:hint="default" w:ascii="Times New Roman" w:hAnsi="Times New Roman" w:cs="Times New Roman"/>
                      <w:color w:val="auto"/>
                      <w:szCs w:val="21"/>
                      <w:highlight w:val="none"/>
                      <w:lang w:val="en-US" w:eastAsia="zh-CN"/>
                    </w:rPr>
                    <w:t xml:space="preserve">  60</w:t>
                  </w:r>
                  <w:r>
                    <w:rPr>
                      <w:rFonts w:hint="default" w:ascii="Times New Roman" w:hAnsi="Times New Roman" w:cs="Times New Roman"/>
                      <w:color w:val="auto"/>
                      <w:szCs w:val="21"/>
                      <w:highlight w:val="none"/>
                    </w:rPr>
                    <w:t>kV~</w:t>
                  </w:r>
                  <w:r>
                    <w:rPr>
                      <w:rFonts w:hint="default" w:ascii="Times New Roman" w:hAnsi="Times New Roman" w:cs="Times New Roman"/>
                      <w:color w:val="auto"/>
                      <w:szCs w:val="21"/>
                      <w:highlight w:val="none"/>
                      <w:lang w:val="en-US" w:eastAsia="zh-CN"/>
                    </w:rPr>
                    <w:t>100</w:t>
                  </w:r>
                  <w:r>
                    <w:rPr>
                      <w:rFonts w:hint="default" w:ascii="Times New Roman" w:hAnsi="Times New Roman" w:cs="Times New Roman"/>
                      <w:color w:val="auto"/>
                      <w:szCs w:val="21"/>
                      <w:highlight w:val="none"/>
                    </w:rPr>
                    <w:t>kV，电流：</w:t>
                  </w:r>
                  <w:r>
                    <w:rPr>
                      <w:rFonts w:hint="default" w:ascii="Times New Roman" w:hAnsi="Times New Roman" w:cs="Times New Roman"/>
                      <w:color w:val="auto"/>
                      <w:szCs w:val="21"/>
                      <w:highlight w:val="none"/>
                      <w:lang w:val="en-US" w:eastAsia="zh-CN"/>
                    </w:rPr>
                    <w:t>100</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500</w:t>
                  </w:r>
                  <w:r>
                    <w:rPr>
                      <w:rFonts w:hint="default" w:ascii="Times New Roman" w:hAnsi="Times New Roman" w:cs="Times New Roman"/>
                      <w:color w:val="auto"/>
                      <w:szCs w:val="21"/>
                      <w:highlight w:val="none"/>
                    </w:rPr>
                    <w:t>mA</w:t>
                  </w:r>
                </w:p>
              </w:tc>
            </w:tr>
            <w:tr w14:paraId="28D29C5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411" w:type="pct"/>
                  <w:gridSpan w:val="2"/>
                  <w:vAlign w:val="center"/>
                </w:tcPr>
                <w:p w14:paraId="2695A51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常用透视工况</w:t>
                  </w:r>
                </w:p>
              </w:tc>
              <w:tc>
                <w:tcPr>
                  <w:tcW w:w="3588" w:type="pct"/>
                  <w:gridSpan w:val="5"/>
                  <w:vAlign w:val="center"/>
                </w:tcPr>
                <w:p w14:paraId="553ED4E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电压：</w:t>
                  </w:r>
                  <w:r>
                    <w:rPr>
                      <w:rFonts w:hint="default" w:ascii="Times New Roman" w:hAnsi="Times New Roman" w:cs="Times New Roman"/>
                      <w:color w:val="auto"/>
                      <w:szCs w:val="21"/>
                      <w:highlight w:val="none"/>
                      <w:lang w:val="en-US" w:eastAsia="zh-CN"/>
                    </w:rPr>
                    <w:t xml:space="preserve">  70</w:t>
                  </w:r>
                  <w:r>
                    <w:rPr>
                      <w:rFonts w:hint="default" w:ascii="Times New Roman" w:hAnsi="Times New Roman" w:cs="Times New Roman"/>
                      <w:color w:val="auto"/>
                      <w:szCs w:val="21"/>
                      <w:highlight w:val="none"/>
                    </w:rPr>
                    <w:t>kV~</w:t>
                  </w:r>
                  <w:r>
                    <w:rPr>
                      <w:rFonts w:hint="default" w:ascii="Times New Roman" w:hAnsi="Times New Roman" w:cs="Times New Roman"/>
                      <w:color w:val="auto"/>
                      <w:szCs w:val="21"/>
                      <w:highlight w:val="none"/>
                      <w:lang w:val="en-US" w:eastAsia="zh-CN"/>
                    </w:rPr>
                    <w:t>90</w:t>
                  </w:r>
                  <w:r>
                    <w:rPr>
                      <w:rFonts w:hint="default" w:ascii="Times New Roman" w:hAnsi="Times New Roman" w:cs="Times New Roman"/>
                      <w:color w:val="auto"/>
                      <w:szCs w:val="21"/>
                      <w:highlight w:val="none"/>
                    </w:rPr>
                    <w:t>kV，电流：</w:t>
                  </w:r>
                  <w:r>
                    <w:rPr>
                      <w:rFonts w:hint="default" w:ascii="Times New Roman" w:hAnsi="Times New Roman" w:cs="Times New Roman"/>
                      <w:color w:val="auto"/>
                      <w:szCs w:val="21"/>
                      <w:highlight w:val="none"/>
                      <w:lang w:val="en-US" w:eastAsia="zh-CN"/>
                    </w:rPr>
                    <w:t>10</w:t>
                  </w:r>
                  <w:r>
                    <w:rPr>
                      <w:rFonts w:hint="default" w:ascii="Times New Roman" w:hAnsi="Times New Roman" w:cs="Times New Roman"/>
                      <w:color w:val="auto"/>
                      <w:szCs w:val="21"/>
                      <w:highlight w:val="none"/>
                    </w:rPr>
                    <w:t>mA~</w:t>
                  </w:r>
                  <w:r>
                    <w:rPr>
                      <w:rFonts w:hint="default" w:ascii="Times New Roman" w:hAnsi="Times New Roman" w:cs="Times New Roman"/>
                      <w:color w:val="auto"/>
                      <w:szCs w:val="21"/>
                      <w:highlight w:val="none"/>
                      <w:lang w:val="en-US" w:eastAsia="zh-CN"/>
                    </w:rPr>
                    <w:t>20</w:t>
                  </w:r>
                  <w:r>
                    <w:rPr>
                      <w:rFonts w:hint="default" w:ascii="Times New Roman" w:hAnsi="Times New Roman" w:cs="Times New Roman"/>
                      <w:color w:val="auto"/>
                      <w:szCs w:val="21"/>
                      <w:highlight w:val="none"/>
                    </w:rPr>
                    <w:t>mA</w:t>
                  </w:r>
                </w:p>
              </w:tc>
            </w:tr>
            <w:tr w14:paraId="10190E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303" w:hRule="atLeast"/>
              </w:trPr>
              <w:tc>
                <w:tcPr>
                  <w:tcW w:w="5000" w:type="pct"/>
                  <w:gridSpan w:val="7"/>
                  <w:vAlign w:val="center"/>
                </w:tcPr>
                <w:p w14:paraId="2BB819E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
                      <w:color w:val="auto"/>
                      <w:szCs w:val="21"/>
                      <w:highlight w:val="none"/>
                    </w:rPr>
                    <w:t>DSA出束情况</w:t>
                  </w:r>
                </w:p>
              </w:tc>
            </w:tr>
            <w:tr w14:paraId="580CD6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140" w:hRule="atLeast"/>
              </w:trPr>
              <w:tc>
                <w:tcPr>
                  <w:tcW w:w="715" w:type="pct"/>
                  <w:vMerge w:val="restart"/>
                  <w:vAlign w:val="center"/>
                </w:tcPr>
                <w:p w14:paraId="748F541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手术科室</w:t>
                  </w:r>
                </w:p>
              </w:tc>
              <w:tc>
                <w:tcPr>
                  <w:tcW w:w="1963" w:type="pct"/>
                  <w:gridSpan w:val="3"/>
                  <w:vAlign w:val="center"/>
                </w:tcPr>
                <w:p w14:paraId="743B70C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单台手术累计最长曝光时间</w:t>
                  </w:r>
                </w:p>
              </w:tc>
              <w:tc>
                <w:tcPr>
                  <w:tcW w:w="647" w:type="pct"/>
                  <w:vMerge w:val="restart"/>
                  <w:vAlign w:val="center"/>
                </w:tcPr>
                <w:p w14:paraId="5846C35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年手术台数（台）</w:t>
                  </w:r>
                </w:p>
              </w:tc>
              <w:tc>
                <w:tcPr>
                  <w:tcW w:w="1674" w:type="pct"/>
                  <w:gridSpan w:val="2"/>
                  <w:vAlign w:val="center"/>
                </w:tcPr>
                <w:p w14:paraId="06174BF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年最长出束时间（h）</w:t>
                  </w:r>
                </w:p>
              </w:tc>
            </w:tr>
            <w:tr w14:paraId="35D02E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15" w:type="pct"/>
                  <w:vMerge w:val="continue"/>
                  <w:vAlign w:val="center"/>
                </w:tcPr>
                <w:p w14:paraId="5A3A4407">
                  <w:pPr>
                    <w:adjustRightInd w:val="0"/>
                    <w:snapToGrid w:val="0"/>
                    <w:jc w:val="center"/>
                    <w:rPr>
                      <w:rFonts w:hint="default" w:ascii="Times New Roman" w:hAnsi="Times New Roman" w:cs="Times New Roman"/>
                      <w:color w:val="auto"/>
                      <w:szCs w:val="21"/>
                      <w:highlight w:val="none"/>
                    </w:rPr>
                  </w:pPr>
                </w:p>
              </w:tc>
              <w:tc>
                <w:tcPr>
                  <w:tcW w:w="924" w:type="pct"/>
                  <w:gridSpan w:val="2"/>
                  <w:vAlign w:val="center"/>
                </w:tcPr>
                <w:p w14:paraId="3B8A5A2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拍片（s）</w:t>
                  </w:r>
                </w:p>
              </w:tc>
              <w:tc>
                <w:tcPr>
                  <w:tcW w:w="1039" w:type="pct"/>
                  <w:vAlign w:val="center"/>
                </w:tcPr>
                <w:p w14:paraId="5624144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透视（min）</w:t>
                  </w:r>
                </w:p>
              </w:tc>
              <w:tc>
                <w:tcPr>
                  <w:tcW w:w="647" w:type="pct"/>
                  <w:vMerge w:val="continue"/>
                  <w:vAlign w:val="center"/>
                </w:tcPr>
                <w:p w14:paraId="4DB2BDFF">
                  <w:pPr>
                    <w:adjustRightInd w:val="0"/>
                    <w:snapToGrid w:val="0"/>
                    <w:jc w:val="center"/>
                    <w:rPr>
                      <w:rFonts w:hint="default" w:ascii="Times New Roman" w:hAnsi="Times New Roman" w:cs="Times New Roman"/>
                      <w:color w:val="auto"/>
                      <w:szCs w:val="21"/>
                      <w:highlight w:val="none"/>
                    </w:rPr>
                  </w:pPr>
                </w:p>
              </w:tc>
              <w:tc>
                <w:tcPr>
                  <w:tcW w:w="820" w:type="pct"/>
                  <w:vAlign w:val="center"/>
                </w:tcPr>
                <w:p w14:paraId="64B7A92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拍片</w:t>
                  </w:r>
                </w:p>
              </w:tc>
              <w:tc>
                <w:tcPr>
                  <w:tcW w:w="853" w:type="pct"/>
                  <w:vAlign w:val="center"/>
                </w:tcPr>
                <w:p w14:paraId="0DA37AB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透视</w:t>
                  </w:r>
                </w:p>
              </w:tc>
            </w:tr>
            <w:tr w14:paraId="2CD3925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15" w:type="pct"/>
                  <w:vAlign w:val="center"/>
                </w:tcPr>
                <w:p w14:paraId="5EE93F90">
                  <w:pPr>
                    <w:pStyle w:val="47"/>
                    <w:adjustRightInd w:val="0"/>
                    <w:snapToGrid w:val="0"/>
                    <w:jc w:val="center"/>
                    <w:rPr>
                      <w:rFonts w:hint="default" w:ascii="Times New Roman" w:hAnsi="Times New Roman" w:eastAsia="宋体" w:cs="Times New Roman"/>
                      <w:color w:val="auto"/>
                      <w:highlight w:val="none"/>
                      <w:lang w:val="en-US" w:eastAsia="zh-CN"/>
                    </w:rPr>
                  </w:pPr>
                  <w:bookmarkStart w:id="7" w:name="_Toc452968466"/>
                  <w:r>
                    <w:rPr>
                      <w:rFonts w:hint="default" w:ascii="Times New Roman" w:hAnsi="Times New Roman" w:cs="Times New Roman"/>
                      <w:color w:val="auto"/>
                      <w:highlight w:val="none"/>
                      <w:lang w:val="en-US" w:eastAsia="zh-CN"/>
                    </w:rPr>
                    <w:t>神经内科</w:t>
                  </w:r>
                </w:p>
              </w:tc>
              <w:tc>
                <w:tcPr>
                  <w:tcW w:w="924" w:type="pct"/>
                  <w:gridSpan w:val="2"/>
                  <w:shd w:val="clear" w:color="auto" w:fill="auto"/>
                  <w:vAlign w:val="center"/>
                </w:tcPr>
                <w:p w14:paraId="7CFE0A1D">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60</w:t>
                  </w:r>
                </w:p>
              </w:tc>
              <w:tc>
                <w:tcPr>
                  <w:tcW w:w="1039" w:type="pct"/>
                  <w:shd w:val="clear" w:color="auto" w:fill="auto"/>
                  <w:vAlign w:val="center"/>
                </w:tcPr>
                <w:p w14:paraId="1B1F7305">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20</w:t>
                  </w:r>
                </w:p>
              </w:tc>
              <w:tc>
                <w:tcPr>
                  <w:tcW w:w="1070" w:type="dxa"/>
                  <w:vAlign w:val="center"/>
                </w:tcPr>
                <w:p w14:paraId="03524976">
                  <w:pPr>
                    <w:keepNext w:val="0"/>
                    <w:keepLines w:val="0"/>
                    <w:widowControl/>
                    <w:suppressLineNumbers w:val="0"/>
                    <w:jc w:val="center"/>
                    <w:textAlignment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170</w:t>
                  </w:r>
                </w:p>
              </w:tc>
              <w:tc>
                <w:tcPr>
                  <w:tcW w:w="1356" w:type="dxa"/>
                  <w:shd w:val="clear" w:color="auto" w:fill="auto"/>
                  <w:vAlign w:val="center"/>
                </w:tcPr>
                <w:p w14:paraId="7C1EC3D6">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2.8</w:t>
                  </w:r>
                  <w:r>
                    <w:rPr>
                      <w:rFonts w:hint="default" w:ascii="Times New Roman" w:hAnsi="Times New Roman" w:cs="Times New Roman"/>
                      <w:i w:val="0"/>
                      <w:iCs w:val="0"/>
                      <w:color w:val="auto"/>
                      <w:kern w:val="0"/>
                      <w:sz w:val="21"/>
                      <w:szCs w:val="21"/>
                      <w:highlight w:val="none"/>
                      <w:u w:val="none"/>
                      <w:lang w:val="en-US" w:eastAsia="zh-CN" w:bidi="ar"/>
                    </w:rPr>
                    <w:t>4</w:t>
                  </w:r>
                </w:p>
              </w:tc>
              <w:tc>
                <w:tcPr>
                  <w:tcW w:w="1413" w:type="dxa"/>
                  <w:vAlign w:val="center"/>
                </w:tcPr>
                <w:p w14:paraId="656747AB">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56.6</w:t>
                  </w:r>
                  <w:r>
                    <w:rPr>
                      <w:rFonts w:hint="default" w:ascii="Times New Roman" w:hAnsi="Times New Roman" w:cs="Times New Roman"/>
                      <w:i w:val="0"/>
                      <w:iCs w:val="0"/>
                      <w:color w:val="auto"/>
                      <w:kern w:val="0"/>
                      <w:sz w:val="21"/>
                      <w:szCs w:val="21"/>
                      <w:highlight w:val="none"/>
                      <w:u w:val="none"/>
                      <w:lang w:val="en-US" w:eastAsia="zh-CN" w:bidi="ar"/>
                    </w:rPr>
                    <w:t>7</w:t>
                  </w:r>
                </w:p>
              </w:tc>
            </w:tr>
            <w:tr w14:paraId="6613FF0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15" w:type="pct"/>
                  <w:shd w:val="clear" w:color="auto" w:fill="auto"/>
                  <w:vAlign w:val="center"/>
                </w:tcPr>
                <w:p w14:paraId="157818CF">
                  <w:pPr>
                    <w:pStyle w:val="47"/>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highlight w:val="none"/>
                      <w:lang w:val="en-US" w:eastAsia="zh-CN"/>
                    </w:rPr>
                    <w:t>神经外科</w:t>
                  </w:r>
                </w:p>
              </w:tc>
              <w:tc>
                <w:tcPr>
                  <w:tcW w:w="924" w:type="pct"/>
                  <w:gridSpan w:val="2"/>
                  <w:shd w:val="clear" w:color="auto" w:fill="auto"/>
                  <w:vAlign w:val="center"/>
                </w:tcPr>
                <w:p w14:paraId="0C17F134">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45</w:t>
                  </w:r>
                </w:p>
              </w:tc>
              <w:tc>
                <w:tcPr>
                  <w:tcW w:w="1039" w:type="pct"/>
                  <w:shd w:val="clear" w:color="auto" w:fill="auto"/>
                  <w:vAlign w:val="center"/>
                </w:tcPr>
                <w:p w14:paraId="7AE45F31">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15</w:t>
                  </w:r>
                </w:p>
              </w:tc>
              <w:tc>
                <w:tcPr>
                  <w:tcW w:w="1070" w:type="dxa"/>
                  <w:vAlign w:val="center"/>
                </w:tcPr>
                <w:p w14:paraId="5239AB5A">
                  <w:pPr>
                    <w:keepNext w:val="0"/>
                    <w:keepLines w:val="0"/>
                    <w:widowControl/>
                    <w:suppressLineNumbers w:val="0"/>
                    <w:jc w:val="center"/>
                    <w:textAlignment w:val="center"/>
                    <w:rPr>
                      <w:rFonts w:hint="default" w:ascii="Times New Roman" w:hAnsi="Times New Roman" w:cs="Times New Roman"/>
                      <w:color w:val="auto"/>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130</w:t>
                  </w:r>
                </w:p>
              </w:tc>
              <w:tc>
                <w:tcPr>
                  <w:tcW w:w="1356" w:type="dxa"/>
                  <w:shd w:val="clear" w:color="auto" w:fill="auto"/>
                  <w:vAlign w:val="center"/>
                </w:tcPr>
                <w:p w14:paraId="580B57B7">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1.625</w:t>
                  </w:r>
                </w:p>
              </w:tc>
              <w:tc>
                <w:tcPr>
                  <w:tcW w:w="1413" w:type="dxa"/>
                  <w:vAlign w:val="center"/>
                </w:tcPr>
                <w:p w14:paraId="1EB9FBAE">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32.5</w:t>
                  </w:r>
                </w:p>
              </w:tc>
            </w:tr>
            <w:tr w14:paraId="1DFC5DF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15" w:type="pct"/>
                  <w:shd w:val="clear" w:color="auto" w:fill="auto"/>
                  <w:vAlign w:val="center"/>
                </w:tcPr>
                <w:p w14:paraId="3F23D982">
                  <w:pPr>
                    <w:pStyle w:val="47"/>
                    <w:adjustRightInd w:val="0"/>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合计</w:t>
                  </w:r>
                </w:p>
              </w:tc>
              <w:tc>
                <w:tcPr>
                  <w:tcW w:w="924" w:type="pct"/>
                  <w:gridSpan w:val="2"/>
                  <w:shd w:val="clear" w:color="auto" w:fill="auto"/>
                  <w:vAlign w:val="center"/>
                </w:tcPr>
                <w:p w14:paraId="5B954495">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c>
                <w:tcPr>
                  <w:tcW w:w="1039" w:type="pct"/>
                  <w:shd w:val="clear" w:color="auto" w:fill="auto"/>
                  <w:vAlign w:val="center"/>
                </w:tcPr>
                <w:p w14:paraId="1FA21B93">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c>
                <w:tcPr>
                  <w:tcW w:w="1070" w:type="dxa"/>
                  <w:vAlign w:val="center"/>
                </w:tcPr>
                <w:p w14:paraId="5CF1E6DE">
                  <w:pPr>
                    <w:keepNext w:val="0"/>
                    <w:keepLines w:val="0"/>
                    <w:widowControl/>
                    <w:suppressLineNumbers w:val="0"/>
                    <w:jc w:val="center"/>
                    <w:textAlignment w:val="center"/>
                    <w:rPr>
                      <w:rFonts w:hint="default" w:ascii="Times New Roman" w:hAnsi="Times New Roman" w:cs="Times New Roman"/>
                      <w:color w:val="auto"/>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300</w:t>
                  </w:r>
                </w:p>
              </w:tc>
              <w:tc>
                <w:tcPr>
                  <w:tcW w:w="1356" w:type="dxa"/>
                  <w:shd w:val="clear" w:color="auto" w:fill="auto"/>
                  <w:vAlign w:val="center"/>
                </w:tcPr>
                <w:p w14:paraId="312F837E">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4.458333333</w:t>
                  </w:r>
                </w:p>
              </w:tc>
              <w:tc>
                <w:tcPr>
                  <w:tcW w:w="1413" w:type="dxa"/>
                  <w:vAlign w:val="center"/>
                </w:tcPr>
                <w:p w14:paraId="1F0C26FA">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89.16666667</w:t>
                  </w:r>
                </w:p>
              </w:tc>
            </w:tr>
            <w:tr w14:paraId="6BE5D86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000" w:type="pct"/>
                  <w:gridSpan w:val="7"/>
                  <w:shd w:val="clear" w:color="auto" w:fill="auto"/>
                  <w:vAlign w:val="center"/>
                </w:tcPr>
                <w:p w14:paraId="27A5CF95">
                  <w:pPr>
                    <w:adjustRightInd w:val="0"/>
                    <w:snapToGrid w:val="0"/>
                    <w:jc w:val="left"/>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 w:val="18"/>
                      <w:szCs w:val="18"/>
                      <w:highlight w:val="none"/>
                      <w:lang w:val="en-US" w:eastAsia="zh-CN"/>
                    </w:rPr>
                    <w:t>备注：</w:t>
                  </w:r>
                  <w:r>
                    <w:rPr>
                      <w:rFonts w:hint="default" w:ascii="Times New Roman" w:hAnsi="Times New Roman" w:cs="Times New Roman"/>
                      <w:color w:val="auto"/>
                      <w:sz w:val="18"/>
                      <w:szCs w:val="18"/>
                      <w:highlight w:val="none"/>
                    </w:rPr>
                    <w:t>本项目DSA合计出束时间为</w:t>
                  </w:r>
                  <w:r>
                    <w:rPr>
                      <w:rFonts w:hint="default" w:ascii="Times New Roman" w:hAnsi="Times New Roman" w:cs="Times New Roman"/>
                      <w:color w:val="auto"/>
                      <w:sz w:val="18"/>
                      <w:szCs w:val="18"/>
                      <w:highlight w:val="none"/>
                      <w:lang w:val="en-US" w:eastAsia="zh-CN"/>
                    </w:rPr>
                    <w:t>93.625</w:t>
                  </w:r>
                  <w:r>
                    <w:rPr>
                      <w:rFonts w:hint="default" w:ascii="Times New Roman" w:hAnsi="Times New Roman" w:cs="Times New Roman"/>
                      <w:color w:val="auto"/>
                      <w:sz w:val="18"/>
                      <w:szCs w:val="18"/>
                      <w:highlight w:val="none"/>
                    </w:rPr>
                    <w:t>h（透视：</w:t>
                  </w:r>
                  <w:r>
                    <w:rPr>
                      <w:rFonts w:hint="default" w:ascii="Times New Roman" w:hAnsi="Times New Roman" w:cs="Times New Roman"/>
                      <w:color w:val="auto"/>
                      <w:sz w:val="18"/>
                      <w:szCs w:val="18"/>
                      <w:highlight w:val="none"/>
                      <w:lang w:val="en-US" w:eastAsia="zh-CN"/>
                    </w:rPr>
                    <w:t>89.167</w:t>
                  </w:r>
                  <w:r>
                    <w:rPr>
                      <w:rFonts w:hint="default" w:ascii="Times New Roman" w:hAnsi="Times New Roman" w:cs="Times New Roman"/>
                      <w:color w:val="auto"/>
                      <w:sz w:val="18"/>
                      <w:szCs w:val="18"/>
                      <w:highlight w:val="none"/>
                    </w:rPr>
                    <w:t>h；拍片</w:t>
                  </w:r>
                  <w:r>
                    <w:rPr>
                      <w:rFonts w:hint="default" w:ascii="Times New Roman" w:hAnsi="Times New Roman" w:cs="Times New Roman"/>
                      <w:color w:val="auto"/>
                      <w:sz w:val="18"/>
                      <w:szCs w:val="18"/>
                      <w:highlight w:val="none"/>
                      <w:lang w:val="en-US" w:eastAsia="zh-CN"/>
                    </w:rPr>
                    <w:t>4.458</w:t>
                  </w:r>
                  <w:r>
                    <w:rPr>
                      <w:rFonts w:hint="default" w:ascii="Times New Roman" w:hAnsi="Times New Roman" w:cs="Times New Roman"/>
                      <w:color w:val="auto"/>
                      <w:sz w:val="18"/>
                      <w:szCs w:val="18"/>
                      <w:highlight w:val="none"/>
                    </w:rPr>
                    <w:t>h）</w:t>
                  </w:r>
                  <w:r>
                    <w:rPr>
                      <w:rFonts w:hint="default" w:ascii="Times New Roman" w:hAnsi="Times New Roman" w:cs="Times New Roman"/>
                      <w:color w:val="auto"/>
                      <w:sz w:val="18"/>
                      <w:szCs w:val="18"/>
                      <w:highlight w:val="none"/>
                      <w:lang w:eastAsia="zh-CN"/>
                    </w:rPr>
                    <w:t>。</w:t>
                  </w:r>
                </w:p>
              </w:tc>
            </w:tr>
            <w:bookmarkEnd w:id="4"/>
          </w:tbl>
          <w:p w14:paraId="42F177D6">
            <w:pPr>
              <w:autoSpaceDE w:val="0"/>
              <w:autoSpaceDN w:val="0"/>
              <w:adjustRightInd w:val="0"/>
              <w:snapToGrid w:val="0"/>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（七）劳动定员</w:t>
            </w:r>
          </w:p>
          <w:p w14:paraId="3CCF62FC">
            <w:pPr>
              <w:spacing w:line="360" w:lineRule="auto"/>
              <w:ind w:firstLine="480" w:firstLineChars="200"/>
              <w:rPr>
                <w:rFonts w:hint="default" w:ascii="Times New Roman" w:hAnsi="Times New Roman" w:eastAsia="宋体" w:cs="Times New Roman"/>
                <w:color w:val="auto"/>
                <w:highlight w:val="none"/>
                <w:lang w:val="en-US" w:eastAsia="zh-CN"/>
              </w:rPr>
            </w:pPr>
            <w:r>
              <w:rPr>
                <w:rFonts w:hint="default" w:ascii="Times New Roman" w:hAnsi="Times New Roman" w:cs="Times New Roman"/>
                <w:b w:val="0"/>
                <w:bCs/>
                <w:color w:val="auto"/>
                <w:sz w:val="24"/>
                <w:highlight w:val="none"/>
                <w:lang w:val="en-US" w:eastAsia="zh-CN"/>
              </w:rPr>
              <w:t>本项目运营后，新增6名</w:t>
            </w:r>
            <w:r>
              <w:rPr>
                <w:rFonts w:hint="default" w:ascii="Times New Roman" w:hAnsi="Times New Roman" w:cs="Times New Roman"/>
                <w:b w:val="0"/>
                <w:bCs/>
                <w:color w:val="auto"/>
                <w:sz w:val="24"/>
                <w:highlight w:val="none"/>
              </w:rPr>
              <w:t>从事Ⅱ类射线装置操作的辐射工作人员。</w:t>
            </w:r>
            <w:r>
              <w:rPr>
                <w:rFonts w:hint="default" w:ascii="Times New Roman" w:hAnsi="Times New Roman" w:cs="Times New Roman"/>
                <w:b w:val="0"/>
                <w:bCs/>
                <w:color w:val="auto"/>
                <w:sz w:val="24"/>
                <w:highlight w:val="none"/>
                <w:lang w:val="en-US" w:eastAsia="zh-CN"/>
              </w:rPr>
              <w:t>合计4名医生（2名神经内科医生，2名神经外科医生），2名护师（神经内科和神经外科各1名），</w:t>
            </w:r>
            <w:r>
              <w:rPr>
                <w:rFonts w:hint="default" w:ascii="Times New Roman" w:hAnsi="Times New Roman" w:cs="Times New Roman"/>
                <w:b w:val="0"/>
                <w:bCs/>
                <w:color w:val="auto"/>
                <w:sz w:val="24"/>
                <w:highlight w:val="none"/>
              </w:rPr>
              <w:t>除了</w:t>
            </w:r>
            <w:r>
              <w:rPr>
                <w:rFonts w:hint="default" w:ascii="Times New Roman" w:hAnsi="Times New Roman" w:cs="Times New Roman"/>
                <w:b w:val="0"/>
                <w:bCs/>
                <w:color w:val="auto"/>
                <w:sz w:val="24"/>
                <w:highlight w:val="none"/>
                <w:lang w:val="en-US" w:eastAsia="zh-CN"/>
              </w:rPr>
              <w:t>本项目</w:t>
            </w:r>
            <w:r>
              <w:rPr>
                <w:rFonts w:hint="default" w:ascii="Times New Roman" w:hAnsi="Times New Roman" w:cs="Times New Roman"/>
                <w:b w:val="0"/>
                <w:bCs/>
                <w:color w:val="auto"/>
                <w:sz w:val="24"/>
                <w:highlight w:val="none"/>
              </w:rPr>
              <w:t>介入工作外，不从事其他辐射工作岗位。</w:t>
            </w:r>
            <w:r>
              <w:rPr>
                <w:rFonts w:hint="default" w:ascii="Times New Roman" w:hAnsi="Times New Roman" w:cs="Times New Roman"/>
                <w:color w:val="auto"/>
                <w:kern w:val="2"/>
                <w:sz w:val="24"/>
                <w:szCs w:val="24"/>
                <w:highlight w:val="none"/>
                <w:lang w:val="en-US" w:bidi="ar"/>
              </w:rPr>
              <w:t>根据本项目</w:t>
            </w:r>
            <w:r>
              <w:rPr>
                <w:rFonts w:hint="default" w:ascii="Times New Roman" w:hAnsi="Times New Roman" w:cs="Times New Roman"/>
                <w:color w:val="auto"/>
                <w:kern w:val="2"/>
                <w:sz w:val="24"/>
                <w:szCs w:val="24"/>
                <w:highlight w:val="none"/>
                <w:lang w:val="en-US" w:eastAsia="zh-CN" w:bidi="ar"/>
              </w:rPr>
              <w:t>预计</w:t>
            </w:r>
            <w:r>
              <w:rPr>
                <w:rFonts w:hint="default" w:ascii="Times New Roman" w:hAnsi="Times New Roman" w:cs="Times New Roman"/>
                <w:color w:val="auto"/>
                <w:kern w:val="2"/>
                <w:sz w:val="24"/>
                <w:szCs w:val="24"/>
                <w:highlight w:val="none"/>
                <w:lang w:val="en-US" w:bidi="ar"/>
              </w:rPr>
              <w:t>年手术数量及每台手术人员分配情况，</w:t>
            </w:r>
            <w:r>
              <w:rPr>
                <w:rFonts w:hint="default" w:ascii="Times New Roman" w:hAnsi="Times New Roman" w:cs="Times New Roman"/>
                <w:bCs/>
                <w:color w:val="auto"/>
                <w:kern w:val="2"/>
                <w:sz w:val="24"/>
                <w:szCs w:val="24"/>
                <w:highlight w:val="none"/>
                <w:lang w:val="en-US" w:bidi="ar"/>
              </w:rPr>
              <w:t>每台手术配置</w:t>
            </w:r>
            <w:r>
              <w:rPr>
                <w:rFonts w:hint="default" w:ascii="Times New Roman" w:hAnsi="Times New Roman" w:cs="Times New Roman"/>
                <w:bCs/>
                <w:color w:val="auto"/>
                <w:kern w:val="2"/>
                <w:sz w:val="24"/>
                <w:szCs w:val="24"/>
                <w:highlight w:val="none"/>
                <w:lang w:val="en-US" w:eastAsia="zh-CN" w:bidi="ar"/>
              </w:rPr>
              <w:t>1</w:t>
            </w:r>
            <w:r>
              <w:rPr>
                <w:rFonts w:hint="default" w:ascii="Times New Roman" w:hAnsi="Times New Roman" w:cs="Times New Roman"/>
                <w:bCs/>
                <w:color w:val="auto"/>
                <w:kern w:val="2"/>
                <w:sz w:val="24"/>
                <w:szCs w:val="24"/>
                <w:highlight w:val="none"/>
                <w:lang w:val="en-US" w:bidi="ar"/>
              </w:rPr>
              <w:t>名医生</w:t>
            </w:r>
            <w:r>
              <w:rPr>
                <w:rFonts w:hint="default" w:ascii="Times New Roman" w:hAnsi="Times New Roman" w:cs="Times New Roman"/>
                <w:bCs/>
                <w:color w:val="auto"/>
                <w:kern w:val="2"/>
                <w:sz w:val="24"/>
                <w:szCs w:val="24"/>
                <w:highlight w:val="none"/>
                <w:lang w:val="en-US" w:eastAsia="zh-CN" w:bidi="ar"/>
              </w:rPr>
              <w:t>1名护师（2名医生排班，手术由1名护师和1名医生完成）</w:t>
            </w:r>
            <w:r>
              <w:rPr>
                <w:rFonts w:hint="default" w:ascii="Times New Roman" w:hAnsi="Times New Roman" w:cs="Times New Roman"/>
                <w:bCs/>
                <w:color w:val="auto"/>
                <w:kern w:val="2"/>
                <w:sz w:val="24"/>
                <w:szCs w:val="24"/>
                <w:highlight w:val="none"/>
                <w:lang w:val="en-US" w:bidi="ar"/>
              </w:rPr>
              <w:t>。</w:t>
            </w:r>
            <w:r>
              <w:rPr>
                <w:rFonts w:hint="default" w:ascii="Times New Roman" w:hAnsi="Times New Roman" w:cs="Times New Roman"/>
                <w:bCs/>
                <w:color w:val="auto"/>
                <w:kern w:val="2"/>
                <w:sz w:val="24"/>
                <w:szCs w:val="24"/>
                <w:highlight w:val="none"/>
                <w:lang w:val="en-US" w:eastAsia="zh-CN" w:bidi="ar"/>
              </w:rPr>
              <w:t>医生和护师在受照时间的基础上保守估计10%余量。本项目辐射工作人员年工作负荷情况一览表见下表1-5。</w:t>
            </w:r>
          </w:p>
          <w:p w14:paraId="3E46F06E">
            <w:pPr>
              <w:pStyle w:val="8"/>
              <w:numPr>
                <w:ilvl w:val="0"/>
                <w:numId w:val="3"/>
              </w:numPr>
              <w:ind w:left="425" w:leftChars="0" w:hanging="425"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本项目辐射工作人员配置情况</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5"/>
              <w:gridCol w:w="3132"/>
              <w:gridCol w:w="3289"/>
            </w:tblGrid>
            <w:tr w14:paraId="26B2F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1195" w:type="dxa"/>
                  <w:tcBorders>
                    <w:tl2br w:val="nil"/>
                    <w:tr2bl w:val="nil"/>
                  </w:tcBorders>
                  <w:noWrap w:val="0"/>
                  <w:vAlign w:val="center"/>
                </w:tcPr>
                <w:p w14:paraId="3DF96A43">
                  <w:pPr>
                    <w:jc w:val="center"/>
                    <w:rPr>
                      <w:rFonts w:hint="default" w:ascii="Times New Roman" w:hAnsi="Times New Roman" w:eastAsia="Times New Roman" w:cs="Times New Roman"/>
                      <w:b/>
                      <w:bCs/>
                      <w:color w:val="auto"/>
                      <w:sz w:val="21"/>
                      <w:szCs w:val="21"/>
                      <w:highlight w:val="none"/>
                    </w:rPr>
                  </w:pPr>
                  <w:r>
                    <w:rPr>
                      <w:rFonts w:hint="default" w:ascii="Times New Roman" w:hAnsi="Times New Roman" w:eastAsia="Times New Roman" w:cs="Times New Roman"/>
                      <w:b/>
                      <w:bCs/>
                      <w:color w:val="auto"/>
                      <w:sz w:val="21"/>
                      <w:szCs w:val="21"/>
                      <w:highlight w:val="none"/>
                    </w:rPr>
                    <w:t>职务</w:t>
                  </w:r>
                </w:p>
              </w:tc>
              <w:tc>
                <w:tcPr>
                  <w:tcW w:w="1995" w:type="dxa"/>
                  <w:tcBorders>
                    <w:tl2br w:val="nil"/>
                    <w:tr2bl w:val="nil"/>
                  </w:tcBorders>
                  <w:noWrap w:val="0"/>
                  <w:vAlign w:val="center"/>
                </w:tcPr>
                <w:p w14:paraId="765EDDD3">
                  <w:pPr>
                    <w:jc w:val="center"/>
                    <w:rPr>
                      <w:rFonts w:hint="default" w:ascii="Times New Roman" w:hAnsi="Times New Roman" w:eastAsia="Times New Roman" w:cs="Times New Roman"/>
                      <w:b/>
                      <w:bCs/>
                      <w:color w:val="auto"/>
                      <w:sz w:val="21"/>
                      <w:szCs w:val="21"/>
                      <w:highlight w:val="none"/>
                    </w:rPr>
                  </w:pPr>
                  <w:r>
                    <w:rPr>
                      <w:rFonts w:hint="default" w:ascii="Times New Roman" w:hAnsi="Times New Roman" w:eastAsia="Times New Roman" w:cs="Times New Roman"/>
                      <w:b/>
                      <w:bCs/>
                      <w:color w:val="auto"/>
                      <w:sz w:val="21"/>
                      <w:szCs w:val="21"/>
                      <w:highlight w:val="none"/>
                    </w:rPr>
                    <w:t>辐射工作人员数量</w:t>
                  </w:r>
                </w:p>
              </w:tc>
              <w:tc>
                <w:tcPr>
                  <w:tcW w:w="2095" w:type="dxa"/>
                  <w:tcBorders>
                    <w:tl2br w:val="nil"/>
                    <w:tr2bl w:val="nil"/>
                  </w:tcBorders>
                  <w:noWrap w:val="0"/>
                  <w:vAlign w:val="center"/>
                </w:tcPr>
                <w:p w14:paraId="49ABAD98">
                  <w:pPr>
                    <w:jc w:val="center"/>
                    <w:rPr>
                      <w:rFonts w:hint="default" w:ascii="Times New Roman" w:hAnsi="Times New Roman" w:eastAsia="Times New Roman" w:cs="Times New Roman"/>
                      <w:b/>
                      <w:bCs/>
                      <w:color w:val="auto"/>
                      <w:sz w:val="21"/>
                      <w:szCs w:val="21"/>
                      <w:highlight w:val="none"/>
                    </w:rPr>
                  </w:pPr>
                  <w:r>
                    <w:rPr>
                      <w:rFonts w:hint="default" w:ascii="Times New Roman" w:hAnsi="Times New Roman" w:eastAsia="Times New Roman" w:cs="Times New Roman"/>
                      <w:b/>
                      <w:bCs/>
                      <w:color w:val="auto"/>
                      <w:sz w:val="21"/>
                      <w:szCs w:val="21"/>
                      <w:highlight w:val="none"/>
                    </w:rPr>
                    <w:t>科室</w:t>
                  </w:r>
                </w:p>
              </w:tc>
            </w:tr>
            <w:tr w14:paraId="21A9B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195" w:type="dxa"/>
                  <w:vMerge w:val="restart"/>
                  <w:tcBorders>
                    <w:tl2br w:val="nil"/>
                    <w:tr2bl w:val="nil"/>
                  </w:tcBorders>
                  <w:noWrap w:val="0"/>
                  <w:vAlign w:val="center"/>
                </w:tcPr>
                <w:p w14:paraId="5A919842">
                  <w:pPr>
                    <w:jc w:val="center"/>
                    <w:rPr>
                      <w:rFonts w:hint="default" w:ascii="Times New Roman" w:hAnsi="Times New Roman" w:eastAsia="Times New Roman" w:cs="Times New Roman"/>
                      <w:color w:val="auto"/>
                      <w:sz w:val="21"/>
                      <w:szCs w:val="21"/>
                      <w:highlight w:val="none"/>
                    </w:rPr>
                  </w:pPr>
                  <w:r>
                    <w:rPr>
                      <w:rFonts w:hint="default" w:ascii="Times New Roman" w:hAnsi="Times New Roman" w:eastAsia="Times New Roman" w:cs="Times New Roman"/>
                      <w:color w:val="auto"/>
                      <w:sz w:val="21"/>
                      <w:szCs w:val="21"/>
                      <w:highlight w:val="none"/>
                    </w:rPr>
                    <w:t>医生</w:t>
                  </w:r>
                </w:p>
              </w:tc>
              <w:tc>
                <w:tcPr>
                  <w:tcW w:w="1995" w:type="dxa"/>
                  <w:tcBorders>
                    <w:tl2br w:val="nil"/>
                    <w:tr2bl w:val="nil"/>
                  </w:tcBorders>
                  <w:noWrap w:val="0"/>
                  <w:vAlign w:val="center"/>
                </w:tcPr>
                <w:p w14:paraId="6CB3C90B">
                  <w:pPr>
                    <w:jc w:val="center"/>
                    <w:rPr>
                      <w:rFonts w:hint="default" w:ascii="Times New Roman" w:hAnsi="Times New Roman" w:eastAsia="宋体" w:cs="Times New Roman"/>
                      <w:color w:val="auto"/>
                      <w:sz w:val="21"/>
                      <w:szCs w:val="21"/>
                      <w:highlight w:val="none"/>
                      <w:lang w:val="en-US" w:eastAsia="zh-CN" w:bidi="en-US"/>
                    </w:rPr>
                  </w:pPr>
                  <w:r>
                    <w:rPr>
                      <w:rFonts w:hint="default" w:ascii="Times New Roman" w:hAnsi="Times New Roman" w:cs="Times New Roman"/>
                      <w:color w:val="auto"/>
                      <w:sz w:val="21"/>
                      <w:szCs w:val="21"/>
                      <w:highlight w:val="none"/>
                      <w:lang w:val="en-US" w:eastAsia="zh-CN"/>
                    </w:rPr>
                    <w:t>2</w:t>
                  </w:r>
                </w:p>
              </w:tc>
              <w:tc>
                <w:tcPr>
                  <w:tcW w:w="2095" w:type="dxa"/>
                  <w:tcBorders>
                    <w:tl2br w:val="nil"/>
                    <w:tr2bl w:val="nil"/>
                  </w:tcBorders>
                  <w:noWrap w:val="0"/>
                  <w:vAlign w:val="center"/>
                </w:tcPr>
                <w:p w14:paraId="691D25FF">
                  <w:pPr>
                    <w:jc w:val="center"/>
                    <w:rPr>
                      <w:rFonts w:hint="default" w:ascii="Times New Roman" w:hAnsi="Times New Roman" w:eastAsia="宋体" w:cs="Times New Roman"/>
                      <w:color w:val="auto"/>
                      <w:sz w:val="21"/>
                      <w:szCs w:val="21"/>
                      <w:highlight w:val="none"/>
                      <w:lang w:val="en-US" w:eastAsia="zh-CN" w:bidi="en-US"/>
                    </w:rPr>
                  </w:pPr>
                  <w:r>
                    <w:rPr>
                      <w:rFonts w:hint="default" w:ascii="Times New Roman" w:hAnsi="Times New Roman" w:cs="Times New Roman"/>
                      <w:color w:val="auto"/>
                      <w:sz w:val="21"/>
                      <w:szCs w:val="21"/>
                      <w:highlight w:val="none"/>
                      <w:lang w:val="en-US" w:eastAsia="zh-CN" w:bidi="en-US"/>
                    </w:rPr>
                    <w:t>神经内科</w:t>
                  </w:r>
                </w:p>
              </w:tc>
            </w:tr>
            <w:tr w14:paraId="0BDDA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195" w:type="dxa"/>
                  <w:vMerge w:val="continue"/>
                  <w:tcBorders>
                    <w:tl2br w:val="nil"/>
                    <w:tr2bl w:val="nil"/>
                  </w:tcBorders>
                  <w:noWrap w:val="0"/>
                  <w:vAlign w:val="center"/>
                </w:tcPr>
                <w:p w14:paraId="02CB75B9">
                  <w:pPr>
                    <w:jc w:val="center"/>
                    <w:rPr>
                      <w:rFonts w:hint="default" w:ascii="Times New Roman" w:hAnsi="Times New Roman" w:eastAsia="Times New Roman" w:cs="Times New Roman"/>
                      <w:color w:val="auto"/>
                      <w:sz w:val="21"/>
                      <w:szCs w:val="21"/>
                      <w:highlight w:val="none"/>
                    </w:rPr>
                  </w:pPr>
                </w:p>
              </w:tc>
              <w:tc>
                <w:tcPr>
                  <w:tcW w:w="1995" w:type="dxa"/>
                  <w:tcBorders>
                    <w:tl2br w:val="nil"/>
                    <w:tr2bl w:val="nil"/>
                  </w:tcBorders>
                  <w:noWrap w:val="0"/>
                  <w:vAlign w:val="center"/>
                </w:tcPr>
                <w:p w14:paraId="09886104">
                  <w:pPr>
                    <w:jc w:val="center"/>
                    <w:rPr>
                      <w:rFonts w:hint="default" w:ascii="Times New Roman" w:hAnsi="Times New Roman" w:eastAsia="宋体" w:cs="Times New Roman"/>
                      <w:color w:val="auto"/>
                      <w:sz w:val="21"/>
                      <w:szCs w:val="21"/>
                      <w:highlight w:val="none"/>
                      <w:lang w:val="en-US" w:eastAsia="zh-CN" w:bidi="en-US"/>
                    </w:rPr>
                  </w:pPr>
                  <w:r>
                    <w:rPr>
                      <w:rFonts w:hint="default" w:ascii="Times New Roman" w:hAnsi="Times New Roman" w:cs="Times New Roman"/>
                      <w:color w:val="auto"/>
                      <w:sz w:val="21"/>
                      <w:szCs w:val="21"/>
                      <w:highlight w:val="none"/>
                      <w:lang w:val="en-US" w:eastAsia="zh-CN"/>
                    </w:rPr>
                    <w:t>2</w:t>
                  </w:r>
                </w:p>
              </w:tc>
              <w:tc>
                <w:tcPr>
                  <w:tcW w:w="2095" w:type="dxa"/>
                  <w:tcBorders>
                    <w:tl2br w:val="nil"/>
                    <w:tr2bl w:val="nil"/>
                  </w:tcBorders>
                  <w:noWrap w:val="0"/>
                  <w:vAlign w:val="center"/>
                </w:tcPr>
                <w:p w14:paraId="01963CBC">
                  <w:pPr>
                    <w:jc w:val="center"/>
                    <w:rPr>
                      <w:rFonts w:hint="default" w:ascii="Times New Roman" w:hAnsi="Times New Roman" w:eastAsia="宋体" w:cs="Times New Roman"/>
                      <w:color w:val="auto"/>
                      <w:sz w:val="21"/>
                      <w:szCs w:val="21"/>
                      <w:highlight w:val="none"/>
                      <w:lang w:val="en-US" w:eastAsia="zh-CN" w:bidi="en-US"/>
                    </w:rPr>
                  </w:pPr>
                  <w:r>
                    <w:rPr>
                      <w:rFonts w:hint="default" w:ascii="Times New Roman" w:hAnsi="Times New Roman" w:cs="Times New Roman"/>
                      <w:color w:val="auto"/>
                      <w:sz w:val="21"/>
                      <w:szCs w:val="21"/>
                      <w:highlight w:val="none"/>
                      <w:lang w:val="en-US" w:eastAsia="zh-CN" w:bidi="en-US"/>
                    </w:rPr>
                    <w:t>神经外科</w:t>
                  </w:r>
                </w:p>
              </w:tc>
            </w:tr>
            <w:tr w14:paraId="340B8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1195" w:type="dxa"/>
                  <w:vMerge w:val="restart"/>
                  <w:tcBorders>
                    <w:tl2br w:val="nil"/>
                    <w:tr2bl w:val="nil"/>
                  </w:tcBorders>
                  <w:noWrap w:val="0"/>
                  <w:vAlign w:val="center"/>
                </w:tcPr>
                <w:p w14:paraId="36B36C34">
                  <w:pPr>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护师</w:t>
                  </w:r>
                </w:p>
              </w:tc>
              <w:tc>
                <w:tcPr>
                  <w:tcW w:w="1995" w:type="dxa"/>
                  <w:tcBorders>
                    <w:tl2br w:val="nil"/>
                    <w:tr2bl w:val="nil"/>
                  </w:tcBorders>
                  <w:noWrap w:val="0"/>
                  <w:vAlign w:val="center"/>
                </w:tcPr>
                <w:p w14:paraId="6198E887">
                  <w:pPr>
                    <w:jc w:val="center"/>
                    <w:rPr>
                      <w:rFonts w:hint="default" w:ascii="Times New Roman" w:hAnsi="Times New Roman" w:eastAsia="Times New Roman" w:cs="Times New Roman"/>
                      <w:color w:val="auto"/>
                      <w:sz w:val="21"/>
                      <w:szCs w:val="21"/>
                      <w:highlight w:val="none"/>
                      <w:lang w:val="en-US" w:bidi="en-US"/>
                    </w:rPr>
                  </w:pPr>
                  <w:r>
                    <w:rPr>
                      <w:rFonts w:hint="default" w:ascii="Times New Roman" w:hAnsi="Times New Roman" w:eastAsia="Times New Roman" w:cs="Times New Roman"/>
                      <w:color w:val="auto"/>
                      <w:sz w:val="21"/>
                      <w:szCs w:val="21"/>
                      <w:highlight w:val="none"/>
                      <w:lang w:val="en-US"/>
                    </w:rPr>
                    <w:t>1</w:t>
                  </w:r>
                </w:p>
              </w:tc>
              <w:tc>
                <w:tcPr>
                  <w:tcW w:w="2095" w:type="dxa"/>
                  <w:tcBorders>
                    <w:tl2br w:val="nil"/>
                    <w:tr2bl w:val="nil"/>
                  </w:tcBorders>
                  <w:shd w:val="clear" w:color="auto" w:fill="auto"/>
                  <w:noWrap w:val="0"/>
                  <w:vAlign w:val="center"/>
                </w:tcPr>
                <w:p w14:paraId="5610EBA2">
                  <w:pPr>
                    <w:jc w:val="center"/>
                    <w:rPr>
                      <w:rFonts w:hint="default" w:ascii="Times New Roman" w:hAnsi="Times New Roman" w:eastAsia="宋体" w:cs="Times New Roman"/>
                      <w:color w:val="auto"/>
                      <w:kern w:val="2"/>
                      <w:sz w:val="21"/>
                      <w:szCs w:val="21"/>
                      <w:highlight w:val="none"/>
                      <w:lang w:val="en-US" w:eastAsia="zh-CN" w:bidi="en-US"/>
                    </w:rPr>
                  </w:pPr>
                  <w:r>
                    <w:rPr>
                      <w:rFonts w:hint="default" w:ascii="Times New Roman" w:hAnsi="Times New Roman" w:cs="Times New Roman"/>
                      <w:color w:val="auto"/>
                      <w:sz w:val="21"/>
                      <w:szCs w:val="21"/>
                      <w:highlight w:val="none"/>
                      <w:lang w:val="en-US" w:eastAsia="zh-CN" w:bidi="en-US"/>
                    </w:rPr>
                    <w:t>神经内科</w:t>
                  </w:r>
                </w:p>
              </w:tc>
            </w:tr>
            <w:tr w14:paraId="1C032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195" w:type="dxa"/>
                  <w:vMerge w:val="continue"/>
                  <w:tcBorders>
                    <w:tl2br w:val="nil"/>
                    <w:tr2bl w:val="nil"/>
                  </w:tcBorders>
                  <w:noWrap w:val="0"/>
                  <w:vAlign w:val="center"/>
                </w:tcPr>
                <w:p w14:paraId="17A8A1B7">
                  <w:pPr>
                    <w:jc w:val="center"/>
                    <w:rPr>
                      <w:rFonts w:hint="default" w:ascii="Times New Roman" w:hAnsi="Times New Roman" w:eastAsia="Times New Roman" w:cs="Times New Roman"/>
                      <w:color w:val="auto"/>
                      <w:sz w:val="21"/>
                      <w:szCs w:val="21"/>
                      <w:highlight w:val="none"/>
                    </w:rPr>
                  </w:pPr>
                </w:p>
              </w:tc>
              <w:tc>
                <w:tcPr>
                  <w:tcW w:w="1995" w:type="dxa"/>
                  <w:tcBorders>
                    <w:tl2br w:val="nil"/>
                    <w:tr2bl w:val="nil"/>
                  </w:tcBorders>
                  <w:noWrap w:val="0"/>
                  <w:vAlign w:val="center"/>
                </w:tcPr>
                <w:p w14:paraId="327A069A">
                  <w:pPr>
                    <w:jc w:val="center"/>
                    <w:rPr>
                      <w:rFonts w:hint="default" w:ascii="Times New Roman" w:hAnsi="Times New Roman" w:eastAsia="Times New Roman" w:cs="Times New Roman"/>
                      <w:color w:val="auto"/>
                      <w:sz w:val="21"/>
                      <w:szCs w:val="21"/>
                      <w:highlight w:val="none"/>
                      <w:lang w:val="en-US" w:bidi="en-US"/>
                    </w:rPr>
                  </w:pPr>
                  <w:r>
                    <w:rPr>
                      <w:rFonts w:hint="default" w:ascii="Times New Roman" w:hAnsi="Times New Roman" w:eastAsia="Times New Roman" w:cs="Times New Roman"/>
                      <w:color w:val="auto"/>
                      <w:sz w:val="21"/>
                      <w:szCs w:val="21"/>
                      <w:highlight w:val="none"/>
                      <w:lang w:val="en-US"/>
                    </w:rPr>
                    <w:t>1</w:t>
                  </w:r>
                </w:p>
              </w:tc>
              <w:tc>
                <w:tcPr>
                  <w:tcW w:w="2095" w:type="dxa"/>
                  <w:tcBorders>
                    <w:tl2br w:val="nil"/>
                    <w:tr2bl w:val="nil"/>
                  </w:tcBorders>
                  <w:shd w:val="clear" w:color="auto" w:fill="auto"/>
                  <w:noWrap w:val="0"/>
                  <w:vAlign w:val="center"/>
                </w:tcPr>
                <w:p w14:paraId="2849F1DC">
                  <w:pPr>
                    <w:jc w:val="center"/>
                    <w:rPr>
                      <w:rFonts w:hint="default" w:ascii="Times New Roman" w:hAnsi="Times New Roman" w:eastAsia="宋体" w:cs="Times New Roman"/>
                      <w:color w:val="auto"/>
                      <w:kern w:val="2"/>
                      <w:sz w:val="21"/>
                      <w:szCs w:val="21"/>
                      <w:highlight w:val="none"/>
                      <w:lang w:val="en-US" w:eastAsia="zh-CN" w:bidi="en-US"/>
                    </w:rPr>
                  </w:pPr>
                  <w:r>
                    <w:rPr>
                      <w:rFonts w:hint="default" w:ascii="Times New Roman" w:hAnsi="Times New Roman" w:cs="Times New Roman"/>
                      <w:color w:val="auto"/>
                      <w:sz w:val="21"/>
                      <w:szCs w:val="21"/>
                      <w:highlight w:val="none"/>
                      <w:lang w:val="en-US" w:eastAsia="zh-CN" w:bidi="en-US"/>
                    </w:rPr>
                    <w:t>神经外科</w:t>
                  </w:r>
                </w:p>
              </w:tc>
            </w:tr>
            <w:bookmarkEnd w:id="5"/>
            <w:bookmarkEnd w:id="6"/>
            <w:bookmarkEnd w:id="7"/>
          </w:tbl>
          <w:p w14:paraId="7A7D7345">
            <w:pPr>
              <w:pStyle w:val="8"/>
              <w:rPr>
                <w:rFonts w:hint="default" w:ascii="Times New Roman" w:hAnsi="Times New Roman" w:cs="Times New Roman"/>
                <w:color w:val="auto"/>
                <w:highlight w:val="none"/>
              </w:rPr>
            </w:pPr>
          </w:p>
        </w:tc>
      </w:tr>
    </w:tbl>
    <w:p w14:paraId="5FFFC8E8">
      <w:pPr>
        <w:adjustRightInd w:val="0"/>
        <w:snapToGrid w:val="0"/>
        <w:rPr>
          <w:rFonts w:hint="default" w:ascii="Times New Roman" w:hAnsi="Times New Roman" w:cs="Times New Roman"/>
          <w:bCs/>
          <w:color w:val="auto"/>
          <w:kern w:val="0"/>
          <w:sz w:val="30"/>
          <w:szCs w:val="30"/>
          <w:highlight w:val="none"/>
        </w:rPr>
        <w:sectPr>
          <w:headerReference r:id="rId4" w:type="default"/>
          <w:footerReference r:id="rId5" w:type="default"/>
          <w:pgSz w:w="11906" w:h="16838"/>
          <w:pgMar w:top="1440" w:right="1800" w:bottom="1440" w:left="1800" w:header="851" w:footer="1191" w:gutter="0"/>
          <w:pgBorders>
            <w:top w:val="none" w:sz="0" w:space="0"/>
            <w:left w:val="none" w:sz="0" w:space="0"/>
            <w:bottom w:val="none" w:sz="0" w:space="0"/>
            <w:right w:val="none" w:sz="0" w:space="0"/>
          </w:pgBorders>
          <w:pgNumType w:start="1"/>
          <w:cols w:space="720" w:num="1"/>
          <w:docGrid w:type="lines" w:linePitch="312" w:charSpace="0"/>
        </w:sectPr>
      </w:pP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1FDF9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Pr>
          <w:p w14:paraId="18088B20">
            <w:pPr>
              <w:pStyle w:val="8"/>
              <w:numPr>
                <w:ilvl w:val="0"/>
                <w:numId w:val="3"/>
              </w:numPr>
              <w:ind w:left="425" w:leftChars="0" w:hanging="425" w:firstLineChars="0"/>
              <w:jc w:val="center"/>
              <w:rPr>
                <w:rFonts w:hint="default" w:eastAsia="宋体" w:cs="Times New Roman"/>
                <w:color w:val="auto"/>
                <w:highlight w:val="none"/>
                <w:lang w:val="en-US" w:eastAsia="zh-CN"/>
              </w:rPr>
            </w:pPr>
            <w:r>
              <w:rPr>
                <w:rFonts w:hint="default" w:eastAsia="宋体" w:cs="Times New Roman"/>
                <w:color w:val="auto"/>
                <w:highlight w:val="none"/>
                <w:lang w:val="en-US" w:eastAsia="zh-CN"/>
              </w:rPr>
              <w:t>本项目投运时，辐射工作人员受影响情况一览表</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6"/>
              <w:gridCol w:w="613"/>
              <w:gridCol w:w="661"/>
              <w:gridCol w:w="889"/>
              <w:gridCol w:w="747"/>
              <w:gridCol w:w="1382"/>
              <w:gridCol w:w="776"/>
              <w:gridCol w:w="861"/>
              <w:gridCol w:w="770"/>
              <w:gridCol w:w="750"/>
            </w:tblGrid>
            <w:tr w14:paraId="1DE82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15" w:type="pct"/>
                  <w:vMerge w:val="restart"/>
                  <w:shd w:val="clear" w:color="auto" w:fill="auto"/>
                  <w:vAlign w:val="center"/>
                </w:tcPr>
                <w:p w14:paraId="777E6A7A">
                  <w:pPr>
                    <w:widowControl/>
                    <w:adjustRightInd w:val="0"/>
                    <w:snapToGrid w:val="0"/>
                    <w:jc w:val="center"/>
                    <w:textAlignment w:val="center"/>
                    <w:rPr>
                      <w:rFonts w:hint="default" w:ascii="Times New Roman" w:hAnsi="Times New Roman" w:cs="Times New Roman"/>
                      <w:color w:val="auto"/>
                      <w:sz w:val="18"/>
                      <w:szCs w:val="18"/>
                      <w:highlight w:val="none"/>
                    </w:rPr>
                  </w:pPr>
                  <w:r>
                    <w:rPr>
                      <w:rStyle w:val="45"/>
                      <w:rFonts w:hint="default" w:ascii="Times New Roman" w:hAnsi="Times New Roman" w:cs="Times New Roman"/>
                      <w:color w:val="auto"/>
                      <w:sz w:val="18"/>
                      <w:szCs w:val="18"/>
                      <w:highlight w:val="none"/>
                      <w:lang w:bidi="ar"/>
                    </w:rPr>
                    <w:t>科室</w:t>
                  </w:r>
                </w:p>
              </w:tc>
              <w:tc>
                <w:tcPr>
                  <w:tcW w:w="360" w:type="pct"/>
                  <w:vMerge w:val="restart"/>
                  <w:shd w:val="clear" w:color="auto" w:fill="auto"/>
                  <w:vAlign w:val="center"/>
                </w:tcPr>
                <w:p w14:paraId="33B2CD95">
                  <w:pPr>
                    <w:widowControl/>
                    <w:adjustRightInd w:val="0"/>
                    <w:snapToGrid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台数</w:t>
                  </w:r>
                </w:p>
              </w:tc>
              <w:tc>
                <w:tcPr>
                  <w:tcW w:w="389" w:type="pct"/>
                  <w:vMerge w:val="restart"/>
                  <w:shd w:val="clear" w:color="auto" w:fill="auto"/>
                  <w:vAlign w:val="center"/>
                </w:tcPr>
                <w:p w14:paraId="276AC86C">
                  <w:pPr>
                    <w:widowControl/>
                    <w:adjustRightInd w:val="0"/>
                    <w:snapToGrid w:val="0"/>
                    <w:jc w:val="center"/>
                    <w:textAlignment w:val="center"/>
                    <w:rPr>
                      <w:rFonts w:hint="default" w:ascii="Times New Roman" w:hAnsi="Times New Roman" w:cs="Times New Roman"/>
                      <w:color w:val="auto"/>
                      <w:sz w:val="18"/>
                      <w:szCs w:val="18"/>
                      <w:highlight w:val="none"/>
                    </w:rPr>
                  </w:pPr>
                  <w:r>
                    <w:rPr>
                      <w:rStyle w:val="45"/>
                      <w:rFonts w:hint="default" w:ascii="Times New Roman" w:hAnsi="Times New Roman" w:cs="Times New Roman"/>
                      <w:color w:val="auto"/>
                      <w:sz w:val="18"/>
                      <w:szCs w:val="18"/>
                      <w:highlight w:val="none"/>
                      <w:lang w:bidi="ar"/>
                    </w:rPr>
                    <w:t>岗位</w:t>
                  </w:r>
                </w:p>
              </w:tc>
              <w:tc>
                <w:tcPr>
                  <w:tcW w:w="523" w:type="pct"/>
                  <w:vMerge w:val="restart"/>
                  <w:shd w:val="clear" w:color="auto" w:fill="auto"/>
                  <w:vAlign w:val="center"/>
                </w:tcPr>
                <w:p w14:paraId="2068C4FF">
                  <w:pPr>
                    <w:widowControl/>
                    <w:adjustRightInd w:val="0"/>
                    <w:snapToGrid w:val="0"/>
                    <w:jc w:val="center"/>
                    <w:textAlignment w:val="center"/>
                    <w:rPr>
                      <w:rFonts w:hint="default" w:ascii="Times New Roman" w:hAnsi="Times New Roman" w:cs="Times New Roman"/>
                      <w:color w:val="auto"/>
                      <w:sz w:val="18"/>
                      <w:szCs w:val="18"/>
                      <w:highlight w:val="none"/>
                    </w:rPr>
                  </w:pPr>
                  <w:r>
                    <w:rPr>
                      <w:rStyle w:val="45"/>
                      <w:rFonts w:hint="default" w:ascii="Times New Roman" w:hAnsi="Times New Roman" w:cs="Times New Roman"/>
                      <w:color w:val="auto"/>
                      <w:sz w:val="18"/>
                      <w:szCs w:val="18"/>
                      <w:highlight w:val="none"/>
                      <w:lang w:bidi="ar"/>
                    </w:rPr>
                    <w:t>位置</w:t>
                  </w:r>
                </w:p>
              </w:tc>
              <w:tc>
                <w:tcPr>
                  <w:tcW w:w="439" w:type="pct"/>
                  <w:vMerge w:val="restart"/>
                  <w:shd w:val="clear" w:color="auto" w:fill="auto"/>
                  <w:vAlign w:val="center"/>
                </w:tcPr>
                <w:p w14:paraId="5A62FCA5">
                  <w:pPr>
                    <w:widowControl/>
                    <w:adjustRightInd w:val="0"/>
                    <w:snapToGrid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人员配备情况</w:t>
                  </w:r>
                </w:p>
              </w:tc>
              <w:tc>
                <w:tcPr>
                  <w:tcW w:w="813" w:type="pct"/>
                  <w:vMerge w:val="restart"/>
                  <w:shd w:val="clear" w:color="auto" w:fill="auto"/>
                  <w:vAlign w:val="center"/>
                </w:tcPr>
                <w:p w14:paraId="53CD21D9">
                  <w:pPr>
                    <w:widowControl/>
                    <w:adjustRightInd w:val="0"/>
                    <w:snapToGrid w:val="0"/>
                    <w:jc w:val="center"/>
                    <w:textAlignment w:val="center"/>
                    <w:rPr>
                      <w:rStyle w:val="45"/>
                      <w:rFonts w:hint="default" w:ascii="Times New Roman" w:hAnsi="Times New Roman" w:cs="Times New Roman"/>
                      <w:color w:val="auto"/>
                      <w:sz w:val="18"/>
                      <w:szCs w:val="18"/>
                      <w:highlight w:val="none"/>
                      <w:lang w:bidi="ar"/>
                    </w:rPr>
                  </w:pPr>
                  <w:r>
                    <w:rPr>
                      <w:rStyle w:val="45"/>
                      <w:rFonts w:hint="default" w:ascii="Times New Roman" w:hAnsi="Times New Roman" w:cs="Times New Roman"/>
                      <w:color w:val="auto"/>
                      <w:sz w:val="18"/>
                      <w:szCs w:val="18"/>
                      <w:highlight w:val="none"/>
                      <w:lang w:bidi="ar"/>
                    </w:rPr>
                    <w:t>单人至多手术台数</w:t>
                  </w:r>
                </w:p>
              </w:tc>
              <w:tc>
                <w:tcPr>
                  <w:tcW w:w="963" w:type="pct"/>
                  <w:gridSpan w:val="2"/>
                  <w:shd w:val="clear" w:color="auto" w:fill="auto"/>
                  <w:vAlign w:val="center"/>
                </w:tcPr>
                <w:p w14:paraId="01A6E1FE">
                  <w:pPr>
                    <w:widowControl/>
                    <w:adjustRightInd w:val="0"/>
                    <w:snapToGrid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单台手术累计最长曝光时间</w:t>
                  </w:r>
                </w:p>
              </w:tc>
              <w:tc>
                <w:tcPr>
                  <w:tcW w:w="453" w:type="pct"/>
                  <w:vMerge w:val="restart"/>
                  <w:shd w:val="clear" w:color="auto" w:fill="auto"/>
                  <w:vAlign w:val="center"/>
                </w:tcPr>
                <w:p w14:paraId="410429FE">
                  <w:pPr>
                    <w:widowControl/>
                    <w:adjustRightInd w:val="0"/>
                    <w:snapToGrid w:val="0"/>
                    <w:jc w:val="center"/>
                    <w:textAlignment w:val="center"/>
                    <w:rPr>
                      <w:rFonts w:hint="default" w:ascii="Times New Roman" w:hAnsi="Times New Roman" w:cs="Times New Roman"/>
                      <w:color w:val="auto"/>
                      <w:sz w:val="18"/>
                      <w:szCs w:val="18"/>
                      <w:highlight w:val="none"/>
                    </w:rPr>
                  </w:pPr>
                  <w:r>
                    <w:rPr>
                      <w:rStyle w:val="45"/>
                      <w:rFonts w:hint="default" w:ascii="Times New Roman" w:hAnsi="Times New Roman" w:cs="Times New Roman"/>
                      <w:color w:val="auto"/>
                      <w:sz w:val="18"/>
                      <w:szCs w:val="18"/>
                      <w:highlight w:val="none"/>
                      <w:lang w:bidi="ar"/>
                    </w:rPr>
                    <w:t>单人拍片时间</w:t>
                  </w:r>
                  <w:r>
                    <w:rPr>
                      <w:rStyle w:val="56"/>
                      <w:rFonts w:hint="default" w:ascii="Times New Roman" w:hAnsi="Times New Roman" w:cs="Times New Roman"/>
                      <w:color w:val="auto"/>
                      <w:sz w:val="18"/>
                      <w:szCs w:val="18"/>
                      <w:highlight w:val="none"/>
                      <w:lang w:bidi="ar"/>
                    </w:rPr>
                    <w:t>（h）</w:t>
                  </w:r>
                </w:p>
              </w:tc>
              <w:tc>
                <w:tcPr>
                  <w:tcW w:w="441" w:type="pct"/>
                  <w:vMerge w:val="restart"/>
                  <w:shd w:val="clear" w:color="auto" w:fill="auto"/>
                  <w:vAlign w:val="center"/>
                </w:tcPr>
                <w:p w14:paraId="5CE572F3">
                  <w:pPr>
                    <w:widowControl/>
                    <w:adjustRightInd w:val="0"/>
                    <w:snapToGrid w:val="0"/>
                    <w:jc w:val="center"/>
                    <w:textAlignment w:val="center"/>
                    <w:rPr>
                      <w:rFonts w:hint="default" w:ascii="Times New Roman" w:hAnsi="Times New Roman" w:cs="Times New Roman"/>
                      <w:color w:val="auto"/>
                      <w:sz w:val="18"/>
                      <w:szCs w:val="18"/>
                      <w:highlight w:val="none"/>
                    </w:rPr>
                  </w:pPr>
                  <w:r>
                    <w:rPr>
                      <w:rStyle w:val="45"/>
                      <w:rFonts w:hint="default" w:ascii="Times New Roman" w:hAnsi="Times New Roman" w:cs="Times New Roman"/>
                      <w:color w:val="auto"/>
                      <w:sz w:val="18"/>
                      <w:szCs w:val="18"/>
                      <w:highlight w:val="none"/>
                      <w:lang w:bidi="ar"/>
                    </w:rPr>
                    <w:t>单人透视时间</w:t>
                  </w:r>
                  <w:r>
                    <w:rPr>
                      <w:rStyle w:val="56"/>
                      <w:rFonts w:hint="default" w:ascii="Times New Roman" w:hAnsi="Times New Roman" w:cs="Times New Roman"/>
                      <w:color w:val="auto"/>
                      <w:sz w:val="18"/>
                      <w:szCs w:val="18"/>
                      <w:highlight w:val="none"/>
                      <w:lang w:bidi="ar"/>
                    </w:rPr>
                    <w:t>（h）</w:t>
                  </w:r>
                </w:p>
              </w:tc>
            </w:tr>
            <w:tr w14:paraId="6C415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15" w:type="pct"/>
                  <w:vMerge w:val="continue"/>
                  <w:shd w:val="clear" w:color="auto" w:fill="auto"/>
                  <w:vAlign w:val="center"/>
                </w:tcPr>
                <w:p w14:paraId="4CB9ACD1">
                  <w:pPr>
                    <w:widowControl/>
                    <w:adjustRightInd w:val="0"/>
                    <w:snapToGrid w:val="0"/>
                    <w:jc w:val="center"/>
                    <w:textAlignment w:val="center"/>
                    <w:rPr>
                      <w:rStyle w:val="45"/>
                      <w:rFonts w:hint="default" w:ascii="Times New Roman" w:hAnsi="Times New Roman" w:cs="Times New Roman"/>
                      <w:color w:val="auto"/>
                      <w:sz w:val="18"/>
                      <w:szCs w:val="18"/>
                      <w:highlight w:val="none"/>
                      <w:lang w:bidi="ar"/>
                    </w:rPr>
                  </w:pPr>
                </w:p>
              </w:tc>
              <w:tc>
                <w:tcPr>
                  <w:tcW w:w="360" w:type="pct"/>
                  <w:vMerge w:val="continue"/>
                  <w:shd w:val="clear" w:color="auto" w:fill="auto"/>
                  <w:vAlign w:val="center"/>
                </w:tcPr>
                <w:p w14:paraId="7A01BCC0">
                  <w:pPr>
                    <w:widowControl/>
                    <w:adjustRightInd w:val="0"/>
                    <w:snapToGrid w:val="0"/>
                    <w:jc w:val="center"/>
                    <w:textAlignment w:val="center"/>
                    <w:rPr>
                      <w:rFonts w:hint="default" w:ascii="Times New Roman" w:hAnsi="Times New Roman" w:cs="Times New Roman"/>
                      <w:color w:val="auto"/>
                      <w:sz w:val="18"/>
                      <w:szCs w:val="18"/>
                      <w:highlight w:val="none"/>
                    </w:rPr>
                  </w:pPr>
                </w:p>
              </w:tc>
              <w:tc>
                <w:tcPr>
                  <w:tcW w:w="389" w:type="pct"/>
                  <w:vMerge w:val="continue"/>
                  <w:shd w:val="clear" w:color="auto" w:fill="auto"/>
                  <w:vAlign w:val="center"/>
                </w:tcPr>
                <w:p w14:paraId="39B45108">
                  <w:pPr>
                    <w:widowControl/>
                    <w:adjustRightInd w:val="0"/>
                    <w:snapToGrid w:val="0"/>
                    <w:jc w:val="center"/>
                    <w:textAlignment w:val="center"/>
                    <w:rPr>
                      <w:rStyle w:val="45"/>
                      <w:rFonts w:hint="default" w:ascii="Times New Roman" w:hAnsi="Times New Roman" w:cs="Times New Roman"/>
                      <w:color w:val="auto"/>
                      <w:sz w:val="18"/>
                      <w:szCs w:val="18"/>
                      <w:highlight w:val="none"/>
                      <w:lang w:bidi="ar"/>
                    </w:rPr>
                  </w:pPr>
                </w:p>
              </w:tc>
              <w:tc>
                <w:tcPr>
                  <w:tcW w:w="523" w:type="pct"/>
                  <w:vMerge w:val="continue"/>
                  <w:shd w:val="clear" w:color="auto" w:fill="auto"/>
                  <w:vAlign w:val="center"/>
                </w:tcPr>
                <w:p w14:paraId="2D01F166">
                  <w:pPr>
                    <w:widowControl/>
                    <w:adjustRightInd w:val="0"/>
                    <w:snapToGrid w:val="0"/>
                    <w:jc w:val="center"/>
                    <w:textAlignment w:val="center"/>
                    <w:rPr>
                      <w:rStyle w:val="45"/>
                      <w:rFonts w:hint="default" w:ascii="Times New Roman" w:hAnsi="Times New Roman" w:cs="Times New Roman"/>
                      <w:color w:val="auto"/>
                      <w:sz w:val="18"/>
                      <w:szCs w:val="18"/>
                      <w:highlight w:val="none"/>
                      <w:lang w:bidi="ar"/>
                    </w:rPr>
                  </w:pPr>
                </w:p>
              </w:tc>
              <w:tc>
                <w:tcPr>
                  <w:tcW w:w="439" w:type="pct"/>
                  <w:vMerge w:val="continue"/>
                  <w:shd w:val="clear" w:color="auto" w:fill="auto"/>
                  <w:vAlign w:val="center"/>
                </w:tcPr>
                <w:p w14:paraId="2A157F33">
                  <w:pPr>
                    <w:widowControl/>
                    <w:adjustRightInd w:val="0"/>
                    <w:snapToGrid w:val="0"/>
                    <w:jc w:val="center"/>
                    <w:textAlignment w:val="center"/>
                    <w:rPr>
                      <w:rFonts w:hint="default" w:ascii="Times New Roman" w:hAnsi="Times New Roman" w:cs="Times New Roman"/>
                      <w:color w:val="auto"/>
                      <w:sz w:val="18"/>
                      <w:szCs w:val="18"/>
                      <w:highlight w:val="none"/>
                    </w:rPr>
                  </w:pPr>
                </w:p>
              </w:tc>
              <w:tc>
                <w:tcPr>
                  <w:tcW w:w="813" w:type="pct"/>
                  <w:vMerge w:val="continue"/>
                  <w:shd w:val="clear" w:color="auto" w:fill="auto"/>
                  <w:vAlign w:val="center"/>
                </w:tcPr>
                <w:p w14:paraId="527C3C14">
                  <w:pPr>
                    <w:widowControl/>
                    <w:adjustRightInd w:val="0"/>
                    <w:snapToGrid w:val="0"/>
                    <w:jc w:val="center"/>
                    <w:textAlignment w:val="center"/>
                    <w:rPr>
                      <w:rStyle w:val="45"/>
                      <w:rFonts w:hint="default" w:ascii="Times New Roman" w:hAnsi="Times New Roman" w:cs="Times New Roman"/>
                      <w:color w:val="auto"/>
                      <w:sz w:val="18"/>
                      <w:szCs w:val="18"/>
                      <w:highlight w:val="none"/>
                      <w:lang w:bidi="ar"/>
                    </w:rPr>
                  </w:pPr>
                </w:p>
              </w:tc>
              <w:tc>
                <w:tcPr>
                  <w:tcW w:w="456" w:type="pct"/>
                  <w:shd w:val="clear" w:color="auto" w:fill="auto"/>
                  <w:vAlign w:val="center"/>
                </w:tcPr>
                <w:p w14:paraId="7D54F2CD">
                  <w:pPr>
                    <w:widowControl/>
                    <w:adjustRightInd w:val="0"/>
                    <w:snapToGrid w:val="0"/>
                    <w:jc w:val="center"/>
                    <w:textAlignment w:val="center"/>
                    <w:rPr>
                      <w:rFonts w:hint="eastAsia" w:ascii="Times New Roman" w:hAnsi="Times New Roman" w:eastAsia="宋体" w:cs="Times New Roman"/>
                      <w:color w:val="auto"/>
                      <w:sz w:val="18"/>
                      <w:szCs w:val="18"/>
                      <w:highlight w:val="none"/>
                      <w:lang w:eastAsia="zh-CN"/>
                    </w:rPr>
                  </w:pPr>
                  <w:r>
                    <w:rPr>
                      <w:rStyle w:val="45"/>
                      <w:rFonts w:hint="default" w:ascii="Times New Roman" w:hAnsi="Times New Roman" w:cs="Times New Roman"/>
                      <w:color w:val="auto"/>
                      <w:sz w:val="18"/>
                      <w:szCs w:val="18"/>
                      <w:highlight w:val="none"/>
                      <w:lang w:bidi="ar"/>
                    </w:rPr>
                    <w:t>拍片</w:t>
                  </w:r>
                  <w:r>
                    <w:rPr>
                      <w:rStyle w:val="45"/>
                      <w:rFonts w:hint="eastAsia" w:ascii="Times New Roman" w:hAnsi="Times New Roman" w:cs="Times New Roman"/>
                      <w:color w:val="auto"/>
                      <w:sz w:val="18"/>
                      <w:szCs w:val="18"/>
                      <w:highlight w:val="none"/>
                      <w:lang w:eastAsia="zh-CN" w:bidi="ar"/>
                    </w:rPr>
                    <w:t>（</w:t>
                  </w:r>
                  <w:r>
                    <w:rPr>
                      <w:rStyle w:val="45"/>
                      <w:rFonts w:hint="eastAsia" w:ascii="Times New Roman" w:hAnsi="Times New Roman" w:cs="Times New Roman"/>
                      <w:color w:val="auto"/>
                      <w:sz w:val="18"/>
                      <w:szCs w:val="18"/>
                      <w:highlight w:val="none"/>
                      <w:lang w:val="en-US" w:eastAsia="zh-CN" w:bidi="ar"/>
                    </w:rPr>
                    <w:t>s</w:t>
                  </w:r>
                  <w:r>
                    <w:rPr>
                      <w:rStyle w:val="45"/>
                      <w:rFonts w:hint="eastAsia" w:ascii="Times New Roman" w:hAnsi="Times New Roman" w:cs="Times New Roman"/>
                      <w:color w:val="auto"/>
                      <w:sz w:val="18"/>
                      <w:szCs w:val="18"/>
                      <w:highlight w:val="none"/>
                      <w:lang w:eastAsia="zh-CN" w:bidi="ar"/>
                    </w:rPr>
                    <w:t>）</w:t>
                  </w:r>
                </w:p>
              </w:tc>
              <w:tc>
                <w:tcPr>
                  <w:tcW w:w="506" w:type="pct"/>
                  <w:shd w:val="clear" w:color="auto" w:fill="auto"/>
                  <w:vAlign w:val="center"/>
                </w:tcPr>
                <w:p w14:paraId="48270E38">
                  <w:pPr>
                    <w:widowControl/>
                    <w:adjustRightInd w:val="0"/>
                    <w:snapToGrid w:val="0"/>
                    <w:jc w:val="center"/>
                    <w:textAlignment w:val="center"/>
                    <w:rPr>
                      <w:rStyle w:val="45"/>
                      <w:rFonts w:hint="eastAsia" w:ascii="Times New Roman" w:hAnsi="Times New Roman" w:eastAsia="宋体" w:cs="Times New Roman"/>
                      <w:color w:val="auto"/>
                      <w:sz w:val="18"/>
                      <w:szCs w:val="18"/>
                      <w:highlight w:val="none"/>
                      <w:lang w:eastAsia="zh-CN" w:bidi="ar"/>
                    </w:rPr>
                  </w:pPr>
                  <w:r>
                    <w:rPr>
                      <w:rFonts w:hint="default" w:ascii="Times New Roman" w:hAnsi="Times New Roman" w:cs="Times New Roman"/>
                      <w:color w:val="auto"/>
                      <w:sz w:val="18"/>
                      <w:szCs w:val="18"/>
                      <w:highlight w:val="none"/>
                    </w:rPr>
                    <w:t>透视</w:t>
                  </w:r>
                  <w:r>
                    <w:rPr>
                      <w:rFonts w:hint="eastAsia" w:ascii="Times New Roman" w:hAnsi="Times New Roman" w:cs="Times New Roman"/>
                      <w:color w:val="auto"/>
                      <w:sz w:val="18"/>
                      <w:szCs w:val="18"/>
                      <w:highlight w:val="none"/>
                      <w:lang w:eastAsia="zh-CN"/>
                    </w:rPr>
                    <w:t>（</w:t>
                  </w:r>
                  <w:r>
                    <w:rPr>
                      <w:rFonts w:hint="eastAsia" w:ascii="Times New Roman" w:hAnsi="Times New Roman" w:cs="Times New Roman"/>
                      <w:color w:val="auto"/>
                      <w:sz w:val="18"/>
                      <w:szCs w:val="18"/>
                      <w:highlight w:val="none"/>
                      <w:lang w:val="en-US" w:eastAsia="zh-CN"/>
                    </w:rPr>
                    <w:t>min</w:t>
                  </w:r>
                  <w:r>
                    <w:rPr>
                      <w:rFonts w:hint="eastAsia" w:ascii="Times New Roman" w:hAnsi="Times New Roman" w:cs="Times New Roman"/>
                      <w:color w:val="auto"/>
                      <w:sz w:val="18"/>
                      <w:szCs w:val="18"/>
                      <w:highlight w:val="none"/>
                      <w:lang w:eastAsia="zh-CN"/>
                    </w:rPr>
                    <w:t>）</w:t>
                  </w:r>
                </w:p>
              </w:tc>
              <w:tc>
                <w:tcPr>
                  <w:tcW w:w="453" w:type="pct"/>
                  <w:vMerge w:val="continue"/>
                  <w:shd w:val="clear" w:color="auto" w:fill="auto"/>
                  <w:vAlign w:val="center"/>
                </w:tcPr>
                <w:p w14:paraId="62B62F78">
                  <w:pPr>
                    <w:widowControl/>
                    <w:adjustRightInd w:val="0"/>
                    <w:snapToGrid w:val="0"/>
                    <w:jc w:val="center"/>
                    <w:textAlignment w:val="center"/>
                    <w:rPr>
                      <w:rStyle w:val="45"/>
                      <w:rFonts w:hint="default" w:ascii="Times New Roman" w:hAnsi="Times New Roman" w:cs="Times New Roman"/>
                      <w:color w:val="auto"/>
                      <w:sz w:val="18"/>
                      <w:szCs w:val="18"/>
                      <w:highlight w:val="none"/>
                      <w:lang w:bidi="ar"/>
                    </w:rPr>
                  </w:pPr>
                </w:p>
              </w:tc>
              <w:tc>
                <w:tcPr>
                  <w:tcW w:w="441" w:type="pct"/>
                  <w:vMerge w:val="continue"/>
                  <w:shd w:val="clear" w:color="auto" w:fill="auto"/>
                  <w:vAlign w:val="center"/>
                </w:tcPr>
                <w:p w14:paraId="498F93BE">
                  <w:pPr>
                    <w:widowControl/>
                    <w:adjustRightInd w:val="0"/>
                    <w:snapToGrid w:val="0"/>
                    <w:jc w:val="center"/>
                    <w:textAlignment w:val="center"/>
                    <w:rPr>
                      <w:rStyle w:val="45"/>
                      <w:rFonts w:hint="default" w:ascii="Times New Roman" w:hAnsi="Times New Roman" w:cs="Times New Roman"/>
                      <w:color w:val="auto"/>
                      <w:sz w:val="18"/>
                      <w:szCs w:val="18"/>
                      <w:highlight w:val="none"/>
                      <w:lang w:bidi="ar"/>
                    </w:rPr>
                  </w:pPr>
                </w:p>
              </w:tc>
            </w:tr>
            <w:tr w14:paraId="058F9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15" w:type="pct"/>
                  <w:vMerge w:val="restart"/>
                  <w:shd w:val="clear" w:color="auto" w:fill="auto"/>
                  <w:vAlign w:val="center"/>
                </w:tcPr>
                <w:p w14:paraId="7C252C4F">
                  <w:pPr>
                    <w:widowControl/>
                    <w:adjustRightInd w:val="0"/>
                    <w:snapToGrid w:val="0"/>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神经内科</w:t>
                  </w:r>
                </w:p>
              </w:tc>
              <w:tc>
                <w:tcPr>
                  <w:tcW w:w="360" w:type="pct"/>
                  <w:vMerge w:val="restart"/>
                  <w:shd w:val="clear" w:color="auto" w:fill="auto"/>
                  <w:vAlign w:val="center"/>
                </w:tcPr>
                <w:p w14:paraId="5CEB5DBD">
                  <w:pPr>
                    <w:widowControl/>
                    <w:adjustRightInd w:val="0"/>
                    <w:snapToGrid w:val="0"/>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170</w:t>
                  </w:r>
                </w:p>
              </w:tc>
              <w:tc>
                <w:tcPr>
                  <w:tcW w:w="389" w:type="pct"/>
                  <w:shd w:val="clear" w:color="auto" w:fill="auto"/>
                  <w:vAlign w:val="center"/>
                </w:tcPr>
                <w:p w14:paraId="0A9E512A">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医师</w:t>
                  </w:r>
                </w:p>
              </w:tc>
              <w:tc>
                <w:tcPr>
                  <w:tcW w:w="523" w:type="pct"/>
                  <w:shd w:val="clear" w:color="auto" w:fill="auto"/>
                  <w:vAlign w:val="center"/>
                </w:tcPr>
                <w:p w14:paraId="70844E6C">
                  <w:pPr>
                    <w:widowControl/>
                    <w:adjustRightInd w:val="0"/>
                    <w:snapToGrid w:val="0"/>
                    <w:jc w:val="center"/>
                    <w:textAlignment w:val="center"/>
                    <w:rPr>
                      <w:rFonts w:hint="default" w:ascii="Times New Roman" w:hAnsi="Times New Roman" w:cs="Times New Roman"/>
                      <w:color w:val="auto"/>
                      <w:sz w:val="18"/>
                      <w:szCs w:val="18"/>
                      <w:highlight w:val="none"/>
                    </w:rPr>
                  </w:pPr>
                  <w:r>
                    <w:rPr>
                      <w:rStyle w:val="45"/>
                      <w:rFonts w:hint="default" w:ascii="Times New Roman" w:hAnsi="Times New Roman" w:cs="Times New Roman"/>
                      <w:color w:val="auto"/>
                      <w:sz w:val="18"/>
                      <w:szCs w:val="18"/>
                      <w:highlight w:val="none"/>
                      <w:lang w:bidi="ar"/>
                    </w:rPr>
                    <w:t>第一手术位</w:t>
                  </w:r>
                </w:p>
              </w:tc>
              <w:tc>
                <w:tcPr>
                  <w:tcW w:w="439" w:type="pct"/>
                  <w:shd w:val="clear" w:color="auto" w:fill="auto"/>
                  <w:vAlign w:val="center"/>
                </w:tcPr>
                <w:p w14:paraId="6E8B707E">
                  <w:pPr>
                    <w:widowControl/>
                    <w:adjustRightInd w:val="0"/>
                    <w:snapToGrid w:val="0"/>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2</w:t>
                  </w:r>
                </w:p>
              </w:tc>
              <w:tc>
                <w:tcPr>
                  <w:tcW w:w="813" w:type="pct"/>
                  <w:shd w:val="clear" w:color="auto" w:fill="auto"/>
                  <w:vAlign w:val="center"/>
                </w:tcPr>
                <w:p w14:paraId="75629CC6">
                  <w:pPr>
                    <w:widowControl/>
                    <w:adjustRightInd w:val="0"/>
                    <w:snapToGrid w:val="0"/>
                    <w:jc w:val="center"/>
                    <w:textAlignment w:val="center"/>
                    <w:rPr>
                      <w:rStyle w:val="45"/>
                      <w:rFonts w:hint="default" w:ascii="Times New Roman" w:hAnsi="Times New Roman" w:eastAsia="宋体" w:cs="Times New Roman"/>
                      <w:color w:val="auto"/>
                      <w:sz w:val="18"/>
                      <w:szCs w:val="18"/>
                      <w:highlight w:val="none"/>
                      <w:lang w:val="en-US" w:eastAsia="zh-CN" w:bidi="ar"/>
                    </w:rPr>
                  </w:pPr>
                  <w:r>
                    <w:rPr>
                      <w:rStyle w:val="45"/>
                      <w:rFonts w:hint="eastAsia" w:ascii="Times New Roman" w:hAnsi="Times New Roman" w:cs="Times New Roman"/>
                      <w:color w:val="auto"/>
                      <w:sz w:val="18"/>
                      <w:szCs w:val="18"/>
                      <w:highlight w:val="none"/>
                      <w:lang w:val="en-US" w:eastAsia="zh-CN" w:bidi="ar"/>
                    </w:rPr>
                    <w:t>170/2×1.1=93.5≈94</w:t>
                  </w:r>
                </w:p>
              </w:tc>
              <w:tc>
                <w:tcPr>
                  <w:tcW w:w="456" w:type="pct"/>
                  <w:shd w:val="clear" w:color="auto" w:fill="auto"/>
                  <w:vAlign w:val="center"/>
                </w:tcPr>
                <w:p w14:paraId="66F59DA4">
                  <w:pPr>
                    <w:widowControl/>
                    <w:adjustRightInd w:val="0"/>
                    <w:snapToGrid w:val="0"/>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60</w:t>
                  </w:r>
                </w:p>
              </w:tc>
              <w:tc>
                <w:tcPr>
                  <w:tcW w:w="506" w:type="pct"/>
                  <w:shd w:val="clear" w:color="auto" w:fill="auto"/>
                  <w:vAlign w:val="center"/>
                </w:tcPr>
                <w:p w14:paraId="1774531F">
                  <w:pPr>
                    <w:adjustRightInd w:val="0"/>
                    <w:snapToGrid w:val="0"/>
                    <w:jc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20</w:t>
                  </w:r>
                </w:p>
              </w:tc>
              <w:tc>
                <w:tcPr>
                  <w:tcW w:w="453" w:type="pct"/>
                  <w:shd w:val="clear" w:color="auto" w:fill="auto"/>
                  <w:vAlign w:val="center"/>
                </w:tcPr>
                <w:p w14:paraId="5B7733C9">
                  <w:pPr>
                    <w:widowControl/>
                    <w:adjustRightInd w:val="0"/>
                    <w:snapToGrid w:val="0"/>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1.57</w:t>
                  </w:r>
                </w:p>
              </w:tc>
              <w:tc>
                <w:tcPr>
                  <w:tcW w:w="441" w:type="pct"/>
                  <w:shd w:val="clear" w:color="auto" w:fill="auto"/>
                  <w:vAlign w:val="center"/>
                </w:tcPr>
                <w:p w14:paraId="5FFB2A5F">
                  <w:pPr>
                    <w:widowControl/>
                    <w:adjustRightInd w:val="0"/>
                    <w:snapToGrid w:val="0"/>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31.34</w:t>
                  </w:r>
                </w:p>
              </w:tc>
            </w:tr>
            <w:tr w14:paraId="1A3ED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15" w:type="pct"/>
                  <w:vMerge w:val="continue"/>
                  <w:shd w:val="clear" w:color="auto" w:fill="auto"/>
                  <w:vAlign w:val="center"/>
                </w:tcPr>
                <w:p w14:paraId="684D9D0A">
                  <w:pPr>
                    <w:adjustRightInd w:val="0"/>
                    <w:snapToGrid w:val="0"/>
                    <w:jc w:val="center"/>
                    <w:rPr>
                      <w:rFonts w:hint="default" w:ascii="Times New Roman" w:hAnsi="Times New Roman" w:cs="Times New Roman"/>
                      <w:color w:val="auto"/>
                      <w:sz w:val="18"/>
                      <w:szCs w:val="18"/>
                      <w:highlight w:val="none"/>
                    </w:rPr>
                  </w:pPr>
                </w:p>
              </w:tc>
              <w:tc>
                <w:tcPr>
                  <w:tcW w:w="360" w:type="pct"/>
                  <w:vMerge w:val="continue"/>
                  <w:shd w:val="clear" w:color="auto" w:fill="auto"/>
                  <w:vAlign w:val="center"/>
                </w:tcPr>
                <w:p w14:paraId="0634D1BB">
                  <w:pPr>
                    <w:widowControl/>
                    <w:adjustRightInd w:val="0"/>
                    <w:snapToGrid w:val="0"/>
                    <w:jc w:val="center"/>
                    <w:textAlignment w:val="center"/>
                    <w:rPr>
                      <w:rFonts w:hint="default" w:ascii="Times New Roman" w:hAnsi="Times New Roman" w:cs="Times New Roman"/>
                      <w:color w:val="auto"/>
                      <w:sz w:val="18"/>
                      <w:szCs w:val="18"/>
                      <w:highlight w:val="none"/>
                    </w:rPr>
                  </w:pPr>
                </w:p>
              </w:tc>
              <w:tc>
                <w:tcPr>
                  <w:tcW w:w="389" w:type="pct"/>
                  <w:shd w:val="clear" w:color="auto" w:fill="auto"/>
                  <w:vAlign w:val="center"/>
                </w:tcPr>
                <w:p w14:paraId="4317E225">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护师</w:t>
                  </w:r>
                </w:p>
              </w:tc>
              <w:tc>
                <w:tcPr>
                  <w:tcW w:w="523" w:type="pct"/>
                  <w:shd w:val="clear" w:color="auto" w:fill="auto"/>
                  <w:vAlign w:val="center"/>
                </w:tcPr>
                <w:p w14:paraId="57607BFB">
                  <w:pPr>
                    <w:widowControl/>
                    <w:adjustRightInd w:val="0"/>
                    <w:snapToGrid w:val="0"/>
                    <w:jc w:val="center"/>
                    <w:textAlignment w:val="center"/>
                    <w:rPr>
                      <w:rFonts w:hint="default" w:ascii="Times New Roman" w:hAnsi="Times New Roman" w:cs="Times New Roman"/>
                      <w:color w:val="auto"/>
                      <w:sz w:val="18"/>
                      <w:szCs w:val="18"/>
                      <w:highlight w:val="none"/>
                    </w:rPr>
                  </w:pPr>
                  <w:r>
                    <w:rPr>
                      <w:rStyle w:val="45"/>
                      <w:rFonts w:hint="default" w:ascii="Times New Roman" w:hAnsi="Times New Roman" w:cs="Times New Roman"/>
                      <w:color w:val="auto"/>
                      <w:sz w:val="18"/>
                      <w:szCs w:val="18"/>
                      <w:highlight w:val="none"/>
                      <w:lang w:bidi="ar"/>
                    </w:rPr>
                    <w:t>第二手术位</w:t>
                  </w:r>
                </w:p>
              </w:tc>
              <w:tc>
                <w:tcPr>
                  <w:tcW w:w="439" w:type="pct"/>
                  <w:shd w:val="clear" w:color="auto" w:fill="auto"/>
                  <w:vAlign w:val="center"/>
                </w:tcPr>
                <w:p w14:paraId="76928EE6">
                  <w:pPr>
                    <w:widowControl/>
                    <w:adjustRightInd w:val="0"/>
                    <w:snapToGrid w:val="0"/>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1</w:t>
                  </w:r>
                </w:p>
              </w:tc>
              <w:tc>
                <w:tcPr>
                  <w:tcW w:w="813" w:type="pct"/>
                  <w:shd w:val="clear" w:color="auto" w:fill="auto"/>
                  <w:vAlign w:val="center"/>
                </w:tcPr>
                <w:p w14:paraId="05B5EBE0">
                  <w:pPr>
                    <w:widowControl/>
                    <w:adjustRightInd w:val="0"/>
                    <w:snapToGrid w:val="0"/>
                    <w:jc w:val="center"/>
                    <w:textAlignment w:val="center"/>
                    <w:rPr>
                      <w:rStyle w:val="45"/>
                      <w:rFonts w:hint="default" w:ascii="Times New Roman" w:hAnsi="Times New Roman" w:eastAsia="宋体" w:cs="Times New Roman"/>
                      <w:color w:val="auto"/>
                      <w:sz w:val="18"/>
                      <w:szCs w:val="18"/>
                      <w:highlight w:val="none"/>
                      <w:lang w:val="en-US" w:eastAsia="zh-CN" w:bidi="ar"/>
                    </w:rPr>
                  </w:pPr>
                  <w:r>
                    <w:rPr>
                      <w:rStyle w:val="45"/>
                      <w:rFonts w:hint="eastAsia" w:ascii="Times New Roman" w:hAnsi="Times New Roman" w:cs="Times New Roman"/>
                      <w:color w:val="auto"/>
                      <w:sz w:val="18"/>
                      <w:szCs w:val="18"/>
                      <w:highlight w:val="none"/>
                      <w:lang w:val="en-US" w:eastAsia="zh-CN" w:bidi="ar"/>
                    </w:rPr>
                    <w:t>170</w:t>
                  </w:r>
                </w:p>
              </w:tc>
              <w:tc>
                <w:tcPr>
                  <w:tcW w:w="456" w:type="pct"/>
                  <w:shd w:val="clear" w:color="auto" w:fill="auto"/>
                  <w:vAlign w:val="center"/>
                </w:tcPr>
                <w:p w14:paraId="2694EBE9">
                  <w:pPr>
                    <w:widowControl/>
                    <w:adjustRightInd w:val="0"/>
                    <w:snapToGrid w:val="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60</w:t>
                  </w:r>
                </w:p>
              </w:tc>
              <w:tc>
                <w:tcPr>
                  <w:tcW w:w="506" w:type="pct"/>
                  <w:shd w:val="clear" w:color="auto" w:fill="auto"/>
                  <w:vAlign w:val="center"/>
                </w:tcPr>
                <w:p w14:paraId="41621FCF">
                  <w:pPr>
                    <w:adjustRightInd w:val="0"/>
                    <w:snapToGrid w:val="0"/>
                    <w:jc w:val="center"/>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20</w:t>
                  </w:r>
                </w:p>
              </w:tc>
              <w:tc>
                <w:tcPr>
                  <w:tcW w:w="453" w:type="pct"/>
                  <w:shd w:val="clear" w:color="auto" w:fill="auto"/>
                  <w:vAlign w:val="center"/>
                </w:tcPr>
                <w:p w14:paraId="3428302F">
                  <w:pPr>
                    <w:widowControl/>
                    <w:adjustRightInd w:val="0"/>
                    <w:snapToGrid w:val="0"/>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2.84</w:t>
                  </w:r>
                </w:p>
              </w:tc>
              <w:tc>
                <w:tcPr>
                  <w:tcW w:w="441" w:type="pct"/>
                  <w:shd w:val="clear" w:color="auto" w:fill="auto"/>
                  <w:vAlign w:val="center"/>
                </w:tcPr>
                <w:p w14:paraId="46A0B86A">
                  <w:pPr>
                    <w:widowControl/>
                    <w:adjustRightInd w:val="0"/>
                    <w:snapToGrid w:val="0"/>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56.67</w:t>
                  </w:r>
                </w:p>
              </w:tc>
            </w:tr>
            <w:tr w14:paraId="7BDC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15" w:type="pct"/>
                  <w:vMerge w:val="restart"/>
                  <w:shd w:val="clear" w:color="auto" w:fill="auto"/>
                  <w:vAlign w:val="center"/>
                </w:tcPr>
                <w:p w14:paraId="0AFC03D8">
                  <w:pPr>
                    <w:widowControl/>
                    <w:adjustRightInd w:val="0"/>
                    <w:snapToGrid w:val="0"/>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神经外科</w:t>
                  </w:r>
                </w:p>
              </w:tc>
              <w:tc>
                <w:tcPr>
                  <w:tcW w:w="360" w:type="pct"/>
                  <w:vMerge w:val="restart"/>
                  <w:shd w:val="clear" w:color="auto" w:fill="auto"/>
                  <w:vAlign w:val="center"/>
                </w:tcPr>
                <w:p w14:paraId="799AA225">
                  <w:pPr>
                    <w:widowControl/>
                    <w:adjustRightInd w:val="0"/>
                    <w:snapToGrid w:val="0"/>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130</w:t>
                  </w:r>
                </w:p>
              </w:tc>
              <w:tc>
                <w:tcPr>
                  <w:tcW w:w="389" w:type="pct"/>
                  <w:shd w:val="clear" w:color="auto" w:fill="auto"/>
                  <w:vAlign w:val="center"/>
                </w:tcPr>
                <w:p w14:paraId="73BE3B93">
                  <w:pPr>
                    <w:widowControl/>
                    <w:adjustRightInd w:val="0"/>
                    <w:snapToGrid w:val="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医师</w:t>
                  </w:r>
                </w:p>
              </w:tc>
              <w:tc>
                <w:tcPr>
                  <w:tcW w:w="523" w:type="pct"/>
                  <w:shd w:val="clear" w:color="auto" w:fill="auto"/>
                  <w:vAlign w:val="center"/>
                </w:tcPr>
                <w:p w14:paraId="191EC5D9">
                  <w:pPr>
                    <w:widowControl/>
                    <w:adjustRightInd w:val="0"/>
                    <w:snapToGrid w:val="0"/>
                    <w:jc w:val="center"/>
                    <w:textAlignment w:val="center"/>
                    <w:rPr>
                      <w:rFonts w:hint="default" w:ascii="Times New Roman" w:hAnsi="Times New Roman" w:cs="Times New Roman"/>
                      <w:color w:val="auto"/>
                      <w:sz w:val="18"/>
                      <w:szCs w:val="18"/>
                      <w:highlight w:val="none"/>
                    </w:rPr>
                  </w:pPr>
                  <w:r>
                    <w:rPr>
                      <w:rStyle w:val="45"/>
                      <w:rFonts w:hint="default" w:ascii="Times New Roman" w:hAnsi="Times New Roman" w:cs="Times New Roman"/>
                      <w:color w:val="auto"/>
                      <w:sz w:val="18"/>
                      <w:szCs w:val="18"/>
                      <w:highlight w:val="none"/>
                      <w:lang w:bidi="ar"/>
                    </w:rPr>
                    <w:t>第一手术位</w:t>
                  </w:r>
                </w:p>
              </w:tc>
              <w:tc>
                <w:tcPr>
                  <w:tcW w:w="439" w:type="pct"/>
                  <w:shd w:val="clear" w:color="auto" w:fill="auto"/>
                  <w:vAlign w:val="center"/>
                </w:tcPr>
                <w:p w14:paraId="4205B25D">
                  <w:pPr>
                    <w:widowControl/>
                    <w:adjustRightInd w:val="0"/>
                    <w:snapToGrid w:val="0"/>
                    <w:jc w:val="center"/>
                    <w:textAlignment w:val="center"/>
                    <w:rPr>
                      <w:rFonts w:hint="default" w:ascii="Times New Roman" w:hAnsi="Times New Roman" w:eastAsia="宋体" w:cs="Times New Roman"/>
                      <w:color w:val="auto"/>
                      <w:sz w:val="18"/>
                      <w:szCs w:val="18"/>
                      <w:highlight w:val="none"/>
                      <w:lang w:eastAsia="zh-CN"/>
                    </w:rPr>
                  </w:pPr>
                  <w:r>
                    <w:rPr>
                      <w:rFonts w:hint="eastAsia" w:ascii="Times New Roman" w:hAnsi="Times New Roman" w:cs="Times New Roman"/>
                      <w:color w:val="auto"/>
                      <w:sz w:val="18"/>
                      <w:szCs w:val="18"/>
                      <w:highlight w:val="none"/>
                      <w:lang w:val="en-US" w:eastAsia="zh-CN"/>
                    </w:rPr>
                    <w:t>2</w:t>
                  </w:r>
                </w:p>
              </w:tc>
              <w:tc>
                <w:tcPr>
                  <w:tcW w:w="813" w:type="pct"/>
                  <w:shd w:val="clear" w:color="auto" w:fill="auto"/>
                  <w:vAlign w:val="center"/>
                </w:tcPr>
                <w:p w14:paraId="0C9BBE85">
                  <w:pPr>
                    <w:widowControl/>
                    <w:adjustRightInd w:val="0"/>
                    <w:snapToGrid w:val="0"/>
                    <w:jc w:val="center"/>
                    <w:textAlignment w:val="center"/>
                    <w:rPr>
                      <w:rStyle w:val="45"/>
                      <w:rFonts w:hint="default" w:ascii="Times New Roman" w:hAnsi="Times New Roman" w:eastAsia="宋体" w:cs="Times New Roman"/>
                      <w:color w:val="auto"/>
                      <w:sz w:val="18"/>
                      <w:szCs w:val="18"/>
                      <w:highlight w:val="none"/>
                      <w:lang w:val="en-US" w:eastAsia="zh-CN" w:bidi="ar"/>
                    </w:rPr>
                  </w:pPr>
                  <w:r>
                    <w:rPr>
                      <w:rStyle w:val="45"/>
                      <w:rFonts w:hint="eastAsia" w:ascii="Times New Roman" w:hAnsi="Times New Roman" w:cs="Times New Roman"/>
                      <w:color w:val="auto"/>
                      <w:sz w:val="18"/>
                      <w:szCs w:val="18"/>
                      <w:highlight w:val="none"/>
                      <w:lang w:val="en-US" w:eastAsia="zh-CN" w:bidi="ar"/>
                    </w:rPr>
                    <w:t>130/2×1.1=71.5≈72</w:t>
                  </w:r>
                </w:p>
              </w:tc>
              <w:tc>
                <w:tcPr>
                  <w:tcW w:w="456" w:type="pct"/>
                  <w:shd w:val="clear" w:color="auto" w:fill="auto"/>
                  <w:vAlign w:val="center"/>
                </w:tcPr>
                <w:p w14:paraId="0F91C998">
                  <w:pPr>
                    <w:adjustRightInd w:val="0"/>
                    <w:snapToGrid w:val="0"/>
                    <w:jc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45</w:t>
                  </w:r>
                </w:p>
              </w:tc>
              <w:tc>
                <w:tcPr>
                  <w:tcW w:w="506" w:type="pct"/>
                  <w:shd w:val="clear" w:color="auto" w:fill="auto"/>
                  <w:vAlign w:val="center"/>
                </w:tcPr>
                <w:p w14:paraId="360637F1">
                  <w:pPr>
                    <w:adjustRightInd w:val="0"/>
                    <w:snapToGrid w:val="0"/>
                    <w:jc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15</w:t>
                  </w:r>
                </w:p>
              </w:tc>
              <w:tc>
                <w:tcPr>
                  <w:tcW w:w="770" w:type="dxa"/>
                  <w:shd w:val="clear" w:color="auto" w:fill="auto"/>
                  <w:vAlign w:val="center"/>
                </w:tcPr>
                <w:p w14:paraId="7B0AFD71">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0.9</w:t>
                  </w:r>
                </w:p>
              </w:tc>
              <w:tc>
                <w:tcPr>
                  <w:tcW w:w="750" w:type="dxa"/>
                  <w:shd w:val="clear" w:color="auto" w:fill="auto"/>
                  <w:vAlign w:val="center"/>
                </w:tcPr>
                <w:p w14:paraId="651A497B">
                  <w:pPr>
                    <w:keepNext w:val="0"/>
                    <w:keepLines w:val="0"/>
                    <w:widowControl/>
                    <w:suppressLineNumbers w:val="0"/>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18</w:t>
                  </w:r>
                  <w:r>
                    <w:rPr>
                      <w:rFonts w:hint="eastAsia" w:ascii="Times New Roman" w:hAnsi="Times New Roman" w:cs="Times New Roman"/>
                      <w:i w:val="0"/>
                      <w:iCs w:val="0"/>
                      <w:color w:val="auto"/>
                      <w:kern w:val="0"/>
                      <w:sz w:val="18"/>
                      <w:szCs w:val="18"/>
                      <w:highlight w:val="none"/>
                      <w:u w:val="none"/>
                      <w:lang w:val="en-US" w:eastAsia="zh-CN" w:bidi="ar"/>
                    </w:rPr>
                    <w:t>.1</w:t>
                  </w:r>
                </w:p>
              </w:tc>
            </w:tr>
            <w:tr w14:paraId="25326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15" w:type="pct"/>
                  <w:vMerge w:val="continue"/>
                  <w:shd w:val="clear" w:color="auto" w:fill="auto"/>
                  <w:vAlign w:val="center"/>
                </w:tcPr>
                <w:p w14:paraId="16E05FBD">
                  <w:pPr>
                    <w:adjustRightInd w:val="0"/>
                    <w:snapToGrid w:val="0"/>
                    <w:jc w:val="center"/>
                    <w:rPr>
                      <w:rFonts w:hint="default" w:ascii="Times New Roman" w:hAnsi="Times New Roman" w:cs="Times New Roman"/>
                      <w:color w:val="auto"/>
                      <w:sz w:val="18"/>
                      <w:szCs w:val="18"/>
                      <w:highlight w:val="none"/>
                    </w:rPr>
                  </w:pPr>
                </w:p>
              </w:tc>
              <w:tc>
                <w:tcPr>
                  <w:tcW w:w="360" w:type="pct"/>
                  <w:vMerge w:val="continue"/>
                  <w:shd w:val="clear" w:color="auto" w:fill="auto"/>
                  <w:vAlign w:val="center"/>
                </w:tcPr>
                <w:p w14:paraId="186382EB">
                  <w:pPr>
                    <w:widowControl/>
                    <w:adjustRightInd w:val="0"/>
                    <w:snapToGrid w:val="0"/>
                    <w:jc w:val="center"/>
                    <w:textAlignment w:val="center"/>
                    <w:rPr>
                      <w:rFonts w:hint="default" w:ascii="Times New Roman" w:hAnsi="Times New Roman" w:cs="Times New Roman"/>
                      <w:color w:val="auto"/>
                      <w:sz w:val="18"/>
                      <w:szCs w:val="18"/>
                      <w:highlight w:val="none"/>
                    </w:rPr>
                  </w:pPr>
                </w:p>
              </w:tc>
              <w:tc>
                <w:tcPr>
                  <w:tcW w:w="389" w:type="pct"/>
                  <w:shd w:val="clear" w:color="auto" w:fill="auto"/>
                  <w:vAlign w:val="center"/>
                </w:tcPr>
                <w:p w14:paraId="6C065FAE">
                  <w:pPr>
                    <w:widowControl/>
                    <w:adjustRightInd w:val="0"/>
                    <w:snapToGrid w:val="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护师</w:t>
                  </w:r>
                </w:p>
              </w:tc>
              <w:tc>
                <w:tcPr>
                  <w:tcW w:w="523" w:type="pct"/>
                  <w:shd w:val="clear" w:color="auto" w:fill="auto"/>
                  <w:vAlign w:val="center"/>
                </w:tcPr>
                <w:p w14:paraId="354C2730">
                  <w:pPr>
                    <w:widowControl/>
                    <w:adjustRightInd w:val="0"/>
                    <w:snapToGrid w:val="0"/>
                    <w:jc w:val="center"/>
                    <w:textAlignment w:val="center"/>
                    <w:rPr>
                      <w:rFonts w:hint="default" w:ascii="Times New Roman" w:hAnsi="Times New Roman" w:cs="Times New Roman"/>
                      <w:color w:val="auto"/>
                      <w:sz w:val="18"/>
                      <w:szCs w:val="18"/>
                      <w:highlight w:val="none"/>
                    </w:rPr>
                  </w:pPr>
                  <w:r>
                    <w:rPr>
                      <w:rStyle w:val="45"/>
                      <w:rFonts w:hint="default" w:ascii="Times New Roman" w:hAnsi="Times New Roman" w:cs="Times New Roman"/>
                      <w:color w:val="auto"/>
                      <w:sz w:val="18"/>
                      <w:szCs w:val="18"/>
                      <w:highlight w:val="none"/>
                      <w:lang w:bidi="ar"/>
                    </w:rPr>
                    <w:t>第</w:t>
                  </w:r>
                  <w:r>
                    <w:rPr>
                      <w:rStyle w:val="45"/>
                      <w:rFonts w:hint="eastAsia" w:ascii="Times New Roman" w:hAnsi="Times New Roman" w:cs="Times New Roman"/>
                      <w:color w:val="auto"/>
                      <w:sz w:val="18"/>
                      <w:szCs w:val="18"/>
                      <w:highlight w:val="none"/>
                      <w:lang w:val="en-US" w:eastAsia="zh-CN" w:bidi="ar"/>
                    </w:rPr>
                    <w:t>二</w:t>
                  </w:r>
                  <w:r>
                    <w:rPr>
                      <w:rStyle w:val="45"/>
                      <w:rFonts w:hint="default" w:ascii="Times New Roman" w:hAnsi="Times New Roman" w:cs="Times New Roman"/>
                      <w:color w:val="auto"/>
                      <w:sz w:val="18"/>
                      <w:szCs w:val="18"/>
                      <w:highlight w:val="none"/>
                      <w:lang w:bidi="ar"/>
                    </w:rPr>
                    <w:t>手术位</w:t>
                  </w:r>
                </w:p>
              </w:tc>
              <w:tc>
                <w:tcPr>
                  <w:tcW w:w="439" w:type="pct"/>
                  <w:shd w:val="clear" w:color="auto" w:fill="auto"/>
                  <w:vAlign w:val="center"/>
                </w:tcPr>
                <w:p w14:paraId="0CF8F492">
                  <w:pPr>
                    <w:widowControl/>
                    <w:adjustRightInd w:val="0"/>
                    <w:snapToGrid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w:t>
                  </w:r>
                </w:p>
              </w:tc>
              <w:tc>
                <w:tcPr>
                  <w:tcW w:w="813" w:type="pct"/>
                  <w:shd w:val="clear" w:color="auto" w:fill="auto"/>
                  <w:vAlign w:val="center"/>
                </w:tcPr>
                <w:p w14:paraId="77683A4B">
                  <w:pPr>
                    <w:widowControl/>
                    <w:adjustRightInd w:val="0"/>
                    <w:snapToGrid w:val="0"/>
                    <w:jc w:val="center"/>
                    <w:textAlignment w:val="center"/>
                    <w:rPr>
                      <w:rStyle w:val="45"/>
                      <w:rFonts w:hint="default" w:ascii="Times New Roman" w:hAnsi="Times New Roman" w:eastAsia="宋体" w:cs="Times New Roman"/>
                      <w:color w:val="auto"/>
                      <w:sz w:val="18"/>
                      <w:szCs w:val="18"/>
                      <w:highlight w:val="none"/>
                      <w:lang w:val="en-US" w:eastAsia="zh-CN" w:bidi="ar"/>
                    </w:rPr>
                  </w:pPr>
                  <w:r>
                    <w:rPr>
                      <w:rStyle w:val="45"/>
                      <w:rFonts w:hint="eastAsia" w:ascii="Times New Roman" w:hAnsi="Times New Roman" w:cs="Times New Roman"/>
                      <w:color w:val="auto"/>
                      <w:sz w:val="18"/>
                      <w:szCs w:val="18"/>
                      <w:highlight w:val="none"/>
                      <w:lang w:val="en-US" w:eastAsia="zh-CN" w:bidi="ar"/>
                    </w:rPr>
                    <w:t>130</w:t>
                  </w:r>
                </w:p>
              </w:tc>
              <w:tc>
                <w:tcPr>
                  <w:tcW w:w="456" w:type="pct"/>
                  <w:shd w:val="clear" w:color="auto" w:fill="auto"/>
                  <w:vAlign w:val="center"/>
                </w:tcPr>
                <w:p w14:paraId="4DC49553">
                  <w:pPr>
                    <w:adjustRightInd w:val="0"/>
                    <w:snapToGrid w:val="0"/>
                    <w:jc w:val="center"/>
                    <w:rPr>
                      <w:rFonts w:hint="default" w:ascii="Times New Roman" w:hAnsi="Times New Roman" w:cs="Times New Roman"/>
                      <w:color w:val="auto"/>
                      <w:sz w:val="18"/>
                      <w:szCs w:val="18"/>
                      <w:highlight w:val="none"/>
                    </w:rPr>
                  </w:pPr>
                  <w:r>
                    <w:rPr>
                      <w:rFonts w:hint="eastAsia" w:ascii="Times New Roman" w:hAnsi="Times New Roman" w:cs="Times New Roman"/>
                      <w:color w:val="auto"/>
                      <w:sz w:val="18"/>
                      <w:szCs w:val="18"/>
                      <w:highlight w:val="none"/>
                      <w:lang w:val="en-US" w:eastAsia="zh-CN"/>
                    </w:rPr>
                    <w:t>45</w:t>
                  </w:r>
                </w:p>
              </w:tc>
              <w:tc>
                <w:tcPr>
                  <w:tcW w:w="506" w:type="pct"/>
                  <w:shd w:val="clear" w:color="auto" w:fill="auto"/>
                  <w:vAlign w:val="center"/>
                </w:tcPr>
                <w:p w14:paraId="72CDD007">
                  <w:pPr>
                    <w:adjustRightInd w:val="0"/>
                    <w:snapToGrid w:val="0"/>
                    <w:jc w:val="center"/>
                    <w:rPr>
                      <w:rFonts w:hint="default" w:ascii="Times New Roman" w:hAnsi="Times New Roman" w:cs="Times New Roman"/>
                      <w:color w:val="auto"/>
                      <w:sz w:val="18"/>
                      <w:szCs w:val="18"/>
                      <w:highlight w:val="none"/>
                    </w:rPr>
                  </w:pPr>
                  <w:r>
                    <w:rPr>
                      <w:rFonts w:hint="eastAsia" w:ascii="Times New Roman" w:hAnsi="Times New Roman" w:cs="Times New Roman"/>
                      <w:color w:val="auto"/>
                      <w:sz w:val="18"/>
                      <w:szCs w:val="18"/>
                      <w:highlight w:val="none"/>
                      <w:lang w:val="en-US" w:eastAsia="zh-CN"/>
                    </w:rPr>
                    <w:t>15</w:t>
                  </w:r>
                </w:p>
              </w:tc>
              <w:tc>
                <w:tcPr>
                  <w:tcW w:w="770" w:type="dxa"/>
                  <w:shd w:val="clear" w:color="auto" w:fill="auto"/>
                  <w:vAlign w:val="center"/>
                </w:tcPr>
                <w:p w14:paraId="72715E40">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1.625</w:t>
                  </w:r>
                </w:p>
              </w:tc>
              <w:tc>
                <w:tcPr>
                  <w:tcW w:w="750" w:type="dxa"/>
                  <w:shd w:val="clear" w:color="auto" w:fill="auto"/>
                  <w:vAlign w:val="center"/>
                </w:tcPr>
                <w:p w14:paraId="543552CE">
                  <w:pPr>
                    <w:keepNext w:val="0"/>
                    <w:keepLines w:val="0"/>
                    <w:widowControl/>
                    <w:suppressLineNumbers w:val="0"/>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32.5</w:t>
                  </w:r>
                </w:p>
              </w:tc>
            </w:tr>
            <w:tr w14:paraId="044F4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10"/>
                  <w:shd w:val="clear" w:color="auto" w:fill="auto"/>
                  <w:vAlign w:val="center"/>
                </w:tcPr>
                <w:p w14:paraId="42B09304">
                  <w:pPr>
                    <w:pStyle w:val="32"/>
                    <w:rPr>
                      <w:rFonts w:hint="default"/>
                      <w:color w:val="auto"/>
                      <w:highlight w:val="none"/>
                      <w:lang w:val="en-US" w:eastAsia="zh-CN"/>
                    </w:rPr>
                  </w:pPr>
                  <w:r>
                    <w:rPr>
                      <w:rFonts w:hint="eastAsia" w:ascii="Times New Roman" w:hAnsi="Times New Roman" w:cs="Times New Roman"/>
                      <w:bCs/>
                      <w:color w:val="auto"/>
                      <w:kern w:val="2"/>
                      <w:sz w:val="18"/>
                      <w:szCs w:val="18"/>
                      <w:highlight w:val="none"/>
                      <w:lang w:val="en-US" w:eastAsia="zh-CN" w:bidi="ar"/>
                    </w:rPr>
                    <w:t>拍片过程中医护人员退到控制室内。</w:t>
                  </w:r>
                </w:p>
              </w:tc>
            </w:tr>
          </w:tbl>
          <w:p w14:paraId="7B327A9F">
            <w:pPr>
              <w:adjustRightInd w:val="0"/>
              <w:snapToGrid w:val="0"/>
              <w:rPr>
                <w:rFonts w:hint="default" w:ascii="Times New Roman" w:hAnsi="Times New Roman" w:cs="Times New Roman"/>
                <w:bCs/>
                <w:color w:val="auto"/>
                <w:kern w:val="0"/>
                <w:szCs w:val="21"/>
                <w:highlight w:val="none"/>
              </w:rPr>
            </w:pPr>
          </w:p>
          <w:p w14:paraId="6CB1D026">
            <w:pPr>
              <w:adjustRightInd w:val="0"/>
              <w:snapToGrid w:val="0"/>
              <w:rPr>
                <w:rFonts w:hint="default" w:ascii="Times New Roman" w:hAnsi="Times New Roman" w:cs="Times New Roman"/>
                <w:bCs/>
                <w:color w:val="auto"/>
                <w:kern w:val="0"/>
                <w:szCs w:val="21"/>
                <w:highlight w:val="none"/>
              </w:rPr>
            </w:pPr>
          </w:p>
          <w:p w14:paraId="7ACCE614">
            <w:pPr>
              <w:pStyle w:val="8"/>
              <w:rPr>
                <w:rFonts w:hint="default" w:ascii="Times New Roman" w:hAnsi="Times New Roman" w:cs="Times New Roman"/>
                <w:bCs/>
                <w:color w:val="auto"/>
                <w:kern w:val="0"/>
                <w:szCs w:val="21"/>
                <w:highlight w:val="none"/>
              </w:rPr>
            </w:pPr>
          </w:p>
          <w:p w14:paraId="25E4291D">
            <w:pPr>
              <w:rPr>
                <w:rFonts w:hint="default" w:ascii="Times New Roman" w:hAnsi="Times New Roman" w:cs="Times New Roman"/>
                <w:bCs/>
                <w:color w:val="auto"/>
                <w:kern w:val="0"/>
                <w:szCs w:val="21"/>
                <w:highlight w:val="none"/>
              </w:rPr>
            </w:pPr>
          </w:p>
          <w:p w14:paraId="6D5BF872">
            <w:pPr>
              <w:pStyle w:val="8"/>
              <w:rPr>
                <w:rFonts w:hint="default" w:ascii="Times New Roman" w:hAnsi="Times New Roman" w:cs="Times New Roman"/>
                <w:bCs/>
                <w:color w:val="auto"/>
                <w:kern w:val="0"/>
                <w:szCs w:val="21"/>
                <w:highlight w:val="none"/>
              </w:rPr>
            </w:pPr>
          </w:p>
          <w:p w14:paraId="403F39E0">
            <w:pPr>
              <w:rPr>
                <w:rFonts w:hint="default" w:ascii="Times New Roman" w:hAnsi="Times New Roman" w:cs="Times New Roman"/>
                <w:bCs/>
                <w:color w:val="auto"/>
                <w:kern w:val="0"/>
                <w:szCs w:val="21"/>
                <w:highlight w:val="none"/>
              </w:rPr>
            </w:pPr>
          </w:p>
          <w:p w14:paraId="0C419813">
            <w:pPr>
              <w:pStyle w:val="8"/>
              <w:rPr>
                <w:rFonts w:hint="default" w:ascii="Times New Roman" w:hAnsi="Times New Roman" w:cs="Times New Roman"/>
                <w:bCs/>
                <w:color w:val="auto"/>
                <w:kern w:val="0"/>
                <w:szCs w:val="21"/>
                <w:highlight w:val="none"/>
              </w:rPr>
            </w:pPr>
          </w:p>
          <w:p w14:paraId="1C6781E3">
            <w:pPr>
              <w:rPr>
                <w:rFonts w:hint="default" w:ascii="Times New Roman" w:hAnsi="Times New Roman" w:cs="Times New Roman"/>
                <w:bCs/>
                <w:color w:val="auto"/>
                <w:kern w:val="0"/>
                <w:szCs w:val="21"/>
                <w:highlight w:val="none"/>
              </w:rPr>
            </w:pPr>
          </w:p>
          <w:p w14:paraId="26237886">
            <w:pPr>
              <w:pStyle w:val="8"/>
              <w:rPr>
                <w:rFonts w:hint="default" w:ascii="Times New Roman" w:hAnsi="Times New Roman" w:cs="Times New Roman"/>
                <w:bCs/>
                <w:color w:val="auto"/>
                <w:kern w:val="0"/>
                <w:szCs w:val="21"/>
                <w:highlight w:val="none"/>
              </w:rPr>
            </w:pPr>
          </w:p>
          <w:p w14:paraId="6B7B9ACC">
            <w:pPr>
              <w:rPr>
                <w:rFonts w:hint="default" w:ascii="Times New Roman" w:hAnsi="Times New Roman" w:cs="Times New Roman"/>
                <w:bCs/>
                <w:color w:val="auto"/>
                <w:kern w:val="0"/>
                <w:szCs w:val="21"/>
                <w:highlight w:val="none"/>
              </w:rPr>
            </w:pPr>
          </w:p>
          <w:p w14:paraId="3D79E092">
            <w:pPr>
              <w:pStyle w:val="8"/>
              <w:rPr>
                <w:rFonts w:hint="default" w:ascii="Times New Roman" w:hAnsi="Times New Roman" w:cs="Times New Roman"/>
                <w:bCs/>
                <w:color w:val="auto"/>
                <w:kern w:val="0"/>
                <w:szCs w:val="21"/>
                <w:highlight w:val="none"/>
              </w:rPr>
            </w:pPr>
          </w:p>
          <w:p w14:paraId="2F85FA19">
            <w:pPr>
              <w:rPr>
                <w:rFonts w:hint="default" w:ascii="Times New Roman" w:hAnsi="Times New Roman" w:cs="Times New Roman"/>
                <w:bCs/>
                <w:color w:val="auto"/>
                <w:kern w:val="0"/>
                <w:szCs w:val="21"/>
                <w:highlight w:val="none"/>
              </w:rPr>
            </w:pPr>
          </w:p>
          <w:p w14:paraId="75D7554C">
            <w:pPr>
              <w:pStyle w:val="8"/>
              <w:rPr>
                <w:rFonts w:hint="default" w:ascii="Times New Roman" w:hAnsi="Times New Roman" w:cs="Times New Roman"/>
                <w:bCs/>
                <w:color w:val="auto"/>
                <w:kern w:val="0"/>
                <w:szCs w:val="21"/>
                <w:highlight w:val="none"/>
              </w:rPr>
            </w:pPr>
          </w:p>
          <w:p w14:paraId="26890C32">
            <w:pPr>
              <w:rPr>
                <w:rFonts w:hint="default" w:ascii="Times New Roman" w:hAnsi="Times New Roman" w:cs="Times New Roman"/>
                <w:bCs/>
                <w:color w:val="auto"/>
                <w:kern w:val="0"/>
                <w:szCs w:val="21"/>
                <w:highlight w:val="none"/>
              </w:rPr>
            </w:pPr>
          </w:p>
          <w:p w14:paraId="5A629012">
            <w:pPr>
              <w:pStyle w:val="8"/>
              <w:rPr>
                <w:rFonts w:hint="default" w:ascii="Times New Roman" w:hAnsi="Times New Roman" w:cs="Times New Roman"/>
                <w:bCs/>
                <w:color w:val="auto"/>
                <w:kern w:val="0"/>
                <w:szCs w:val="21"/>
                <w:highlight w:val="none"/>
              </w:rPr>
            </w:pPr>
          </w:p>
          <w:p w14:paraId="701BA94A">
            <w:pPr>
              <w:rPr>
                <w:rFonts w:hint="default" w:ascii="Times New Roman" w:hAnsi="Times New Roman" w:cs="Times New Roman"/>
                <w:bCs/>
                <w:color w:val="auto"/>
                <w:kern w:val="0"/>
                <w:szCs w:val="21"/>
                <w:highlight w:val="none"/>
              </w:rPr>
            </w:pPr>
          </w:p>
          <w:p w14:paraId="2F7C7C8A">
            <w:pPr>
              <w:pStyle w:val="8"/>
              <w:rPr>
                <w:rFonts w:hint="default" w:ascii="Times New Roman" w:hAnsi="Times New Roman" w:cs="Times New Roman"/>
                <w:bCs/>
                <w:color w:val="auto"/>
                <w:kern w:val="0"/>
                <w:szCs w:val="21"/>
                <w:highlight w:val="none"/>
              </w:rPr>
            </w:pPr>
          </w:p>
          <w:p w14:paraId="303FDEA8">
            <w:pPr>
              <w:rPr>
                <w:rFonts w:hint="default"/>
                <w:color w:val="auto"/>
                <w:highlight w:val="none"/>
              </w:rPr>
            </w:pPr>
          </w:p>
          <w:p w14:paraId="1AEEE19A">
            <w:pPr>
              <w:rPr>
                <w:rFonts w:hint="default" w:ascii="Times New Roman" w:hAnsi="Times New Roman" w:cs="Times New Roman"/>
                <w:bCs/>
                <w:color w:val="auto"/>
                <w:kern w:val="0"/>
                <w:szCs w:val="21"/>
                <w:highlight w:val="none"/>
              </w:rPr>
            </w:pPr>
          </w:p>
          <w:p w14:paraId="74A67810">
            <w:pPr>
              <w:pStyle w:val="8"/>
              <w:rPr>
                <w:rFonts w:hint="default" w:ascii="Times New Roman" w:hAnsi="Times New Roman" w:cs="Times New Roman"/>
                <w:bCs/>
                <w:color w:val="auto"/>
                <w:kern w:val="0"/>
                <w:szCs w:val="21"/>
                <w:highlight w:val="none"/>
              </w:rPr>
            </w:pPr>
          </w:p>
          <w:p w14:paraId="305D8994">
            <w:pPr>
              <w:rPr>
                <w:rFonts w:hint="default" w:ascii="Times New Roman" w:hAnsi="Times New Roman" w:cs="Times New Roman"/>
                <w:bCs/>
                <w:color w:val="auto"/>
                <w:kern w:val="0"/>
                <w:szCs w:val="21"/>
                <w:highlight w:val="none"/>
              </w:rPr>
            </w:pPr>
          </w:p>
          <w:p w14:paraId="30A06A73">
            <w:pPr>
              <w:pStyle w:val="8"/>
              <w:rPr>
                <w:rFonts w:hint="default" w:ascii="Times New Roman" w:hAnsi="Times New Roman" w:cs="Times New Roman"/>
                <w:bCs/>
                <w:color w:val="auto"/>
                <w:kern w:val="0"/>
                <w:szCs w:val="21"/>
                <w:highlight w:val="none"/>
              </w:rPr>
            </w:pPr>
          </w:p>
          <w:p w14:paraId="7D9D3188">
            <w:pPr>
              <w:rPr>
                <w:rFonts w:hint="default" w:ascii="Times New Roman" w:hAnsi="Times New Roman" w:cs="Times New Roman"/>
                <w:bCs/>
                <w:color w:val="auto"/>
                <w:kern w:val="0"/>
                <w:szCs w:val="21"/>
                <w:highlight w:val="none"/>
              </w:rPr>
            </w:pPr>
          </w:p>
          <w:p w14:paraId="7FFA08CD">
            <w:pPr>
              <w:pStyle w:val="8"/>
              <w:rPr>
                <w:rFonts w:hint="default" w:ascii="Times New Roman" w:hAnsi="Times New Roman" w:cs="Times New Roman"/>
                <w:bCs/>
                <w:color w:val="auto"/>
                <w:kern w:val="0"/>
                <w:szCs w:val="21"/>
                <w:highlight w:val="none"/>
              </w:rPr>
            </w:pPr>
          </w:p>
          <w:p w14:paraId="21D6058E">
            <w:pPr>
              <w:rPr>
                <w:rFonts w:hint="default" w:ascii="Times New Roman" w:hAnsi="Times New Roman" w:cs="Times New Roman"/>
                <w:bCs/>
                <w:color w:val="auto"/>
                <w:kern w:val="0"/>
                <w:szCs w:val="21"/>
                <w:highlight w:val="none"/>
              </w:rPr>
            </w:pPr>
          </w:p>
          <w:p w14:paraId="062E5F07">
            <w:pPr>
              <w:pStyle w:val="8"/>
              <w:rPr>
                <w:rFonts w:hint="default" w:ascii="Times New Roman" w:hAnsi="Times New Roman" w:cs="Times New Roman"/>
                <w:bCs/>
                <w:color w:val="auto"/>
                <w:kern w:val="0"/>
                <w:szCs w:val="21"/>
                <w:highlight w:val="none"/>
              </w:rPr>
            </w:pPr>
          </w:p>
          <w:p w14:paraId="06BD45C7">
            <w:pPr>
              <w:rPr>
                <w:rFonts w:hint="default" w:ascii="Times New Roman" w:hAnsi="Times New Roman" w:cs="Times New Roman"/>
                <w:bCs/>
                <w:color w:val="auto"/>
                <w:kern w:val="0"/>
                <w:szCs w:val="21"/>
                <w:highlight w:val="none"/>
              </w:rPr>
            </w:pPr>
          </w:p>
          <w:p w14:paraId="39D0ACAF">
            <w:pPr>
              <w:pStyle w:val="8"/>
              <w:rPr>
                <w:rFonts w:hint="default" w:ascii="Times New Roman" w:hAnsi="Times New Roman" w:cs="Times New Roman"/>
                <w:bCs/>
                <w:color w:val="auto"/>
                <w:kern w:val="0"/>
                <w:szCs w:val="21"/>
                <w:highlight w:val="none"/>
              </w:rPr>
            </w:pPr>
          </w:p>
          <w:p w14:paraId="60F3D573">
            <w:pPr>
              <w:rPr>
                <w:rFonts w:hint="default"/>
                <w:color w:val="auto"/>
                <w:highlight w:val="none"/>
              </w:rPr>
            </w:pPr>
          </w:p>
          <w:p w14:paraId="72373DE2">
            <w:pPr>
              <w:pStyle w:val="8"/>
              <w:rPr>
                <w:rFonts w:hint="default" w:ascii="Times New Roman" w:hAnsi="Times New Roman" w:cs="Times New Roman"/>
                <w:color w:val="auto"/>
                <w:highlight w:val="none"/>
              </w:rPr>
            </w:pPr>
          </w:p>
          <w:p w14:paraId="7D1D5F0D">
            <w:pPr>
              <w:adjustRightInd w:val="0"/>
              <w:snapToGrid w:val="0"/>
              <w:rPr>
                <w:rFonts w:hint="default" w:ascii="Times New Roman" w:hAnsi="Times New Roman" w:cs="Times New Roman"/>
                <w:bCs/>
                <w:color w:val="auto"/>
                <w:kern w:val="0"/>
                <w:szCs w:val="21"/>
                <w:highlight w:val="none"/>
              </w:rPr>
            </w:pPr>
          </w:p>
        </w:tc>
      </w:tr>
    </w:tbl>
    <w:p w14:paraId="3F50B278">
      <w:pPr>
        <w:adjustRightInd w:val="0"/>
        <w:snapToGrid w:val="0"/>
        <w:rPr>
          <w:rFonts w:hint="default" w:ascii="Times New Roman" w:hAnsi="Times New Roman" w:cs="Times New Roman"/>
          <w:bCs/>
          <w:color w:val="auto"/>
          <w:kern w:val="0"/>
          <w:sz w:val="30"/>
          <w:szCs w:val="30"/>
          <w:highlight w:val="none"/>
        </w:rPr>
        <w:sectPr>
          <w:pgSz w:w="11906" w:h="16838"/>
          <w:pgMar w:top="1440" w:right="1701" w:bottom="1383" w:left="1701" w:header="851" w:footer="1191" w:gutter="0"/>
          <w:pgBorders>
            <w:top w:val="none" w:sz="0" w:space="0"/>
            <w:left w:val="none" w:sz="0" w:space="0"/>
            <w:bottom w:val="none" w:sz="0" w:space="0"/>
            <w:right w:val="none" w:sz="0" w:space="0"/>
          </w:pgBorders>
          <w:cols w:space="720" w:num="1"/>
          <w:docGrid w:type="lines" w:linePitch="312" w:charSpace="0"/>
        </w:sect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EEDB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tcPr>
          <w:p w14:paraId="16ED9A54">
            <w:pPr>
              <w:pStyle w:val="7"/>
              <w:adjustRightInd w:val="0"/>
              <w:snapToGrid w:val="0"/>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本项目投入运营前，</w:t>
            </w:r>
            <w:r>
              <w:rPr>
                <w:rFonts w:hint="default" w:ascii="Times New Roman" w:hAnsi="Times New Roman" w:cs="Times New Roman"/>
                <w:color w:val="auto"/>
                <w:sz w:val="24"/>
                <w:highlight w:val="none"/>
                <w:lang w:val="en-US" w:eastAsia="zh-CN"/>
              </w:rPr>
              <w:t>医院</w:t>
            </w:r>
            <w:r>
              <w:rPr>
                <w:rFonts w:hint="eastAsia" w:ascii="Times New Roman" w:hAnsi="Times New Roman" w:cs="Times New Roman"/>
                <w:color w:val="auto"/>
                <w:sz w:val="24"/>
                <w:highlight w:val="none"/>
                <w:lang w:val="en-US" w:eastAsia="zh-CN"/>
              </w:rPr>
              <w:t>拟</w:t>
            </w:r>
            <w:r>
              <w:rPr>
                <w:rFonts w:hint="default" w:ascii="Times New Roman" w:hAnsi="Times New Roman" w:cs="Times New Roman"/>
                <w:color w:val="auto"/>
                <w:sz w:val="24"/>
                <w:highlight w:val="none"/>
                <w:lang w:val="en-US" w:eastAsia="zh-CN"/>
              </w:rPr>
              <w:t>安排</w:t>
            </w:r>
            <w:r>
              <w:rPr>
                <w:rFonts w:hint="default" w:ascii="Times New Roman" w:hAnsi="Times New Roman" w:cs="Times New Roman"/>
                <w:color w:val="auto"/>
                <w:sz w:val="24"/>
                <w:highlight w:val="none"/>
              </w:rPr>
              <w:t>新增</w:t>
            </w:r>
            <w:r>
              <w:rPr>
                <w:rFonts w:hint="default" w:ascii="Times New Roman" w:hAnsi="Times New Roman" w:cs="Times New Roman"/>
                <w:color w:val="auto"/>
                <w:sz w:val="24"/>
                <w:highlight w:val="none"/>
                <w:lang w:eastAsia="zh-CN"/>
              </w:rPr>
              <w:t>的</w:t>
            </w:r>
            <w:r>
              <w:rPr>
                <w:rFonts w:hint="eastAsia"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lang w:val="en-US" w:eastAsia="zh-CN"/>
              </w:rPr>
              <w:t>名辐射工作人员参加与岗位类别相适应的辐射安全与防护培训。考核合格成绩单有效期5年，所有辐射工作人员均应在考核合格成绩单有效期满前参加复训。且医院应</w:t>
            </w:r>
            <w:r>
              <w:rPr>
                <w:rFonts w:hint="default" w:ascii="Times New Roman" w:hAnsi="Times New Roman" w:cs="Times New Roman"/>
                <w:color w:val="auto"/>
                <w:sz w:val="24"/>
                <w:highlight w:val="none"/>
              </w:rPr>
              <w:t>为</w:t>
            </w:r>
            <w:r>
              <w:rPr>
                <w:rFonts w:hint="default" w:ascii="Times New Roman" w:hAnsi="Times New Roman" w:cs="Times New Roman"/>
                <w:color w:val="auto"/>
                <w:sz w:val="24"/>
                <w:highlight w:val="none"/>
                <w:lang w:val="en-US" w:eastAsia="zh-CN"/>
              </w:rPr>
              <w:t>辐射工作人员</w:t>
            </w:r>
            <w:r>
              <w:rPr>
                <w:rFonts w:hint="default" w:ascii="Times New Roman" w:hAnsi="Times New Roman" w:cs="Times New Roman"/>
                <w:color w:val="auto"/>
                <w:sz w:val="24"/>
                <w:highlight w:val="none"/>
              </w:rPr>
              <w:t>建立职业健康档案以及个人剂量监测档案。</w:t>
            </w:r>
            <w:r>
              <w:rPr>
                <w:rFonts w:hint="eastAsia" w:ascii="Times New Roman" w:hAnsi="Times New Roman" w:cs="Times New Roman"/>
                <w:color w:val="auto"/>
                <w:sz w:val="24"/>
                <w:highlight w:val="none"/>
                <w:lang w:val="en-US" w:eastAsia="zh-CN"/>
              </w:rPr>
              <w:t>辐射安全与防护考核承诺书见附件11。</w:t>
            </w:r>
          </w:p>
          <w:p w14:paraId="7757D59B">
            <w:pPr>
              <w:widowControl/>
              <w:adjustRightInd w:val="0"/>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工作制度：本项目辐射工作人员每年工作250天，每天工作8小时，实行白班单班制。</w:t>
            </w:r>
          </w:p>
          <w:p w14:paraId="4B2B4BA6">
            <w:pPr>
              <w:pStyle w:val="32"/>
              <w:snapToGrid w:val="0"/>
              <w:spacing w:line="360" w:lineRule="auto"/>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（八）依托环保设施情况</w:t>
            </w:r>
          </w:p>
          <w:p w14:paraId="5ABFF570">
            <w:pPr>
              <w:adjustRightInd w:val="0"/>
              <w:snapToGrid w:val="0"/>
              <w:spacing w:line="360" w:lineRule="auto"/>
              <w:ind w:firstLine="480" w:firstLineChars="200"/>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rPr>
              <w:t>生活污水及医疗废水依托医院</w:t>
            </w:r>
            <w:r>
              <w:rPr>
                <w:rFonts w:hint="eastAsia" w:ascii="Times New Roman" w:hAnsi="Times New Roman" w:cs="Times New Roman"/>
                <w:color w:val="auto"/>
                <w:sz w:val="24"/>
                <w:highlight w:val="none"/>
                <w:lang w:val="en-US" w:eastAsia="zh-CN"/>
              </w:rPr>
              <w:t>废水</w:t>
            </w:r>
            <w:r>
              <w:rPr>
                <w:rFonts w:hint="default" w:ascii="Times New Roman" w:hAnsi="Times New Roman" w:cs="Times New Roman"/>
                <w:color w:val="auto"/>
                <w:sz w:val="24"/>
                <w:highlight w:val="none"/>
              </w:rPr>
              <w:t>设施</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一级强化处理+消毒</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处理，</w:t>
            </w:r>
            <w:r>
              <w:rPr>
                <w:rFonts w:hint="eastAsia" w:ascii="Times New Roman" w:hAnsi="Times New Roman" w:cs="Times New Roman"/>
                <w:color w:val="auto"/>
                <w:sz w:val="24"/>
                <w:highlight w:val="none"/>
                <w:lang w:val="en-US" w:eastAsia="zh-CN"/>
              </w:rPr>
              <w:t>处理</w:t>
            </w:r>
            <w:r>
              <w:rPr>
                <w:rFonts w:hint="default" w:ascii="Times New Roman" w:hAnsi="Times New Roman" w:cs="Times New Roman"/>
                <w:color w:val="auto"/>
                <w:sz w:val="24"/>
                <w:highlight w:val="none"/>
              </w:rPr>
              <w:t>达标后排入</w:t>
            </w:r>
            <w:r>
              <w:rPr>
                <w:rFonts w:hint="eastAsia" w:ascii="Times New Roman" w:hAnsi="Times New Roman" w:cs="Times New Roman"/>
                <w:color w:val="auto"/>
                <w:sz w:val="24"/>
                <w:highlight w:val="none"/>
                <w:lang w:val="en-US" w:eastAsia="zh-CN"/>
              </w:rPr>
              <w:t>平昌第二污水处理厂</w:t>
            </w:r>
            <w:r>
              <w:rPr>
                <w:rFonts w:hint="default" w:ascii="Times New Roman" w:hAnsi="Times New Roman" w:cs="Times New Roman"/>
                <w:color w:val="auto"/>
                <w:sz w:val="24"/>
                <w:highlight w:val="none"/>
                <w:lang w:eastAsia="zh-CN"/>
              </w:rPr>
              <w:t>。</w:t>
            </w:r>
          </w:p>
          <w:p w14:paraId="535B821C">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本项目DSA</w:t>
            </w:r>
            <w:r>
              <w:rPr>
                <w:rFonts w:hint="eastAsia" w:ascii="Times New Roman" w:hAnsi="Times New Roman" w:cs="Times New Roman"/>
                <w:color w:val="auto"/>
                <w:sz w:val="24"/>
                <w:highlight w:val="none"/>
                <w:lang w:val="en-US" w:eastAsia="zh-CN"/>
              </w:rPr>
              <w:t>介入室</w:t>
            </w:r>
            <w:r>
              <w:rPr>
                <w:rFonts w:hint="default" w:ascii="Times New Roman" w:hAnsi="Times New Roman" w:cs="Times New Roman"/>
                <w:color w:val="auto"/>
                <w:sz w:val="24"/>
                <w:highlight w:val="none"/>
              </w:rPr>
              <w:t>投运后</w:t>
            </w:r>
            <w:r>
              <w:rPr>
                <w:rFonts w:hint="default" w:ascii="Times New Roman" w:hAnsi="Times New Roman" w:cs="Times New Roman"/>
                <w:bCs/>
                <w:color w:val="auto"/>
                <w:sz w:val="24"/>
                <w:highlight w:val="none"/>
              </w:rPr>
              <w:t>将产生有少量废造影剂的输液瓶、废药棉、废纱布、废手套等医疗废物。</w:t>
            </w:r>
            <w:r>
              <w:rPr>
                <w:rFonts w:hint="default" w:ascii="Times New Roman" w:hAnsi="Times New Roman" w:cs="Times New Roman"/>
                <w:color w:val="auto"/>
                <w:sz w:val="24"/>
                <w:highlight w:val="none"/>
              </w:rPr>
              <w:t>治疗过程或手术过程中产生的医疗废物采用专门的收集容器集中处理后，先转运至DSA</w:t>
            </w:r>
            <w:r>
              <w:rPr>
                <w:rFonts w:hint="eastAsia" w:ascii="Times New Roman" w:hAnsi="Times New Roman" w:cs="Times New Roman"/>
                <w:color w:val="auto"/>
                <w:sz w:val="24"/>
                <w:highlight w:val="none"/>
                <w:lang w:val="en-US" w:eastAsia="zh-CN"/>
              </w:rPr>
              <w:t>介入室西</w:t>
            </w:r>
            <w:r>
              <w:rPr>
                <w:rFonts w:hint="default" w:ascii="Times New Roman" w:hAnsi="Times New Roman" w:cs="Times New Roman"/>
                <w:color w:val="auto"/>
                <w:sz w:val="24"/>
                <w:highlight w:val="none"/>
              </w:rPr>
              <w:t>侧</w:t>
            </w:r>
            <w:r>
              <w:rPr>
                <w:rFonts w:hint="default" w:ascii="Times New Roman" w:hAnsi="Times New Roman" w:cs="Times New Roman"/>
                <w:color w:val="auto"/>
                <w:sz w:val="24"/>
                <w:highlight w:val="none"/>
                <w:lang w:val="en-US" w:eastAsia="zh-CN"/>
              </w:rPr>
              <w:t>污物暂存间</w:t>
            </w:r>
            <w:r>
              <w:rPr>
                <w:rFonts w:hint="default" w:ascii="Times New Roman" w:hAnsi="Times New Roman" w:cs="Times New Roman"/>
                <w:color w:val="auto"/>
                <w:sz w:val="24"/>
                <w:highlight w:val="none"/>
              </w:rPr>
              <w:t>内，待一天手术结束后，统一由专门的清洁人员清运至位于医院的医院医疗废物暂存间</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生活垃圾经院区垃圾收集房分类收集后交由市政环卫部门统一清运。综上，本项目产生的固体废物经妥善处理后对周围环境影响较小。</w:t>
            </w:r>
          </w:p>
          <w:p w14:paraId="7C718709">
            <w:pPr>
              <w:adjustRightInd w:val="0"/>
              <w:snapToGrid w:val="0"/>
              <w:spacing w:line="360" w:lineRule="auto"/>
              <w:ind w:firstLine="480" w:firstLineChars="200"/>
              <w:rPr>
                <w:rFonts w:hint="default" w:ascii="Times New Roman" w:hAnsi="Times New Roman" w:cs="Times New Roman"/>
                <w:b/>
                <w:color w:val="auto"/>
                <w:sz w:val="24"/>
                <w:highlight w:val="none"/>
              </w:rPr>
            </w:pPr>
            <w:r>
              <w:rPr>
                <w:rFonts w:hint="default" w:ascii="Times New Roman" w:hAnsi="Times New Roman" w:cs="Times New Roman"/>
                <w:color w:val="auto"/>
                <w:sz w:val="24"/>
                <w:highlight w:val="none"/>
              </w:rPr>
              <w:t>本项目产噪设备主要为通排风系统、空调系统，建设单位拟采用低噪音风机，通过建筑墙体隔声及距离衰减后，对周围环境噪声的贡献很小，对项目所在区域声环境影响很小。</w:t>
            </w:r>
          </w:p>
          <w:p w14:paraId="7E598EF4">
            <w:pPr>
              <w:adjustRightInd w:val="0"/>
              <w:snapToGrid w:val="0"/>
              <w:spacing w:line="360" w:lineRule="auto"/>
              <w:jc w:val="left"/>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四、产业政策符合性</w:t>
            </w:r>
          </w:p>
          <w:p w14:paraId="53ED310D">
            <w:pPr>
              <w:autoSpaceDN w:val="0"/>
              <w:adjustRightInd w:val="0"/>
              <w:snapToGrid w:val="0"/>
              <w:spacing w:line="360" w:lineRule="auto"/>
              <w:ind w:firstLine="480" w:firstLineChars="200"/>
              <w:rPr>
                <w:rFonts w:hint="default" w:ascii="Times New Roman" w:hAnsi="Times New Roman" w:cs="Times New Roman"/>
                <w:color w:val="auto"/>
                <w:sz w:val="24"/>
                <w:highlight w:val="none"/>
              </w:rPr>
            </w:pPr>
            <w:bookmarkStart w:id="8" w:name="_Toc311726699"/>
            <w:bookmarkStart w:id="9" w:name="_Toc336431509"/>
            <w:bookmarkStart w:id="10" w:name="_Toc452968468"/>
            <w:r>
              <w:rPr>
                <w:rFonts w:hint="default" w:ascii="Times New Roman" w:hAnsi="Times New Roman" w:cs="Times New Roman"/>
                <w:color w:val="auto"/>
                <w:sz w:val="24"/>
                <w:highlight w:val="none"/>
              </w:rPr>
              <w:t>根据国家发展和改革委员会《产业结构调整指导目录（2024年本）》（2023年第7号令）相关规定，本项目的建设属于该指导目录为医院医疗基础建设内容，属于该指导目录中第三十七项“卫生健康”中第1款“医疗服务设施建设”，属于国家鼓励类产业，符合国家产业政策。</w:t>
            </w:r>
          </w:p>
          <w:p w14:paraId="22CB4765">
            <w:pPr>
              <w:adjustRightInd w:val="0"/>
              <w:snapToGrid w:val="0"/>
              <w:spacing w:line="360" w:lineRule="auto"/>
              <w:jc w:val="left"/>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五、</w:t>
            </w:r>
            <w:bookmarkEnd w:id="8"/>
            <w:bookmarkEnd w:id="9"/>
            <w:bookmarkEnd w:id="10"/>
            <w:r>
              <w:rPr>
                <w:rFonts w:hint="default" w:ascii="Times New Roman" w:hAnsi="Times New Roman" w:cs="Times New Roman"/>
                <w:b/>
                <w:color w:val="auto"/>
                <w:sz w:val="24"/>
                <w:highlight w:val="none"/>
              </w:rPr>
              <w:t>项目选址、外环境关系及实践正当性分析</w:t>
            </w:r>
          </w:p>
          <w:p w14:paraId="35F2C551">
            <w:pPr>
              <w:keepNext w:val="0"/>
              <w:keepLines w:val="0"/>
              <w:pageBreakBefore w:val="0"/>
              <w:widowControl/>
              <w:kinsoku/>
              <w:wordWrap/>
              <w:overflowPunct/>
              <w:topLinePunct w:val="0"/>
              <w:bidi w:val="0"/>
              <w:adjustRightInd w:val="0"/>
              <w:snapToGrid w:val="0"/>
              <w:spacing w:line="360" w:lineRule="auto"/>
              <w:ind w:firstLine="480"/>
              <w:jc w:val="left"/>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（一）外环境关系分析</w:t>
            </w:r>
          </w:p>
          <w:p w14:paraId="3C14C4DB">
            <w:pPr>
              <w:keepNext w:val="0"/>
              <w:keepLines w:val="0"/>
              <w:pageBreakBefore w:val="0"/>
              <w:kinsoku/>
              <w:wordWrap/>
              <w:overflowPunct/>
              <w:topLinePunct w:val="0"/>
              <w:bidi w:val="0"/>
              <w:adjustRightInd w:val="0"/>
              <w:snapToGrid w:val="0"/>
              <w:spacing w:line="360" w:lineRule="auto"/>
              <w:ind w:firstLine="482" w:firstLineChars="20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（1）医院外环境关系</w:t>
            </w:r>
          </w:p>
          <w:p w14:paraId="15E9CC14">
            <w:pPr>
              <w:keepNext w:val="0"/>
              <w:keepLines w:val="0"/>
              <w:pageBreakBefore w:val="0"/>
              <w:widowControl w:val="0"/>
              <w:kinsoku/>
              <w:wordWrap/>
              <w:overflowPunct/>
              <w:topLinePunct w:val="0"/>
              <w:bidi w:val="0"/>
              <w:adjustRightInd w:val="0"/>
              <w:snapToGrid w:val="0"/>
              <w:spacing w:line="360" w:lineRule="auto"/>
              <w:ind w:firstLine="500" w:firstLineChars="200"/>
              <w:jc w:val="left"/>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pacing w:val="5"/>
                <w:sz w:val="24"/>
                <w:highlight w:val="none"/>
                <w:shd w:val="clear" w:color="auto" w:fill="FFFFFF"/>
                <w:lang w:val="en-US" w:eastAsia="zh-CN"/>
              </w:rPr>
              <w:t>平昌县第二人民医院注册地址</w:t>
            </w:r>
            <w:r>
              <w:rPr>
                <w:rFonts w:hint="default" w:ascii="Times New Roman" w:hAnsi="Times New Roman" w:cs="Times New Roman"/>
                <w:color w:val="auto"/>
                <w:spacing w:val="5"/>
                <w:sz w:val="24"/>
                <w:highlight w:val="none"/>
                <w:shd w:val="clear" w:color="auto" w:fill="FFFFFF"/>
              </w:rPr>
              <w:t>位于</w:t>
            </w:r>
            <w:r>
              <w:rPr>
                <w:rFonts w:hint="default" w:ascii="Times New Roman" w:hAnsi="Times New Roman" w:cs="Times New Roman"/>
                <w:color w:val="auto"/>
                <w:sz w:val="24"/>
                <w:highlight w:val="none"/>
                <w:lang w:val="en-US" w:eastAsia="zh-CN"/>
              </w:rPr>
              <w:t>平昌县同州街道办事处新平街东段张家沟巷5号</w:t>
            </w:r>
            <w:r>
              <w:rPr>
                <w:rFonts w:hint="eastAsia" w:ascii="Times New Roman" w:hAnsi="Times New Roman" w:cs="Times New Roman"/>
                <w:color w:val="auto"/>
                <w:sz w:val="24"/>
                <w:highlight w:val="none"/>
                <w:lang w:val="en-US" w:eastAsia="zh-CN"/>
              </w:rPr>
              <w:t>，本项目位于黄滩坝院区。</w:t>
            </w:r>
            <w:r>
              <w:rPr>
                <w:rFonts w:hint="default" w:ascii="Times New Roman" w:hAnsi="Times New Roman" w:eastAsia="宋体" w:cs="Times New Roman"/>
                <w:color w:val="auto"/>
                <w:sz w:val="24"/>
                <w:highlight w:val="none"/>
                <w:lang w:val="en-US" w:eastAsia="zh-CN"/>
              </w:rPr>
              <w:t>平昌县第二人民医院</w:t>
            </w:r>
            <w:r>
              <w:rPr>
                <w:rFonts w:hint="eastAsia" w:ascii="Times New Roman" w:hAnsi="Times New Roman" w:cs="Times New Roman"/>
                <w:color w:val="auto"/>
                <w:sz w:val="24"/>
                <w:highlight w:val="none"/>
                <w:lang w:val="en-US" w:eastAsia="zh-CN"/>
              </w:rPr>
              <w:t>黄滩坝院区东侧和北侧为邦泰中心小区，东侧为平昌金贝幼儿园，东南侧为泰升游乐场，南侧和西南侧临白鹤路，白鹤路对面为平昌城市体育运动公园，西侧为明悦天府天骄小区。医院外环境关系图见附图2。</w:t>
            </w:r>
          </w:p>
          <w:p w14:paraId="6CED2C55">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482" w:firstLineChars="200"/>
              <w:textAlignment w:val="auto"/>
              <w:rPr>
                <w:rFonts w:hint="eastAsia" w:ascii="Times New Roman" w:hAnsi="Times New Roman" w:cs="Times New Roman"/>
                <w:b/>
                <w:bCs/>
                <w:color w:val="auto"/>
                <w:sz w:val="24"/>
                <w:highlight w:val="none"/>
                <w:lang w:val="en-US" w:eastAsia="zh-CN"/>
              </w:rPr>
            </w:pPr>
            <w:r>
              <w:rPr>
                <w:rFonts w:hint="eastAsia" w:ascii="Times New Roman" w:hAnsi="Times New Roman" w:cs="Times New Roman"/>
                <w:b/>
                <w:bCs/>
                <w:color w:val="auto"/>
                <w:sz w:val="24"/>
                <w:highlight w:val="none"/>
                <w:lang w:val="en-US" w:eastAsia="zh-CN"/>
              </w:rPr>
              <w:t>项目外环境关系</w:t>
            </w:r>
          </w:p>
          <w:p w14:paraId="7EF1CC48">
            <w:pPr>
              <w:keepNext w:val="0"/>
              <w:keepLines w:val="0"/>
              <w:pageBreakBefore w:val="0"/>
              <w:widowControl w:val="0"/>
              <w:kinsoku/>
              <w:wordWrap/>
              <w:overflowPunct/>
              <w:topLinePunct w:val="0"/>
              <w:bidi w:val="0"/>
              <w:adjustRightInd w:val="0"/>
              <w:snapToGrid w:val="0"/>
              <w:spacing w:line="360" w:lineRule="auto"/>
              <w:ind w:firstLine="480" w:firstLineChars="200"/>
              <w:jc w:val="left"/>
              <w:rPr>
                <w:rFonts w:hint="default" w:eastAsia="宋体"/>
                <w:color w:val="auto"/>
                <w:highlight w:val="none"/>
                <w:lang w:val="en-US" w:eastAsia="zh-CN"/>
              </w:rPr>
            </w:pPr>
            <w:r>
              <w:rPr>
                <w:rFonts w:hint="eastAsia" w:ascii="Times New Roman" w:hAnsi="Times New Roman" w:eastAsia="宋体" w:cs="Times New Roman"/>
                <w:color w:val="auto"/>
                <w:sz w:val="24"/>
                <w:highlight w:val="none"/>
                <w:lang w:val="en-US" w:eastAsia="zh-CN"/>
              </w:rPr>
              <w:t>本项目介入室位于</w:t>
            </w:r>
            <w:r>
              <w:rPr>
                <w:rFonts w:hint="default" w:ascii="Times New Roman" w:hAnsi="Times New Roman" w:eastAsia="宋体" w:cs="Times New Roman"/>
                <w:color w:val="auto"/>
                <w:sz w:val="24"/>
                <w:highlight w:val="none"/>
                <w:lang w:val="en-US" w:eastAsia="zh-CN"/>
              </w:rPr>
              <w:t>平昌县第二人民医院</w:t>
            </w:r>
            <w:r>
              <w:rPr>
                <w:rFonts w:hint="eastAsia" w:ascii="Times New Roman" w:hAnsi="Times New Roman" w:cs="Times New Roman"/>
                <w:color w:val="auto"/>
                <w:sz w:val="24"/>
                <w:highlight w:val="none"/>
                <w:lang w:val="en-US" w:eastAsia="zh-CN"/>
              </w:rPr>
              <w:t>黄滩坝院区</w:t>
            </w:r>
            <w:r>
              <w:rPr>
                <w:rFonts w:hint="default" w:ascii="Times New Roman" w:hAnsi="Times New Roman" w:eastAsia="宋体" w:cs="Times New Roman"/>
                <w:color w:val="auto"/>
                <w:sz w:val="24"/>
                <w:highlight w:val="none"/>
                <w:lang w:val="en-US" w:eastAsia="zh-CN"/>
              </w:rPr>
              <w:t>的</w:t>
            </w:r>
            <w:r>
              <w:rPr>
                <w:rFonts w:hint="eastAsia" w:ascii="Times New Roman" w:hAnsi="Times New Roman" w:cs="Times New Roman"/>
                <w:color w:val="auto"/>
                <w:sz w:val="24"/>
                <w:highlight w:val="none"/>
                <w:lang w:val="en-US" w:eastAsia="zh-CN"/>
              </w:rPr>
              <w:t>2#</w:t>
            </w:r>
            <w:r>
              <w:rPr>
                <w:rFonts w:hint="default" w:ascii="Times New Roman" w:hAnsi="Times New Roman" w:eastAsia="宋体" w:cs="Times New Roman"/>
                <w:color w:val="auto"/>
                <w:sz w:val="24"/>
                <w:highlight w:val="none"/>
                <w:lang w:val="en-US" w:eastAsia="zh-CN"/>
              </w:rPr>
              <w:t>医疗综合楼四楼东北角</w:t>
            </w:r>
            <w:r>
              <w:rPr>
                <w:rFonts w:hint="eastAsia" w:ascii="Times New Roman" w:hAnsi="Times New Roman" w:cs="Times New Roman"/>
                <w:color w:val="auto"/>
                <w:sz w:val="24"/>
                <w:highlight w:val="none"/>
                <w:lang w:val="en-US" w:eastAsia="zh-CN"/>
              </w:rPr>
              <w:t>，该综合楼东侧为1#医疗综合楼，南侧为医院道路，西侧为预留用地，北侧为医院道路。本项目DSA介入室东侧为设备间和污物间；南侧为控制室，西侧为患者缓冲区；北侧为四楼悬空区域，无人经过。楼上为裙房屋面（用于放置设备），楼下为口腔门诊。项目外环境关系图见附图3-1和附图3-2。</w:t>
            </w:r>
          </w:p>
          <w:p w14:paraId="74E648F4">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w:t>
            </w:r>
            <w:r>
              <w:rPr>
                <w:rFonts w:hint="eastAsia" w:ascii="Times New Roman" w:hAnsi="Times New Roman" w:cs="Times New Roman"/>
                <w:b/>
                <w:bCs/>
                <w:color w:val="auto"/>
                <w:sz w:val="24"/>
                <w:highlight w:val="none"/>
                <w:lang w:val="en-US" w:eastAsia="zh-CN"/>
              </w:rPr>
              <w:t>3</w:t>
            </w:r>
            <w:r>
              <w:rPr>
                <w:rFonts w:hint="default" w:ascii="Times New Roman" w:hAnsi="Times New Roman" w:cs="Times New Roman"/>
                <w:b/>
                <w:bCs/>
                <w:color w:val="auto"/>
                <w:sz w:val="24"/>
                <w:highlight w:val="none"/>
              </w:rPr>
              <w:t>）本项目辐射工作场所外环境关系</w:t>
            </w:r>
          </w:p>
          <w:p w14:paraId="454E67A2">
            <w:pPr>
              <w:keepNext w:val="0"/>
              <w:keepLines w:val="0"/>
              <w:pageBreakBefore w:val="0"/>
              <w:widowControl w:val="0"/>
              <w:kinsoku/>
              <w:wordWrap/>
              <w:overflowPunct/>
              <w:topLinePunct w:val="0"/>
              <w:autoSpaceDE/>
              <w:autoSpaceDN/>
              <w:bidi w:val="0"/>
              <w:adjustRightInd w:val="0"/>
              <w:snapToGrid w:val="0"/>
              <w:spacing w:line="360" w:lineRule="auto"/>
              <w:ind w:firstLine="500" w:firstLineChars="200"/>
              <w:jc w:val="left"/>
              <w:textAlignment w:val="auto"/>
              <w:rPr>
                <w:rFonts w:hint="default" w:ascii="Times New Roman" w:hAnsi="Times New Roman" w:cs="Times New Roman"/>
                <w:color w:val="auto"/>
                <w:spacing w:val="5"/>
                <w:sz w:val="24"/>
                <w:highlight w:val="none"/>
                <w:shd w:val="clear" w:color="auto" w:fill="FFFFFF"/>
                <w:lang w:val="en-US" w:eastAsia="zh-CN"/>
              </w:rPr>
            </w:pPr>
            <w:r>
              <w:rPr>
                <w:rFonts w:hint="default" w:ascii="Times New Roman" w:hAnsi="Times New Roman" w:cs="Times New Roman"/>
                <w:color w:val="auto"/>
                <w:spacing w:val="5"/>
                <w:sz w:val="24"/>
                <w:highlight w:val="none"/>
                <w:shd w:val="clear" w:color="auto" w:fill="FFFFFF"/>
                <w:lang w:val="en-US" w:eastAsia="zh-CN"/>
              </w:rPr>
              <w:t>本项目</w:t>
            </w:r>
            <w:r>
              <w:rPr>
                <w:rFonts w:hint="eastAsia" w:ascii="Times New Roman" w:hAnsi="Times New Roman" w:cs="Times New Roman"/>
                <w:color w:val="auto"/>
                <w:spacing w:val="5"/>
                <w:sz w:val="24"/>
                <w:highlight w:val="none"/>
                <w:shd w:val="clear" w:color="auto" w:fill="FFFFFF"/>
                <w:lang w:val="en-US" w:eastAsia="zh-CN"/>
              </w:rPr>
              <w:t>介入室</w:t>
            </w:r>
            <w:r>
              <w:rPr>
                <w:rFonts w:hint="default" w:ascii="Times New Roman" w:hAnsi="Times New Roman" w:cs="Times New Roman"/>
                <w:color w:val="auto"/>
                <w:spacing w:val="5"/>
                <w:sz w:val="24"/>
                <w:highlight w:val="none"/>
                <w:shd w:val="clear" w:color="auto" w:fill="FFFFFF"/>
                <w:lang w:val="en-US" w:eastAsia="zh-CN"/>
              </w:rPr>
              <w:t>实体屏蔽外50m范围内情况如下：</w:t>
            </w:r>
          </w:p>
          <w:p w14:paraId="37E7AA63">
            <w:pPr>
              <w:keepNext w:val="0"/>
              <w:keepLines w:val="0"/>
              <w:pageBreakBefore w:val="0"/>
              <w:widowControl w:val="0"/>
              <w:kinsoku/>
              <w:wordWrap/>
              <w:overflowPunct/>
              <w:topLinePunct w:val="0"/>
              <w:autoSpaceDE/>
              <w:autoSpaceDN/>
              <w:bidi w:val="0"/>
              <w:adjustRightInd w:val="0"/>
              <w:snapToGrid w:val="0"/>
              <w:spacing w:line="360" w:lineRule="auto"/>
              <w:ind w:firstLine="500" w:firstLineChars="200"/>
              <w:jc w:val="left"/>
              <w:textAlignment w:val="auto"/>
              <w:rPr>
                <w:rFonts w:hint="default" w:ascii="Times New Roman" w:hAnsi="Times New Roman" w:cs="Times New Roman"/>
                <w:color w:val="auto"/>
                <w:spacing w:val="5"/>
                <w:sz w:val="24"/>
                <w:highlight w:val="none"/>
                <w:shd w:val="clear" w:color="auto" w:fill="FFFFFF"/>
                <w:lang w:val="en-US" w:eastAsia="zh-CN"/>
              </w:rPr>
            </w:pPr>
            <w:r>
              <w:rPr>
                <w:rFonts w:hint="eastAsia" w:ascii="Times New Roman" w:hAnsi="Times New Roman" w:cs="Times New Roman"/>
                <w:color w:val="auto"/>
                <w:spacing w:val="5"/>
                <w:sz w:val="24"/>
                <w:highlight w:val="none"/>
                <w:shd w:val="clear" w:color="auto" w:fill="FFFFFF"/>
                <w:lang w:val="en-US" w:eastAsia="zh-CN"/>
              </w:rPr>
              <w:t>①东侧0-4m为设备间，4-30m为两栋楼中间的悬空区域，30-50m为1#医疗综合楼的医生办公室。</w:t>
            </w:r>
          </w:p>
          <w:p w14:paraId="55964B09">
            <w:pPr>
              <w:keepNext w:val="0"/>
              <w:keepLines w:val="0"/>
              <w:pageBreakBefore w:val="0"/>
              <w:widowControl w:val="0"/>
              <w:kinsoku/>
              <w:wordWrap/>
              <w:overflowPunct/>
              <w:topLinePunct w:val="0"/>
              <w:autoSpaceDE/>
              <w:autoSpaceDN/>
              <w:bidi w:val="0"/>
              <w:adjustRightInd w:val="0"/>
              <w:snapToGrid w:val="0"/>
              <w:spacing w:line="360" w:lineRule="auto"/>
              <w:ind w:firstLine="500" w:firstLineChars="200"/>
              <w:jc w:val="left"/>
              <w:textAlignment w:val="auto"/>
              <w:rPr>
                <w:rFonts w:hint="default" w:ascii="Times New Roman" w:hAnsi="Times New Roman" w:cs="Times New Roman"/>
                <w:color w:val="auto"/>
                <w:spacing w:val="5"/>
                <w:sz w:val="24"/>
                <w:highlight w:val="none"/>
                <w:shd w:val="clear" w:color="auto" w:fill="FFFFFF"/>
                <w:lang w:val="en-US" w:eastAsia="zh-CN"/>
              </w:rPr>
            </w:pPr>
            <w:r>
              <w:rPr>
                <w:rFonts w:hint="eastAsia" w:ascii="Times New Roman" w:hAnsi="Times New Roman" w:cs="Times New Roman"/>
                <w:color w:val="auto"/>
                <w:spacing w:val="5"/>
                <w:sz w:val="24"/>
                <w:highlight w:val="none"/>
                <w:shd w:val="clear" w:color="auto" w:fill="FFFFFF"/>
                <w:lang w:val="en-US" w:eastAsia="zh-CN"/>
              </w:rPr>
              <w:t>②南侧0-20m为辅房（控制室、男女卫浴间等），20-28m为空调机房，29-38m为电梯厅，38-50m为皮肤科门诊。</w:t>
            </w:r>
          </w:p>
          <w:p w14:paraId="0E7FCA8A">
            <w:pPr>
              <w:keepNext w:val="0"/>
              <w:keepLines w:val="0"/>
              <w:pageBreakBefore w:val="0"/>
              <w:widowControl w:val="0"/>
              <w:kinsoku/>
              <w:wordWrap/>
              <w:overflowPunct/>
              <w:topLinePunct w:val="0"/>
              <w:autoSpaceDE/>
              <w:autoSpaceDN/>
              <w:bidi w:val="0"/>
              <w:adjustRightInd w:val="0"/>
              <w:snapToGrid w:val="0"/>
              <w:spacing w:line="360" w:lineRule="auto"/>
              <w:ind w:firstLine="500" w:firstLineChars="200"/>
              <w:jc w:val="left"/>
              <w:textAlignment w:val="auto"/>
              <w:rPr>
                <w:rFonts w:hint="eastAsia" w:ascii="Times New Roman" w:hAnsi="Times New Roman" w:cs="Times New Roman"/>
                <w:color w:val="auto"/>
                <w:spacing w:val="5"/>
                <w:sz w:val="24"/>
                <w:highlight w:val="none"/>
                <w:shd w:val="clear" w:color="auto" w:fill="FFFFFF"/>
                <w:lang w:val="en-US" w:eastAsia="zh-CN"/>
              </w:rPr>
            </w:pPr>
            <w:r>
              <w:rPr>
                <w:rFonts w:hint="eastAsia" w:ascii="Times New Roman" w:hAnsi="Times New Roman" w:cs="Times New Roman"/>
                <w:color w:val="auto"/>
                <w:spacing w:val="5"/>
                <w:sz w:val="24"/>
                <w:highlight w:val="none"/>
                <w:shd w:val="clear" w:color="auto" w:fill="FFFFFF"/>
                <w:lang w:val="en-US" w:eastAsia="zh-CN"/>
              </w:rPr>
              <w:t>③西侧0-2m为患者缓冲区，2-10m为信息机房，10-50m为血液透析大厅。</w:t>
            </w:r>
          </w:p>
          <w:p w14:paraId="5B04B54F">
            <w:pPr>
              <w:keepNext w:val="0"/>
              <w:keepLines w:val="0"/>
              <w:pageBreakBefore w:val="0"/>
              <w:widowControl w:val="0"/>
              <w:kinsoku/>
              <w:wordWrap/>
              <w:overflowPunct/>
              <w:topLinePunct w:val="0"/>
              <w:autoSpaceDE/>
              <w:autoSpaceDN/>
              <w:bidi w:val="0"/>
              <w:adjustRightInd w:val="0"/>
              <w:snapToGrid w:val="0"/>
              <w:spacing w:line="360" w:lineRule="auto"/>
              <w:ind w:firstLine="500" w:firstLineChars="200"/>
              <w:jc w:val="left"/>
              <w:textAlignment w:val="auto"/>
              <w:rPr>
                <w:rFonts w:hint="eastAsia" w:ascii="Times New Roman" w:hAnsi="Times New Roman" w:cs="Times New Roman"/>
                <w:color w:val="auto"/>
                <w:spacing w:val="5"/>
                <w:sz w:val="24"/>
                <w:highlight w:val="none"/>
                <w:shd w:val="clear" w:color="auto" w:fill="FFFFFF"/>
                <w:lang w:val="en-US" w:eastAsia="zh-CN"/>
              </w:rPr>
            </w:pPr>
            <w:r>
              <w:rPr>
                <w:rFonts w:hint="eastAsia" w:ascii="Times New Roman" w:hAnsi="Times New Roman" w:cs="Times New Roman"/>
                <w:color w:val="auto"/>
                <w:spacing w:val="5"/>
                <w:sz w:val="24"/>
                <w:highlight w:val="none"/>
                <w:shd w:val="clear" w:color="auto" w:fill="FFFFFF"/>
                <w:lang w:val="en-US" w:eastAsia="zh-CN"/>
              </w:rPr>
              <w:t>④</w:t>
            </w:r>
            <w:r>
              <w:rPr>
                <w:rFonts w:hint="eastAsia" w:ascii="Times New Roman" w:hAnsi="Times New Roman" w:eastAsia="宋体" w:cs="Times New Roman"/>
                <w:color w:val="auto"/>
                <w:spacing w:val="5"/>
                <w:sz w:val="24"/>
                <w:highlight w:val="none"/>
                <w:shd w:val="clear" w:color="auto" w:fill="FFFFFF"/>
                <w:lang w:val="en-US" w:eastAsia="zh-CN"/>
              </w:rPr>
              <w:t>北侧0-50m为2#楼医疗综合楼外侧</w:t>
            </w:r>
            <w:r>
              <w:rPr>
                <w:rFonts w:hint="eastAsia" w:ascii="Times New Roman" w:hAnsi="Times New Roman" w:cs="Times New Roman"/>
                <w:color w:val="auto"/>
                <w:spacing w:val="5"/>
                <w:sz w:val="24"/>
                <w:highlight w:val="none"/>
                <w:shd w:val="clear" w:color="auto" w:fill="FFFFFF"/>
                <w:lang w:val="en-US" w:eastAsia="zh-CN"/>
              </w:rPr>
              <w:t>。</w:t>
            </w:r>
          </w:p>
          <w:p w14:paraId="5F1131B0">
            <w:pPr>
              <w:keepNext w:val="0"/>
              <w:keepLines w:val="0"/>
              <w:pageBreakBefore w:val="0"/>
              <w:widowControl w:val="0"/>
              <w:kinsoku/>
              <w:wordWrap/>
              <w:overflowPunct/>
              <w:topLinePunct w:val="0"/>
              <w:autoSpaceDE/>
              <w:autoSpaceDN/>
              <w:bidi w:val="0"/>
              <w:adjustRightInd w:val="0"/>
              <w:snapToGrid w:val="0"/>
              <w:spacing w:line="360" w:lineRule="auto"/>
              <w:ind w:firstLine="500" w:firstLineChars="200"/>
              <w:jc w:val="left"/>
              <w:textAlignment w:val="auto"/>
              <w:rPr>
                <w:rFonts w:hint="eastAsia" w:ascii="Times New Roman" w:hAnsi="Times New Roman" w:cs="Times New Roman"/>
                <w:color w:val="auto"/>
                <w:spacing w:val="5"/>
                <w:sz w:val="24"/>
                <w:highlight w:val="none"/>
                <w:shd w:val="clear" w:color="auto" w:fill="FFFFFF"/>
                <w:lang w:val="en-US" w:eastAsia="zh-CN"/>
              </w:rPr>
            </w:pPr>
            <w:r>
              <w:rPr>
                <w:rFonts w:hint="eastAsia" w:ascii="Times New Roman" w:hAnsi="Times New Roman" w:cs="Times New Roman"/>
                <w:color w:val="auto"/>
                <w:spacing w:val="5"/>
                <w:sz w:val="24"/>
                <w:highlight w:val="none"/>
                <w:shd w:val="clear" w:color="auto" w:fill="FFFFFF"/>
                <w:lang w:val="en-US" w:eastAsia="zh-CN"/>
              </w:rPr>
              <w:t>⑤DSA介入室正上方：裙房非上人屋面。</w:t>
            </w:r>
          </w:p>
          <w:p w14:paraId="42017755">
            <w:pPr>
              <w:pStyle w:val="8"/>
              <w:keepNext w:val="0"/>
              <w:keepLines w:val="0"/>
              <w:pageBreakBefore w:val="0"/>
              <w:widowControl w:val="0"/>
              <w:kinsoku/>
              <w:wordWrap/>
              <w:overflowPunct/>
              <w:topLinePunct w:val="0"/>
              <w:autoSpaceDE/>
              <w:autoSpaceDN/>
              <w:bidi w:val="0"/>
              <w:adjustRightInd w:val="0"/>
              <w:snapToGrid w:val="0"/>
              <w:spacing w:line="360" w:lineRule="auto"/>
              <w:ind w:firstLine="520"/>
              <w:textAlignment w:val="auto"/>
              <w:rPr>
                <w:rFonts w:hint="eastAsia" w:ascii="Times New Roman" w:hAnsi="Times New Roman" w:cs="Times New Roman"/>
                <w:color w:val="auto"/>
                <w:spacing w:val="5"/>
                <w:sz w:val="24"/>
                <w:highlight w:val="none"/>
                <w:shd w:val="clear" w:color="auto" w:fill="FFFFFF"/>
                <w:lang w:val="en-US" w:eastAsia="zh-CN"/>
              </w:rPr>
            </w:pPr>
            <w:r>
              <w:rPr>
                <w:rFonts w:hint="eastAsia" w:ascii="Times New Roman" w:hAnsi="Times New Roman" w:cs="Times New Roman"/>
                <w:color w:val="auto"/>
                <w:spacing w:val="5"/>
                <w:sz w:val="24"/>
                <w:highlight w:val="none"/>
                <w:shd w:val="clear" w:color="auto" w:fill="FFFFFF"/>
                <w:lang w:val="en-US" w:eastAsia="zh-CN"/>
              </w:rPr>
              <w:t>⑥DSA介入室正下方：口腔门诊。</w:t>
            </w:r>
          </w:p>
          <w:p w14:paraId="08BBB271">
            <w:pPr>
              <w:keepNext w:val="0"/>
              <w:keepLines w:val="0"/>
              <w:pageBreakBefore w:val="0"/>
              <w:widowControl w:val="0"/>
              <w:kinsoku/>
              <w:wordWrap/>
              <w:overflowPunct/>
              <w:topLinePunct w:val="0"/>
              <w:autoSpaceDE/>
              <w:autoSpaceDN/>
              <w:bidi w:val="0"/>
              <w:adjustRightInd w:val="0"/>
              <w:snapToGrid w:val="0"/>
              <w:spacing w:line="360" w:lineRule="auto"/>
              <w:ind w:firstLine="500" w:firstLineChars="200"/>
              <w:jc w:val="left"/>
              <w:textAlignment w:val="auto"/>
              <w:rPr>
                <w:rFonts w:hint="default" w:ascii="Times New Roman" w:hAnsi="Times New Roman" w:cs="Times New Roman"/>
                <w:color w:val="auto"/>
                <w:spacing w:val="5"/>
                <w:sz w:val="24"/>
                <w:highlight w:val="none"/>
                <w:shd w:val="clear" w:color="auto" w:fill="FFFFFF"/>
                <w:lang w:val="en-US" w:eastAsia="zh-CN"/>
              </w:rPr>
            </w:pPr>
            <w:r>
              <w:rPr>
                <w:rFonts w:hint="eastAsia" w:ascii="Times New Roman" w:hAnsi="Times New Roman" w:cs="Times New Roman"/>
                <w:color w:val="auto"/>
                <w:spacing w:val="5"/>
                <w:sz w:val="24"/>
                <w:highlight w:val="none"/>
                <w:shd w:val="clear" w:color="auto" w:fill="FFFFFF"/>
                <w:lang w:val="en-US" w:eastAsia="zh-CN"/>
              </w:rPr>
              <w:t>实体屏蔽50m范围均在医院范围内，50m范围图详见附图3。项目所在楼层平面布置详见附图7。项目楼上平面布置图见附图8。项目楼下平面布置图见附图10。</w:t>
            </w:r>
          </w:p>
          <w:p w14:paraId="40DCE4DC">
            <w:pPr>
              <w:numPr>
                <w:ilvl w:val="0"/>
                <w:numId w:val="7"/>
              </w:numPr>
              <w:autoSpaceDE w:val="0"/>
              <w:autoSpaceDN w:val="0"/>
              <w:adjustRightInd w:val="0"/>
              <w:snapToGrid w:val="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选址合理性分析</w:t>
            </w:r>
          </w:p>
          <w:p w14:paraId="36BD48F1">
            <w:pPr>
              <w:autoSpaceDE w:val="0"/>
              <w:autoSpaceDN w:val="0"/>
              <w:adjustRightInd w:val="0"/>
              <w:snapToGrid w:val="0"/>
              <w:spacing w:line="360" w:lineRule="auto"/>
              <w:ind w:firstLine="480" w:firstLineChars="200"/>
              <w:rPr>
                <w:rFonts w:hint="eastAsia"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rPr>
              <w:t>医院已获得中华人民共和国不动产权证书（编号：</w:t>
            </w:r>
            <w:r>
              <w:rPr>
                <w:rFonts w:hint="eastAsia" w:ascii="Times New Roman" w:hAnsi="Times New Roman" w:cs="Times New Roman"/>
                <w:color w:val="auto"/>
                <w:sz w:val="24"/>
                <w:highlight w:val="none"/>
                <w:lang w:val="en-US" w:eastAsia="zh-CN"/>
              </w:rPr>
              <w:t>003826号</w:t>
            </w:r>
            <w:r>
              <w:rPr>
                <w:rFonts w:hint="default" w:ascii="Times New Roman" w:hAnsi="Times New Roman" w:cs="Times New Roman"/>
                <w:color w:val="auto"/>
                <w:sz w:val="24"/>
                <w:highlight w:val="none"/>
              </w:rPr>
              <w:t>），根据中华人民共和国不动产权证书，本用地属于</w:t>
            </w:r>
            <w:r>
              <w:rPr>
                <w:rFonts w:hint="eastAsia" w:ascii="Times New Roman" w:hAnsi="Times New Roman" w:cs="Times New Roman"/>
                <w:color w:val="auto"/>
                <w:sz w:val="24"/>
                <w:highlight w:val="none"/>
                <w:lang w:val="en-US" w:eastAsia="zh-CN"/>
              </w:rPr>
              <w:t>医卫慈善用地</w:t>
            </w:r>
            <w:r>
              <w:rPr>
                <w:rFonts w:hint="default" w:ascii="Times New Roman" w:hAnsi="Times New Roman" w:cs="Times New Roman"/>
                <w:color w:val="auto"/>
                <w:sz w:val="24"/>
                <w:highlight w:val="none"/>
              </w:rPr>
              <w:t>，用地符合城市规划要求。</w:t>
            </w:r>
            <w:r>
              <w:rPr>
                <w:rFonts w:hint="default" w:ascii="Times New Roman" w:hAnsi="Times New Roman" w:cs="Times New Roman"/>
                <w:b w:val="0"/>
                <w:bCs w:val="0"/>
                <w:color w:val="auto"/>
                <w:sz w:val="24"/>
                <w:highlight w:val="none"/>
              </w:rPr>
              <w:t>医院已获得了</w:t>
            </w:r>
            <w:r>
              <w:rPr>
                <w:rFonts w:hint="eastAsia" w:ascii="Times New Roman" w:hAnsi="Times New Roman" w:cs="Times New Roman"/>
                <w:b w:val="0"/>
                <w:bCs w:val="0"/>
                <w:color w:val="auto"/>
                <w:sz w:val="24"/>
                <w:highlight w:val="none"/>
                <w:lang w:val="en-US" w:eastAsia="zh-CN"/>
              </w:rPr>
              <w:t>巴中市</w:t>
            </w:r>
            <w:r>
              <w:rPr>
                <w:rFonts w:hint="default" w:ascii="Times New Roman" w:hAnsi="Times New Roman" w:cs="Times New Roman"/>
                <w:b w:val="0"/>
                <w:bCs w:val="0"/>
                <w:color w:val="auto"/>
                <w:sz w:val="24"/>
                <w:highlight w:val="none"/>
                <w:lang w:val="en-US" w:eastAsia="zh-CN"/>
              </w:rPr>
              <w:t>生态环境局出具的《</w:t>
            </w:r>
            <w:r>
              <w:rPr>
                <w:rFonts w:hint="eastAsia" w:ascii="Times New Roman" w:hAnsi="Times New Roman" w:cs="Times New Roman"/>
                <w:b w:val="0"/>
                <w:bCs w:val="0"/>
                <w:color w:val="auto"/>
                <w:sz w:val="24"/>
                <w:highlight w:val="none"/>
                <w:lang w:val="en-US" w:eastAsia="zh-CN"/>
              </w:rPr>
              <w:t>巴中市环境保护局关于平昌县第二人民医院（一期）建设项目环境影响报告书的批复</w:t>
            </w:r>
            <w:r>
              <w:rPr>
                <w:rFonts w:hint="default" w:ascii="Times New Roman" w:hAnsi="Times New Roman" w:cs="Times New Roman"/>
                <w:b w:val="0"/>
                <w:bCs w:val="0"/>
                <w:color w:val="auto"/>
                <w:sz w:val="24"/>
                <w:highlight w:val="none"/>
                <w:lang w:val="en-US" w:eastAsia="zh-CN"/>
              </w:rPr>
              <w:t>》（</w:t>
            </w:r>
            <w:r>
              <w:rPr>
                <w:rFonts w:hint="eastAsia" w:ascii="Times New Roman" w:hAnsi="Times New Roman" w:cs="Times New Roman"/>
                <w:b w:val="0"/>
                <w:bCs w:val="0"/>
                <w:color w:val="auto"/>
                <w:sz w:val="24"/>
                <w:highlight w:val="none"/>
                <w:lang w:val="en-US" w:eastAsia="zh-CN"/>
              </w:rPr>
              <w:t>巴环审[2016]30号</w:t>
            </w:r>
            <w:r>
              <w:rPr>
                <w:rFonts w:hint="default" w:ascii="Times New Roman" w:hAnsi="Times New Roman" w:cs="Times New Roman"/>
                <w:b w:val="0"/>
                <w:bCs w:val="0"/>
                <w:color w:val="auto"/>
                <w:sz w:val="24"/>
                <w:highlight w:val="none"/>
                <w:lang w:val="en-US" w:eastAsia="zh-CN"/>
              </w:rPr>
              <w:t>），</w:t>
            </w:r>
            <w:r>
              <w:rPr>
                <w:rFonts w:hint="default" w:ascii="Times New Roman" w:hAnsi="Times New Roman" w:cs="Times New Roman"/>
                <w:b/>
                <w:bCs/>
                <w:color w:val="auto"/>
                <w:sz w:val="24"/>
                <w:highlight w:val="none"/>
                <w:lang w:val="en-US" w:eastAsia="zh-CN"/>
              </w:rPr>
              <w:t>详见附件</w:t>
            </w:r>
            <w:r>
              <w:rPr>
                <w:rFonts w:hint="eastAsia" w:ascii="Times New Roman" w:hAnsi="Times New Roman" w:cs="Times New Roman"/>
                <w:b/>
                <w:bCs/>
                <w:color w:val="auto"/>
                <w:sz w:val="24"/>
                <w:highlight w:val="none"/>
                <w:lang w:val="en-US" w:eastAsia="zh-CN"/>
              </w:rPr>
              <w:t>4</w:t>
            </w:r>
            <w:r>
              <w:rPr>
                <w:rFonts w:hint="default" w:ascii="Times New Roman" w:hAnsi="Times New Roman" w:cs="Times New Roman"/>
                <w:b/>
                <w:bCs/>
                <w:color w:val="auto"/>
                <w:sz w:val="24"/>
                <w:highlight w:val="none"/>
                <w:lang w:val="en-US" w:eastAsia="zh-CN"/>
              </w:rPr>
              <w:t>。</w:t>
            </w:r>
            <w:r>
              <w:rPr>
                <w:rFonts w:hint="default" w:ascii="Times New Roman" w:hAnsi="Times New Roman" w:cs="Times New Roman"/>
                <w:color w:val="auto"/>
                <w:sz w:val="24"/>
                <w:highlight w:val="none"/>
              </w:rPr>
              <w:t>本项目</w:t>
            </w:r>
            <w:r>
              <w:rPr>
                <w:rFonts w:hint="eastAsia" w:ascii="Times New Roman" w:hAnsi="Times New Roman" w:cs="Times New Roman"/>
                <w:color w:val="auto"/>
                <w:sz w:val="24"/>
                <w:highlight w:val="none"/>
                <w:lang w:val="en-US" w:eastAsia="zh-CN"/>
              </w:rPr>
              <w:t>拟</w:t>
            </w:r>
            <w:r>
              <w:rPr>
                <w:rFonts w:hint="default" w:ascii="Times New Roman" w:hAnsi="Times New Roman" w:cs="Times New Roman"/>
                <w:color w:val="auto"/>
                <w:sz w:val="24"/>
                <w:highlight w:val="none"/>
              </w:rPr>
              <w:t>位于</w:t>
            </w:r>
            <w:r>
              <w:rPr>
                <w:rFonts w:hint="eastAsia" w:ascii="Times New Roman" w:hAnsi="Times New Roman" w:cs="Times New Roman"/>
                <w:color w:val="auto"/>
                <w:sz w:val="24"/>
                <w:highlight w:val="none"/>
                <w:lang w:val="en-US" w:eastAsia="zh-CN"/>
              </w:rPr>
              <w:t>平昌县第二人民医院2#医疗综合楼四楼东北角。</w:t>
            </w:r>
          </w:p>
          <w:p w14:paraId="27F3256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cs="Times New Roman"/>
                <w:color w:val="auto"/>
                <w:spacing w:val="5"/>
                <w:sz w:val="24"/>
                <w:highlight w:val="none"/>
                <w:shd w:val="clear" w:color="auto" w:fill="FFFFFF"/>
                <w:lang w:val="en-US" w:eastAsia="zh-CN"/>
              </w:rPr>
            </w:pPr>
            <w:r>
              <w:rPr>
                <w:rFonts w:hint="eastAsia" w:ascii="Times New Roman" w:hAnsi="Times New Roman" w:cs="Times New Roman"/>
                <w:color w:val="auto"/>
                <w:sz w:val="24"/>
                <w:highlight w:val="none"/>
                <w:lang w:val="en-US" w:eastAsia="zh-CN"/>
              </w:rPr>
              <w:t>屏蔽实体50m范围内保护目标有东侧</w:t>
            </w:r>
            <w:r>
              <w:rPr>
                <w:rFonts w:hint="eastAsia" w:ascii="Times New Roman" w:hAnsi="Times New Roman" w:cs="Times New Roman"/>
                <w:color w:val="auto"/>
                <w:spacing w:val="5"/>
                <w:sz w:val="24"/>
                <w:highlight w:val="none"/>
                <w:shd w:val="clear" w:color="auto" w:fill="FFFFFF"/>
                <w:lang w:val="en-US" w:eastAsia="zh-CN"/>
              </w:rPr>
              <w:t>30-50m的1#医疗综合楼的医生办公室、南侧38-50m的皮肤科门诊、西侧0-2m患者缓冲区、10-50m血液透析大厅，介入室正上方的裙房屋面、介入室正下方的口腔门诊等。DSA介入室及辅房周围设置有物理隔离，进口口设置有门禁，极大程度减小了公众误入的可能。DSA介入室拟建位置靠近电梯厅和楼梯，有利于病人转运，一旦发生事故，周围公众能很快得到疏散。在确保核技术利用项目选址地点周围保护目标尽可能少的同时，医院也将通过采取相应有效治理和屏蔽措施减少对周围的环境影响。</w:t>
            </w:r>
          </w:p>
          <w:p w14:paraId="7CB9AB43">
            <w:pPr>
              <w:autoSpaceDE w:val="0"/>
              <w:autoSpaceDN w:val="0"/>
              <w:adjustRightInd w:val="0"/>
              <w:snapToGrid w:val="0"/>
              <w:spacing w:line="360" w:lineRule="auto"/>
              <w:ind w:firstLine="480" w:firstLineChars="200"/>
              <w:rPr>
                <w:rFonts w:hint="default"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综上而言，平昌县第二人民医院选址合理性已在其环评报告中论述，本项目为医疗设备建设项目，与院区规划相容。DSA介入室位于东北角，在选址时尽可能考虑了周围保护目标最小化。且DSA介入室为专门的辐射工作场所，具有良好的实体屏蔽措施和防护措施，产生的辐射经屏蔽和防护后对周围环境影响较小，从辐射安全防护的角度分析，</w:t>
            </w:r>
            <w:r>
              <w:rPr>
                <w:rFonts w:hint="default" w:ascii="Times New Roman" w:hAnsi="Times New Roman" w:cs="Times New Roman"/>
                <w:color w:val="auto"/>
                <w:sz w:val="24"/>
                <w:highlight w:val="none"/>
                <w:lang w:val="en-US" w:eastAsia="zh-CN"/>
              </w:rPr>
              <w:t>本项目选址合理。</w:t>
            </w:r>
          </w:p>
          <w:p w14:paraId="5B5BE00D">
            <w:pPr>
              <w:adjustRightInd w:val="0"/>
              <w:snapToGrid w:val="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（三）实践正当性分析</w:t>
            </w:r>
          </w:p>
          <w:p w14:paraId="6BEE6C15">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本项目的建设可以更好地满足患者就诊需求，提高对疾病的诊治能力。核技术应用项目的开展，对保障人民群众身体健康、拯救生命起了十分重要的作用，因此，该项目的实践是必要的。</w:t>
            </w:r>
          </w:p>
          <w:p w14:paraId="62F52F89">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医院在介入治疗过程中，对射线装置的使用将按照国家相关的辐射防护要求采取相应的防护措施，对射线装置的安全管理建立相应的规章制度。因此，在正确使用和管理射线装置的情况下，可以将该项目辐射产生的影响降至尽可能小。本项目的运营可为</w:t>
            </w:r>
            <w:r>
              <w:rPr>
                <w:rFonts w:hint="eastAsia" w:ascii="Times New Roman" w:hAnsi="Times New Roman" w:cs="Times New Roman"/>
                <w:color w:val="auto"/>
                <w:sz w:val="24"/>
                <w:highlight w:val="none"/>
                <w:lang w:val="en-US" w:eastAsia="zh-CN"/>
              </w:rPr>
              <w:t>平昌县</w:t>
            </w:r>
            <w:r>
              <w:rPr>
                <w:rFonts w:hint="default" w:ascii="Times New Roman" w:hAnsi="Times New Roman" w:cs="Times New Roman"/>
                <w:color w:val="auto"/>
                <w:sz w:val="24"/>
                <w:highlight w:val="none"/>
              </w:rPr>
              <w:t>及周边地区的病人提供诊疗服务，是提高人民群众生活质量，提高全</w:t>
            </w:r>
            <w:r>
              <w:rPr>
                <w:rFonts w:hint="default" w:ascii="Times New Roman" w:hAnsi="Times New Roman" w:cs="Times New Roman"/>
                <w:color w:val="auto"/>
                <w:sz w:val="24"/>
                <w:highlight w:val="none"/>
                <w:lang w:val="en-US" w:eastAsia="zh-CN"/>
              </w:rPr>
              <w:t>县</w:t>
            </w:r>
            <w:r>
              <w:rPr>
                <w:rFonts w:hint="default" w:ascii="Times New Roman" w:hAnsi="Times New Roman" w:cs="Times New Roman"/>
                <w:color w:val="auto"/>
                <w:sz w:val="24"/>
                <w:highlight w:val="none"/>
              </w:rPr>
              <w:t>医疗卫生水平和建设小康社会的重要内容，本项目产生的辐射给职业人员、公众及社会带来的利益足以弥补其可能引起的辐射危害，该核技术应用实践具有正当性。符合辐射防护“实践的正当性”原则。</w:t>
            </w:r>
          </w:p>
          <w:p w14:paraId="780DC0C9">
            <w:pPr>
              <w:adjustRightInd w:val="0"/>
              <w:snapToGrid w:val="0"/>
              <w:spacing w:line="360" w:lineRule="auto"/>
              <w:jc w:val="left"/>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六、原有核技术利用项目许可情况</w:t>
            </w:r>
          </w:p>
          <w:p w14:paraId="441AD7FC">
            <w:pPr>
              <w:adjustRightInd w:val="0"/>
              <w:snapToGrid w:val="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（一）原有辐射安全许可情况</w:t>
            </w:r>
          </w:p>
          <w:p w14:paraId="77E09776">
            <w:pPr>
              <w:pStyle w:val="7"/>
              <w:adjustRightInd w:val="0"/>
              <w:snapToGrid w:val="0"/>
              <w:spacing w:line="360" w:lineRule="auto"/>
              <w:ind w:firstLine="480" w:firstLineChars="200"/>
              <w:jc w:val="both"/>
              <w:rPr>
                <w:rFonts w:hint="eastAsia" w:ascii="Times New Roman" w:hAnsi="Times New Roman" w:cs="Times New Roman"/>
                <w:color w:val="auto"/>
                <w:spacing w:val="5"/>
                <w:kern w:val="0"/>
                <w:sz w:val="24"/>
                <w:highlight w:val="none"/>
                <w:shd w:val="clear" w:color="auto" w:fill="FFFFFF"/>
                <w:lang w:val="en-US" w:eastAsia="zh-CN" w:bidi="ar"/>
              </w:rPr>
            </w:pPr>
            <w:r>
              <w:rPr>
                <w:rFonts w:hint="default" w:ascii="Times New Roman" w:hAnsi="Times New Roman" w:cs="Times New Roman"/>
                <w:color w:val="auto"/>
                <w:sz w:val="24"/>
                <w:highlight w:val="none"/>
              </w:rPr>
              <w:t>医院已获得</w:t>
            </w:r>
            <w:r>
              <w:rPr>
                <w:rFonts w:hint="eastAsia" w:ascii="Times New Roman" w:hAnsi="Times New Roman" w:cs="Times New Roman"/>
                <w:color w:val="auto"/>
                <w:sz w:val="24"/>
                <w:highlight w:val="none"/>
                <w:lang w:val="en-US" w:eastAsia="zh-CN"/>
              </w:rPr>
              <w:t>巴中</w:t>
            </w:r>
            <w:r>
              <w:rPr>
                <w:rFonts w:hint="default" w:ascii="Times New Roman" w:hAnsi="Times New Roman" w:cs="Times New Roman"/>
                <w:color w:val="auto"/>
                <w:sz w:val="24"/>
                <w:highlight w:val="none"/>
                <w:lang w:val="en-US" w:eastAsia="zh-CN"/>
              </w:rPr>
              <w:t>市生态环境局颁发</w:t>
            </w:r>
            <w:r>
              <w:rPr>
                <w:rFonts w:hint="default" w:ascii="Times New Roman" w:hAnsi="Times New Roman" w:cs="Times New Roman"/>
                <w:color w:val="auto"/>
                <w:sz w:val="24"/>
                <w:highlight w:val="none"/>
              </w:rPr>
              <w:t>的《辐射安全许可证》（</w:t>
            </w:r>
            <w:r>
              <w:rPr>
                <w:rFonts w:hint="default" w:ascii="Times New Roman" w:hAnsi="Times New Roman" w:cs="Times New Roman"/>
                <w:color w:val="auto"/>
                <w:spacing w:val="5"/>
                <w:kern w:val="0"/>
                <w:sz w:val="24"/>
                <w:highlight w:val="none"/>
                <w:shd w:val="clear" w:color="auto" w:fill="FFFFFF"/>
                <w:lang w:bidi="ar"/>
              </w:rPr>
              <w:t>川环辐证[</w:t>
            </w:r>
            <w:r>
              <w:rPr>
                <w:rFonts w:hint="eastAsia" w:ascii="Times New Roman" w:hAnsi="Times New Roman" w:cs="Times New Roman"/>
                <w:color w:val="auto"/>
                <w:spacing w:val="5"/>
                <w:kern w:val="0"/>
                <w:sz w:val="24"/>
                <w:highlight w:val="none"/>
                <w:shd w:val="clear" w:color="auto" w:fill="FFFFFF"/>
                <w:lang w:val="en-US" w:eastAsia="zh-CN" w:bidi="ar"/>
              </w:rPr>
              <w:t>17051</w:t>
            </w:r>
            <w:r>
              <w:rPr>
                <w:rFonts w:hint="default" w:ascii="Times New Roman" w:hAnsi="Times New Roman" w:cs="Times New Roman"/>
                <w:color w:val="auto"/>
                <w:spacing w:val="5"/>
                <w:kern w:val="0"/>
                <w:sz w:val="24"/>
                <w:highlight w:val="none"/>
                <w:shd w:val="clear" w:color="auto" w:fill="FFFFFF"/>
                <w:lang w:bidi="ar"/>
              </w:rPr>
              <w:t>]</w:t>
            </w:r>
            <w:r>
              <w:rPr>
                <w:rFonts w:hint="default" w:ascii="Times New Roman" w:hAnsi="Times New Roman" w:cs="Times New Roman"/>
                <w:color w:val="auto"/>
                <w:sz w:val="24"/>
                <w:highlight w:val="none"/>
              </w:rPr>
              <w:t>），许可种类和范围为：使用Ⅲ类射线装置，</w:t>
            </w:r>
            <w:r>
              <w:rPr>
                <w:rFonts w:hint="default" w:ascii="Times New Roman" w:hAnsi="Times New Roman" w:cs="Times New Roman"/>
                <w:color w:val="auto"/>
                <w:spacing w:val="5"/>
                <w:kern w:val="0"/>
                <w:sz w:val="24"/>
                <w:highlight w:val="none"/>
                <w:shd w:val="clear" w:color="auto" w:fill="FFFFFF"/>
                <w:lang w:bidi="ar"/>
              </w:rPr>
              <w:t>有效期至2028年</w:t>
            </w:r>
            <w:r>
              <w:rPr>
                <w:rFonts w:hint="default" w:ascii="Times New Roman" w:hAnsi="Times New Roman" w:cs="Times New Roman"/>
                <w:color w:val="auto"/>
                <w:spacing w:val="5"/>
                <w:kern w:val="0"/>
                <w:sz w:val="24"/>
                <w:highlight w:val="none"/>
                <w:shd w:val="clear" w:color="auto" w:fill="FFFFFF"/>
                <w:lang w:val="en-US" w:eastAsia="zh-CN" w:bidi="ar"/>
              </w:rPr>
              <w:t>06</w:t>
            </w:r>
            <w:r>
              <w:rPr>
                <w:rFonts w:hint="default" w:ascii="Times New Roman" w:hAnsi="Times New Roman" w:cs="Times New Roman"/>
                <w:color w:val="auto"/>
                <w:spacing w:val="5"/>
                <w:kern w:val="0"/>
                <w:sz w:val="24"/>
                <w:highlight w:val="none"/>
                <w:shd w:val="clear" w:color="auto" w:fill="FFFFFF"/>
                <w:lang w:bidi="ar"/>
              </w:rPr>
              <w:t>月</w:t>
            </w:r>
            <w:r>
              <w:rPr>
                <w:rFonts w:hint="eastAsia" w:ascii="Times New Roman" w:hAnsi="Times New Roman" w:cs="Times New Roman"/>
                <w:color w:val="auto"/>
                <w:spacing w:val="5"/>
                <w:kern w:val="0"/>
                <w:sz w:val="24"/>
                <w:highlight w:val="none"/>
                <w:shd w:val="clear" w:color="auto" w:fill="FFFFFF"/>
                <w:lang w:val="en-US" w:eastAsia="zh-CN" w:bidi="ar"/>
              </w:rPr>
              <w:t>24</w:t>
            </w:r>
            <w:r>
              <w:rPr>
                <w:rFonts w:hint="default" w:ascii="Times New Roman" w:hAnsi="Times New Roman" w:cs="Times New Roman"/>
                <w:color w:val="auto"/>
                <w:spacing w:val="5"/>
                <w:kern w:val="0"/>
                <w:sz w:val="24"/>
                <w:highlight w:val="none"/>
                <w:shd w:val="clear" w:color="auto" w:fill="FFFFFF"/>
                <w:lang w:bidi="ar"/>
              </w:rPr>
              <w:t>日</w:t>
            </w:r>
            <w:r>
              <w:rPr>
                <w:rFonts w:hint="eastAsia" w:ascii="Times New Roman" w:hAnsi="Times New Roman" w:cs="Times New Roman"/>
                <w:color w:val="auto"/>
                <w:spacing w:val="5"/>
                <w:kern w:val="0"/>
                <w:sz w:val="24"/>
                <w:highlight w:val="none"/>
                <w:shd w:val="clear" w:color="auto" w:fill="FFFFFF"/>
                <w:lang w:eastAsia="zh-CN" w:bidi="ar"/>
              </w:rPr>
              <w:t>，</w:t>
            </w:r>
            <w:r>
              <w:rPr>
                <w:rFonts w:hint="eastAsia" w:ascii="Times New Roman" w:hAnsi="Times New Roman" w:cs="Times New Roman"/>
                <w:color w:val="auto"/>
                <w:spacing w:val="5"/>
                <w:kern w:val="0"/>
                <w:sz w:val="24"/>
                <w:highlight w:val="none"/>
                <w:shd w:val="clear" w:color="auto" w:fill="FFFFFF"/>
                <w:lang w:val="en-US" w:eastAsia="zh-CN" w:bidi="ar"/>
              </w:rPr>
              <w:t>辐射安全许可证详见附件3。</w:t>
            </w:r>
          </w:p>
          <w:p w14:paraId="40EE046F">
            <w:pPr>
              <w:pStyle w:val="7"/>
              <w:adjustRightInd w:val="0"/>
              <w:snapToGrid w:val="0"/>
              <w:spacing w:line="360" w:lineRule="auto"/>
              <w:ind w:firstLine="500" w:firstLineChars="200"/>
              <w:jc w:val="both"/>
              <w:rPr>
                <w:rFonts w:hint="default" w:ascii="Times New Roman" w:hAnsi="Times New Roman" w:cs="Times New Roman"/>
                <w:color w:val="auto"/>
                <w:spacing w:val="5"/>
                <w:kern w:val="0"/>
                <w:sz w:val="24"/>
                <w:highlight w:val="none"/>
                <w:shd w:val="clear" w:color="auto" w:fill="FFFFFF"/>
                <w:lang w:val="en-US" w:eastAsia="zh-CN" w:bidi="ar"/>
              </w:rPr>
            </w:pPr>
          </w:p>
          <w:p w14:paraId="12381A6C">
            <w:pPr>
              <w:pStyle w:val="8"/>
              <w:numPr>
                <w:ilvl w:val="0"/>
                <w:numId w:val="3"/>
              </w:numPr>
              <w:ind w:left="425" w:leftChars="0" w:hanging="425" w:firstLineChars="0"/>
              <w:jc w:val="center"/>
              <w:rPr>
                <w:rFonts w:hint="default" w:eastAsia="宋体" w:cs="Times New Roman"/>
                <w:color w:val="auto"/>
                <w:highlight w:val="none"/>
                <w:lang w:val="en-US" w:eastAsia="zh-CN"/>
              </w:rPr>
            </w:pPr>
            <w:r>
              <w:rPr>
                <w:rFonts w:hint="default" w:eastAsia="宋体" w:cs="Times New Roman"/>
                <w:color w:val="auto"/>
                <w:highlight w:val="none"/>
                <w:lang w:val="en-US" w:eastAsia="zh-CN"/>
              </w:rPr>
              <w:t>医院已获许可使用的医用射线装置</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1651"/>
              <w:gridCol w:w="757"/>
              <w:gridCol w:w="2798"/>
              <w:gridCol w:w="1658"/>
            </w:tblGrid>
            <w:tr w14:paraId="1D211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14:paraId="02A55C2A">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辐射活动场所名称</w:t>
                  </w:r>
                </w:p>
              </w:tc>
              <w:tc>
                <w:tcPr>
                  <w:tcW w:w="1651" w:type="dxa"/>
                  <w:vAlign w:val="center"/>
                </w:tcPr>
                <w:p w14:paraId="231EC5EC">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装置分类名称</w:t>
                  </w:r>
                </w:p>
              </w:tc>
              <w:tc>
                <w:tcPr>
                  <w:tcW w:w="757" w:type="dxa"/>
                  <w:vAlign w:val="center"/>
                </w:tcPr>
                <w:p w14:paraId="4B897071">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类别</w:t>
                  </w:r>
                </w:p>
              </w:tc>
              <w:tc>
                <w:tcPr>
                  <w:tcW w:w="2798" w:type="dxa"/>
                  <w:vAlign w:val="center"/>
                </w:tcPr>
                <w:p w14:paraId="16F8A889">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场所地址</w:t>
                  </w:r>
                </w:p>
              </w:tc>
              <w:tc>
                <w:tcPr>
                  <w:tcW w:w="1658" w:type="dxa"/>
                  <w:vAlign w:val="center"/>
                </w:tcPr>
                <w:p w14:paraId="1A38954B">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所在院区</w:t>
                  </w:r>
                </w:p>
              </w:tc>
            </w:tr>
            <w:tr w14:paraId="30ABD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14:paraId="2E5DAF4B">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DR5室</w:t>
                  </w:r>
                </w:p>
              </w:tc>
              <w:tc>
                <w:tcPr>
                  <w:tcW w:w="1651" w:type="dxa"/>
                  <w:vAlign w:val="center"/>
                </w:tcPr>
                <w:p w14:paraId="668F110C">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医用诊断X射线装置</w:t>
                  </w:r>
                </w:p>
              </w:tc>
              <w:tc>
                <w:tcPr>
                  <w:tcW w:w="757" w:type="dxa"/>
                  <w:vAlign w:val="center"/>
                </w:tcPr>
                <w:p w14:paraId="30F77D00">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Ⅲ类</w:t>
                  </w:r>
                </w:p>
              </w:tc>
              <w:tc>
                <w:tcPr>
                  <w:tcW w:w="2798" w:type="dxa"/>
                  <w:vAlign w:val="center"/>
                </w:tcPr>
                <w:p w14:paraId="7421465B">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四川省巴中市平昌县江口街道星光大道16号</w:t>
                  </w:r>
                </w:p>
              </w:tc>
              <w:tc>
                <w:tcPr>
                  <w:tcW w:w="1658" w:type="dxa"/>
                  <w:vAlign w:val="center"/>
                </w:tcPr>
                <w:p w14:paraId="430DD161">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平昌县江口中心卫生院泻巴分院</w:t>
                  </w:r>
                </w:p>
              </w:tc>
            </w:tr>
            <w:tr w14:paraId="4076B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14:paraId="756382B3">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第二手术间</w:t>
                  </w:r>
                </w:p>
              </w:tc>
              <w:tc>
                <w:tcPr>
                  <w:tcW w:w="1651" w:type="dxa"/>
                  <w:vAlign w:val="center"/>
                </w:tcPr>
                <w:p w14:paraId="3CF1188B">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医用诊断X射线装置</w:t>
                  </w:r>
                </w:p>
              </w:tc>
              <w:tc>
                <w:tcPr>
                  <w:tcW w:w="757" w:type="dxa"/>
                  <w:vAlign w:val="center"/>
                </w:tcPr>
                <w:p w14:paraId="23BE4D7B">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Ⅲ类</w:t>
                  </w:r>
                </w:p>
              </w:tc>
              <w:tc>
                <w:tcPr>
                  <w:tcW w:w="2798" w:type="dxa"/>
                  <w:vAlign w:val="center"/>
                </w:tcPr>
                <w:p w14:paraId="0FF03648">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eastAsia" w:ascii="Times New Roman" w:hAnsi="Times New Roman" w:eastAsia="宋体" w:cs="Times New Roman"/>
                      <w:color w:val="auto"/>
                      <w:spacing w:val="5"/>
                      <w:sz w:val="21"/>
                      <w:szCs w:val="21"/>
                      <w:highlight w:val="none"/>
                      <w:shd w:val="clear" w:color="auto" w:fill="FFFFFF"/>
                      <w:vertAlign w:val="baseline"/>
                      <w:lang w:val="en-US" w:eastAsia="zh-CN"/>
                    </w:rPr>
                    <w:t>四川省巴中市平昌县同州街道办事处新平街东段张家沟巷5号7楼</w:t>
                  </w:r>
                </w:p>
              </w:tc>
              <w:tc>
                <w:tcPr>
                  <w:tcW w:w="1658" w:type="dxa"/>
                  <w:vAlign w:val="center"/>
                </w:tcPr>
                <w:p w14:paraId="30AD3FB3">
                  <w:pPr>
                    <w:pStyle w:val="8"/>
                    <w:jc w:val="both"/>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平昌县第二人民医院</w:t>
                  </w:r>
                  <w:r>
                    <w:rPr>
                      <w:rFonts w:hint="eastAsia" w:ascii="Times New Roman" w:hAnsi="Times New Roman" w:eastAsia="宋体" w:cs="Times New Roman"/>
                      <w:color w:val="auto"/>
                      <w:spacing w:val="5"/>
                      <w:sz w:val="21"/>
                      <w:szCs w:val="21"/>
                      <w:highlight w:val="none"/>
                      <w:shd w:val="clear" w:color="auto" w:fill="FFFFFF"/>
                      <w:vertAlign w:val="baseline"/>
                      <w:lang w:val="en-US" w:eastAsia="zh-CN"/>
                    </w:rPr>
                    <w:t>老院区</w:t>
                  </w:r>
                </w:p>
              </w:tc>
            </w:tr>
            <w:tr w14:paraId="4CB1D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14:paraId="038FE0F9">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DR3室</w:t>
                  </w:r>
                </w:p>
              </w:tc>
              <w:tc>
                <w:tcPr>
                  <w:tcW w:w="1651" w:type="dxa"/>
                  <w:vAlign w:val="center"/>
                </w:tcPr>
                <w:p w14:paraId="25ADB1FD">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医用诊断X射线装置</w:t>
                  </w:r>
                </w:p>
              </w:tc>
              <w:tc>
                <w:tcPr>
                  <w:tcW w:w="757" w:type="dxa"/>
                  <w:vAlign w:val="center"/>
                </w:tcPr>
                <w:p w14:paraId="2BD5494C">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Ⅲ类</w:t>
                  </w:r>
                </w:p>
              </w:tc>
              <w:tc>
                <w:tcPr>
                  <w:tcW w:w="2798" w:type="dxa"/>
                  <w:vAlign w:val="center"/>
                </w:tcPr>
                <w:p w14:paraId="4BEADC9E">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eastAsia" w:ascii="Times New Roman" w:hAnsi="Times New Roman" w:eastAsia="宋体" w:cs="Times New Roman"/>
                      <w:color w:val="auto"/>
                      <w:spacing w:val="5"/>
                      <w:sz w:val="21"/>
                      <w:szCs w:val="21"/>
                      <w:highlight w:val="none"/>
                      <w:shd w:val="clear" w:color="auto" w:fill="FFFFFF"/>
                      <w:vertAlign w:val="baseline"/>
                      <w:lang w:val="en-US" w:eastAsia="zh-CN"/>
                    </w:rPr>
                    <w:t>四川省巴中市平昌县江口镇东风路77号</w:t>
                  </w:r>
                </w:p>
              </w:tc>
              <w:tc>
                <w:tcPr>
                  <w:tcW w:w="1658" w:type="dxa"/>
                  <w:vAlign w:val="center"/>
                </w:tcPr>
                <w:p w14:paraId="77C819FD">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平昌县小桥街社区卫生服务中心</w:t>
                  </w:r>
                </w:p>
              </w:tc>
            </w:tr>
            <w:tr w14:paraId="4A98E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14:paraId="3629B8BA">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DR4室</w:t>
                  </w:r>
                </w:p>
              </w:tc>
              <w:tc>
                <w:tcPr>
                  <w:tcW w:w="1651" w:type="dxa"/>
                  <w:vAlign w:val="center"/>
                </w:tcPr>
                <w:p w14:paraId="51D4AAF0">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医用诊断X射线装置</w:t>
                  </w:r>
                </w:p>
              </w:tc>
              <w:tc>
                <w:tcPr>
                  <w:tcW w:w="757" w:type="dxa"/>
                  <w:vAlign w:val="center"/>
                </w:tcPr>
                <w:p w14:paraId="1CD9D868">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Ⅲ类</w:t>
                  </w:r>
                </w:p>
              </w:tc>
              <w:tc>
                <w:tcPr>
                  <w:tcW w:w="2798" w:type="dxa"/>
                  <w:vAlign w:val="center"/>
                </w:tcPr>
                <w:p w14:paraId="5F206D2A">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eastAsia" w:ascii="Times New Roman" w:hAnsi="Times New Roman" w:eastAsia="宋体" w:cs="Times New Roman"/>
                      <w:color w:val="auto"/>
                      <w:spacing w:val="5"/>
                      <w:sz w:val="21"/>
                      <w:szCs w:val="21"/>
                      <w:highlight w:val="none"/>
                      <w:shd w:val="clear" w:color="auto" w:fill="FFFFFF"/>
                      <w:vertAlign w:val="baseline"/>
                      <w:lang w:val="en-US" w:eastAsia="zh-CN"/>
                    </w:rPr>
                    <w:t>四川省巴中市平昌县坦溪镇新溪街10号</w:t>
                  </w:r>
                </w:p>
              </w:tc>
              <w:tc>
                <w:tcPr>
                  <w:tcW w:w="1658" w:type="dxa"/>
                  <w:vAlign w:val="center"/>
                </w:tcPr>
                <w:p w14:paraId="2E14910B">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平昌县江口中心卫生院坦溪分院</w:t>
                  </w:r>
                </w:p>
              </w:tc>
            </w:tr>
            <w:tr w14:paraId="0B5DD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14:paraId="0250C127">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DR2室</w:t>
                  </w:r>
                </w:p>
              </w:tc>
              <w:tc>
                <w:tcPr>
                  <w:tcW w:w="1651" w:type="dxa"/>
                  <w:vAlign w:val="center"/>
                </w:tcPr>
                <w:p w14:paraId="10D2DEBC">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医用诊断X射线装置</w:t>
                  </w:r>
                </w:p>
              </w:tc>
              <w:tc>
                <w:tcPr>
                  <w:tcW w:w="757" w:type="dxa"/>
                  <w:vAlign w:val="center"/>
                </w:tcPr>
                <w:p w14:paraId="17CD66AF">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Ⅲ类</w:t>
                  </w:r>
                </w:p>
              </w:tc>
              <w:tc>
                <w:tcPr>
                  <w:tcW w:w="2798" w:type="dxa"/>
                  <w:vAlign w:val="center"/>
                </w:tcPr>
                <w:p w14:paraId="43C122EA">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eastAsia" w:ascii="Times New Roman" w:hAnsi="Times New Roman" w:eastAsia="宋体" w:cs="Times New Roman"/>
                      <w:color w:val="auto"/>
                      <w:spacing w:val="5"/>
                      <w:sz w:val="21"/>
                      <w:szCs w:val="21"/>
                      <w:highlight w:val="none"/>
                      <w:shd w:val="clear" w:color="auto" w:fill="FFFFFF"/>
                      <w:vertAlign w:val="baseline"/>
                      <w:lang w:val="en-US" w:eastAsia="zh-CN"/>
                    </w:rPr>
                    <w:t>四川省巴中市平昌县金宝新区狮城佳苑</w:t>
                  </w:r>
                </w:p>
              </w:tc>
              <w:tc>
                <w:tcPr>
                  <w:tcW w:w="1658" w:type="dxa"/>
                  <w:vAlign w:val="center"/>
                </w:tcPr>
                <w:p w14:paraId="3E568156">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平昌县金宝社区卫生服务中心</w:t>
                  </w:r>
                </w:p>
              </w:tc>
            </w:tr>
            <w:tr w14:paraId="31A6F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14:paraId="4022EC74">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CT室</w:t>
                  </w:r>
                </w:p>
              </w:tc>
              <w:tc>
                <w:tcPr>
                  <w:tcW w:w="1651" w:type="dxa"/>
                  <w:vAlign w:val="center"/>
                </w:tcPr>
                <w:p w14:paraId="3117B416">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医用X射线计算机断层扫描（CT）装置</w:t>
                  </w:r>
                </w:p>
              </w:tc>
              <w:tc>
                <w:tcPr>
                  <w:tcW w:w="757" w:type="dxa"/>
                  <w:vAlign w:val="center"/>
                </w:tcPr>
                <w:p w14:paraId="40F314D2">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Ⅲ类</w:t>
                  </w:r>
                </w:p>
              </w:tc>
              <w:tc>
                <w:tcPr>
                  <w:tcW w:w="2798" w:type="dxa"/>
                  <w:vAlign w:val="center"/>
                </w:tcPr>
                <w:p w14:paraId="48246ADD">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eastAsia" w:ascii="Times New Roman" w:hAnsi="Times New Roman" w:eastAsia="宋体" w:cs="Times New Roman"/>
                      <w:color w:val="auto"/>
                      <w:spacing w:val="5"/>
                      <w:sz w:val="21"/>
                      <w:szCs w:val="21"/>
                      <w:highlight w:val="none"/>
                      <w:shd w:val="clear" w:color="auto" w:fill="FFFFFF"/>
                      <w:vertAlign w:val="baseline"/>
                      <w:lang w:val="en-US" w:eastAsia="zh-CN"/>
                    </w:rPr>
                    <w:t>四川省巴中市平昌县同州街道办事处新平街东段张家沟巷5号</w:t>
                  </w:r>
                </w:p>
              </w:tc>
              <w:tc>
                <w:tcPr>
                  <w:tcW w:w="1658" w:type="dxa"/>
                  <w:vAlign w:val="center"/>
                </w:tcPr>
                <w:p w14:paraId="0D310415">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平昌县第二人民医院</w:t>
                  </w:r>
                  <w:r>
                    <w:rPr>
                      <w:rFonts w:hint="eastAsia" w:ascii="Times New Roman" w:hAnsi="Times New Roman" w:eastAsia="宋体" w:cs="Times New Roman"/>
                      <w:color w:val="auto"/>
                      <w:spacing w:val="5"/>
                      <w:sz w:val="21"/>
                      <w:szCs w:val="21"/>
                      <w:highlight w:val="none"/>
                      <w:shd w:val="clear" w:color="auto" w:fill="FFFFFF"/>
                      <w:vertAlign w:val="baseline"/>
                      <w:lang w:val="en-US" w:eastAsia="zh-CN"/>
                    </w:rPr>
                    <w:t>老院区</w:t>
                  </w:r>
                </w:p>
              </w:tc>
            </w:tr>
            <w:tr w14:paraId="6AC03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14:paraId="4E746CF7">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DR1室</w:t>
                  </w:r>
                </w:p>
              </w:tc>
              <w:tc>
                <w:tcPr>
                  <w:tcW w:w="1651" w:type="dxa"/>
                  <w:vAlign w:val="center"/>
                </w:tcPr>
                <w:p w14:paraId="2236732C">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医用诊断X射线装置</w:t>
                  </w:r>
                </w:p>
              </w:tc>
              <w:tc>
                <w:tcPr>
                  <w:tcW w:w="757" w:type="dxa"/>
                  <w:vAlign w:val="center"/>
                </w:tcPr>
                <w:p w14:paraId="5CF66178">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Ⅲ类</w:t>
                  </w:r>
                </w:p>
              </w:tc>
              <w:tc>
                <w:tcPr>
                  <w:tcW w:w="2798" w:type="dxa"/>
                  <w:vAlign w:val="center"/>
                </w:tcPr>
                <w:p w14:paraId="4B084A74">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eastAsia" w:ascii="Times New Roman" w:hAnsi="Times New Roman" w:eastAsia="宋体" w:cs="Times New Roman"/>
                      <w:color w:val="auto"/>
                      <w:spacing w:val="5"/>
                      <w:sz w:val="21"/>
                      <w:szCs w:val="21"/>
                      <w:highlight w:val="none"/>
                      <w:shd w:val="clear" w:color="auto" w:fill="FFFFFF"/>
                      <w:vertAlign w:val="baseline"/>
                      <w:lang w:val="en-US" w:eastAsia="zh-CN"/>
                    </w:rPr>
                    <w:t>四川省巴中市平昌县同州街道办事处新平街东段张家沟巷5号</w:t>
                  </w:r>
                </w:p>
              </w:tc>
              <w:tc>
                <w:tcPr>
                  <w:tcW w:w="1658" w:type="dxa"/>
                  <w:vAlign w:val="center"/>
                </w:tcPr>
                <w:p w14:paraId="4B6E47BB">
                  <w:pPr>
                    <w:pStyle w:val="8"/>
                    <w:jc w:val="center"/>
                    <w:rPr>
                      <w:rFonts w:hint="default" w:ascii="Times New Roman" w:hAnsi="Times New Roman" w:eastAsia="宋体" w:cs="Times New Roman"/>
                      <w:color w:val="auto"/>
                      <w:spacing w:val="5"/>
                      <w:sz w:val="21"/>
                      <w:szCs w:val="21"/>
                      <w:highlight w:val="none"/>
                      <w:shd w:val="clear" w:color="auto" w:fill="FFFFFF"/>
                      <w:vertAlign w:val="baseline"/>
                      <w:lang w:val="en-US" w:eastAsia="zh-CN"/>
                    </w:rPr>
                  </w:pPr>
                  <w:r>
                    <w:rPr>
                      <w:rFonts w:hint="default" w:ascii="Times New Roman" w:hAnsi="Times New Roman" w:eastAsia="宋体" w:cs="Times New Roman"/>
                      <w:color w:val="auto"/>
                      <w:spacing w:val="5"/>
                      <w:sz w:val="21"/>
                      <w:szCs w:val="21"/>
                      <w:highlight w:val="none"/>
                      <w:shd w:val="clear" w:color="auto" w:fill="FFFFFF"/>
                      <w:vertAlign w:val="baseline"/>
                      <w:lang w:val="en-US" w:eastAsia="zh-CN"/>
                    </w:rPr>
                    <w:t>平昌县第二人民医院</w:t>
                  </w:r>
                  <w:r>
                    <w:rPr>
                      <w:rFonts w:hint="eastAsia" w:ascii="Times New Roman" w:hAnsi="Times New Roman" w:eastAsia="宋体" w:cs="Times New Roman"/>
                      <w:color w:val="auto"/>
                      <w:spacing w:val="5"/>
                      <w:sz w:val="21"/>
                      <w:szCs w:val="21"/>
                      <w:highlight w:val="none"/>
                      <w:shd w:val="clear" w:color="auto" w:fill="FFFFFF"/>
                      <w:vertAlign w:val="baseline"/>
                      <w:lang w:val="en-US" w:eastAsia="zh-CN"/>
                    </w:rPr>
                    <w:t>老院区</w:t>
                  </w:r>
                </w:p>
              </w:tc>
            </w:tr>
          </w:tbl>
          <w:p w14:paraId="4C1013B4">
            <w:pPr>
              <w:adjustRightInd w:val="0"/>
              <w:snapToGrid w:val="0"/>
              <w:spacing w:line="360" w:lineRule="auto"/>
              <w:ind w:firstLine="482" w:firstLineChars="200"/>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（二）辐射工作人员培训情况</w:t>
            </w:r>
          </w:p>
          <w:p w14:paraId="70352628">
            <w:pPr>
              <w:pStyle w:val="32"/>
              <w:keepNext/>
              <w:keepLines/>
              <w:snapToGrid w:val="0"/>
              <w:spacing w:line="360" w:lineRule="auto"/>
              <w:ind w:firstLine="500" w:firstLineChars="200"/>
              <w:textAlignment w:val="auto"/>
              <w:rPr>
                <w:rFonts w:hint="default"/>
                <w:color w:val="auto"/>
                <w:highlight w:val="none"/>
                <w:lang w:val="en-US" w:eastAsia="zh-CN"/>
              </w:rPr>
            </w:pPr>
            <w:r>
              <w:rPr>
                <w:rFonts w:hint="eastAsia" w:ascii="Times New Roman" w:hAnsi="Times New Roman" w:cs="Times New Roman"/>
                <w:color w:val="auto"/>
                <w:spacing w:val="5"/>
                <w:highlight w:val="none"/>
                <w:shd w:val="clear" w:color="auto" w:fill="FFFFFF"/>
                <w:lang w:val="en-US" w:eastAsia="zh-CN"/>
              </w:rPr>
              <w:t>平昌县第二人民医院</w:t>
            </w:r>
            <w:r>
              <w:rPr>
                <w:rFonts w:hint="default" w:ascii="Times New Roman" w:hAnsi="Times New Roman" w:cs="Times New Roman"/>
                <w:color w:val="auto"/>
                <w:highlight w:val="none"/>
              </w:rPr>
              <w:t>目前登记在册的辐射工作人员共有</w:t>
            </w:r>
            <w:r>
              <w:rPr>
                <w:rFonts w:hint="eastAsia" w:ascii="Times New Roman" w:hAnsi="Times New Roman" w:cs="Times New Roman"/>
                <w:color w:val="auto"/>
                <w:highlight w:val="none"/>
                <w:lang w:val="en-US" w:eastAsia="zh-CN"/>
              </w:rPr>
              <w:t>26</w:t>
            </w:r>
            <w:r>
              <w:rPr>
                <w:rFonts w:hint="default" w:ascii="Times New Roman" w:hAnsi="Times New Roman" w:cs="Times New Roman"/>
                <w:color w:val="auto"/>
                <w:highlight w:val="none"/>
              </w:rPr>
              <w:t>名，属于操作Ⅲ类射线装置的辐射工作人员，根据2020年3月生态环境部发布的《关于进一步优化辐射安全考核的公告》（生态环境部2021年第9号公告），针对该</w:t>
            </w:r>
            <w:r>
              <w:rPr>
                <w:rFonts w:hint="eastAsia" w:ascii="Times New Roman" w:hAnsi="Times New Roman" w:cs="Times New Roman"/>
                <w:color w:val="auto"/>
                <w:highlight w:val="none"/>
                <w:lang w:val="en-US" w:eastAsia="zh-CN"/>
              </w:rPr>
              <w:t>26</w:t>
            </w:r>
            <w:r>
              <w:rPr>
                <w:rFonts w:hint="default" w:ascii="Times New Roman" w:hAnsi="Times New Roman" w:cs="Times New Roman"/>
                <w:color w:val="auto"/>
                <w:highlight w:val="none"/>
              </w:rPr>
              <w:t>名辐射工作人员，医院已组织人员集中学习相关课件与视频课程，并从国家核技术利用辐射安全与防护培训平台题库中抽取对应科目考题编写试卷，组织未持证人员进行闭卷考核，考核合格后方能允许上岗工作，医院已对操作Ⅲ类射线装置的辐射工作人员的考核结果存档。</w:t>
            </w:r>
            <w:r>
              <w:rPr>
                <w:rFonts w:hint="eastAsia" w:ascii="Times New Roman" w:hAnsi="Times New Roman" w:cs="Times New Roman"/>
                <w:color w:val="auto"/>
                <w:highlight w:val="none"/>
                <w:lang w:val="en-US" w:eastAsia="zh-CN"/>
              </w:rPr>
              <w:t>人员培训情况见附件5。</w:t>
            </w:r>
          </w:p>
          <w:p w14:paraId="3F5E0E04">
            <w:pPr>
              <w:pStyle w:val="32"/>
              <w:keepNext/>
              <w:keepLines/>
              <w:snapToGrid w:val="0"/>
              <w:spacing w:line="360" w:lineRule="auto"/>
              <w:ind w:firstLine="482" w:firstLineChars="20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（三）辐射工作人员个人剂量情况</w:t>
            </w:r>
          </w:p>
          <w:p w14:paraId="00A0BD03">
            <w:pPr>
              <w:pStyle w:val="32"/>
              <w:snapToGrid w:val="0"/>
              <w:spacing w:line="360" w:lineRule="auto"/>
              <w:ind w:firstLine="500" w:firstLineChars="200"/>
              <w:rPr>
                <w:rFonts w:hint="eastAsia" w:ascii="Times New Roman" w:hAnsi="Times New Roman" w:cs="Times New Roman"/>
                <w:color w:val="auto"/>
                <w:highlight w:val="none"/>
                <w:lang w:val="en-US" w:eastAsia="zh-CN"/>
              </w:rPr>
            </w:pPr>
            <w:r>
              <w:rPr>
                <w:rFonts w:hint="eastAsia" w:ascii="Times New Roman" w:hAnsi="Times New Roman" w:cs="Times New Roman"/>
                <w:color w:val="auto"/>
                <w:spacing w:val="5"/>
                <w:highlight w:val="none"/>
                <w:shd w:val="clear" w:color="auto" w:fill="FFFFFF"/>
                <w:lang w:val="en-US" w:eastAsia="zh-CN"/>
              </w:rPr>
              <w:t>平昌县第二人民医院</w:t>
            </w:r>
            <w:r>
              <w:rPr>
                <w:rFonts w:hint="default" w:ascii="Times New Roman" w:hAnsi="Times New Roman" w:cs="Times New Roman"/>
                <w:color w:val="auto"/>
                <w:highlight w:val="none"/>
              </w:rPr>
              <w:t>目前登记在册的辐射工作人员共有</w:t>
            </w:r>
            <w:r>
              <w:rPr>
                <w:rFonts w:hint="eastAsia" w:ascii="Times New Roman" w:hAnsi="Times New Roman" w:cs="Times New Roman"/>
                <w:color w:val="auto"/>
                <w:highlight w:val="none"/>
                <w:lang w:val="en-US" w:eastAsia="zh-CN"/>
              </w:rPr>
              <w:t>26</w:t>
            </w:r>
            <w:r>
              <w:rPr>
                <w:rFonts w:hint="default" w:ascii="Times New Roman" w:hAnsi="Times New Roman" w:cs="Times New Roman"/>
                <w:color w:val="auto"/>
                <w:highlight w:val="none"/>
              </w:rPr>
              <w:t>名。根据最新的4个季度监测报告可知，每个季度个人剂量监测最大为0.</w:t>
            </w:r>
            <w:r>
              <w:rPr>
                <w:rFonts w:hint="eastAsia" w:ascii="Times New Roman" w:hAnsi="Times New Roman" w:cs="Times New Roman"/>
                <w:color w:val="auto"/>
                <w:highlight w:val="none"/>
                <w:lang w:val="en-US" w:eastAsia="zh-CN"/>
              </w:rPr>
              <w:t>2</w:t>
            </w:r>
            <w:r>
              <w:rPr>
                <w:rFonts w:hint="default" w:ascii="Times New Roman" w:hAnsi="Times New Roman" w:cs="Times New Roman"/>
                <w:color w:val="auto"/>
                <w:highlight w:val="none"/>
              </w:rPr>
              <w:t>mSv，全年合计个人剂量监测结果最大为</w:t>
            </w:r>
            <w:r>
              <w:rPr>
                <w:rFonts w:hint="eastAsia" w:ascii="Times New Roman" w:hAnsi="Times New Roman" w:cs="Times New Roman"/>
                <w:color w:val="auto"/>
                <w:highlight w:val="none"/>
                <w:lang w:val="en-US" w:eastAsia="zh-CN"/>
              </w:rPr>
              <w:t>0.38</w:t>
            </w:r>
            <w:r>
              <w:rPr>
                <w:rFonts w:hint="default" w:ascii="Times New Roman" w:hAnsi="Times New Roman" w:cs="Times New Roman"/>
                <w:color w:val="auto"/>
                <w:highlight w:val="none"/>
              </w:rPr>
              <w:t>mSv，所有辐射工作人员单季度的个人剂量监测结果</w:t>
            </w:r>
            <w:r>
              <w:rPr>
                <w:rFonts w:hint="default" w:ascii="Times New Roman" w:hAnsi="Times New Roman" w:cs="Times New Roman"/>
                <w:color w:val="auto"/>
                <w:highlight w:val="none"/>
                <w:lang w:val="en-US" w:eastAsia="zh-CN"/>
              </w:rPr>
              <w:t>无</w:t>
            </w:r>
            <w:r>
              <w:rPr>
                <w:rFonts w:hint="default" w:ascii="Times New Roman" w:hAnsi="Times New Roman" w:cs="Times New Roman"/>
                <w:color w:val="auto"/>
                <w:highlight w:val="none"/>
              </w:rPr>
              <w:t>超过《</w:t>
            </w:r>
            <w:r>
              <w:rPr>
                <w:rFonts w:hint="default" w:ascii="Times New Roman" w:hAnsi="Times New Roman" w:cs="Times New Roman"/>
                <w:color w:val="auto"/>
                <w:szCs w:val="21"/>
                <w:highlight w:val="none"/>
              </w:rPr>
              <w:t>电离辐射防护与辐射源安全基本标准》（GB 18871-2002）中剂量限值</w:t>
            </w:r>
            <w:r>
              <w:rPr>
                <w:rFonts w:hint="default" w:ascii="Times New Roman" w:hAnsi="Times New Roman" w:cs="Times New Roman"/>
                <w:color w:val="auto"/>
                <w:highlight w:val="none"/>
              </w:rPr>
              <w:t>情况。</w:t>
            </w:r>
            <w:r>
              <w:rPr>
                <w:rFonts w:hint="eastAsia" w:ascii="Times New Roman" w:hAnsi="Times New Roman" w:cs="Times New Roman"/>
                <w:color w:val="auto"/>
                <w:highlight w:val="none"/>
                <w:lang w:val="en-US" w:eastAsia="zh-CN"/>
              </w:rPr>
              <w:t>个人剂量监测结果见附件5。</w:t>
            </w:r>
          </w:p>
          <w:p w14:paraId="61398E63">
            <w:pPr>
              <w:pStyle w:val="32"/>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建设单位已按照《职业性外照射个人监测规范》（GBZ128-2019）和《放射性同位素与射线装置安全和防护管理办法》（原环境保护部令18号）要求建立个人剂量档案。由专人负责个人剂量检测管理工作。</w:t>
            </w:r>
          </w:p>
          <w:p w14:paraId="58D6F39D">
            <w:pPr>
              <w:pStyle w:val="32"/>
              <w:snapToGrid w:val="0"/>
              <w:spacing w:line="360" w:lineRule="auto"/>
              <w:ind w:firstLine="480" w:firstLineChars="20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（四）原有辐射场所环境监测</w:t>
            </w:r>
          </w:p>
          <w:p w14:paraId="5840F587">
            <w:pPr>
              <w:pStyle w:val="7"/>
              <w:adjustRightInd w:val="0"/>
              <w:snapToGrid w:val="0"/>
              <w:spacing w:line="360" w:lineRule="auto"/>
              <w:ind w:firstLine="500" w:firstLineChars="200"/>
              <w:jc w:val="both"/>
              <w:rPr>
                <w:rFonts w:hint="default"/>
                <w:color w:val="auto"/>
                <w:highlight w:val="none"/>
                <w:lang w:val="en-US" w:eastAsia="zh-CN"/>
              </w:rPr>
            </w:pPr>
            <w:r>
              <w:rPr>
                <w:rFonts w:hint="eastAsia" w:ascii="Times New Roman" w:hAnsi="Times New Roman" w:cs="Times New Roman"/>
                <w:color w:val="auto"/>
                <w:spacing w:val="5"/>
                <w:sz w:val="24"/>
                <w:szCs w:val="24"/>
                <w:highlight w:val="none"/>
                <w:shd w:val="clear" w:color="auto" w:fill="FFFFFF"/>
                <w:lang w:val="en-US" w:eastAsia="zh-CN"/>
              </w:rPr>
              <w:t>平昌县第二人民医院</w:t>
            </w:r>
            <w:r>
              <w:rPr>
                <w:rFonts w:hint="default" w:ascii="Times New Roman" w:hAnsi="Times New Roman" w:cs="Times New Roman"/>
                <w:color w:val="auto"/>
                <w:spacing w:val="5"/>
                <w:sz w:val="24"/>
                <w:szCs w:val="24"/>
                <w:highlight w:val="none"/>
                <w:shd w:val="clear" w:color="auto" w:fill="FFFFFF"/>
              </w:rPr>
              <w:t>已许可</w:t>
            </w:r>
            <w:r>
              <w:rPr>
                <w:rFonts w:hint="eastAsia" w:ascii="Times New Roman" w:hAnsi="Times New Roman" w:cs="Times New Roman"/>
                <w:color w:val="auto"/>
                <w:spacing w:val="5"/>
                <w:sz w:val="24"/>
                <w:szCs w:val="24"/>
                <w:highlight w:val="none"/>
                <w:shd w:val="clear" w:color="auto" w:fill="FFFFFF"/>
                <w:lang w:val="en-US" w:eastAsia="zh-CN"/>
              </w:rPr>
              <w:t>7</w:t>
            </w:r>
            <w:r>
              <w:rPr>
                <w:rFonts w:hint="default" w:ascii="Times New Roman" w:hAnsi="Times New Roman" w:cs="Times New Roman"/>
                <w:color w:val="auto"/>
                <w:spacing w:val="5"/>
                <w:sz w:val="24"/>
                <w:szCs w:val="24"/>
                <w:highlight w:val="none"/>
                <w:shd w:val="clear" w:color="auto" w:fill="FFFFFF"/>
              </w:rPr>
              <w:t>台</w:t>
            </w:r>
            <w:r>
              <w:rPr>
                <w:rFonts w:hint="default" w:ascii="Times New Roman" w:hAnsi="Times New Roman" w:cs="Times New Roman"/>
                <w:color w:val="auto"/>
                <w:sz w:val="24"/>
                <w:szCs w:val="24"/>
                <w:highlight w:val="none"/>
              </w:rPr>
              <w:t>Ⅲ类射线装置，根据调查：</w:t>
            </w:r>
            <w:r>
              <w:rPr>
                <w:rFonts w:hint="eastAsia" w:ascii="Times New Roman" w:hAnsi="Times New Roman" w:cs="Times New Roman"/>
                <w:color w:val="auto"/>
                <w:sz w:val="24"/>
                <w:szCs w:val="24"/>
                <w:highlight w:val="none"/>
                <w:lang w:val="en-US" w:eastAsia="zh-CN"/>
              </w:rPr>
              <w:t>平昌县第二人民医院</w:t>
            </w:r>
            <w:r>
              <w:rPr>
                <w:rFonts w:hint="default" w:ascii="Times New Roman" w:hAnsi="Times New Roman" w:cs="Times New Roman"/>
                <w:color w:val="auto"/>
                <w:sz w:val="24"/>
                <w:szCs w:val="24"/>
                <w:highlight w:val="none"/>
              </w:rPr>
              <w:t>已委托</w:t>
            </w:r>
            <w:r>
              <w:rPr>
                <w:rFonts w:hint="eastAsia" w:ascii="Times New Roman" w:hAnsi="Times New Roman" w:cs="Times New Roman"/>
                <w:color w:val="auto"/>
                <w:sz w:val="24"/>
                <w:szCs w:val="24"/>
                <w:highlight w:val="none"/>
                <w:lang w:val="en-US" w:eastAsia="zh-CN"/>
              </w:rPr>
              <w:t>四川世阳卫生技术服务有限公司</w:t>
            </w:r>
            <w:r>
              <w:rPr>
                <w:rFonts w:hint="default" w:ascii="Times New Roman" w:hAnsi="Times New Roman" w:cs="Times New Roman"/>
                <w:color w:val="auto"/>
                <w:sz w:val="24"/>
                <w:szCs w:val="24"/>
                <w:highlight w:val="none"/>
              </w:rPr>
              <w:t>开展了辐射工作场所环境现状监测和质量控制检测，根据监测报告可知，</w:t>
            </w:r>
            <w:r>
              <w:rPr>
                <w:rFonts w:hint="eastAsia" w:ascii="Times New Roman" w:hAnsi="Times New Roman" w:cs="Times New Roman"/>
                <w:color w:val="auto"/>
                <w:sz w:val="24"/>
                <w:szCs w:val="24"/>
                <w:highlight w:val="none"/>
                <w:lang w:val="en-US" w:eastAsia="zh-CN"/>
              </w:rPr>
              <w:t>医院原有辐射场所环境监测</w:t>
            </w:r>
            <w:r>
              <w:rPr>
                <w:rFonts w:hint="default" w:ascii="Times New Roman" w:hAnsi="Times New Roman" w:eastAsia="宋体" w:cs="Times New Roman"/>
                <w:color w:val="auto"/>
                <w:kern w:val="0"/>
                <w:sz w:val="24"/>
                <w:szCs w:val="24"/>
                <w:highlight w:val="none"/>
                <w:lang w:val="en-US" w:eastAsia="zh-CN" w:bidi="ar"/>
              </w:rPr>
              <w:t>满足《放射诊断放射防护要求》GBZ130-2020)中的要求。</w:t>
            </w:r>
            <w:r>
              <w:rPr>
                <w:rFonts w:hint="eastAsia" w:ascii="Times New Roman" w:hAnsi="Times New Roman" w:cs="Times New Roman"/>
                <w:color w:val="auto"/>
                <w:kern w:val="0"/>
                <w:sz w:val="24"/>
                <w:szCs w:val="24"/>
                <w:highlight w:val="none"/>
                <w:lang w:val="en-US" w:eastAsia="zh-CN" w:bidi="ar"/>
              </w:rPr>
              <w:t>原有辐射场所监测报告见附件6。</w:t>
            </w:r>
          </w:p>
          <w:p w14:paraId="73753617">
            <w:pPr>
              <w:pStyle w:val="32"/>
              <w:snapToGrid w:val="0"/>
              <w:spacing w:line="360" w:lineRule="auto"/>
              <w:ind w:firstLine="482" w:firstLineChars="200"/>
              <w:jc w:val="both"/>
              <w:textAlignment w:val="auto"/>
              <w:rPr>
                <w:rFonts w:hint="eastAsia"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rPr>
              <w:t>（</w:t>
            </w:r>
            <w:r>
              <w:rPr>
                <w:rFonts w:hint="eastAsia" w:ascii="Times New Roman" w:hAnsi="Times New Roman" w:cs="Times New Roman"/>
                <w:b/>
                <w:bCs/>
                <w:color w:val="auto"/>
                <w:highlight w:val="none"/>
                <w:lang w:val="en-US" w:eastAsia="zh-CN"/>
              </w:rPr>
              <w:t>五</w:t>
            </w:r>
            <w:r>
              <w:rPr>
                <w:rFonts w:hint="default" w:ascii="Times New Roman" w:hAnsi="Times New Roman" w:cs="Times New Roman"/>
                <w:b/>
                <w:bCs/>
                <w:color w:val="auto"/>
                <w:highlight w:val="none"/>
              </w:rPr>
              <w:t>）</w:t>
            </w:r>
            <w:r>
              <w:rPr>
                <w:rFonts w:hint="eastAsia" w:ascii="Times New Roman" w:hAnsi="Times New Roman" w:cs="Times New Roman"/>
                <w:b/>
                <w:bCs/>
                <w:color w:val="auto"/>
                <w:highlight w:val="none"/>
                <w:lang w:val="en-US" w:eastAsia="zh-CN"/>
              </w:rPr>
              <w:t>辐射安全管理情况</w:t>
            </w:r>
          </w:p>
          <w:p w14:paraId="6AB89A07">
            <w:pPr>
              <w:pStyle w:val="32"/>
              <w:snapToGrid w:val="0"/>
              <w:spacing w:line="360" w:lineRule="auto"/>
              <w:ind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单位已根据《放射性同位素与射线装置安全许可管理办法》的要求，成立了辐射安全领导小组，制定了辐射安全管理制度，且已在各辐射场所内张贴悬挂《辐射安全管理规定》《辐射工作人员岗位职责》《辐射工作设备操作规程》和《辐射事故应急响应程序》，在公司辐射安全防护领导小组的领导下，明确各部门人员责任，按照制定的辐射安全管理规章制度严格落实，定期组织对辐射工作场所和设备进行放射防护检测、监测和检查，制度执行情况较好。</w:t>
            </w:r>
          </w:p>
          <w:p w14:paraId="252065C2">
            <w:pPr>
              <w:pStyle w:val="32"/>
              <w:snapToGrid w:val="0"/>
              <w:spacing w:line="360" w:lineRule="auto"/>
              <w:ind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据《放射性同位素与射线装置安全和防护管理办法》，建设单位已编制《2025年度四川省核技术利用单位放射性同位素与射线装置安全和防护状况年度评估报告》并上交发证机关，且已按时登录全国核技术利用辐射安全申报系统在单位信息维护界面完成了年度报告上传工作。</w:t>
            </w:r>
          </w:p>
          <w:p w14:paraId="718F16DB">
            <w:pPr>
              <w:pStyle w:val="32"/>
              <w:snapToGrid w:val="0"/>
              <w:spacing w:line="360" w:lineRule="auto"/>
              <w:ind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现医院辐射安全管理情况如下：</w:t>
            </w:r>
          </w:p>
          <w:p w14:paraId="0B1EE32F">
            <w:pPr>
              <w:pStyle w:val="32"/>
              <w:snapToGrid w:val="0"/>
              <w:spacing w:line="360" w:lineRule="auto"/>
              <w:ind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（1）现单位名称、地址，法人代表未发生改变；</w:t>
            </w:r>
          </w:p>
          <w:p w14:paraId="7CF81071">
            <w:pPr>
              <w:pStyle w:val="32"/>
              <w:snapToGrid w:val="0"/>
              <w:spacing w:line="360" w:lineRule="auto"/>
              <w:ind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（2）辐射安全许可证所规定的活动种类和范围未发生改变；</w:t>
            </w:r>
          </w:p>
          <w:p w14:paraId="4A2862E5">
            <w:pPr>
              <w:pStyle w:val="32"/>
              <w:snapToGrid w:val="0"/>
              <w:spacing w:line="360" w:lineRule="auto"/>
              <w:ind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（3）辐射防护与设施运行、辐射安全和防护制度及措施的建立和落实、辐射应急处理措施均满足相应规定要求；</w:t>
            </w:r>
          </w:p>
          <w:p w14:paraId="6C000AD5">
            <w:pPr>
              <w:pStyle w:val="32"/>
              <w:snapToGrid w:val="0"/>
              <w:spacing w:line="360" w:lineRule="auto"/>
              <w:ind w:firstLine="480" w:firstLineChars="200"/>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highlight w:val="none"/>
                <w:lang w:val="en-US" w:eastAsia="zh-CN"/>
              </w:rPr>
              <w:t>（4）医院自从事放射诊疗和放射治疗工作以来，严格按照国家法律法规进行管理，没有发生过辐射安全事故。</w:t>
            </w:r>
          </w:p>
          <w:p w14:paraId="68A8A295">
            <w:pPr>
              <w:rPr>
                <w:rFonts w:hint="default" w:ascii="Times New Roman" w:hAnsi="Times New Roman" w:cs="Times New Roman"/>
                <w:color w:val="auto"/>
                <w:kern w:val="0"/>
                <w:sz w:val="24"/>
                <w:highlight w:val="none"/>
                <w:lang w:bidi="ar"/>
              </w:rPr>
            </w:pPr>
          </w:p>
          <w:p w14:paraId="063CE505">
            <w:pPr>
              <w:pStyle w:val="8"/>
              <w:rPr>
                <w:rFonts w:hint="default" w:ascii="Times New Roman" w:hAnsi="Times New Roman" w:cs="Times New Roman"/>
                <w:color w:val="auto"/>
                <w:highlight w:val="none"/>
              </w:rPr>
            </w:pPr>
          </w:p>
          <w:p w14:paraId="5E0B3991">
            <w:pPr>
              <w:adjustRightInd w:val="0"/>
              <w:snapToGrid w:val="0"/>
              <w:spacing w:line="360" w:lineRule="auto"/>
              <w:rPr>
                <w:rFonts w:hint="default" w:ascii="Times New Roman" w:hAnsi="Times New Roman" w:cs="Times New Roman"/>
                <w:color w:val="auto"/>
                <w:kern w:val="0"/>
                <w:sz w:val="24"/>
                <w:highlight w:val="none"/>
                <w:lang w:bidi="ar"/>
              </w:rPr>
            </w:pPr>
          </w:p>
        </w:tc>
      </w:tr>
    </w:tbl>
    <w:p w14:paraId="21E7A72B">
      <w:pPr>
        <w:adjustRightInd w:val="0"/>
        <w:snapToGrid w:val="0"/>
        <w:rPr>
          <w:rFonts w:hint="default" w:ascii="Times New Roman" w:hAnsi="Times New Roman" w:cs="Times New Roman"/>
          <w:bCs/>
          <w:color w:val="auto"/>
          <w:kern w:val="0"/>
          <w:sz w:val="30"/>
          <w:szCs w:val="30"/>
          <w:highlight w:val="none"/>
        </w:rPr>
        <w:sectPr>
          <w:pgSz w:w="11906" w:h="16838"/>
          <w:pgMar w:top="1440" w:right="1800" w:bottom="1440" w:left="1800" w:header="851" w:footer="1191" w:gutter="0"/>
          <w:pgBorders>
            <w:top w:val="none" w:sz="0" w:space="0"/>
            <w:left w:val="none" w:sz="0" w:space="0"/>
            <w:bottom w:val="none" w:sz="0" w:space="0"/>
            <w:right w:val="none" w:sz="0" w:space="0"/>
          </w:pgBorders>
          <w:cols w:space="720" w:num="1"/>
          <w:docGrid w:type="lines" w:linePitch="312" w:charSpace="0"/>
        </w:sectPr>
      </w:pPr>
    </w:p>
    <w:p w14:paraId="376F3B6F">
      <w:pPr>
        <w:pStyle w:val="2"/>
        <w:adjustRightInd w:val="0"/>
        <w:snapToGrid w:val="0"/>
        <w:spacing w:before="0" w:after="0"/>
        <w:jc w:val="center"/>
        <w:rPr>
          <w:rFonts w:hint="default" w:ascii="Times New Roman" w:hAnsi="Times New Roman" w:cs="Times New Roman"/>
          <w:b w:val="0"/>
          <w:bCs/>
          <w:color w:val="auto"/>
          <w:sz w:val="30"/>
          <w:szCs w:val="30"/>
          <w:highlight w:val="none"/>
        </w:rPr>
      </w:pPr>
      <w:bookmarkStart w:id="11" w:name="_Toc2422"/>
      <w:bookmarkStart w:id="12" w:name="_Toc4378"/>
      <w:r>
        <w:rPr>
          <w:rFonts w:hint="default" w:ascii="Times New Roman" w:hAnsi="Times New Roman" w:cs="Times New Roman"/>
          <w:b w:val="0"/>
          <w:bCs/>
          <w:color w:val="auto"/>
          <w:sz w:val="30"/>
          <w:szCs w:val="30"/>
          <w:highlight w:val="none"/>
        </w:rPr>
        <w:t>表2  放射源</w:t>
      </w:r>
      <w:bookmarkEnd w:id="11"/>
      <w:bookmarkEnd w:id="12"/>
    </w:p>
    <w:tbl>
      <w:tblPr>
        <w:tblStyle w:val="22"/>
        <w:tblW w:w="142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1104"/>
        <w:gridCol w:w="3232"/>
        <w:gridCol w:w="777"/>
        <w:gridCol w:w="1228"/>
        <w:gridCol w:w="1159"/>
        <w:gridCol w:w="2263"/>
        <w:gridCol w:w="2273"/>
        <w:gridCol w:w="1533"/>
      </w:tblGrid>
      <w:tr w14:paraId="4CC64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tcPr>
          <w:p w14:paraId="6A57FE7A">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1104" w:type="dxa"/>
          </w:tcPr>
          <w:p w14:paraId="2CC00119">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核素名称</w:t>
            </w:r>
          </w:p>
        </w:tc>
        <w:tc>
          <w:tcPr>
            <w:tcW w:w="3232" w:type="dxa"/>
          </w:tcPr>
          <w:p w14:paraId="34B3D5BD">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总活度（Bq）/活度（Bq）×枚数</w:t>
            </w:r>
          </w:p>
        </w:tc>
        <w:tc>
          <w:tcPr>
            <w:tcW w:w="777" w:type="dxa"/>
          </w:tcPr>
          <w:p w14:paraId="4C89D59B">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类别</w:t>
            </w:r>
          </w:p>
        </w:tc>
        <w:tc>
          <w:tcPr>
            <w:tcW w:w="1228" w:type="dxa"/>
          </w:tcPr>
          <w:p w14:paraId="7DF230BE">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活动种类</w:t>
            </w:r>
          </w:p>
        </w:tc>
        <w:tc>
          <w:tcPr>
            <w:tcW w:w="1159" w:type="dxa"/>
          </w:tcPr>
          <w:p w14:paraId="0CAAAAE8">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用途</w:t>
            </w:r>
          </w:p>
        </w:tc>
        <w:tc>
          <w:tcPr>
            <w:tcW w:w="2263" w:type="dxa"/>
          </w:tcPr>
          <w:p w14:paraId="28C288A3">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使用场所</w:t>
            </w:r>
          </w:p>
        </w:tc>
        <w:tc>
          <w:tcPr>
            <w:tcW w:w="2273" w:type="dxa"/>
          </w:tcPr>
          <w:p w14:paraId="4A03CBCB">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贮存方式与地点</w:t>
            </w:r>
          </w:p>
        </w:tc>
        <w:tc>
          <w:tcPr>
            <w:tcW w:w="1533" w:type="dxa"/>
          </w:tcPr>
          <w:p w14:paraId="20D233AB">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r>
      <w:tr w14:paraId="4B4FC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29" w:type="dxa"/>
            <w:tcBorders>
              <w:bottom w:val="single" w:color="auto" w:sz="4" w:space="0"/>
            </w:tcBorders>
          </w:tcPr>
          <w:p w14:paraId="7FC39619">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104" w:type="dxa"/>
            <w:tcBorders>
              <w:bottom w:val="single" w:color="auto" w:sz="4" w:space="0"/>
            </w:tcBorders>
          </w:tcPr>
          <w:p w14:paraId="30EDC944">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3232" w:type="dxa"/>
            <w:tcBorders>
              <w:bottom w:val="single" w:color="auto" w:sz="4" w:space="0"/>
            </w:tcBorders>
            <w:vAlign w:val="center"/>
          </w:tcPr>
          <w:p w14:paraId="4D5FE81B">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77" w:type="dxa"/>
            <w:tcBorders>
              <w:bottom w:val="single" w:color="auto" w:sz="4" w:space="0"/>
            </w:tcBorders>
          </w:tcPr>
          <w:p w14:paraId="29BCCF65">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228" w:type="dxa"/>
            <w:tcBorders>
              <w:bottom w:val="single" w:color="auto" w:sz="4" w:space="0"/>
            </w:tcBorders>
            <w:vAlign w:val="center"/>
          </w:tcPr>
          <w:p w14:paraId="6CF755F8">
            <w:pPr>
              <w:adjustRightInd w:val="0"/>
              <w:snapToGrid w:val="0"/>
              <w:contextualSpacing/>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159" w:type="dxa"/>
            <w:tcBorders>
              <w:bottom w:val="single" w:color="auto" w:sz="4" w:space="0"/>
            </w:tcBorders>
            <w:vAlign w:val="center"/>
          </w:tcPr>
          <w:p w14:paraId="474AB9D7">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2263" w:type="dxa"/>
            <w:tcBorders>
              <w:bottom w:val="single" w:color="auto" w:sz="4" w:space="0"/>
            </w:tcBorders>
            <w:vAlign w:val="center"/>
          </w:tcPr>
          <w:p w14:paraId="12F2549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2273" w:type="dxa"/>
            <w:tcBorders>
              <w:bottom w:val="single" w:color="auto" w:sz="4" w:space="0"/>
            </w:tcBorders>
            <w:vAlign w:val="center"/>
          </w:tcPr>
          <w:p w14:paraId="6C9E7F9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533" w:type="dxa"/>
            <w:tcBorders>
              <w:bottom w:val="single" w:color="auto" w:sz="4" w:space="0"/>
            </w:tcBorders>
          </w:tcPr>
          <w:p w14:paraId="1E7007D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047E9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jc w:val="center"/>
        </w:trPr>
        <w:tc>
          <w:tcPr>
            <w:tcW w:w="729" w:type="dxa"/>
            <w:tcBorders>
              <w:top w:val="single" w:color="auto" w:sz="4" w:space="0"/>
              <w:bottom w:val="single" w:color="auto" w:sz="4" w:space="0"/>
            </w:tcBorders>
          </w:tcPr>
          <w:p w14:paraId="4E1DB6BB">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1104" w:type="dxa"/>
            <w:tcBorders>
              <w:top w:val="single" w:color="auto" w:sz="4" w:space="0"/>
              <w:bottom w:val="single" w:color="auto" w:sz="4" w:space="0"/>
            </w:tcBorders>
          </w:tcPr>
          <w:p w14:paraId="0D5D729C">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3232" w:type="dxa"/>
            <w:tcBorders>
              <w:top w:val="single" w:color="auto" w:sz="4" w:space="0"/>
              <w:bottom w:val="single" w:color="auto" w:sz="4" w:space="0"/>
            </w:tcBorders>
            <w:vAlign w:val="center"/>
          </w:tcPr>
          <w:p w14:paraId="055091D9">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77" w:type="dxa"/>
            <w:tcBorders>
              <w:top w:val="single" w:color="auto" w:sz="4" w:space="0"/>
              <w:bottom w:val="single" w:color="auto" w:sz="4" w:space="0"/>
            </w:tcBorders>
          </w:tcPr>
          <w:p w14:paraId="5324A918">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228" w:type="dxa"/>
            <w:tcBorders>
              <w:top w:val="single" w:color="auto" w:sz="4" w:space="0"/>
              <w:bottom w:val="single" w:color="auto" w:sz="4" w:space="0"/>
            </w:tcBorders>
            <w:vAlign w:val="center"/>
          </w:tcPr>
          <w:p w14:paraId="6155EF07">
            <w:pPr>
              <w:adjustRightInd w:val="0"/>
              <w:snapToGrid w:val="0"/>
              <w:contextualSpacing/>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159" w:type="dxa"/>
            <w:tcBorders>
              <w:top w:val="single" w:color="auto" w:sz="4" w:space="0"/>
              <w:bottom w:val="single" w:color="auto" w:sz="4" w:space="0"/>
            </w:tcBorders>
            <w:vAlign w:val="center"/>
          </w:tcPr>
          <w:p w14:paraId="57D23D3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2263" w:type="dxa"/>
            <w:tcBorders>
              <w:top w:val="single" w:color="auto" w:sz="4" w:space="0"/>
              <w:bottom w:val="single" w:color="auto" w:sz="4" w:space="0"/>
            </w:tcBorders>
            <w:vAlign w:val="center"/>
          </w:tcPr>
          <w:p w14:paraId="121273D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2273" w:type="dxa"/>
            <w:tcBorders>
              <w:top w:val="single" w:color="auto" w:sz="4" w:space="0"/>
              <w:bottom w:val="single" w:color="auto" w:sz="4" w:space="0"/>
            </w:tcBorders>
            <w:vAlign w:val="center"/>
          </w:tcPr>
          <w:p w14:paraId="175501F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533" w:type="dxa"/>
            <w:tcBorders>
              <w:top w:val="single" w:color="auto" w:sz="4" w:space="0"/>
              <w:bottom w:val="single" w:color="auto" w:sz="4" w:space="0"/>
            </w:tcBorders>
          </w:tcPr>
          <w:p w14:paraId="7AFD4EE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2203C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729" w:type="dxa"/>
            <w:tcBorders>
              <w:top w:val="single" w:color="auto" w:sz="4" w:space="0"/>
              <w:bottom w:val="single" w:color="auto" w:sz="4" w:space="0"/>
            </w:tcBorders>
          </w:tcPr>
          <w:p w14:paraId="5E4FB7C3">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c>
          <w:tcPr>
            <w:tcW w:w="1104" w:type="dxa"/>
            <w:tcBorders>
              <w:top w:val="single" w:color="auto" w:sz="4" w:space="0"/>
              <w:bottom w:val="single" w:color="auto" w:sz="4" w:space="0"/>
            </w:tcBorders>
            <w:vAlign w:val="center"/>
          </w:tcPr>
          <w:p w14:paraId="4D96E3DF">
            <w:pPr>
              <w:adjustRightInd w:val="0"/>
              <w:snapToGrid w:val="0"/>
              <w:contextualSpacing/>
              <w:jc w:val="center"/>
              <w:rPr>
                <w:rFonts w:hint="default" w:ascii="Times New Roman" w:hAnsi="Times New Roman" w:cs="Times New Roman"/>
                <w:b/>
                <w:color w:val="auto"/>
                <w:kern w:val="0"/>
                <w:szCs w:val="21"/>
                <w:highlight w:val="none"/>
              </w:rPr>
            </w:pPr>
            <w:r>
              <w:rPr>
                <w:rFonts w:hint="default" w:ascii="Times New Roman" w:hAnsi="Times New Roman" w:cs="Times New Roman"/>
                <w:color w:val="auto"/>
                <w:szCs w:val="21"/>
                <w:highlight w:val="none"/>
              </w:rPr>
              <w:t>—</w:t>
            </w:r>
          </w:p>
        </w:tc>
        <w:tc>
          <w:tcPr>
            <w:tcW w:w="3232" w:type="dxa"/>
            <w:tcBorders>
              <w:top w:val="single" w:color="auto" w:sz="4" w:space="0"/>
              <w:bottom w:val="single" w:color="auto" w:sz="4" w:space="0"/>
            </w:tcBorders>
            <w:vAlign w:val="center"/>
          </w:tcPr>
          <w:p w14:paraId="3AD92F6A">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w:t>
            </w:r>
          </w:p>
        </w:tc>
        <w:tc>
          <w:tcPr>
            <w:tcW w:w="777" w:type="dxa"/>
            <w:tcBorders>
              <w:top w:val="single" w:color="auto" w:sz="4" w:space="0"/>
              <w:bottom w:val="single" w:color="auto" w:sz="4" w:space="0"/>
            </w:tcBorders>
          </w:tcPr>
          <w:p w14:paraId="57EF90B4">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228" w:type="dxa"/>
            <w:tcBorders>
              <w:top w:val="single" w:color="auto" w:sz="4" w:space="0"/>
              <w:bottom w:val="single" w:color="auto" w:sz="4" w:space="0"/>
            </w:tcBorders>
            <w:vAlign w:val="center"/>
          </w:tcPr>
          <w:p w14:paraId="6620B207">
            <w:pPr>
              <w:adjustRightInd w:val="0"/>
              <w:snapToGrid w:val="0"/>
              <w:contextualSpacing/>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159" w:type="dxa"/>
            <w:tcBorders>
              <w:top w:val="single" w:color="auto" w:sz="4" w:space="0"/>
              <w:bottom w:val="single" w:color="auto" w:sz="4" w:space="0"/>
            </w:tcBorders>
            <w:vAlign w:val="center"/>
          </w:tcPr>
          <w:p w14:paraId="10756A5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2263" w:type="dxa"/>
            <w:tcBorders>
              <w:top w:val="single" w:color="auto" w:sz="4" w:space="0"/>
              <w:bottom w:val="single" w:color="auto" w:sz="4" w:space="0"/>
            </w:tcBorders>
            <w:vAlign w:val="center"/>
          </w:tcPr>
          <w:p w14:paraId="54554DC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2273" w:type="dxa"/>
            <w:tcBorders>
              <w:top w:val="single" w:color="auto" w:sz="4" w:space="0"/>
              <w:bottom w:val="single" w:color="auto" w:sz="4" w:space="0"/>
            </w:tcBorders>
            <w:vAlign w:val="center"/>
          </w:tcPr>
          <w:p w14:paraId="05E8901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533" w:type="dxa"/>
            <w:tcBorders>
              <w:top w:val="single" w:color="auto" w:sz="4" w:space="0"/>
              <w:bottom w:val="single" w:color="auto" w:sz="4" w:space="0"/>
            </w:tcBorders>
            <w:vAlign w:val="center"/>
          </w:tcPr>
          <w:p w14:paraId="1F68060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11F28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729" w:type="dxa"/>
            <w:tcBorders>
              <w:top w:val="single" w:color="auto" w:sz="4" w:space="0"/>
              <w:bottom w:val="single" w:color="auto" w:sz="4" w:space="0"/>
            </w:tcBorders>
          </w:tcPr>
          <w:p w14:paraId="791C23D8">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w:t>
            </w:r>
          </w:p>
        </w:tc>
        <w:tc>
          <w:tcPr>
            <w:tcW w:w="1104" w:type="dxa"/>
            <w:tcBorders>
              <w:top w:val="single" w:color="auto" w:sz="4" w:space="0"/>
              <w:bottom w:val="single" w:color="auto" w:sz="4" w:space="0"/>
            </w:tcBorders>
            <w:vAlign w:val="center"/>
          </w:tcPr>
          <w:p w14:paraId="680053C9">
            <w:pPr>
              <w:adjustRightInd w:val="0"/>
              <w:snapToGrid w:val="0"/>
              <w:contextualSpacing/>
              <w:jc w:val="center"/>
              <w:rPr>
                <w:rFonts w:hint="default" w:ascii="Times New Roman" w:hAnsi="Times New Roman" w:cs="Times New Roman"/>
                <w:b/>
                <w:color w:val="auto"/>
                <w:kern w:val="0"/>
                <w:szCs w:val="21"/>
                <w:highlight w:val="none"/>
              </w:rPr>
            </w:pPr>
            <w:r>
              <w:rPr>
                <w:rFonts w:hint="default" w:ascii="Times New Roman" w:hAnsi="Times New Roman" w:cs="Times New Roman"/>
                <w:color w:val="auto"/>
                <w:szCs w:val="21"/>
                <w:highlight w:val="none"/>
              </w:rPr>
              <w:t>—</w:t>
            </w:r>
          </w:p>
        </w:tc>
        <w:tc>
          <w:tcPr>
            <w:tcW w:w="3232" w:type="dxa"/>
            <w:tcBorders>
              <w:top w:val="single" w:color="auto" w:sz="4" w:space="0"/>
              <w:bottom w:val="single" w:color="auto" w:sz="4" w:space="0"/>
            </w:tcBorders>
            <w:vAlign w:val="center"/>
          </w:tcPr>
          <w:p w14:paraId="584E11F8">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w:t>
            </w:r>
          </w:p>
        </w:tc>
        <w:tc>
          <w:tcPr>
            <w:tcW w:w="777" w:type="dxa"/>
            <w:tcBorders>
              <w:top w:val="single" w:color="auto" w:sz="4" w:space="0"/>
              <w:bottom w:val="single" w:color="auto" w:sz="4" w:space="0"/>
            </w:tcBorders>
          </w:tcPr>
          <w:p w14:paraId="3707BB9C">
            <w:pPr>
              <w:adjustRightInd w:val="0"/>
              <w:snapToGrid w:val="0"/>
              <w:spacing w:line="312" w:lineRule="auto"/>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w:t>
            </w:r>
          </w:p>
        </w:tc>
        <w:tc>
          <w:tcPr>
            <w:tcW w:w="1228" w:type="dxa"/>
            <w:tcBorders>
              <w:top w:val="single" w:color="auto" w:sz="4" w:space="0"/>
              <w:bottom w:val="single" w:color="auto" w:sz="4" w:space="0"/>
            </w:tcBorders>
            <w:vAlign w:val="center"/>
          </w:tcPr>
          <w:p w14:paraId="3E89084B">
            <w:pPr>
              <w:adjustRightInd w:val="0"/>
              <w:snapToGrid w:val="0"/>
              <w:contextualSpacing/>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w:t>
            </w:r>
          </w:p>
        </w:tc>
        <w:tc>
          <w:tcPr>
            <w:tcW w:w="1159" w:type="dxa"/>
            <w:tcBorders>
              <w:top w:val="single" w:color="auto" w:sz="4" w:space="0"/>
              <w:bottom w:val="single" w:color="auto" w:sz="4" w:space="0"/>
            </w:tcBorders>
            <w:vAlign w:val="center"/>
          </w:tcPr>
          <w:p w14:paraId="4BAA9D15">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w:t>
            </w:r>
          </w:p>
        </w:tc>
        <w:tc>
          <w:tcPr>
            <w:tcW w:w="2263" w:type="dxa"/>
            <w:tcBorders>
              <w:top w:val="single" w:color="auto" w:sz="4" w:space="0"/>
              <w:bottom w:val="single" w:color="auto" w:sz="4" w:space="0"/>
            </w:tcBorders>
            <w:vAlign w:val="center"/>
          </w:tcPr>
          <w:p w14:paraId="2DD5EF8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2273" w:type="dxa"/>
            <w:tcBorders>
              <w:top w:val="single" w:color="auto" w:sz="4" w:space="0"/>
              <w:bottom w:val="single" w:color="auto" w:sz="4" w:space="0"/>
            </w:tcBorders>
            <w:vAlign w:val="center"/>
          </w:tcPr>
          <w:p w14:paraId="449F5F5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533" w:type="dxa"/>
            <w:tcBorders>
              <w:top w:val="single" w:color="auto" w:sz="4" w:space="0"/>
              <w:bottom w:val="single" w:color="auto" w:sz="4" w:space="0"/>
            </w:tcBorders>
            <w:vAlign w:val="center"/>
          </w:tcPr>
          <w:p w14:paraId="37E1443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21482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729" w:type="dxa"/>
            <w:tcBorders>
              <w:top w:val="single" w:color="auto" w:sz="4" w:space="0"/>
              <w:bottom w:val="single" w:color="auto" w:sz="4" w:space="0"/>
            </w:tcBorders>
          </w:tcPr>
          <w:p w14:paraId="7C4680D2">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w:t>
            </w:r>
          </w:p>
        </w:tc>
        <w:tc>
          <w:tcPr>
            <w:tcW w:w="1104" w:type="dxa"/>
            <w:tcBorders>
              <w:top w:val="single" w:color="auto" w:sz="4" w:space="0"/>
              <w:bottom w:val="single" w:color="auto" w:sz="4" w:space="0"/>
            </w:tcBorders>
            <w:vAlign w:val="center"/>
          </w:tcPr>
          <w:p w14:paraId="3C80D5E6">
            <w:pPr>
              <w:adjustRightInd w:val="0"/>
              <w:snapToGrid w:val="0"/>
              <w:contextualSpacing/>
              <w:jc w:val="center"/>
              <w:rPr>
                <w:rFonts w:hint="default" w:ascii="Times New Roman" w:hAnsi="Times New Roman" w:cs="Times New Roman"/>
                <w:b/>
                <w:color w:val="auto"/>
                <w:kern w:val="0"/>
                <w:szCs w:val="21"/>
                <w:highlight w:val="none"/>
              </w:rPr>
            </w:pPr>
            <w:r>
              <w:rPr>
                <w:rFonts w:hint="default" w:ascii="Times New Roman" w:hAnsi="Times New Roman" w:cs="Times New Roman"/>
                <w:color w:val="auto"/>
                <w:szCs w:val="21"/>
                <w:highlight w:val="none"/>
              </w:rPr>
              <w:t>—</w:t>
            </w:r>
          </w:p>
        </w:tc>
        <w:tc>
          <w:tcPr>
            <w:tcW w:w="3232" w:type="dxa"/>
            <w:tcBorders>
              <w:top w:val="single" w:color="auto" w:sz="4" w:space="0"/>
              <w:bottom w:val="single" w:color="auto" w:sz="4" w:space="0"/>
            </w:tcBorders>
            <w:vAlign w:val="center"/>
          </w:tcPr>
          <w:p w14:paraId="32ECACB2">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w:t>
            </w:r>
          </w:p>
        </w:tc>
        <w:tc>
          <w:tcPr>
            <w:tcW w:w="777" w:type="dxa"/>
            <w:tcBorders>
              <w:top w:val="single" w:color="auto" w:sz="4" w:space="0"/>
              <w:bottom w:val="single" w:color="auto" w:sz="4" w:space="0"/>
            </w:tcBorders>
          </w:tcPr>
          <w:p w14:paraId="42059E95">
            <w:pPr>
              <w:adjustRightInd w:val="0"/>
              <w:snapToGrid w:val="0"/>
              <w:spacing w:line="312" w:lineRule="auto"/>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w:t>
            </w:r>
          </w:p>
        </w:tc>
        <w:tc>
          <w:tcPr>
            <w:tcW w:w="1228" w:type="dxa"/>
            <w:tcBorders>
              <w:top w:val="single" w:color="auto" w:sz="4" w:space="0"/>
              <w:bottom w:val="single" w:color="auto" w:sz="4" w:space="0"/>
            </w:tcBorders>
            <w:vAlign w:val="center"/>
          </w:tcPr>
          <w:p w14:paraId="179FD2A9">
            <w:pPr>
              <w:adjustRightInd w:val="0"/>
              <w:snapToGrid w:val="0"/>
              <w:contextualSpacing/>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w:t>
            </w:r>
          </w:p>
        </w:tc>
        <w:tc>
          <w:tcPr>
            <w:tcW w:w="1159" w:type="dxa"/>
            <w:tcBorders>
              <w:top w:val="single" w:color="auto" w:sz="4" w:space="0"/>
              <w:bottom w:val="single" w:color="auto" w:sz="4" w:space="0"/>
            </w:tcBorders>
            <w:vAlign w:val="center"/>
          </w:tcPr>
          <w:p w14:paraId="3E72A146">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w:t>
            </w:r>
          </w:p>
        </w:tc>
        <w:tc>
          <w:tcPr>
            <w:tcW w:w="2263" w:type="dxa"/>
            <w:tcBorders>
              <w:top w:val="single" w:color="auto" w:sz="4" w:space="0"/>
              <w:bottom w:val="single" w:color="auto" w:sz="4" w:space="0"/>
            </w:tcBorders>
            <w:vAlign w:val="center"/>
          </w:tcPr>
          <w:p w14:paraId="19ABE33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2273" w:type="dxa"/>
            <w:tcBorders>
              <w:top w:val="single" w:color="auto" w:sz="4" w:space="0"/>
              <w:bottom w:val="single" w:color="auto" w:sz="4" w:space="0"/>
            </w:tcBorders>
            <w:vAlign w:val="center"/>
          </w:tcPr>
          <w:p w14:paraId="67A164D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533" w:type="dxa"/>
            <w:tcBorders>
              <w:top w:val="single" w:color="auto" w:sz="4" w:space="0"/>
              <w:bottom w:val="single" w:color="auto" w:sz="4" w:space="0"/>
            </w:tcBorders>
            <w:vAlign w:val="center"/>
          </w:tcPr>
          <w:p w14:paraId="66F4997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bl>
    <w:p w14:paraId="139FB72C">
      <w:pPr>
        <w:adjustRightInd w:val="0"/>
        <w:snapToGrid w:val="0"/>
        <w:spacing w:line="360" w:lineRule="atLeast"/>
        <w:jc w:val="left"/>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注：放射源包括放射性中子源，对其要说明是何种核素以及产生的中子流强度（n/s）。</w:t>
      </w:r>
    </w:p>
    <w:p w14:paraId="5E7B696A">
      <w:pPr>
        <w:adjustRightInd w:val="0"/>
        <w:snapToGrid w:val="0"/>
        <w:jc w:val="center"/>
        <w:outlineLvl w:val="0"/>
        <w:rPr>
          <w:rFonts w:hint="default" w:ascii="Times New Roman" w:hAnsi="Times New Roman" w:cs="Times New Roman"/>
          <w:b/>
          <w:bCs/>
          <w:color w:val="auto"/>
          <w:sz w:val="30"/>
          <w:szCs w:val="30"/>
          <w:highlight w:val="none"/>
        </w:rPr>
      </w:pPr>
      <w:bookmarkStart w:id="13" w:name="_Toc3328"/>
      <w:bookmarkStart w:id="14" w:name="_Toc28400"/>
      <w:r>
        <w:rPr>
          <w:rFonts w:hint="default" w:ascii="Times New Roman" w:hAnsi="Times New Roman" w:cs="Times New Roman"/>
          <w:color w:val="auto"/>
          <w:sz w:val="30"/>
          <w:szCs w:val="30"/>
          <w:highlight w:val="none"/>
        </w:rPr>
        <w:t>表3  非密封放射性物质</w:t>
      </w:r>
      <w:bookmarkEnd w:id="13"/>
      <w:bookmarkEnd w:id="14"/>
    </w:p>
    <w:tbl>
      <w:tblPr>
        <w:tblStyle w:val="22"/>
        <w:tblW w:w="14215" w:type="dxa"/>
        <w:jc w:val="center"/>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
        <w:gridCol w:w="1486"/>
        <w:gridCol w:w="1146"/>
        <w:gridCol w:w="1186"/>
        <w:gridCol w:w="1786"/>
        <w:gridCol w:w="1787"/>
        <w:gridCol w:w="1288"/>
        <w:gridCol w:w="1527"/>
        <w:gridCol w:w="1718"/>
        <w:gridCol w:w="1367"/>
      </w:tblGrid>
      <w:tr w14:paraId="6AF988B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924" w:type="dxa"/>
            <w:vAlign w:val="center"/>
          </w:tcPr>
          <w:p w14:paraId="5BBA4F37">
            <w:pPr>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1486" w:type="dxa"/>
            <w:vAlign w:val="center"/>
          </w:tcPr>
          <w:p w14:paraId="7214C0BC">
            <w:pPr>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核素名称</w:t>
            </w:r>
          </w:p>
        </w:tc>
        <w:tc>
          <w:tcPr>
            <w:tcW w:w="1146" w:type="dxa"/>
            <w:vAlign w:val="center"/>
          </w:tcPr>
          <w:p w14:paraId="6CE57CB8">
            <w:pPr>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理化性质</w:t>
            </w:r>
          </w:p>
        </w:tc>
        <w:tc>
          <w:tcPr>
            <w:tcW w:w="1186" w:type="dxa"/>
            <w:vAlign w:val="center"/>
          </w:tcPr>
          <w:p w14:paraId="78E9D8F4">
            <w:pPr>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活动种类</w:t>
            </w:r>
          </w:p>
        </w:tc>
        <w:tc>
          <w:tcPr>
            <w:tcW w:w="1786" w:type="dxa"/>
            <w:vAlign w:val="center"/>
          </w:tcPr>
          <w:p w14:paraId="12B89C7E">
            <w:pPr>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日等效最大操作量（Bq）</w:t>
            </w:r>
          </w:p>
        </w:tc>
        <w:tc>
          <w:tcPr>
            <w:tcW w:w="1787" w:type="dxa"/>
            <w:vAlign w:val="center"/>
          </w:tcPr>
          <w:p w14:paraId="189A2902">
            <w:pPr>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年最大用量（Bq）</w:t>
            </w:r>
          </w:p>
        </w:tc>
        <w:tc>
          <w:tcPr>
            <w:tcW w:w="1288" w:type="dxa"/>
            <w:vAlign w:val="center"/>
          </w:tcPr>
          <w:p w14:paraId="7D15EEAF">
            <w:pPr>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用途</w:t>
            </w:r>
          </w:p>
        </w:tc>
        <w:tc>
          <w:tcPr>
            <w:tcW w:w="1527" w:type="dxa"/>
            <w:vAlign w:val="center"/>
          </w:tcPr>
          <w:p w14:paraId="538B0E26">
            <w:pPr>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操作方式</w:t>
            </w:r>
          </w:p>
        </w:tc>
        <w:tc>
          <w:tcPr>
            <w:tcW w:w="1718" w:type="dxa"/>
            <w:vAlign w:val="center"/>
          </w:tcPr>
          <w:p w14:paraId="68886062">
            <w:pPr>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使用场所</w:t>
            </w:r>
          </w:p>
        </w:tc>
        <w:tc>
          <w:tcPr>
            <w:tcW w:w="1367" w:type="dxa"/>
          </w:tcPr>
          <w:p w14:paraId="35E59924">
            <w:pPr>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贮存方式与地点</w:t>
            </w:r>
          </w:p>
        </w:tc>
      </w:tr>
      <w:tr w14:paraId="09E32B3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924" w:type="dxa"/>
            <w:vAlign w:val="center"/>
          </w:tcPr>
          <w:p w14:paraId="72A2297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486" w:type="dxa"/>
            <w:vAlign w:val="center"/>
          </w:tcPr>
          <w:p w14:paraId="30A6459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146" w:type="dxa"/>
          </w:tcPr>
          <w:p w14:paraId="5782B37C">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186" w:type="dxa"/>
          </w:tcPr>
          <w:p w14:paraId="2C08B595">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786" w:type="dxa"/>
            <w:vAlign w:val="center"/>
          </w:tcPr>
          <w:p w14:paraId="001AC2C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787" w:type="dxa"/>
            <w:vAlign w:val="center"/>
          </w:tcPr>
          <w:p w14:paraId="33C073C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288" w:type="dxa"/>
            <w:vAlign w:val="center"/>
          </w:tcPr>
          <w:p w14:paraId="6FC3B05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527" w:type="dxa"/>
          </w:tcPr>
          <w:p w14:paraId="2A28F859">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718" w:type="dxa"/>
            <w:vAlign w:val="center"/>
          </w:tcPr>
          <w:p w14:paraId="6A6A74D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67" w:type="dxa"/>
            <w:vAlign w:val="center"/>
          </w:tcPr>
          <w:p w14:paraId="1B7232A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408A8A6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924" w:type="dxa"/>
            <w:vAlign w:val="center"/>
          </w:tcPr>
          <w:p w14:paraId="5AE6DB4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1486" w:type="dxa"/>
            <w:vAlign w:val="center"/>
          </w:tcPr>
          <w:p w14:paraId="0444B336">
            <w:pPr>
              <w:adjustRightInd w:val="0"/>
              <w:snapToGrid w:val="0"/>
              <w:spacing w:line="36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146" w:type="dxa"/>
          </w:tcPr>
          <w:p w14:paraId="3787B36D">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186" w:type="dxa"/>
          </w:tcPr>
          <w:p w14:paraId="3B3FD940">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786" w:type="dxa"/>
            <w:vAlign w:val="center"/>
          </w:tcPr>
          <w:p w14:paraId="2D98344E">
            <w:pPr>
              <w:adjustRightInd w:val="0"/>
              <w:snapToGrid w:val="0"/>
              <w:spacing w:line="36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787" w:type="dxa"/>
            <w:vAlign w:val="center"/>
          </w:tcPr>
          <w:p w14:paraId="77F01FD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288" w:type="dxa"/>
            <w:vAlign w:val="center"/>
          </w:tcPr>
          <w:p w14:paraId="35F6642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527" w:type="dxa"/>
          </w:tcPr>
          <w:p w14:paraId="2DD50374">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718" w:type="dxa"/>
            <w:vAlign w:val="center"/>
          </w:tcPr>
          <w:p w14:paraId="4001A9C1">
            <w:pPr>
              <w:adjustRightInd w:val="0"/>
              <w:snapToGrid w:val="0"/>
              <w:spacing w:line="36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67" w:type="dxa"/>
            <w:vAlign w:val="center"/>
          </w:tcPr>
          <w:p w14:paraId="72AA62C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1567D1A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924" w:type="dxa"/>
            <w:vAlign w:val="center"/>
          </w:tcPr>
          <w:p w14:paraId="6525BC9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c>
          <w:tcPr>
            <w:tcW w:w="1486" w:type="dxa"/>
            <w:vAlign w:val="center"/>
          </w:tcPr>
          <w:p w14:paraId="20194A3C">
            <w:pPr>
              <w:adjustRightInd w:val="0"/>
              <w:snapToGrid w:val="0"/>
              <w:spacing w:line="36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146" w:type="dxa"/>
          </w:tcPr>
          <w:p w14:paraId="58DF5D73">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186" w:type="dxa"/>
          </w:tcPr>
          <w:p w14:paraId="106B3F85">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786" w:type="dxa"/>
            <w:vAlign w:val="center"/>
          </w:tcPr>
          <w:p w14:paraId="328D445B">
            <w:pPr>
              <w:adjustRightInd w:val="0"/>
              <w:snapToGrid w:val="0"/>
              <w:spacing w:line="36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787" w:type="dxa"/>
            <w:vAlign w:val="center"/>
          </w:tcPr>
          <w:p w14:paraId="408B146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288" w:type="dxa"/>
            <w:vAlign w:val="center"/>
          </w:tcPr>
          <w:p w14:paraId="58035BD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527" w:type="dxa"/>
            <w:vAlign w:val="center"/>
          </w:tcPr>
          <w:p w14:paraId="1C8F6B41">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718" w:type="dxa"/>
            <w:vAlign w:val="center"/>
          </w:tcPr>
          <w:p w14:paraId="2F19D219">
            <w:pPr>
              <w:adjustRightInd w:val="0"/>
              <w:snapToGrid w:val="0"/>
              <w:spacing w:line="36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67" w:type="dxa"/>
            <w:vAlign w:val="center"/>
          </w:tcPr>
          <w:p w14:paraId="1800B18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033CAE7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924" w:type="dxa"/>
            <w:vAlign w:val="center"/>
          </w:tcPr>
          <w:p w14:paraId="51DF4E4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w:t>
            </w:r>
          </w:p>
        </w:tc>
        <w:tc>
          <w:tcPr>
            <w:tcW w:w="1486" w:type="dxa"/>
            <w:vAlign w:val="center"/>
          </w:tcPr>
          <w:p w14:paraId="7ECE9A5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146" w:type="dxa"/>
            <w:vAlign w:val="center"/>
          </w:tcPr>
          <w:p w14:paraId="770A5079">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186" w:type="dxa"/>
            <w:vAlign w:val="center"/>
          </w:tcPr>
          <w:p w14:paraId="1BB76262">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786" w:type="dxa"/>
            <w:vAlign w:val="center"/>
          </w:tcPr>
          <w:p w14:paraId="69552979">
            <w:pPr>
              <w:adjustRightInd w:val="0"/>
              <w:snapToGrid w:val="0"/>
              <w:spacing w:line="36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787" w:type="dxa"/>
            <w:vAlign w:val="center"/>
          </w:tcPr>
          <w:p w14:paraId="71C81977">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288" w:type="dxa"/>
            <w:vAlign w:val="center"/>
          </w:tcPr>
          <w:p w14:paraId="7147AC8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527" w:type="dxa"/>
            <w:vAlign w:val="center"/>
          </w:tcPr>
          <w:p w14:paraId="31C77279">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718" w:type="dxa"/>
            <w:vAlign w:val="center"/>
          </w:tcPr>
          <w:p w14:paraId="7B77E41C">
            <w:pPr>
              <w:adjustRightInd w:val="0"/>
              <w:snapToGrid w:val="0"/>
              <w:spacing w:line="36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67" w:type="dxa"/>
            <w:vAlign w:val="center"/>
          </w:tcPr>
          <w:p w14:paraId="26AD7E7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277295E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924" w:type="dxa"/>
            <w:vAlign w:val="center"/>
          </w:tcPr>
          <w:p w14:paraId="205FA86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w:t>
            </w:r>
          </w:p>
        </w:tc>
        <w:tc>
          <w:tcPr>
            <w:tcW w:w="1486" w:type="dxa"/>
            <w:vAlign w:val="center"/>
          </w:tcPr>
          <w:p w14:paraId="7A8B2D47">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146" w:type="dxa"/>
            <w:vAlign w:val="center"/>
          </w:tcPr>
          <w:p w14:paraId="2FF5A1BC">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186" w:type="dxa"/>
            <w:vAlign w:val="center"/>
          </w:tcPr>
          <w:p w14:paraId="298986E8">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786" w:type="dxa"/>
            <w:vAlign w:val="center"/>
          </w:tcPr>
          <w:p w14:paraId="66FF8FE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787" w:type="dxa"/>
            <w:vAlign w:val="center"/>
          </w:tcPr>
          <w:p w14:paraId="4DC4BB7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288" w:type="dxa"/>
            <w:vAlign w:val="center"/>
          </w:tcPr>
          <w:p w14:paraId="7722F33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527" w:type="dxa"/>
            <w:vAlign w:val="center"/>
          </w:tcPr>
          <w:p w14:paraId="32C4DCCA">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718" w:type="dxa"/>
            <w:vAlign w:val="center"/>
          </w:tcPr>
          <w:p w14:paraId="059715F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67" w:type="dxa"/>
            <w:vAlign w:val="center"/>
          </w:tcPr>
          <w:p w14:paraId="052D44F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1336F54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924" w:type="dxa"/>
            <w:vAlign w:val="center"/>
          </w:tcPr>
          <w:p w14:paraId="1F610D5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w:t>
            </w:r>
          </w:p>
        </w:tc>
        <w:tc>
          <w:tcPr>
            <w:tcW w:w="1486" w:type="dxa"/>
            <w:vAlign w:val="center"/>
          </w:tcPr>
          <w:p w14:paraId="304F0E3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146" w:type="dxa"/>
            <w:vAlign w:val="center"/>
          </w:tcPr>
          <w:p w14:paraId="73AAFE8F">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186" w:type="dxa"/>
            <w:vAlign w:val="center"/>
          </w:tcPr>
          <w:p w14:paraId="05C0A318">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786" w:type="dxa"/>
            <w:vAlign w:val="center"/>
          </w:tcPr>
          <w:p w14:paraId="6EF63CD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787" w:type="dxa"/>
            <w:vAlign w:val="center"/>
          </w:tcPr>
          <w:p w14:paraId="1B39779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288" w:type="dxa"/>
            <w:vAlign w:val="center"/>
          </w:tcPr>
          <w:p w14:paraId="32F6B51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527" w:type="dxa"/>
            <w:vAlign w:val="center"/>
          </w:tcPr>
          <w:p w14:paraId="6F164C05">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718" w:type="dxa"/>
            <w:vAlign w:val="center"/>
          </w:tcPr>
          <w:p w14:paraId="3130A12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67" w:type="dxa"/>
            <w:vAlign w:val="center"/>
          </w:tcPr>
          <w:p w14:paraId="23EA69D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bl>
    <w:p w14:paraId="30159C5A">
      <w:pPr>
        <w:adjustRightInd w:val="0"/>
        <w:snapToGrid w:val="0"/>
        <w:spacing w:line="360" w:lineRule="atLeast"/>
        <w:jc w:val="left"/>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注：日等效最大操作量和操作方式见《电离辐射防护与辐射源安全基本标准》（GB18871-2002）。</w:t>
      </w:r>
    </w:p>
    <w:p w14:paraId="1BA17B06">
      <w:pPr>
        <w:adjustRightInd w:val="0"/>
        <w:snapToGrid w:val="0"/>
        <w:jc w:val="center"/>
        <w:outlineLvl w:val="0"/>
        <w:rPr>
          <w:rFonts w:hint="default" w:ascii="Times New Roman" w:hAnsi="Times New Roman" w:cs="Times New Roman"/>
          <w:b/>
          <w:bCs/>
          <w:color w:val="auto"/>
          <w:sz w:val="30"/>
          <w:szCs w:val="30"/>
          <w:highlight w:val="none"/>
        </w:rPr>
      </w:pPr>
      <w:r>
        <w:rPr>
          <w:rFonts w:hint="default" w:ascii="Times New Roman" w:hAnsi="Times New Roman" w:cs="Times New Roman"/>
          <w:bCs/>
          <w:color w:val="auto"/>
          <w:kern w:val="0"/>
          <w:sz w:val="30"/>
          <w:szCs w:val="30"/>
          <w:highlight w:val="none"/>
        </w:rPr>
        <w:br w:type="page"/>
      </w:r>
      <w:bookmarkStart w:id="15" w:name="_Toc23675"/>
      <w:bookmarkStart w:id="16" w:name="_Toc2593"/>
      <w:r>
        <w:rPr>
          <w:rFonts w:hint="default" w:ascii="Times New Roman" w:hAnsi="Times New Roman" w:cs="Times New Roman"/>
          <w:color w:val="auto"/>
          <w:sz w:val="30"/>
          <w:szCs w:val="30"/>
          <w:highlight w:val="none"/>
        </w:rPr>
        <w:t>表4  射线装置</w:t>
      </w:r>
      <w:bookmarkEnd w:id="15"/>
      <w:bookmarkEnd w:id="16"/>
    </w:p>
    <w:p w14:paraId="3B28C375">
      <w:pPr>
        <w:numPr>
          <w:ilvl w:val="0"/>
          <w:numId w:val="8"/>
        </w:numPr>
        <w:adjustRightInd w:val="0"/>
        <w:snapToGrid w:val="0"/>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加速器，包括医用、工农业、科研、教学等用途的各种类型加速器</w:t>
      </w:r>
    </w:p>
    <w:tbl>
      <w:tblPr>
        <w:tblStyle w:val="22"/>
        <w:tblW w:w="140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0"/>
        <w:gridCol w:w="1744"/>
        <w:gridCol w:w="658"/>
        <w:gridCol w:w="611"/>
        <w:gridCol w:w="912"/>
        <w:gridCol w:w="646"/>
        <w:gridCol w:w="1062"/>
        <w:gridCol w:w="2215"/>
        <w:gridCol w:w="1085"/>
        <w:gridCol w:w="3450"/>
        <w:gridCol w:w="1242"/>
      </w:tblGrid>
      <w:tr w14:paraId="2DDCE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 w:type="dxa"/>
            <w:vAlign w:val="center"/>
          </w:tcPr>
          <w:p w14:paraId="4A99BC8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1744" w:type="dxa"/>
            <w:vAlign w:val="center"/>
          </w:tcPr>
          <w:p w14:paraId="29A4CA4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名称</w:t>
            </w:r>
          </w:p>
        </w:tc>
        <w:tc>
          <w:tcPr>
            <w:tcW w:w="658" w:type="dxa"/>
            <w:vAlign w:val="center"/>
          </w:tcPr>
          <w:p w14:paraId="674747F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类别</w:t>
            </w:r>
          </w:p>
        </w:tc>
        <w:tc>
          <w:tcPr>
            <w:tcW w:w="611" w:type="dxa"/>
            <w:vAlign w:val="center"/>
          </w:tcPr>
          <w:p w14:paraId="21D5B49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912" w:type="dxa"/>
            <w:vAlign w:val="center"/>
          </w:tcPr>
          <w:p w14:paraId="38D24DA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型号</w:t>
            </w:r>
          </w:p>
        </w:tc>
        <w:tc>
          <w:tcPr>
            <w:tcW w:w="646" w:type="dxa"/>
            <w:vAlign w:val="center"/>
          </w:tcPr>
          <w:p w14:paraId="1FCDF36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加速粒子</w:t>
            </w:r>
          </w:p>
        </w:tc>
        <w:tc>
          <w:tcPr>
            <w:tcW w:w="1062" w:type="dxa"/>
            <w:vAlign w:val="center"/>
          </w:tcPr>
          <w:p w14:paraId="6D18AB7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最大能量（MeV）</w:t>
            </w:r>
          </w:p>
        </w:tc>
        <w:tc>
          <w:tcPr>
            <w:tcW w:w="2215" w:type="dxa"/>
            <w:vAlign w:val="center"/>
          </w:tcPr>
          <w:p w14:paraId="6C142A1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额定电流（mA)/剂量率（Gy/h）</w:t>
            </w:r>
          </w:p>
        </w:tc>
        <w:tc>
          <w:tcPr>
            <w:tcW w:w="1085" w:type="dxa"/>
            <w:vAlign w:val="center"/>
          </w:tcPr>
          <w:p w14:paraId="392A95C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用途</w:t>
            </w:r>
          </w:p>
        </w:tc>
        <w:tc>
          <w:tcPr>
            <w:tcW w:w="3450" w:type="dxa"/>
            <w:vAlign w:val="center"/>
          </w:tcPr>
          <w:p w14:paraId="304186A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工作场所</w:t>
            </w:r>
          </w:p>
        </w:tc>
        <w:tc>
          <w:tcPr>
            <w:tcW w:w="1242" w:type="dxa"/>
            <w:vAlign w:val="center"/>
          </w:tcPr>
          <w:p w14:paraId="7325FAE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r>
      <w:tr w14:paraId="77F09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400" w:type="dxa"/>
            <w:vAlign w:val="center"/>
          </w:tcPr>
          <w:p w14:paraId="34FDE488">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744" w:type="dxa"/>
            <w:vAlign w:val="center"/>
          </w:tcPr>
          <w:p w14:paraId="1366CDAA">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658" w:type="dxa"/>
            <w:vAlign w:val="center"/>
          </w:tcPr>
          <w:p w14:paraId="18F7F961">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611" w:type="dxa"/>
            <w:vAlign w:val="center"/>
          </w:tcPr>
          <w:p w14:paraId="638CB73F">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912" w:type="dxa"/>
            <w:vAlign w:val="center"/>
          </w:tcPr>
          <w:p w14:paraId="1B531B88">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646" w:type="dxa"/>
            <w:vAlign w:val="center"/>
          </w:tcPr>
          <w:p w14:paraId="7B50C3E8">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062" w:type="dxa"/>
            <w:vAlign w:val="center"/>
          </w:tcPr>
          <w:p w14:paraId="3E70BC11">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2215" w:type="dxa"/>
            <w:vAlign w:val="center"/>
          </w:tcPr>
          <w:p w14:paraId="43019BDD">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085" w:type="dxa"/>
            <w:vAlign w:val="center"/>
          </w:tcPr>
          <w:p w14:paraId="754F3764">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3450" w:type="dxa"/>
            <w:vAlign w:val="center"/>
          </w:tcPr>
          <w:p w14:paraId="0ED3B6A8">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242" w:type="dxa"/>
            <w:vAlign w:val="center"/>
          </w:tcPr>
          <w:p w14:paraId="36BBEBD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bl>
    <w:p w14:paraId="4E3A5300">
      <w:pPr>
        <w:numPr>
          <w:ilvl w:val="0"/>
          <w:numId w:val="8"/>
        </w:numPr>
        <w:adjustRightInd w:val="0"/>
        <w:snapToGrid w:val="0"/>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X射线机，包括工业探伤、医用诊断和治疗、分析等用途</w:t>
      </w:r>
    </w:p>
    <w:tbl>
      <w:tblPr>
        <w:tblStyle w:val="22"/>
        <w:tblW w:w="14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1"/>
        <w:gridCol w:w="2049"/>
        <w:gridCol w:w="864"/>
        <w:gridCol w:w="917"/>
        <w:gridCol w:w="2425"/>
        <w:gridCol w:w="1214"/>
        <w:gridCol w:w="1383"/>
        <w:gridCol w:w="1333"/>
        <w:gridCol w:w="2156"/>
        <w:gridCol w:w="1148"/>
      </w:tblGrid>
      <w:tr w14:paraId="4F820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dxa"/>
            <w:vAlign w:val="center"/>
          </w:tcPr>
          <w:p w14:paraId="55CE979A">
            <w:pPr>
              <w:pStyle w:val="11"/>
              <w:adjustRightInd w:val="0"/>
              <w:snapToGrid w:val="0"/>
              <w:spacing w:line="200" w:lineRule="atLeast"/>
              <w:ind w:firstLine="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序号</w:t>
            </w:r>
          </w:p>
        </w:tc>
        <w:tc>
          <w:tcPr>
            <w:tcW w:w="2049" w:type="dxa"/>
            <w:vAlign w:val="center"/>
          </w:tcPr>
          <w:p w14:paraId="7882C221">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名称</w:t>
            </w:r>
          </w:p>
        </w:tc>
        <w:tc>
          <w:tcPr>
            <w:tcW w:w="864" w:type="dxa"/>
            <w:vAlign w:val="center"/>
          </w:tcPr>
          <w:p w14:paraId="5FC7F4AD">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类别</w:t>
            </w:r>
          </w:p>
        </w:tc>
        <w:tc>
          <w:tcPr>
            <w:tcW w:w="917" w:type="dxa"/>
            <w:vAlign w:val="center"/>
          </w:tcPr>
          <w:p w14:paraId="71CF2F65">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2425" w:type="dxa"/>
            <w:vAlign w:val="center"/>
          </w:tcPr>
          <w:p w14:paraId="415AFF6C">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型号</w:t>
            </w:r>
          </w:p>
        </w:tc>
        <w:tc>
          <w:tcPr>
            <w:tcW w:w="1214" w:type="dxa"/>
            <w:vAlign w:val="center"/>
          </w:tcPr>
          <w:p w14:paraId="3C3D95DF">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最大管电压（kV）</w:t>
            </w:r>
          </w:p>
        </w:tc>
        <w:tc>
          <w:tcPr>
            <w:tcW w:w="1383" w:type="dxa"/>
            <w:vAlign w:val="center"/>
          </w:tcPr>
          <w:p w14:paraId="16672C83">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最大管电流（mA）</w:t>
            </w:r>
          </w:p>
        </w:tc>
        <w:tc>
          <w:tcPr>
            <w:tcW w:w="1333" w:type="dxa"/>
            <w:vAlign w:val="center"/>
          </w:tcPr>
          <w:p w14:paraId="751C870B">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用途</w:t>
            </w:r>
          </w:p>
        </w:tc>
        <w:tc>
          <w:tcPr>
            <w:tcW w:w="2156" w:type="dxa"/>
            <w:vAlign w:val="center"/>
          </w:tcPr>
          <w:p w14:paraId="5CA1E033">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工作场所</w:t>
            </w:r>
          </w:p>
        </w:tc>
        <w:tc>
          <w:tcPr>
            <w:tcW w:w="1148" w:type="dxa"/>
            <w:vAlign w:val="center"/>
          </w:tcPr>
          <w:p w14:paraId="1C79B399">
            <w:pPr>
              <w:adjustRightInd w:val="0"/>
              <w:snapToGrid w:val="0"/>
              <w:spacing w:line="312"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r>
      <w:tr w14:paraId="2FC60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dxa"/>
            <w:vAlign w:val="center"/>
          </w:tcPr>
          <w:p w14:paraId="6AE2423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2049" w:type="dxa"/>
            <w:vAlign w:val="center"/>
          </w:tcPr>
          <w:p w14:paraId="516C4D2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数字减影血管造影机（DSA）</w:t>
            </w:r>
          </w:p>
        </w:tc>
        <w:tc>
          <w:tcPr>
            <w:tcW w:w="864" w:type="dxa"/>
            <w:vAlign w:val="center"/>
          </w:tcPr>
          <w:p w14:paraId="37F9019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Ⅱ类</w:t>
            </w:r>
          </w:p>
        </w:tc>
        <w:tc>
          <w:tcPr>
            <w:tcW w:w="917" w:type="dxa"/>
            <w:vAlign w:val="center"/>
          </w:tcPr>
          <w:p w14:paraId="0200C8F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1台</w:t>
            </w:r>
          </w:p>
        </w:tc>
        <w:tc>
          <w:tcPr>
            <w:tcW w:w="2425" w:type="dxa"/>
            <w:vAlign w:val="center"/>
          </w:tcPr>
          <w:p w14:paraId="3860E51A">
            <w:pPr>
              <w:adjustRightInd w:val="0"/>
              <w:snapToGrid w:val="0"/>
              <w:jc w:val="center"/>
              <w:rPr>
                <w:rFonts w:hint="default" w:ascii="Times New Roman" w:hAnsi="Times New Roman" w:cs="Times New Roman"/>
                <w:b/>
                <w:bCs/>
                <w:color w:val="auto"/>
                <w:szCs w:val="21"/>
                <w:highlight w:val="none"/>
                <w:lang w:val="en-US" w:eastAsia="zh-CN"/>
              </w:rPr>
            </w:pPr>
            <w:r>
              <w:rPr>
                <w:rFonts w:hint="default" w:ascii="Times New Roman" w:hAnsi="Times New Roman" w:cs="Times New Roman"/>
                <w:b/>
                <w:bCs/>
                <w:color w:val="auto"/>
                <w:szCs w:val="21"/>
                <w:highlight w:val="none"/>
                <w:lang w:val="en-US" w:eastAsia="zh-CN"/>
              </w:rPr>
              <w:t>厂家：</w:t>
            </w:r>
            <w:r>
              <w:rPr>
                <w:rFonts w:hint="eastAsia" w:ascii="Times New Roman" w:hAnsi="Times New Roman" w:cs="Times New Roman"/>
                <w:b/>
                <w:bCs/>
                <w:color w:val="auto"/>
                <w:szCs w:val="21"/>
                <w:highlight w:val="none"/>
                <w:lang w:val="en-US" w:eastAsia="zh-CN"/>
              </w:rPr>
              <w:t>飞利浦</w:t>
            </w:r>
          </w:p>
          <w:p w14:paraId="58679897">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lang w:val="en-US" w:eastAsia="zh-CN"/>
              </w:rPr>
              <w:t>型号：</w:t>
            </w:r>
            <w:r>
              <w:rPr>
                <w:rFonts w:hint="default" w:ascii="Times New Roman" w:hAnsi="Times New Roman" w:cs="Times New Roman"/>
                <w:color w:val="auto"/>
                <w:spacing w:val="5"/>
                <w:sz w:val="24"/>
                <w:highlight w:val="none"/>
                <w:shd w:val="clear" w:color="auto" w:fill="FFFFFF"/>
                <w:lang w:val="en-US" w:eastAsia="zh-CN"/>
              </w:rPr>
              <w:t>Azurion5 M20</w:t>
            </w:r>
          </w:p>
        </w:tc>
        <w:tc>
          <w:tcPr>
            <w:tcW w:w="1214" w:type="dxa"/>
            <w:vAlign w:val="center"/>
          </w:tcPr>
          <w:p w14:paraId="4062154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125</w:t>
            </w:r>
          </w:p>
        </w:tc>
        <w:tc>
          <w:tcPr>
            <w:tcW w:w="1383" w:type="dxa"/>
            <w:vAlign w:val="center"/>
          </w:tcPr>
          <w:p w14:paraId="4AEEC79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1000</w:t>
            </w:r>
          </w:p>
        </w:tc>
        <w:tc>
          <w:tcPr>
            <w:tcW w:w="1333" w:type="dxa"/>
            <w:vAlign w:val="center"/>
          </w:tcPr>
          <w:p w14:paraId="128162C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介入治疗</w:t>
            </w:r>
          </w:p>
        </w:tc>
        <w:tc>
          <w:tcPr>
            <w:tcW w:w="2156" w:type="dxa"/>
            <w:tcBorders>
              <w:bottom w:val="single" w:color="auto" w:sz="4" w:space="0"/>
            </w:tcBorders>
            <w:vAlign w:val="center"/>
          </w:tcPr>
          <w:p w14:paraId="388C792B">
            <w:pPr>
              <w:adjustRightInd w:val="0"/>
              <w:snapToGrid w:val="0"/>
              <w:jc w:val="center"/>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lang w:val="en-US" w:eastAsia="zh-CN"/>
              </w:rPr>
              <w:t>平昌县第二人民医院</w:t>
            </w:r>
            <w:r>
              <w:rPr>
                <w:rFonts w:hint="eastAsia" w:ascii="Times New Roman" w:hAnsi="Times New Roman" w:cs="Times New Roman"/>
                <w:color w:val="auto"/>
                <w:szCs w:val="21"/>
                <w:highlight w:val="none"/>
                <w:lang w:val="en-US" w:eastAsia="zh-CN"/>
              </w:rPr>
              <w:t>黄滩坝院区</w:t>
            </w:r>
            <w:r>
              <w:rPr>
                <w:rFonts w:hint="default" w:ascii="Times New Roman" w:hAnsi="Times New Roman" w:cs="Times New Roman"/>
                <w:color w:val="auto"/>
                <w:szCs w:val="21"/>
                <w:highlight w:val="none"/>
                <w:lang w:val="en-US" w:eastAsia="zh-CN"/>
              </w:rPr>
              <w:t>的</w:t>
            </w:r>
            <w:r>
              <w:rPr>
                <w:rFonts w:hint="eastAsia"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lang w:val="en-US" w:eastAsia="zh-CN"/>
              </w:rPr>
              <w:t>医疗综合楼四楼东北角</w:t>
            </w:r>
            <w:r>
              <w:rPr>
                <w:rFonts w:hint="eastAsia" w:ascii="Times New Roman" w:hAnsi="Times New Roman" w:cs="Times New Roman"/>
                <w:color w:val="auto"/>
                <w:szCs w:val="21"/>
                <w:highlight w:val="none"/>
                <w:lang w:val="en-US" w:eastAsia="zh-CN"/>
              </w:rPr>
              <w:t>DSA介入室</w:t>
            </w:r>
          </w:p>
        </w:tc>
        <w:tc>
          <w:tcPr>
            <w:tcW w:w="1148" w:type="dxa"/>
            <w:tcBorders>
              <w:bottom w:val="single" w:color="auto" w:sz="4" w:space="0"/>
            </w:tcBorders>
            <w:vAlign w:val="center"/>
          </w:tcPr>
          <w:p w14:paraId="77ED44B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本次评价</w:t>
            </w:r>
          </w:p>
        </w:tc>
      </w:tr>
      <w:tr w14:paraId="4C795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1" w:type="dxa"/>
            <w:vAlign w:val="center"/>
          </w:tcPr>
          <w:p w14:paraId="7AA8863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2049" w:type="dxa"/>
            <w:vAlign w:val="center"/>
          </w:tcPr>
          <w:p w14:paraId="0ED5BDE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864" w:type="dxa"/>
            <w:vAlign w:val="center"/>
          </w:tcPr>
          <w:p w14:paraId="4ED23D1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917" w:type="dxa"/>
            <w:vAlign w:val="center"/>
          </w:tcPr>
          <w:p w14:paraId="6603165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2425" w:type="dxa"/>
            <w:vAlign w:val="center"/>
          </w:tcPr>
          <w:p w14:paraId="2BF684B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214" w:type="dxa"/>
            <w:vAlign w:val="center"/>
          </w:tcPr>
          <w:p w14:paraId="206C07A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83" w:type="dxa"/>
            <w:vAlign w:val="center"/>
          </w:tcPr>
          <w:p w14:paraId="586DAA3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33" w:type="dxa"/>
            <w:vAlign w:val="center"/>
          </w:tcPr>
          <w:p w14:paraId="34CE35A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2156" w:type="dxa"/>
            <w:tcBorders>
              <w:top w:val="single" w:color="auto" w:sz="4" w:space="0"/>
              <w:bottom w:val="single" w:color="auto" w:sz="4" w:space="0"/>
            </w:tcBorders>
            <w:vAlign w:val="center"/>
          </w:tcPr>
          <w:p w14:paraId="1F92CA3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148" w:type="dxa"/>
            <w:tcBorders>
              <w:top w:val="single" w:color="auto" w:sz="4" w:space="0"/>
              <w:bottom w:val="single" w:color="auto" w:sz="4" w:space="0"/>
            </w:tcBorders>
            <w:vAlign w:val="center"/>
          </w:tcPr>
          <w:p w14:paraId="37FD9E1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bl>
    <w:p w14:paraId="2D178B56">
      <w:pPr>
        <w:adjustRightInd w:val="0"/>
        <w:snapToGrid w:val="0"/>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（三）中子发生器，包括中子管，但不包括放射性中子源</w:t>
      </w:r>
    </w:p>
    <w:tbl>
      <w:tblPr>
        <w:tblStyle w:val="22"/>
        <w:tblW w:w="14017" w:type="dxa"/>
        <w:tblInd w:w="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140"/>
        <w:gridCol w:w="760"/>
        <w:gridCol w:w="740"/>
        <w:gridCol w:w="840"/>
        <w:gridCol w:w="1320"/>
        <w:gridCol w:w="1559"/>
        <w:gridCol w:w="1012"/>
        <w:gridCol w:w="769"/>
        <w:gridCol w:w="1257"/>
        <w:gridCol w:w="1271"/>
        <w:gridCol w:w="1075"/>
        <w:gridCol w:w="693"/>
        <w:gridCol w:w="938"/>
      </w:tblGrid>
      <w:tr w14:paraId="62068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643" w:type="dxa"/>
            <w:vMerge w:val="restart"/>
            <w:vAlign w:val="center"/>
          </w:tcPr>
          <w:p w14:paraId="56C68DF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1140" w:type="dxa"/>
            <w:vMerge w:val="restart"/>
            <w:vAlign w:val="center"/>
          </w:tcPr>
          <w:p w14:paraId="196E03A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名称</w:t>
            </w:r>
          </w:p>
        </w:tc>
        <w:tc>
          <w:tcPr>
            <w:tcW w:w="760" w:type="dxa"/>
            <w:vMerge w:val="restart"/>
            <w:vAlign w:val="center"/>
          </w:tcPr>
          <w:p w14:paraId="33370A0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类别</w:t>
            </w:r>
          </w:p>
        </w:tc>
        <w:tc>
          <w:tcPr>
            <w:tcW w:w="740" w:type="dxa"/>
            <w:vMerge w:val="restart"/>
            <w:vAlign w:val="center"/>
          </w:tcPr>
          <w:p w14:paraId="470EC41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840" w:type="dxa"/>
            <w:vMerge w:val="restart"/>
            <w:vAlign w:val="center"/>
          </w:tcPr>
          <w:p w14:paraId="52E358E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型号</w:t>
            </w:r>
          </w:p>
        </w:tc>
        <w:tc>
          <w:tcPr>
            <w:tcW w:w="1320" w:type="dxa"/>
            <w:vMerge w:val="restart"/>
            <w:vAlign w:val="center"/>
          </w:tcPr>
          <w:p w14:paraId="0375B60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最大管电压（kV）</w:t>
            </w:r>
          </w:p>
        </w:tc>
        <w:tc>
          <w:tcPr>
            <w:tcW w:w="1559" w:type="dxa"/>
            <w:vMerge w:val="restart"/>
            <w:vAlign w:val="center"/>
          </w:tcPr>
          <w:p w14:paraId="64C3700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最大靶电流（μA）</w:t>
            </w:r>
          </w:p>
        </w:tc>
        <w:tc>
          <w:tcPr>
            <w:tcW w:w="1012" w:type="dxa"/>
            <w:vMerge w:val="restart"/>
            <w:vAlign w:val="center"/>
          </w:tcPr>
          <w:p w14:paraId="7DF8D44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中子强度（n/s）</w:t>
            </w:r>
          </w:p>
        </w:tc>
        <w:tc>
          <w:tcPr>
            <w:tcW w:w="769" w:type="dxa"/>
            <w:vMerge w:val="restart"/>
            <w:vAlign w:val="center"/>
          </w:tcPr>
          <w:p w14:paraId="1515FD5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用途</w:t>
            </w:r>
          </w:p>
        </w:tc>
        <w:tc>
          <w:tcPr>
            <w:tcW w:w="1257" w:type="dxa"/>
            <w:vMerge w:val="restart"/>
            <w:vAlign w:val="center"/>
          </w:tcPr>
          <w:p w14:paraId="288E874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工作场所</w:t>
            </w:r>
          </w:p>
        </w:tc>
        <w:tc>
          <w:tcPr>
            <w:tcW w:w="3039" w:type="dxa"/>
            <w:gridSpan w:val="3"/>
            <w:vAlign w:val="center"/>
          </w:tcPr>
          <w:p w14:paraId="7A74B5A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氚靶情况</w:t>
            </w:r>
          </w:p>
        </w:tc>
        <w:tc>
          <w:tcPr>
            <w:tcW w:w="938" w:type="dxa"/>
            <w:vMerge w:val="restart"/>
            <w:vAlign w:val="center"/>
          </w:tcPr>
          <w:p w14:paraId="68930A2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r>
      <w:tr w14:paraId="13078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643" w:type="dxa"/>
            <w:vMerge w:val="continue"/>
            <w:vAlign w:val="center"/>
          </w:tcPr>
          <w:p w14:paraId="0633F885">
            <w:pPr>
              <w:adjustRightInd w:val="0"/>
              <w:snapToGrid w:val="0"/>
              <w:jc w:val="center"/>
              <w:rPr>
                <w:rFonts w:hint="default" w:ascii="Times New Roman" w:hAnsi="Times New Roman" w:cs="Times New Roman"/>
                <w:color w:val="auto"/>
                <w:szCs w:val="21"/>
                <w:highlight w:val="none"/>
              </w:rPr>
            </w:pPr>
          </w:p>
        </w:tc>
        <w:tc>
          <w:tcPr>
            <w:tcW w:w="1140" w:type="dxa"/>
            <w:vMerge w:val="continue"/>
            <w:vAlign w:val="center"/>
          </w:tcPr>
          <w:p w14:paraId="3440E10E">
            <w:pPr>
              <w:adjustRightInd w:val="0"/>
              <w:snapToGrid w:val="0"/>
              <w:jc w:val="center"/>
              <w:rPr>
                <w:rFonts w:hint="default" w:ascii="Times New Roman" w:hAnsi="Times New Roman" w:cs="Times New Roman"/>
                <w:color w:val="auto"/>
                <w:szCs w:val="21"/>
                <w:highlight w:val="none"/>
              </w:rPr>
            </w:pPr>
          </w:p>
        </w:tc>
        <w:tc>
          <w:tcPr>
            <w:tcW w:w="760" w:type="dxa"/>
            <w:vMerge w:val="continue"/>
            <w:vAlign w:val="center"/>
          </w:tcPr>
          <w:p w14:paraId="5067E7C0">
            <w:pPr>
              <w:adjustRightInd w:val="0"/>
              <w:snapToGrid w:val="0"/>
              <w:jc w:val="center"/>
              <w:rPr>
                <w:rFonts w:hint="default" w:ascii="Times New Roman" w:hAnsi="Times New Roman" w:cs="Times New Roman"/>
                <w:color w:val="auto"/>
                <w:szCs w:val="21"/>
                <w:highlight w:val="none"/>
              </w:rPr>
            </w:pPr>
          </w:p>
        </w:tc>
        <w:tc>
          <w:tcPr>
            <w:tcW w:w="740" w:type="dxa"/>
            <w:vMerge w:val="continue"/>
            <w:vAlign w:val="center"/>
          </w:tcPr>
          <w:p w14:paraId="12E186D7">
            <w:pPr>
              <w:adjustRightInd w:val="0"/>
              <w:snapToGrid w:val="0"/>
              <w:jc w:val="center"/>
              <w:rPr>
                <w:rFonts w:hint="default" w:ascii="Times New Roman" w:hAnsi="Times New Roman" w:cs="Times New Roman"/>
                <w:color w:val="auto"/>
                <w:szCs w:val="21"/>
                <w:highlight w:val="none"/>
              </w:rPr>
            </w:pPr>
          </w:p>
        </w:tc>
        <w:tc>
          <w:tcPr>
            <w:tcW w:w="840" w:type="dxa"/>
            <w:vMerge w:val="continue"/>
            <w:vAlign w:val="center"/>
          </w:tcPr>
          <w:p w14:paraId="2CB36543">
            <w:pPr>
              <w:adjustRightInd w:val="0"/>
              <w:snapToGrid w:val="0"/>
              <w:jc w:val="center"/>
              <w:rPr>
                <w:rFonts w:hint="default" w:ascii="Times New Roman" w:hAnsi="Times New Roman" w:cs="Times New Roman"/>
                <w:color w:val="auto"/>
                <w:szCs w:val="21"/>
                <w:highlight w:val="none"/>
              </w:rPr>
            </w:pPr>
          </w:p>
        </w:tc>
        <w:tc>
          <w:tcPr>
            <w:tcW w:w="1320" w:type="dxa"/>
            <w:vMerge w:val="continue"/>
            <w:vAlign w:val="center"/>
          </w:tcPr>
          <w:p w14:paraId="352A958D">
            <w:pPr>
              <w:adjustRightInd w:val="0"/>
              <w:snapToGrid w:val="0"/>
              <w:jc w:val="center"/>
              <w:rPr>
                <w:rFonts w:hint="default" w:ascii="Times New Roman" w:hAnsi="Times New Roman" w:cs="Times New Roman"/>
                <w:color w:val="auto"/>
                <w:szCs w:val="21"/>
                <w:highlight w:val="none"/>
              </w:rPr>
            </w:pPr>
          </w:p>
        </w:tc>
        <w:tc>
          <w:tcPr>
            <w:tcW w:w="1559" w:type="dxa"/>
            <w:vMerge w:val="continue"/>
            <w:vAlign w:val="center"/>
          </w:tcPr>
          <w:p w14:paraId="1BC28929">
            <w:pPr>
              <w:adjustRightInd w:val="0"/>
              <w:snapToGrid w:val="0"/>
              <w:jc w:val="center"/>
              <w:rPr>
                <w:rFonts w:hint="default" w:ascii="Times New Roman" w:hAnsi="Times New Roman" w:cs="Times New Roman"/>
                <w:color w:val="auto"/>
                <w:szCs w:val="21"/>
                <w:highlight w:val="none"/>
              </w:rPr>
            </w:pPr>
          </w:p>
        </w:tc>
        <w:tc>
          <w:tcPr>
            <w:tcW w:w="1012" w:type="dxa"/>
            <w:vMerge w:val="continue"/>
            <w:vAlign w:val="center"/>
          </w:tcPr>
          <w:p w14:paraId="325DFC5D">
            <w:pPr>
              <w:adjustRightInd w:val="0"/>
              <w:snapToGrid w:val="0"/>
              <w:jc w:val="center"/>
              <w:rPr>
                <w:rFonts w:hint="default" w:ascii="Times New Roman" w:hAnsi="Times New Roman" w:cs="Times New Roman"/>
                <w:color w:val="auto"/>
                <w:szCs w:val="21"/>
                <w:highlight w:val="none"/>
              </w:rPr>
            </w:pPr>
          </w:p>
        </w:tc>
        <w:tc>
          <w:tcPr>
            <w:tcW w:w="769" w:type="dxa"/>
            <w:vMerge w:val="continue"/>
            <w:vAlign w:val="center"/>
          </w:tcPr>
          <w:p w14:paraId="5A008137">
            <w:pPr>
              <w:adjustRightInd w:val="0"/>
              <w:snapToGrid w:val="0"/>
              <w:jc w:val="center"/>
              <w:rPr>
                <w:rFonts w:hint="default" w:ascii="Times New Roman" w:hAnsi="Times New Roman" w:cs="Times New Roman"/>
                <w:color w:val="auto"/>
                <w:szCs w:val="21"/>
                <w:highlight w:val="none"/>
              </w:rPr>
            </w:pPr>
          </w:p>
        </w:tc>
        <w:tc>
          <w:tcPr>
            <w:tcW w:w="1257" w:type="dxa"/>
            <w:vMerge w:val="continue"/>
            <w:vAlign w:val="center"/>
          </w:tcPr>
          <w:p w14:paraId="38B4C8CB">
            <w:pPr>
              <w:adjustRightInd w:val="0"/>
              <w:snapToGrid w:val="0"/>
              <w:jc w:val="center"/>
              <w:rPr>
                <w:rFonts w:hint="default" w:ascii="Times New Roman" w:hAnsi="Times New Roman" w:cs="Times New Roman"/>
                <w:color w:val="auto"/>
                <w:szCs w:val="21"/>
                <w:highlight w:val="none"/>
              </w:rPr>
            </w:pPr>
          </w:p>
        </w:tc>
        <w:tc>
          <w:tcPr>
            <w:tcW w:w="1271" w:type="dxa"/>
            <w:vAlign w:val="center"/>
          </w:tcPr>
          <w:p w14:paraId="3AEE16E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活度（Bq）</w:t>
            </w:r>
          </w:p>
        </w:tc>
        <w:tc>
          <w:tcPr>
            <w:tcW w:w="1075" w:type="dxa"/>
            <w:vAlign w:val="center"/>
          </w:tcPr>
          <w:p w14:paraId="2CB8F41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贮存方式</w:t>
            </w:r>
          </w:p>
        </w:tc>
        <w:tc>
          <w:tcPr>
            <w:tcW w:w="693" w:type="dxa"/>
            <w:vAlign w:val="center"/>
          </w:tcPr>
          <w:p w14:paraId="565DF4F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938" w:type="dxa"/>
            <w:vMerge w:val="continue"/>
            <w:vAlign w:val="center"/>
          </w:tcPr>
          <w:p w14:paraId="6C88535F">
            <w:pPr>
              <w:adjustRightInd w:val="0"/>
              <w:snapToGrid w:val="0"/>
              <w:jc w:val="center"/>
              <w:rPr>
                <w:rFonts w:hint="default" w:ascii="Times New Roman" w:hAnsi="Times New Roman" w:cs="Times New Roman"/>
                <w:color w:val="auto"/>
                <w:szCs w:val="21"/>
                <w:highlight w:val="none"/>
              </w:rPr>
            </w:pPr>
          </w:p>
        </w:tc>
      </w:tr>
      <w:tr w14:paraId="2E170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27572BE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140" w:type="dxa"/>
            <w:vAlign w:val="center"/>
          </w:tcPr>
          <w:p w14:paraId="02B25BC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60" w:type="dxa"/>
            <w:vAlign w:val="center"/>
          </w:tcPr>
          <w:p w14:paraId="1FF28E2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40" w:type="dxa"/>
            <w:vAlign w:val="center"/>
          </w:tcPr>
          <w:p w14:paraId="25A5B77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840" w:type="dxa"/>
            <w:vAlign w:val="center"/>
          </w:tcPr>
          <w:p w14:paraId="10BB5C0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20" w:type="dxa"/>
            <w:vAlign w:val="center"/>
          </w:tcPr>
          <w:p w14:paraId="28A9338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559" w:type="dxa"/>
            <w:vAlign w:val="center"/>
          </w:tcPr>
          <w:p w14:paraId="2D1273E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012" w:type="dxa"/>
            <w:vAlign w:val="center"/>
          </w:tcPr>
          <w:p w14:paraId="5C53429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69" w:type="dxa"/>
            <w:vAlign w:val="center"/>
          </w:tcPr>
          <w:p w14:paraId="6AF5739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257" w:type="dxa"/>
            <w:vAlign w:val="center"/>
          </w:tcPr>
          <w:p w14:paraId="6270DB6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271" w:type="dxa"/>
            <w:vAlign w:val="center"/>
          </w:tcPr>
          <w:p w14:paraId="2A77B5C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075" w:type="dxa"/>
            <w:vAlign w:val="center"/>
          </w:tcPr>
          <w:p w14:paraId="3F671A8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693" w:type="dxa"/>
            <w:vAlign w:val="center"/>
          </w:tcPr>
          <w:p w14:paraId="5471BD0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938" w:type="dxa"/>
            <w:vAlign w:val="center"/>
          </w:tcPr>
          <w:p w14:paraId="363C6D3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bl>
    <w:p w14:paraId="2CB5DD4E">
      <w:pPr>
        <w:pStyle w:val="8"/>
        <w:adjustRightInd w:val="0"/>
        <w:snapToGrid w:val="0"/>
        <w:jc w:val="center"/>
        <w:outlineLvl w:val="0"/>
        <w:rPr>
          <w:rFonts w:hint="default" w:ascii="Times New Roman" w:hAnsi="Times New Roman" w:cs="Times New Roman"/>
          <w:color w:val="auto"/>
          <w:sz w:val="30"/>
          <w:szCs w:val="30"/>
          <w:highlight w:val="none"/>
        </w:rPr>
      </w:pPr>
      <w:bookmarkStart w:id="17" w:name="_Toc22620"/>
      <w:bookmarkStart w:id="18" w:name="_Toc31026"/>
      <w:r>
        <w:rPr>
          <w:rFonts w:hint="default" w:ascii="Times New Roman" w:hAnsi="Times New Roman" w:cs="Times New Roman"/>
          <w:color w:val="auto"/>
          <w:sz w:val="30"/>
          <w:szCs w:val="30"/>
          <w:highlight w:val="none"/>
        </w:rPr>
        <w:t>表5  废弃物（重点是放射性废弃物）</w:t>
      </w:r>
      <w:bookmarkEnd w:id="17"/>
      <w:bookmarkEnd w:id="18"/>
    </w:p>
    <w:tbl>
      <w:tblPr>
        <w:tblStyle w:val="2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6"/>
        <w:gridCol w:w="1069"/>
        <w:gridCol w:w="1349"/>
        <w:gridCol w:w="1695"/>
        <w:gridCol w:w="1760"/>
        <w:gridCol w:w="1749"/>
        <w:gridCol w:w="1749"/>
        <w:gridCol w:w="1505"/>
        <w:gridCol w:w="1991"/>
      </w:tblGrid>
      <w:tr w14:paraId="2B0AC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3B333A3E">
            <w:pPr>
              <w:adjustRightInd w:val="0"/>
              <w:snapToGrid w:val="0"/>
              <w:spacing w:line="264"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名称</w:t>
            </w:r>
          </w:p>
        </w:tc>
        <w:tc>
          <w:tcPr>
            <w:tcW w:w="377" w:type="pct"/>
            <w:vAlign w:val="center"/>
          </w:tcPr>
          <w:p w14:paraId="2BCA3FF3">
            <w:pPr>
              <w:adjustRightInd w:val="0"/>
              <w:snapToGrid w:val="0"/>
              <w:spacing w:line="264"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状态</w:t>
            </w:r>
          </w:p>
        </w:tc>
        <w:tc>
          <w:tcPr>
            <w:tcW w:w="476" w:type="pct"/>
            <w:vAlign w:val="center"/>
          </w:tcPr>
          <w:p w14:paraId="1074D17D">
            <w:pPr>
              <w:adjustRightInd w:val="0"/>
              <w:snapToGrid w:val="0"/>
              <w:spacing w:line="264"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核素名称</w:t>
            </w:r>
          </w:p>
        </w:tc>
        <w:tc>
          <w:tcPr>
            <w:tcW w:w="598" w:type="pct"/>
            <w:vAlign w:val="center"/>
          </w:tcPr>
          <w:p w14:paraId="54FBE021">
            <w:pPr>
              <w:adjustRightInd w:val="0"/>
              <w:snapToGrid w:val="0"/>
              <w:spacing w:line="264"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活度</w:t>
            </w:r>
          </w:p>
        </w:tc>
        <w:tc>
          <w:tcPr>
            <w:tcW w:w="621" w:type="pct"/>
            <w:vAlign w:val="center"/>
          </w:tcPr>
          <w:p w14:paraId="2C978CF1">
            <w:pPr>
              <w:adjustRightInd w:val="0"/>
              <w:snapToGrid w:val="0"/>
              <w:spacing w:line="264"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月排放量</w:t>
            </w:r>
          </w:p>
        </w:tc>
        <w:tc>
          <w:tcPr>
            <w:tcW w:w="617" w:type="pct"/>
            <w:vAlign w:val="center"/>
          </w:tcPr>
          <w:p w14:paraId="1C2D502D">
            <w:pPr>
              <w:adjustRightInd w:val="0"/>
              <w:snapToGrid w:val="0"/>
              <w:spacing w:line="264"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年排放量</w:t>
            </w:r>
          </w:p>
        </w:tc>
        <w:tc>
          <w:tcPr>
            <w:tcW w:w="617" w:type="pct"/>
            <w:vAlign w:val="center"/>
          </w:tcPr>
          <w:p w14:paraId="567F0530">
            <w:pPr>
              <w:adjustRightInd w:val="0"/>
              <w:snapToGrid w:val="0"/>
              <w:spacing w:line="264"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排放口浓度</w:t>
            </w:r>
          </w:p>
        </w:tc>
        <w:tc>
          <w:tcPr>
            <w:tcW w:w="531" w:type="pct"/>
            <w:vAlign w:val="center"/>
          </w:tcPr>
          <w:p w14:paraId="3E10DAA9">
            <w:pPr>
              <w:adjustRightInd w:val="0"/>
              <w:snapToGrid w:val="0"/>
              <w:spacing w:line="264"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暂存情况</w:t>
            </w:r>
          </w:p>
        </w:tc>
        <w:tc>
          <w:tcPr>
            <w:tcW w:w="702" w:type="pct"/>
            <w:vAlign w:val="center"/>
          </w:tcPr>
          <w:p w14:paraId="79CC421A">
            <w:pPr>
              <w:adjustRightInd w:val="0"/>
              <w:snapToGrid w:val="0"/>
              <w:spacing w:line="264"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最终去向</w:t>
            </w:r>
          </w:p>
        </w:tc>
      </w:tr>
      <w:tr w14:paraId="1649E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14689C3A">
            <w:pPr>
              <w:adjustRightInd w:val="0"/>
              <w:snapToGrid w:val="0"/>
              <w:spacing w:line="264"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臭氧、氮氧化物</w:t>
            </w:r>
          </w:p>
        </w:tc>
        <w:tc>
          <w:tcPr>
            <w:tcW w:w="377" w:type="pct"/>
            <w:vAlign w:val="center"/>
          </w:tcPr>
          <w:p w14:paraId="4BD4A31E">
            <w:pPr>
              <w:adjustRightInd w:val="0"/>
              <w:snapToGrid w:val="0"/>
              <w:spacing w:line="264"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气态</w:t>
            </w:r>
          </w:p>
        </w:tc>
        <w:tc>
          <w:tcPr>
            <w:tcW w:w="476" w:type="pct"/>
            <w:vAlign w:val="center"/>
          </w:tcPr>
          <w:p w14:paraId="7BB4C66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O</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、NO</w:t>
            </w:r>
            <w:r>
              <w:rPr>
                <w:rFonts w:hint="default" w:ascii="Times New Roman" w:hAnsi="Times New Roman" w:cs="Times New Roman"/>
                <w:color w:val="auto"/>
                <w:szCs w:val="21"/>
                <w:highlight w:val="none"/>
                <w:vertAlign w:val="subscript"/>
              </w:rPr>
              <w:t>x</w:t>
            </w:r>
          </w:p>
        </w:tc>
        <w:tc>
          <w:tcPr>
            <w:tcW w:w="598" w:type="pct"/>
            <w:vAlign w:val="center"/>
          </w:tcPr>
          <w:p w14:paraId="42A8D12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621" w:type="pct"/>
            <w:vAlign w:val="center"/>
          </w:tcPr>
          <w:p w14:paraId="5D10075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少量</w:t>
            </w:r>
          </w:p>
        </w:tc>
        <w:tc>
          <w:tcPr>
            <w:tcW w:w="617" w:type="pct"/>
            <w:vAlign w:val="center"/>
          </w:tcPr>
          <w:p w14:paraId="2F4EBC6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少量</w:t>
            </w:r>
          </w:p>
        </w:tc>
        <w:tc>
          <w:tcPr>
            <w:tcW w:w="617" w:type="pct"/>
            <w:vAlign w:val="center"/>
          </w:tcPr>
          <w:p w14:paraId="2676B60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少量</w:t>
            </w:r>
          </w:p>
        </w:tc>
        <w:tc>
          <w:tcPr>
            <w:tcW w:w="531" w:type="pct"/>
            <w:vAlign w:val="center"/>
          </w:tcPr>
          <w:p w14:paraId="5CFE6EEB">
            <w:pPr>
              <w:adjustRightInd w:val="0"/>
              <w:snapToGrid w:val="0"/>
              <w:spacing w:line="264"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不暂存</w:t>
            </w:r>
          </w:p>
        </w:tc>
        <w:tc>
          <w:tcPr>
            <w:tcW w:w="702" w:type="pct"/>
            <w:vAlign w:val="center"/>
          </w:tcPr>
          <w:p w14:paraId="485BB076">
            <w:pPr>
              <w:adjustRightInd w:val="0"/>
              <w:snapToGrid w:val="0"/>
              <w:spacing w:line="264"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环境大气</w:t>
            </w:r>
          </w:p>
        </w:tc>
      </w:tr>
      <w:tr w14:paraId="74676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trPr>
        <w:tc>
          <w:tcPr>
            <w:tcW w:w="457" w:type="pct"/>
            <w:shd w:val="clear" w:color="auto" w:fill="auto"/>
            <w:vAlign w:val="center"/>
          </w:tcPr>
          <w:p w14:paraId="035B0E20">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w:t>
            </w:r>
          </w:p>
        </w:tc>
        <w:tc>
          <w:tcPr>
            <w:tcW w:w="377" w:type="pct"/>
            <w:shd w:val="clear" w:color="auto" w:fill="auto"/>
            <w:vAlign w:val="center"/>
          </w:tcPr>
          <w:p w14:paraId="469C0298">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w:t>
            </w:r>
          </w:p>
        </w:tc>
        <w:tc>
          <w:tcPr>
            <w:tcW w:w="476" w:type="pct"/>
            <w:vAlign w:val="center"/>
          </w:tcPr>
          <w:p w14:paraId="3264D601">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c>
          <w:tcPr>
            <w:tcW w:w="598" w:type="pct"/>
            <w:vAlign w:val="center"/>
          </w:tcPr>
          <w:p w14:paraId="3AEADF00">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c>
          <w:tcPr>
            <w:tcW w:w="621" w:type="pct"/>
            <w:shd w:val="clear" w:color="auto" w:fill="auto"/>
            <w:vAlign w:val="center"/>
          </w:tcPr>
          <w:p w14:paraId="0038B29C">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w:t>
            </w:r>
          </w:p>
        </w:tc>
        <w:tc>
          <w:tcPr>
            <w:tcW w:w="617" w:type="pct"/>
            <w:shd w:val="clear" w:color="auto" w:fill="auto"/>
            <w:vAlign w:val="center"/>
          </w:tcPr>
          <w:p w14:paraId="2B2DF562">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w:t>
            </w:r>
          </w:p>
        </w:tc>
        <w:tc>
          <w:tcPr>
            <w:tcW w:w="617" w:type="pct"/>
            <w:vAlign w:val="center"/>
          </w:tcPr>
          <w:p w14:paraId="7AA055BC">
            <w:pPr>
              <w:adjustRightInd w:val="0"/>
              <w:snapToGrid w:val="0"/>
              <w:spacing w:line="264" w:lineRule="auto"/>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c>
          <w:tcPr>
            <w:tcW w:w="531" w:type="pct"/>
            <w:vAlign w:val="center"/>
          </w:tcPr>
          <w:p w14:paraId="047D8F78">
            <w:pPr>
              <w:adjustRightInd w:val="0"/>
              <w:snapToGrid w:val="0"/>
              <w:spacing w:line="264" w:lineRule="auto"/>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c>
          <w:tcPr>
            <w:tcW w:w="702" w:type="pct"/>
            <w:vAlign w:val="center"/>
          </w:tcPr>
          <w:p w14:paraId="14F6F940">
            <w:pPr>
              <w:adjustRightInd w:val="0"/>
              <w:snapToGrid w:val="0"/>
              <w:spacing w:line="264"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w:t>
            </w:r>
          </w:p>
        </w:tc>
      </w:tr>
    </w:tbl>
    <w:p w14:paraId="014D4D79">
      <w:pPr>
        <w:adjustRightInd w:val="0"/>
        <w:snapToGrid w:val="0"/>
        <w:spacing w:line="360" w:lineRule="atLeast"/>
        <w:jc w:val="left"/>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rPr>
        <w:t>注：1.常规废弃物排放浓度，对于液态单位为mg/L，固体为mg/kg，气态为mg/m</w:t>
      </w:r>
      <w:r>
        <w:rPr>
          <w:rFonts w:hint="default" w:ascii="Times New Roman" w:hAnsi="Times New Roman" w:cs="Times New Roman"/>
          <w:color w:val="auto"/>
          <w:kern w:val="0"/>
          <w:sz w:val="18"/>
          <w:szCs w:val="18"/>
          <w:highlight w:val="none"/>
          <w:vertAlign w:val="superscript"/>
        </w:rPr>
        <w:t>3</w:t>
      </w:r>
      <w:r>
        <w:rPr>
          <w:rFonts w:hint="default" w:ascii="Times New Roman" w:hAnsi="Times New Roman" w:cs="Times New Roman"/>
          <w:color w:val="auto"/>
          <w:kern w:val="0"/>
          <w:sz w:val="18"/>
          <w:szCs w:val="18"/>
          <w:highlight w:val="none"/>
        </w:rPr>
        <w:t>，年排放总量为kg。</w:t>
      </w:r>
    </w:p>
    <w:p w14:paraId="46A7FC78">
      <w:pPr>
        <w:adjustRightInd w:val="0"/>
        <w:snapToGrid w:val="0"/>
        <w:rPr>
          <w:rFonts w:hint="default" w:ascii="Times New Roman" w:hAnsi="Times New Roman" w:cs="Times New Roman"/>
          <w:color w:val="auto"/>
          <w:highlight w:val="none"/>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720" w:num="1"/>
          <w:docGrid w:type="lines" w:linePitch="312" w:charSpace="0"/>
        </w:sectPr>
      </w:pPr>
      <w:r>
        <w:rPr>
          <w:rFonts w:hint="default" w:ascii="Times New Roman" w:hAnsi="Times New Roman" w:cs="Times New Roman"/>
          <w:color w:val="auto"/>
          <w:kern w:val="0"/>
          <w:sz w:val="18"/>
          <w:szCs w:val="18"/>
          <w:highlight w:val="none"/>
        </w:rPr>
        <w:t xml:space="preserve">   2. 含有放射性的废物要注明其排放浓度、年排放总量分别用比活度（Bq/L或Bq/kg或Bq/m</w:t>
      </w:r>
      <w:r>
        <w:rPr>
          <w:rFonts w:hint="default" w:ascii="Times New Roman" w:hAnsi="Times New Roman" w:cs="Times New Roman"/>
          <w:color w:val="auto"/>
          <w:kern w:val="0"/>
          <w:sz w:val="18"/>
          <w:szCs w:val="18"/>
          <w:highlight w:val="none"/>
          <w:vertAlign w:val="superscript"/>
        </w:rPr>
        <w:t>3</w:t>
      </w:r>
      <w:r>
        <w:rPr>
          <w:rFonts w:hint="default" w:ascii="Times New Roman" w:hAnsi="Times New Roman" w:cs="Times New Roman"/>
          <w:color w:val="auto"/>
          <w:kern w:val="0"/>
          <w:sz w:val="18"/>
          <w:szCs w:val="18"/>
          <w:highlight w:val="none"/>
        </w:rPr>
        <w:t>）和活度（Bq）</w:t>
      </w:r>
    </w:p>
    <w:p w14:paraId="238C7B0D">
      <w:pPr>
        <w:pStyle w:val="2"/>
        <w:adjustRightInd w:val="0"/>
        <w:snapToGrid w:val="0"/>
        <w:spacing w:before="0" w:after="0"/>
        <w:jc w:val="center"/>
        <w:rPr>
          <w:rFonts w:hint="default" w:ascii="Times New Roman" w:hAnsi="Times New Roman" w:cs="Times New Roman"/>
          <w:b w:val="0"/>
          <w:bCs/>
          <w:color w:val="auto"/>
          <w:sz w:val="30"/>
          <w:szCs w:val="30"/>
          <w:highlight w:val="none"/>
          <w:lang w:val="en-GB"/>
        </w:rPr>
      </w:pPr>
      <w:bookmarkStart w:id="19" w:name="_Toc17971"/>
      <w:bookmarkStart w:id="20" w:name="_Toc24599"/>
      <w:bookmarkStart w:id="21" w:name="_Toc12372"/>
      <w:bookmarkStart w:id="22" w:name="_Toc448838917"/>
      <w:bookmarkStart w:id="23" w:name="_Toc19072"/>
      <w:bookmarkStart w:id="24" w:name="_Toc28139"/>
      <w:bookmarkStart w:id="25" w:name="_Toc32082"/>
      <w:r>
        <w:rPr>
          <w:rFonts w:hint="default" w:ascii="Times New Roman" w:hAnsi="Times New Roman" w:cs="Times New Roman"/>
          <w:b w:val="0"/>
          <w:bCs/>
          <w:color w:val="auto"/>
          <w:sz w:val="30"/>
          <w:szCs w:val="30"/>
          <w:highlight w:val="none"/>
          <w:lang w:val="en-GB"/>
        </w:rPr>
        <w:t>表6 评价依据</w:t>
      </w:r>
      <w:bookmarkEnd w:id="19"/>
      <w:bookmarkEnd w:id="20"/>
      <w:bookmarkEnd w:id="21"/>
      <w:bookmarkEnd w:id="22"/>
      <w:bookmarkEnd w:id="23"/>
      <w:bookmarkEnd w:id="24"/>
    </w:p>
    <w:tbl>
      <w:tblPr>
        <w:tblStyle w:val="2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2"/>
        <w:gridCol w:w="7612"/>
      </w:tblGrid>
      <w:tr w14:paraId="3BF53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30" w:type="pct"/>
            <w:vAlign w:val="center"/>
          </w:tcPr>
          <w:p w14:paraId="2452E46A">
            <w:pPr>
              <w:adjustRightInd w:val="0"/>
              <w:snapToGrid w:val="0"/>
              <w:spacing w:line="360" w:lineRule="auto"/>
              <w:jc w:val="center"/>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法规</w:t>
            </w:r>
          </w:p>
          <w:p w14:paraId="34AF814B">
            <w:pPr>
              <w:adjustRightInd w:val="0"/>
              <w:snapToGrid w:val="0"/>
              <w:spacing w:line="360" w:lineRule="auto"/>
              <w:jc w:val="center"/>
              <w:rPr>
                <w:rFonts w:hint="default" w:ascii="Times New Roman" w:hAnsi="Times New Roman" w:cs="Times New Roman"/>
                <w:b/>
                <w:color w:val="auto"/>
                <w:sz w:val="24"/>
                <w:highlight w:val="none"/>
              </w:rPr>
            </w:pPr>
            <w:r>
              <w:rPr>
                <w:rFonts w:hint="default" w:ascii="Times New Roman" w:hAnsi="Times New Roman" w:cs="Times New Roman"/>
                <w:bCs/>
                <w:color w:val="auto"/>
                <w:sz w:val="24"/>
                <w:highlight w:val="none"/>
              </w:rPr>
              <w:t>文件</w:t>
            </w:r>
          </w:p>
        </w:tc>
        <w:tc>
          <w:tcPr>
            <w:tcW w:w="4469" w:type="pct"/>
            <w:vAlign w:val="center"/>
          </w:tcPr>
          <w:p w14:paraId="06A9B55D">
            <w:pPr>
              <w:adjustRightInd w:val="0"/>
              <w:snapToGrid w:val="0"/>
              <w:spacing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（1）《中华人民共和国环境保护法》（2015年01月01日（修订）实施）；</w:t>
            </w:r>
          </w:p>
          <w:p w14:paraId="4EFDA027">
            <w:pPr>
              <w:adjustRightInd w:val="0"/>
              <w:snapToGrid w:val="0"/>
              <w:spacing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（2）《中华人民共和国环境影响评价法》（2018年12月29日修订）；</w:t>
            </w:r>
          </w:p>
          <w:p w14:paraId="288F452D">
            <w:pPr>
              <w:adjustRightInd w:val="0"/>
              <w:snapToGrid w:val="0"/>
              <w:spacing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（3）《中华人民共和国放射性污染防治法》（中华人民共和国主席令第六号，2003年10月1日实施）；</w:t>
            </w:r>
          </w:p>
          <w:p w14:paraId="497527CF">
            <w:pPr>
              <w:adjustRightInd w:val="0"/>
              <w:snapToGrid w:val="0"/>
              <w:spacing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（4）《国务院关于修改&lt;建设项目环境保护管理条例&gt;的决定》（国务院令第682号，2017年10月1日起施行）；</w:t>
            </w:r>
          </w:p>
          <w:p w14:paraId="0AAF8ADC">
            <w:pPr>
              <w:adjustRightInd w:val="0"/>
              <w:snapToGrid w:val="0"/>
              <w:spacing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放射性同位素与射线装置安全许可管理办法》（2006年，国家环境保护总局令第31号，2008年12月6日经环境保护部令第3号修改，2017年12月20日经环境保护部令第47号修改，2019年8月22日经生态环境部令第7号修改，2021年1月4日经生态环境部令 第20号修改）；</w:t>
            </w:r>
          </w:p>
          <w:p w14:paraId="415E6DB5">
            <w:pPr>
              <w:pStyle w:val="8"/>
              <w:adjustRightInd w:val="0"/>
              <w:snapToGrid w:val="0"/>
              <w:spacing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（6）《放射性同位素与射线装置安全和防护条例》（2005年9月14日国务院第449号令发布，2019年3月2日《国务院关于修改部分行政法规的决定》（国务院令第709号）对其进行了修改）；</w:t>
            </w:r>
          </w:p>
          <w:p w14:paraId="05D1F449">
            <w:pPr>
              <w:pStyle w:val="8"/>
              <w:adjustRightInd w:val="0"/>
              <w:snapToGrid w:val="0"/>
              <w:spacing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（7）《放射性同位素与射线装置安全和防护管理办法》（环境保护部第18号令）；</w:t>
            </w:r>
          </w:p>
          <w:p w14:paraId="16B9CC66">
            <w:pPr>
              <w:adjustRightInd w:val="0"/>
              <w:snapToGrid w:val="0"/>
              <w:spacing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（8）《建设项目环境影响评价分类管理名录》（2021年版）（生态环境部第16号令；</w:t>
            </w:r>
          </w:p>
          <w:p w14:paraId="3451147F">
            <w:pPr>
              <w:adjustRightInd w:val="0"/>
              <w:snapToGrid w:val="0"/>
              <w:spacing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（9）《四川省辐射污染防治条例》（四川省第十二届人大常委会通过，2016年6月1日起实施）；</w:t>
            </w:r>
          </w:p>
          <w:p w14:paraId="56027F32">
            <w:pPr>
              <w:adjustRightInd w:val="0"/>
              <w:snapToGrid w:val="0"/>
              <w:spacing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（10）《关于发布&lt;射线装置分类&gt;的公告》（环境保护部/国家卫生和计划生育委员会，公告2017年第66号）；</w:t>
            </w:r>
          </w:p>
          <w:p w14:paraId="465379B3">
            <w:pPr>
              <w:adjustRightInd w:val="0"/>
              <w:snapToGrid w:val="0"/>
              <w:spacing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（11）《关于核技术利用辐射安全与防护培训和考核有关事项的公告》（生态环境部公告 2019年 第57号，2020年1月1日施行）；</w:t>
            </w:r>
          </w:p>
          <w:p w14:paraId="7DBA0801">
            <w:pPr>
              <w:adjustRightInd w:val="0"/>
              <w:snapToGrid w:val="0"/>
              <w:spacing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（12）《关于进一步优化辐射安全考核的公告》（生态环境部公告2021年第9号）；</w:t>
            </w:r>
          </w:p>
          <w:p w14:paraId="21763201">
            <w:pPr>
              <w:adjustRightInd w:val="0"/>
              <w:snapToGrid w:val="0"/>
              <w:spacing w:line="360" w:lineRule="auto"/>
              <w:rPr>
                <w:rFonts w:hint="default" w:ascii="Times New Roman" w:hAnsi="Times New Roman" w:cs="Times New Roman"/>
                <w:color w:val="auto"/>
                <w:sz w:val="24"/>
                <w:highlight w:val="none"/>
              </w:rPr>
            </w:pPr>
            <w:r>
              <w:rPr>
                <w:rFonts w:hint="default" w:ascii="Times New Roman" w:hAnsi="Times New Roman" w:cs="Times New Roman"/>
                <w:bCs/>
                <w:color w:val="auto"/>
                <w:sz w:val="24"/>
                <w:highlight w:val="none"/>
              </w:rPr>
              <w:t>（13）《四川省施工场地扬尘排放标准》（DB51/2682-2020）；</w:t>
            </w:r>
          </w:p>
        </w:tc>
      </w:tr>
      <w:tr w14:paraId="6471D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3" w:hRule="atLeast"/>
        </w:trPr>
        <w:tc>
          <w:tcPr>
            <w:tcW w:w="530" w:type="pct"/>
            <w:vAlign w:val="center"/>
          </w:tcPr>
          <w:p w14:paraId="6F31EB6D">
            <w:pPr>
              <w:adjustRightInd w:val="0"/>
              <w:snapToGrid w:val="0"/>
              <w:spacing w:line="360" w:lineRule="auto"/>
              <w:jc w:val="center"/>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技术</w:t>
            </w:r>
          </w:p>
          <w:p w14:paraId="46717FF0">
            <w:pPr>
              <w:adjustRightInd w:val="0"/>
              <w:snapToGrid w:val="0"/>
              <w:spacing w:line="360" w:lineRule="auto"/>
              <w:jc w:val="center"/>
              <w:rPr>
                <w:rFonts w:hint="default" w:ascii="Times New Roman" w:hAnsi="Times New Roman" w:cs="Times New Roman"/>
                <w:b/>
                <w:color w:val="auto"/>
                <w:sz w:val="24"/>
                <w:highlight w:val="none"/>
              </w:rPr>
            </w:pPr>
            <w:r>
              <w:rPr>
                <w:rFonts w:hint="default" w:ascii="Times New Roman" w:hAnsi="Times New Roman" w:cs="Times New Roman"/>
                <w:bCs/>
                <w:color w:val="auto"/>
                <w:sz w:val="24"/>
                <w:highlight w:val="none"/>
              </w:rPr>
              <w:t>标准</w:t>
            </w:r>
          </w:p>
        </w:tc>
        <w:tc>
          <w:tcPr>
            <w:tcW w:w="4469" w:type="pct"/>
            <w:vAlign w:val="center"/>
          </w:tcPr>
          <w:p w14:paraId="0A10B4F2">
            <w:pPr>
              <w:pStyle w:val="63"/>
              <w:adjustRightInd w:val="0"/>
              <w:snapToGrid w:val="0"/>
              <w:spacing w:line="360" w:lineRule="auto"/>
              <w:ind w:firstLine="0" w:firstLineChars="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（1）《建设项目环境影响评价技术导则 总纲》（HJ 2.1-2016）；</w:t>
            </w:r>
          </w:p>
          <w:p w14:paraId="6357C856">
            <w:pPr>
              <w:pStyle w:val="63"/>
              <w:adjustRightInd w:val="0"/>
              <w:snapToGrid w:val="0"/>
              <w:spacing w:line="360" w:lineRule="auto"/>
              <w:ind w:firstLine="0" w:firstLineChars="0"/>
              <w:rPr>
                <w:rFonts w:hint="default" w:ascii="Times New Roman" w:hAnsi="Times New Roman" w:cs="Times New Roman"/>
                <w:color w:val="auto"/>
                <w:kern w:val="0"/>
                <w:sz w:val="24"/>
                <w:highlight w:val="none"/>
                <w:lang w:bidi="ar"/>
              </w:rPr>
            </w:pPr>
            <w:r>
              <w:rPr>
                <w:rFonts w:hint="default" w:ascii="Times New Roman" w:hAnsi="Times New Roman" w:cs="Times New Roman"/>
                <w:bCs/>
                <w:color w:val="auto"/>
                <w:sz w:val="24"/>
                <w:highlight w:val="none"/>
              </w:rPr>
              <w:t>（2）</w:t>
            </w:r>
            <w:r>
              <w:rPr>
                <w:rFonts w:hint="default" w:ascii="Times New Roman" w:hAnsi="Times New Roman" w:cs="Times New Roman"/>
                <w:color w:val="auto"/>
                <w:sz w:val="24"/>
                <w:highlight w:val="none"/>
              </w:rPr>
              <w:t>《辐射环境保护管理导则 核技术利用建设项目 环境影响评价文件的内容和格式》（HJ 10.1-2016）</w:t>
            </w:r>
            <w:r>
              <w:rPr>
                <w:rFonts w:hint="default" w:ascii="Times New Roman" w:hAnsi="Times New Roman" w:cs="Times New Roman"/>
                <w:bCs/>
                <w:color w:val="auto"/>
                <w:sz w:val="24"/>
                <w:highlight w:val="none"/>
              </w:rPr>
              <w:t>；</w:t>
            </w:r>
          </w:p>
          <w:p w14:paraId="407A4146">
            <w:pPr>
              <w:pStyle w:val="63"/>
              <w:adjustRightInd w:val="0"/>
              <w:snapToGrid w:val="0"/>
              <w:spacing w:line="360" w:lineRule="auto"/>
              <w:ind w:firstLine="0" w:firstLineChars="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（3）《电离辐射防护与辐射源安全基本标准》（GB 18871-2002）；</w:t>
            </w:r>
          </w:p>
          <w:p w14:paraId="4EB1474B">
            <w:pPr>
              <w:pStyle w:val="63"/>
              <w:adjustRightInd w:val="0"/>
              <w:snapToGrid w:val="0"/>
              <w:spacing w:line="360" w:lineRule="auto"/>
              <w:ind w:firstLine="0" w:firstLineChars="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（4）《放射诊断放射防护要求》（GBZ 130-2020）；</w:t>
            </w:r>
          </w:p>
          <w:p w14:paraId="2BD19067">
            <w:pPr>
              <w:pStyle w:val="63"/>
              <w:adjustRightInd w:val="0"/>
              <w:snapToGrid w:val="0"/>
              <w:spacing w:line="360" w:lineRule="auto"/>
              <w:ind w:firstLine="0" w:firstLineChars="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（5）《职业性外照射个人监测规范》（GBZ 128-2019）；</w:t>
            </w:r>
          </w:p>
          <w:p w14:paraId="1A05927E">
            <w:pPr>
              <w:pStyle w:val="63"/>
              <w:adjustRightInd w:val="0"/>
              <w:snapToGrid w:val="0"/>
              <w:spacing w:line="360" w:lineRule="auto"/>
              <w:ind w:firstLine="0" w:firstLineChars="0"/>
              <w:rPr>
                <w:rFonts w:hint="default" w:ascii="Times New Roman" w:hAnsi="Times New Roman" w:cs="Times New Roman"/>
                <w:bCs/>
                <w:color w:val="auto"/>
                <w:spacing w:val="-2"/>
                <w:sz w:val="24"/>
                <w:highlight w:val="none"/>
              </w:rPr>
            </w:pPr>
            <w:r>
              <w:rPr>
                <w:rFonts w:hint="default" w:ascii="Times New Roman" w:hAnsi="Times New Roman" w:cs="Times New Roman"/>
                <w:bCs/>
                <w:color w:val="auto"/>
                <w:sz w:val="24"/>
                <w:highlight w:val="none"/>
              </w:rPr>
              <w:t>（6）</w:t>
            </w:r>
            <w:r>
              <w:rPr>
                <w:rFonts w:hint="default" w:ascii="Times New Roman" w:hAnsi="Times New Roman" w:cs="Times New Roman"/>
                <w:bCs/>
                <w:color w:val="auto"/>
                <w:spacing w:val="-2"/>
                <w:sz w:val="24"/>
                <w:highlight w:val="none"/>
              </w:rPr>
              <w:t>《职业性外照射急性放射病诊断》（GBZ 104-2017）；</w:t>
            </w:r>
          </w:p>
          <w:p w14:paraId="130F13F7">
            <w:pPr>
              <w:pStyle w:val="63"/>
              <w:adjustRightInd w:val="0"/>
              <w:snapToGrid w:val="0"/>
              <w:spacing w:line="360" w:lineRule="auto"/>
              <w:ind w:firstLine="0" w:firstLineChars="0"/>
              <w:rPr>
                <w:rFonts w:hint="default" w:ascii="Times New Roman" w:hAnsi="Times New Roman" w:cs="Times New Roman"/>
                <w:bCs/>
                <w:color w:val="auto"/>
                <w:spacing w:val="-2"/>
                <w:sz w:val="24"/>
                <w:highlight w:val="none"/>
              </w:rPr>
            </w:pPr>
            <w:r>
              <w:rPr>
                <w:rFonts w:hint="default" w:ascii="Times New Roman" w:hAnsi="Times New Roman" w:cs="Times New Roman"/>
                <w:bCs/>
                <w:color w:val="auto"/>
                <w:sz w:val="24"/>
                <w:highlight w:val="none"/>
              </w:rPr>
              <w:t>（7）</w:t>
            </w:r>
            <w:r>
              <w:rPr>
                <w:rFonts w:hint="default" w:ascii="Times New Roman" w:hAnsi="Times New Roman" w:cs="Times New Roman"/>
                <w:bCs/>
                <w:color w:val="auto"/>
                <w:kern w:val="0"/>
                <w:sz w:val="24"/>
                <w:highlight w:val="none"/>
              </w:rPr>
              <w:t>《电离辐射所致皮肤剂量估算方法》（GBZ/T244-2017）</w:t>
            </w:r>
            <w:r>
              <w:rPr>
                <w:rFonts w:hint="default" w:ascii="Times New Roman" w:hAnsi="Times New Roman" w:cs="Times New Roman"/>
                <w:bCs/>
                <w:color w:val="auto"/>
                <w:spacing w:val="-2"/>
                <w:sz w:val="24"/>
                <w:highlight w:val="none"/>
              </w:rPr>
              <w:t>；</w:t>
            </w:r>
          </w:p>
          <w:p w14:paraId="67EECEC1">
            <w:pPr>
              <w:pStyle w:val="63"/>
              <w:adjustRightInd w:val="0"/>
              <w:snapToGrid w:val="0"/>
              <w:spacing w:line="360" w:lineRule="auto"/>
              <w:ind w:firstLine="0" w:firstLineChars="0"/>
              <w:rPr>
                <w:rFonts w:hint="default" w:ascii="Times New Roman" w:hAnsi="Times New Roman" w:cs="Times New Roman"/>
                <w:color w:val="auto"/>
                <w:sz w:val="24"/>
                <w:highlight w:val="none"/>
              </w:rPr>
            </w:pPr>
            <w:r>
              <w:rPr>
                <w:rFonts w:hint="default" w:ascii="Times New Roman" w:hAnsi="Times New Roman" w:cs="Times New Roman"/>
                <w:bCs/>
                <w:color w:val="auto"/>
                <w:sz w:val="24"/>
                <w:highlight w:val="none"/>
              </w:rPr>
              <w:t>（8）</w:t>
            </w:r>
            <w:r>
              <w:rPr>
                <w:rFonts w:hint="default" w:ascii="Times New Roman" w:hAnsi="Times New Roman" w:cs="Times New Roman"/>
                <w:color w:val="auto"/>
                <w:sz w:val="24"/>
                <w:highlight w:val="none"/>
              </w:rPr>
              <w:t>《辐射环境监测技术规范》（HJ 61-2021）；</w:t>
            </w:r>
          </w:p>
          <w:p w14:paraId="283044A5">
            <w:pPr>
              <w:pStyle w:val="63"/>
              <w:adjustRightInd w:val="0"/>
              <w:snapToGrid w:val="0"/>
              <w:spacing w:line="360" w:lineRule="auto"/>
              <w:ind w:firstLine="0" w:firstLineChars="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（9）</w:t>
            </w:r>
            <w:r>
              <w:rPr>
                <w:rFonts w:hint="default" w:ascii="Times New Roman" w:hAnsi="Times New Roman" w:cs="Times New Roman"/>
                <w:color w:val="auto"/>
                <w:sz w:val="24"/>
                <w:highlight w:val="none"/>
              </w:rPr>
              <w:t>《环境γ辐射剂量率测量技术规范》（HJ 1157—2021）</w:t>
            </w:r>
            <w:r>
              <w:rPr>
                <w:rFonts w:hint="default" w:ascii="Times New Roman" w:hAnsi="Times New Roman" w:cs="Times New Roman"/>
                <w:bCs/>
                <w:color w:val="auto"/>
                <w:sz w:val="24"/>
                <w:highlight w:val="none"/>
              </w:rPr>
              <w:t>；</w:t>
            </w:r>
          </w:p>
          <w:p w14:paraId="0EF703B4">
            <w:pPr>
              <w:pStyle w:val="63"/>
              <w:adjustRightInd w:val="0"/>
              <w:snapToGrid w:val="0"/>
              <w:spacing w:line="360" w:lineRule="auto"/>
              <w:ind w:firstLine="0" w:firstLineChars="0"/>
              <w:rPr>
                <w:rFonts w:hint="default" w:ascii="Times New Roman" w:hAnsi="Times New Roman" w:eastAsia="宋体" w:cs="Times New Roman"/>
                <w:bCs/>
                <w:color w:val="auto"/>
                <w:sz w:val="24"/>
                <w:highlight w:val="none"/>
                <w:lang w:eastAsia="zh-CN"/>
              </w:rPr>
            </w:pPr>
            <w:r>
              <w:rPr>
                <w:rFonts w:hint="default"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lang w:val="en-US" w:eastAsia="zh-CN"/>
              </w:rPr>
              <w:t>1</w:t>
            </w:r>
            <w:r>
              <w:rPr>
                <w:rFonts w:hint="eastAsia" w:ascii="Times New Roman" w:hAnsi="Times New Roman" w:cs="Times New Roman"/>
                <w:bCs/>
                <w:color w:val="auto"/>
                <w:sz w:val="24"/>
                <w:highlight w:val="none"/>
                <w:lang w:val="en-US" w:eastAsia="zh-CN"/>
              </w:rPr>
              <w:t>0</w:t>
            </w:r>
            <w:r>
              <w:rPr>
                <w:rFonts w:hint="default" w:ascii="Times New Roman" w:hAnsi="Times New Roman" w:cs="Times New Roman"/>
                <w:bCs/>
                <w:color w:val="auto"/>
                <w:sz w:val="24"/>
                <w:highlight w:val="none"/>
                <w:lang w:eastAsia="zh-CN"/>
              </w:rPr>
              <w:t>）《外照射放射防护剂量转换系数标准》（WS/T830-2024）；</w:t>
            </w:r>
          </w:p>
        </w:tc>
      </w:tr>
      <w:tr w14:paraId="662F7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3" w:hRule="atLeast"/>
        </w:trPr>
        <w:tc>
          <w:tcPr>
            <w:tcW w:w="530" w:type="pct"/>
            <w:vAlign w:val="center"/>
          </w:tcPr>
          <w:p w14:paraId="7CA17C13">
            <w:pPr>
              <w:adjustRightInd w:val="0"/>
              <w:snapToGrid w:val="0"/>
              <w:spacing w:line="360" w:lineRule="auto"/>
              <w:jc w:val="center"/>
              <w:rPr>
                <w:rFonts w:hint="default" w:ascii="Times New Roman" w:hAnsi="Times New Roman" w:cs="Times New Roman"/>
                <w:b/>
                <w:color w:val="auto"/>
                <w:sz w:val="24"/>
                <w:highlight w:val="none"/>
              </w:rPr>
            </w:pPr>
            <w:r>
              <w:rPr>
                <w:rFonts w:hint="default" w:ascii="Times New Roman" w:hAnsi="Times New Roman" w:cs="Times New Roman"/>
                <w:bCs/>
                <w:color w:val="auto"/>
                <w:sz w:val="24"/>
                <w:highlight w:val="none"/>
              </w:rPr>
              <w:t>其他</w:t>
            </w:r>
          </w:p>
        </w:tc>
        <w:tc>
          <w:tcPr>
            <w:tcW w:w="4469" w:type="pct"/>
            <w:vAlign w:val="center"/>
          </w:tcPr>
          <w:p w14:paraId="75ED8AEF">
            <w:pPr>
              <w:widowControl/>
              <w:adjustRightInd w:val="0"/>
              <w:snapToGrid w:val="0"/>
              <w:spacing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（1）《核技术利用监督检查技术程序》（2020年发布版）（生态环境部（国家核安全局））；</w:t>
            </w:r>
          </w:p>
          <w:p w14:paraId="004B15DF">
            <w:pPr>
              <w:widowControl/>
              <w:adjustRightInd w:val="0"/>
              <w:snapToGrid w:val="0"/>
              <w:spacing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rPr>
              <w:t>）四川省生态环境厅</w:t>
            </w:r>
            <w:r>
              <w:rPr>
                <w:rFonts w:hint="default" w:ascii="Times New Roman" w:hAnsi="Times New Roman" w:cs="Times New Roman"/>
                <w:color w:val="auto"/>
                <w:sz w:val="24"/>
                <w:highlight w:val="none"/>
                <w:lang w:val="en-US" w:eastAsia="zh-CN"/>
              </w:rPr>
              <w:t>关于印发《四川省生态环境厅（四川省核安全管理局）辐射事故应急预案（2024年版）的通知》（川环函[2024]984号）</w:t>
            </w:r>
            <w:r>
              <w:rPr>
                <w:rFonts w:hint="default" w:ascii="Times New Roman" w:hAnsi="Times New Roman" w:cs="Times New Roman"/>
                <w:color w:val="auto"/>
                <w:sz w:val="24"/>
                <w:highlight w:val="none"/>
              </w:rPr>
              <w:t>；</w:t>
            </w:r>
          </w:p>
          <w:p w14:paraId="63A88CFE">
            <w:pPr>
              <w:widowControl/>
              <w:adjustRightInd w:val="0"/>
              <w:snapToGrid w:val="0"/>
              <w:spacing w:line="360" w:lineRule="auto"/>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3</w:t>
            </w:r>
            <w:r>
              <w:rPr>
                <w:rFonts w:hint="default" w:ascii="Times New Roman" w:hAnsi="Times New Roman" w:cs="Times New Roman"/>
                <w:color w:val="auto"/>
                <w:sz w:val="24"/>
                <w:highlight w:val="none"/>
              </w:rPr>
              <w:t>）《辐射防护手册》</w:t>
            </w:r>
            <w:r>
              <w:rPr>
                <w:rFonts w:hint="default" w:ascii="Times New Roman" w:hAnsi="Times New Roman" w:cs="Times New Roman"/>
                <w:color w:val="auto"/>
                <w:kern w:val="0"/>
                <w:sz w:val="24"/>
                <w:highlight w:val="none"/>
                <w:lang w:bidi="ar"/>
              </w:rPr>
              <w:t>（第一分册—辐射源与屏蔽，原子能出版社，1987）；</w:t>
            </w:r>
          </w:p>
          <w:p w14:paraId="25FCD381">
            <w:pPr>
              <w:widowControl/>
              <w:adjustRightInd w:val="0"/>
              <w:snapToGrid w:val="0"/>
              <w:spacing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4</w:t>
            </w:r>
            <w:r>
              <w:rPr>
                <w:rFonts w:hint="default" w:ascii="Times New Roman" w:hAnsi="Times New Roman" w:cs="Times New Roman"/>
                <w:color w:val="auto"/>
                <w:sz w:val="24"/>
                <w:highlight w:val="none"/>
              </w:rPr>
              <w:t>）《委托书》；</w:t>
            </w:r>
          </w:p>
          <w:p w14:paraId="41D7E655">
            <w:pPr>
              <w:widowControl/>
              <w:adjustRightInd w:val="0"/>
              <w:snapToGrid w:val="0"/>
              <w:spacing w:line="360" w:lineRule="auto"/>
              <w:rPr>
                <w:rFonts w:hint="default" w:ascii="Times New Roman" w:hAnsi="Times New Roman" w:cs="Times New Roman"/>
                <w:strike/>
                <w:dstrike w:val="0"/>
                <w:color w:val="auto"/>
                <w:kern w:val="0"/>
                <w:sz w:val="24"/>
                <w:highlight w:val="none"/>
                <w:lang w:bidi="ar"/>
              </w:rPr>
            </w:pP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5</w:t>
            </w:r>
            <w:r>
              <w:rPr>
                <w:rFonts w:hint="default" w:ascii="Times New Roman" w:hAnsi="Times New Roman" w:cs="Times New Roman"/>
                <w:color w:val="auto"/>
                <w:sz w:val="24"/>
                <w:highlight w:val="none"/>
              </w:rPr>
              <w:t>）医院提供的工程设计图纸及相关技术参数资料。</w:t>
            </w:r>
          </w:p>
          <w:p w14:paraId="79383C25">
            <w:pPr>
              <w:pStyle w:val="63"/>
              <w:adjustRightInd w:val="0"/>
              <w:snapToGrid w:val="0"/>
              <w:spacing w:line="360" w:lineRule="auto"/>
              <w:ind w:firstLine="0" w:firstLineChars="0"/>
              <w:rPr>
                <w:rFonts w:hint="eastAsia"/>
                <w:color w:val="auto"/>
                <w:sz w:val="24"/>
                <w:highlight w:val="none"/>
              </w:rPr>
            </w:pPr>
            <w:r>
              <w:rPr>
                <w:rFonts w:hint="default" w:ascii="Times New Roman" w:hAnsi="Times New Roman" w:cs="Times New Roman"/>
                <w:color w:val="auto"/>
                <w:kern w:val="0"/>
                <w:sz w:val="24"/>
                <w:highlight w:val="none"/>
                <w:lang w:eastAsia="zh-CN" w:bidi="ar"/>
              </w:rPr>
              <w:t>（</w:t>
            </w:r>
            <w:r>
              <w:rPr>
                <w:rFonts w:hint="default" w:ascii="Times New Roman" w:hAnsi="Times New Roman" w:cs="Times New Roman"/>
                <w:color w:val="auto"/>
                <w:kern w:val="0"/>
                <w:sz w:val="24"/>
                <w:highlight w:val="none"/>
                <w:lang w:val="en-US" w:eastAsia="zh-CN" w:bidi="ar"/>
              </w:rPr>
              <w:t>6</w:t>
            </w:r>
            <w:r>
              <w:rPr>
                <w:rFonts w:hint="default" w:ascii="Times New Roman" w:hAnsi="Times New Roman" w:cs="Times New Roman"/>
                <w:color w:val="auto"/>
                <w:kern w:val="0"/>
                <w:sz w:val="24"/>
                <w:highlight w:val="none"/>
                <w:lang w:eastAsia="zh-CN" w:bidi="ar"/>
              </w:rPr>
              <w:t>）《</w:t>
            </w:r>
            <w:r>
              <w:rPr>
                <w:rFonts w:hint="default" w:ascii="Times New Roman" w:hAnsi="Times New Roman" w:cs="Times New Roman"/>
                <w:color w:val="auto"/>
                <w:kern w:val="0"/>
                <w:sz w:val="24"/>
                <w:highlight w:val="none"/>
                <w:lang w:val="en-US" w:eastAsia="zh-CN" w:bidi="ar"/>
              </w:rPr>
              <w:t>四川省核技术利用单位辐射安全工作指引（2025年版）</w:t>
            </w:r>
            <w:r>
              <w:rPr>
                <w:rFonts w:hint="default" w:ascii="Times New Roman" w:hAnsi="Times New Roman" w:cs="Times New Roman"/>
                <w:color w:val="auto"/>
                <w:highlight w:val="none"/>
                <w:lang w:eastAsia="zh-CN"/>
              </w:rPr>
              <w:t>》</w:t>
            </w:r>
            <w:r>
              <w:rPr>
                <w:rFonts w:hint="eastAsia"/>
                <w:color w:val="auto"/>
                <w:sz w:val="24"/>
                <w:highlight w:val="none"/>
              </w:rPr>
              <w:t>（四川省环境保护厅，川环函〔2025〕616号），自2025年11月7日发布；</w:t>
            </w:r>
          </w:p>
          <w:p w14:paraId="4237B4E9">
            <w:pPr>
              <w:pStyle w:val="63"/>
              <w:adjustRightInd w:val="0"/>
              <w:snapToGrid w:val="0"/>
              <w:spacing w:line="360" w:lineRule="auto"/>
              <w:ind w:firstLine="0" w:firstLineChars="0"/>
              <w:rPr>
                <w:rFonts w:hint="eastAsia" w:eastAsia="宋体"/>
                <w:color w:val="auto"/>
                <w:sz w:val="24"/>
                <w:highlight w:val="none"/>
                <w:lang w:eastAsia="zh-CN"/>
              </w:rPr>
            </w:pPr>
            <w:r>
              <w:rPr>
                <w:rFonts w:hint="eastAsia"/>
                <w:color w:val="auto"/>
                <w:sz w:val="24"/>
                <w:highlight w:val="none"/>
                <w:lang w:eastAsia="zh-CN"/>
              </w:rPr>
              <w:t>（</w:t>
            </w:r>
            <w:r>
              <w:rPr>
                <w:rFonts w:hint="eastAsia"/>
                <w:color w:val="auto"/>
                <w:sz w:val="24"/>
                <w:highlight w:val="none"/>
                <w:lang w:val="en-US" w:eastAsia="zh-CN"/>
              </w:rPr>
              <w:t>7</w:t>
            </w:r>
            <w:r>
              <w:rPr>
                <w:rFonts w:hint="eastAsia"/>
                <w:color w:val="auto"/>
                <w:sz w:val="24"/>
                <w:highlight w:val="none"/>
                <w:lang w:eastAsia="zh-CN"/>
              </w:rPr>
              <w:t>）</w:t>
            </w:r>
            <w:r>
              <w:rPr>
                <w:rFonts w:hint="eastAsia"/>
                <w:color w:val="auto"/>
                <w:sz w:val="24"/>
                <w:highlight w:val="none"/>
              </w:rPr>
              <w:t>《2024年四川省生态环境质量公报》，四川省生态环境厅。</w:t>
            </w:r>
          </w:p>
          <w:p w14:paraId="66621C38">
            <w:pPr>
              <w:pStyle w:val="63"/>
              <w:adjustRightInd w:val="0"/>
              <w:snapToGrid w:val="0"/>
              <w:spacing w:line="360" w:lineRule="auto"/>
              <w:ind w:firstLine="0" w:firstLineChars="0"/>
              <w:rPr>
                <w:rFonts w:hint="default" w:ascii="Times New Roman" w:hAnsi="Times New Roman" w:cs="Times New Roman"/>
                <w:color w:val="auto"/>
                <w:kern w:val="0"/>
                <w:sz w:val="24"/>
                <w:highlight w:val="none"/>
                <w:lang w:bidi="ar"/>
              </w:rPr>
            </w:pPr>
          </w:p>
          <w:p w14:paraId="71FC5141">
            <w:pPr>
              <w:adjustRightInd w:val="0"/>
              <w:snapToGrid w:val="0"/>
              <w:spacing w:line="360" w:lineRule="auto"/>
              <w:rPr>
                <w:rFonts w:hint="default" w:ascii="Times New Roman" w:hAnsi="Times New Roman" w:cs="Times New Roman"/>
                <w:color w:val="auto"/>
                <w:sz w:val="24"/>
                <w:highlight w:val="none"/>
              </w:rPr>
            </w:pPr>
          </w:p>
          <w:p w14:paraId="382CE2CE">
            <w:pPr>
              <w:pStyle w:val="8"/>
              <w:rPr>
                <w:rFonts w:hint="default" w:ascii="Times New Roman" w:hAnsi="Times New Roman" w:eastAsia="宋体" w:cs="Times New Roman"/>
                <w:color w:val="auto"/>
                <w:highlight w:val="none"/>
                <w:lang w:eastAsia="zh-CN"/>
              </w:rPr>
            </w:pPr>
          </w:p>
          <w:p w14:paraId="530EAE35">
            <w:pPr>
              <w:pStyle w:val="32"/>
              <w:rPr>
                <w:rFonts w:hint="default" w:ascii="Times New Roman" w:hAnsi="Times New Roman" w:cs="Times New Roman"/>
                <w:color w:val="auto"/>
                <w:highlight w:val="none"/>
              </w:rPr>
            </w:pPr>
          </w:p>
          <w:p w14:paraId="3782E255">
            <w:pPr>
              <w:rPr>
                <w:rFonts w:hint="default" w:ascii="Times New Roman" w:hAnsi="Times New Roman" w:cs="Times New Roman"/>
                <w:color w:val="auto"/>
                <w:highlight w:val="none"/>
              </w:rPr>
            </w:pPr>
          </w:p>
          <w:p w14:paraId="07311FAD">
            <w:pPr>
              <w:rPr>
                <w:rFonts w:hint="default" w:ascii="Times New Roman" w:hAnsi="Times New Roman" w:cs="Times New Roman"/>
                <w:color w:val="auto"/>
                <w:highlight w:val="none"/>
              </w:rPr>
            </w:pPr>
          </w:p>
          <w:p w14:paraId="5756BD0B">
            <w:pPr>
              <w:pStyle w:val="8"/>
              <w:rPr>
                <w:rFonts w:hint="default" w:ascii="Times New Roman" w:hAnsi="Times New Roman" w:cs="Times New Roman"/>
                <w:color w:val="auto"/>
                <w:highlight w:val="none"/>
              </w:rPr>
            </w:pPr>
          </w:p>
          <w:p w14:paraId="2B85290A">
            <w:pPr>
              <w:adjustRightInd w:val="0"/>
              <w:snapToGrid w:val="0"/>
              <w:spacing w:line="360" w:lineRule="auto"/>
              <w:rPr>
                <w:rFonts w:hint="default" w:ascii="Times New Roman" w:hAnsi="Times New Roman" w:cs="Times New Roman"/>
                <w:color w:val="auto"/>
                <w:sz w:val="24"/>
                <w:highlight w:val="none"/>
              </w:rPr>
            </w:pPr>
          </w:p>
        </w:tc>
      </w:tr>
      <w:bookmarkEnd w:id="25"/>
    </w:tbl>
    <w:p w14:paraId="1F0A208E">
      <w:pPr>
        <w:pStyle w:val="2"/>
        <w:adjustRightInd w:val="0"/>
        <w:snapToGrid w:val="0"/>
        <w:spacing w:before="0" w:after="0"/>
        <w:jc w:val="center"/>
        <w:rPr>
          <w:rFonts w:hint="default" w:ascii="Times New Roman" w:hAnsi="Times New Roman" w:cs="Times New Roman"/>
          <w:color w:val="auto"/>
          <w:sz w:val="30"/>
          <w:szCs w:val="30"/>
          <w:highlight w:val="none"/>
          <w:lang w:val="en-GB"/>
        </w:rPr>
      </w:pPr>
      <w:bookmarkStart w:id="26" w:name="_Toc2885"/>
      <w:bookmarkStart w:id="27" w:name="_Toc12006"/>
      <w:bookmarkStart w:id="28" w:name="_Toc4569"/>
      <w:bookmarkStart w:id="29" w:name="_Toc8607"/>
      <w:bookmarkStart w:id="30" w:name="_Toc4745"/>
      <w:bookmarkStart w:id="31" w:name="_Toc448838918"/>
      <w:r>
        <w:rPr>
          <w:rFonts w:hint="default" w:ascii="Times New Roman" w:hAnsi="Times New Roman" w:cs="Times New Roman"/>
          <w:b w:val="0"/>
          <w:bCs/>
          <w:color w:val="auto"/>
          <w:sz w:val="30"/>
          <w:szCs w:val="30"/>
          <w:highlight w:val="none"/>
          <w:lang w:val="en-GB"/>
        </w:rPr>
        <w:t>表7 保护目标与评价标准</w:t>
      </w:r>
      <w:bookmarkEnd w:id="26"/>
      <w:bookmarkEnd w:id="27"/>
      <w:bookmarkEnd w:id="28"/>
      <w:bookmarkEnd w:id="29"/>
      <w:bookmarkEnd w:id="30"/>
      <w:bookmarkEnd w:id="31"/>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7"/>
      </w:tblGrid>
      <w:tr w14:paraId="74092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vAlign w:val="center"/>
          </w:tcPr>
          <w:p w14:paraId="4DA38929">
            <w:pPr>
              <w:adjustRightInd w:val="0"/>
              <w:snapToGrid w:val="0"/>
              <w:spacing w:line="360" w:lineRule="auto"/>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一、评价范围</w:t>
            </w:r>
          </w:p>
          <w:p w14:paraId="0285D801">
            <w:pPr>
              <w:adjustRightInd w:val="0"/>
              <w:snapToGrid w:val="0"/>
              <w:spacing w:line="360" w:lineRule="auto"/>
              <w:ind w:firstLine="480" w:firstLineChars="200"/>
              <w:rPr>
                <w:rFonts w:hint="default" w:ascii="Times New Roman" w:hAnsi="Times New Roman" w:cs="Times New Roman"/>
                <w:bCs/>
                <w:color w:val="auto"/>
                <w:highlight w:val="none"/>
              </w:rPr>
            </w:pPr>
            <w:r>
              <w:rPr>
                <w:rFonts w:hint="default" w:ascii="Times New Roman" w:hAnsi="Times New Roman" w:cs="Times New Roman"/>
                <w:bCs/>
                <w:color w:val="auto"/>
                <w:sz w:val="24"/>
                <w:highlight w:val="none"/>
              </w:rPr>
              <w:t>根据本项目的特点并参照《辐射环境保护管理导则 核技术利用建设项目环境影响评价文件的内容和格式》（HJ 10.1-2016）中“核技术利用建设项目环境影响评价报告书的评价范围和保护目标的选取原则：射线装置应用项目的评价范围，通常取装置所在场所实体屏蔽物边界外50m的范围”；确定本项目所在DSA</w:t>
            </w:r>
            <w:r>
              <w:rPr>
                <w:rFonts w:hint="eastAsia" w:ascii="Times New Roman" w:hAnsi="Times New Roman" w:cs="Times New Roman"/>
                <w:bCs/>
                <w:color w:val="auto"/>
                <w:sz w:val="24"/>
                <w:highlight w:val="none"/>
                <w:lang w:val="en-US" w:eastAsia="zh-CN"/>
              </w:rPr>
              <w:t>介入室</w:t>
            </w:r>
            <w:r>
              <w:rPr>
                <w:rFonts w:hint="default" w:ascii="Times New Roman" w:hAnsi="Times New Roman" w:cs="Times New Roman"/>
                <w:bCs/>
                <w:color w:val="auto"/>
                <w:sz w:val="24"/>
                <w:highlight w:val="none"/>
              </w:rPr>
              <w:t>实体屏蔽墙体外50m范围内为评价范围，详见附图</w:t>
            </w:r>
            <w:r>
              <w:rPr>
                <w:rFonts w:hint="eastAsia" w:ascii="Times New Roman" w:hAnsi="Times New Roman" w:cs="Times New Roman"/>
                <w:bCs/>
                <w:color w:val="auto"/>
                <w:sz w:val="24"/>
                <w:highlight w:val="none"/>
                <w:lang w:val="en-US" w:eastAsia="zh-CN"/>
              </w:rPr>
              <w:t>3</w:t>
            </w:r>
            <w:r>
              <w:rPr>
                <w:rFonts w:hint="default" w:ascii="Times New Roman" w:hAnsi="Times New Roman" w:cs="Times New Roman"/>
                <w:bCs/>
                <w:color w:val="auto"/>
                <w:sz w:val="24"/>
                <w:highlight w:val="none"/>
              </w:rPr>
              <w:t>。</w:t>
            </w:r>
          </w:p>
        </w:tc>
      </w:tr>
      <w:tr w14:paraId="4DA92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vAlign w:val="center"/>
          </w:tcPr>
          <w:p w14:paraId="0C8AB7AE">
            <w:pPr>
              <w:numPr>
                <w:ilvl w:val="0"/>
                <w:numId w:val="9"/>
              </w:numPr>
              <w:adjustRightInd w:val="0"/>
              <w:snapToGrid w:val="0"/>
              <w:spacing w:line="360" w:lineRule="auto"/>
              <w:rPr>
                <w:rFonts w:hint="default" w:ascii="Times New Roman" w:hAnsi="Times New Roman" w:cs="Times New Roman"/>
                <w:color w:val="auto"/>
                <w:highlight w:val="none"/>
              </w:rPr>
            </w:pPr>
            <w:r>
              <w:rPr>
                <w:rFonts w:hint="default" w:ascii="Times New Roman" w:hAnsi="Times New Roman" w:cs="Times New Roman"/>
                <w:bCs/>
                <w:color w:val="auto"/>
                <w:sz w:val="24"/>
                <w:highlight w:val="none"/>
              </w:rPr>
              <w:t>保护目标</w:t>
            </w:r>
          </w:p>
          <w:p w14:paraId="19DCC66F">
            <w:pPr>
              <w:adjustRightInd w:val="0"/>
              <w:snapToGrid w:val="0"/>
              <w:spacing w:line="360" w:lineRule="auto"/>
              <w:ind w:firstLine="480" w:firstLineChars="200"/>
              <w:rPr>
                <w:rFonts w:hint="eastAsia" w:ascii="Times New Roman" w:hAnsi="Times New Roman" w:cs="Times New Roman"/>
                <w:bCs/>
                <w:color w:val="auto"/>
                <w:sz w:val="24"/>
                <w:highlight w:val="none"/>
                <w:lang w:val="en-US" w:eastAsia="zh-CN"/>
              </w:rPr>
            </w:pPr>
            <w:bookmarkStart w:id="32" w:name="_Toc409904790"/>
            <w:bookmarkStart w:id="33" w:name="_Toc416267418"/>
            <w:r>
              <w:rPr>
                <w:rFonts w:hint="eastAsia" w:ascii="Times New Roman" w:hAnsi="Times New Roman" w:cs="Times New Roman"/>
                <w:bCs/>
                <w:color w:val="auto"/>
                <w:sz w:val="24"/>
                <w:highlight w:val="none"/>
                <w:lang w:val="en-US" w:eastAsia="zh-CN"/>
              </w:rPr>
              <w:t>本项目手术室四周墙体边界50m范围内环境保护目标为：</w:t>
            </w:r>
          </w:p>
          <w:p w14:paraId="06F0FFB2">
            <w:pPr>
              <w:numPr>
                <w:ilvl w:val="0"/>
                <w:numId w:val="10"/>
              </w:numPr>
              <w:adjustRightInd w:val="0"/>
              <w:snapToGrid w:val="0"/>
              <w:spacing w:line="360" w:lineRule="auto"/>
              <w:ind w:firstLine="480" w:firstLineChars="200"/>
              <w:rPr>
                <w:rFonts w:hint="eastAsia" w:ascii="Times New Roman" w:hAnsi="Times New Roman" w:cs="Times New Roman"/>
                <w:bCs/>
                <w:color w:val="auto"/>
                <w:sz w:val="24"/>
                <w:highlight w:val="none"/>
                <w:lang w:val="en-US" w:eastAsia="zh-CN"/>
              </w:rPr>
            </w:pPr>
            <w:r>
              <w:rPr>
                <w:rFonts w:hint="eastAsia" w:ascii="Times New Roman" w:hAnsi="Times New Roman" w:cs="Times New Roman"/>
                <w:bCs/>
                <w:color w:val="auto"/>
                <w:sz w:val="24"/>
                <w:highlight w:val="none"/>
                <w:lang w:val="en-US" w:eastAsia="zh-CN"/>
              </w:rPr>
              <w:t>本项目DSA介入室操作及相关的辐射工作人员；</w:t>
            </w:r>
          </w:p>
          <w:p w14:paraId="7034E5EF">
            <w:pPr>
              <w:widowControl w:val="0"/>
              <w:numPr>
                <w:ilvl w:val="0"/>
                <w:numId w:val="10"/>
              </w:numPr>
              <w:adjustRightInd w:val="0"/>
              <w:snapToGrid w:val="0"/>
              <w:spacing w:line="360" w:lineRule="auto"/>
              <w:ind w:left="0" w:leftChars="0" w:firstLine="480" w:firstLineChars="200"/>
              <w:jc w:val="both"/>
              <w:rPr>
                <w:rFonts w:hint="eastAsia" w:ascii="Times New Roman" w:hAnsi="Times New Roman" w:cs="Times New Roman"/>
                <w:bCs/>
                <w:color w:val="auto"/>
                <w:sz w:val="24"/>
                <w:highlight w:val="none"/>
                <w:lang w:val="en-US" w:eastAsia="zh-CN"/>
              </w:rPr>
            </w:pPr>
            <w:r>
              <w:rPr>
                <w:rFonts w:hint="eastAsia" w:ascii="Times New Roman" w:hAnsi="Times New Roman" w:cs="Times New Roman"/>
                <w:bCs/>
                <w:color w:val="auto"/>
                <w:sz w:val="24"/>
                <w:highlight w:val="none"/>
                <w:lang w:val="en-US" w:eastAsia="zh-CN"/>
              </w:rPr>
              <w:t>本项目DSA介入室周围50m范围内的1#医疗综合楼的医生办公室、血液科、体检中心等等。保护目标为相关的医护人员、病患、陪同家属。</w:t>
            </w:r>
          </w:p>
          <w:p w14:paraId="01F1EFA8">
            <w:pPr>
              <w:widowControl w:val="0"/>
              <w:numPr>
                <w:ilvl w:val="0"/>
                <w:numId w:val="0"/>
              </w:numPr>
              <w:adjustRightInd w:val="0"/>
              <w:snapToGrid w:val="0"/>
              <w:spacing w:line="360" w:lineRule="auto"/>
              <w:ind w:leftChars="200"/>
              <w:jc w:val="both"/>
              <w:rPr>
                <w:rFonts w:hint="default" w:ascii="Times New Roman" w:hAnsi="Times New Roman" w:cs="Times New Roman"/>
                <w:bCs/>
                <w:color w:val="auto"/>
                <w:sz w:val="24"/>
                <w:highlight w:val="none"/>
              </w:rPr>
            </w:pPr>
            <w:r>
              <w:rPr>
                <w:rFonts w:hint="eastAsia" w:ascii="Times New Roman" w:hAnsi="Times New Roman" w:cs="Times New Roman"/>
                <w:bCs/>
                <w:color w:val="auto"/>
                <w:sz w:val="24"/>
                <w:highlight w:val="none"/>
                <w:lang w:val="en-US" w:eastAsia="zh-CN"/>
              </w:rPr>
              <w:t>本项目评价范围均在医院内，</w:t>
            </w:r>
            <w:r>
              <w:rPr>
                <w:rFonts w:hint="default" w:ascii="Times New Roman" w:hAnsi="Times New Roman" w:cs="Times New Roman"/>
                <w:bCs/>
                <w:color w:val="auto"/>
                <w:sz w:val="24"/>
                <w:highlight w:val="none"/>
              </w:rPr>
              <w:t>具体环境保护目标见表7-1。</w:t>
            </w:r>
          </w:p>
          <w:p w14:paraId="38C5E2C6">
            <w:pPr>
              <w:numPr>
                <w:ilvl w:val="0"/>
                <w:numId w:val="11"/>
              </w:numPr>
              <w:adjustRightInd w:val="0"/>
              <w:snapToGrid w:val="0"/>
              <w:ind w:left="425" w:leftChars="0" w:hanging="425" w:firstLine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本项目主要环境保护目标</w:t>
            </w:r>
          </w:p>
          <w:bookmarkEnd w:id="32"/>
          <w:bookmarkEnd w:id="33"/>
          <w:tbl>
            <w:tblPr>
              <w:tblStyle w:val="22"/>
              <w:tblW w:w="4998" w:type="pct"/>
              <w:jc w:val="center"/>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31"/>
              <w:gridCol w:w="3167"/>
              <w:gridCol w:w="1266"/>
              <w:gridCol w:w="1182"/>
              <w:gridCol w:w="767"/>
              <w:gridCol w:w="785"/>
            </w:tblGrid>
            <w:tr w14:paraId="5C6D5C55">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5000" w:type="pct"/>
                  <w:gridSpan w:val="6"/>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D0F9A49">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DSA</w:t>
                  </w:r>
                  <w:r>
                    <w:rPr>
                      <w:rFonts w:hint="eastAsia" w:ascii="Times New Roman" w:hAnsi="Times New Roman" w:cs="Times New Roman"/>
                      <w:color w:val="auto"/>
                      <w:szCs w:val="21"/>
                      <w:highlight w:val="none"/>
                      <w:lang w:eastAsia="zh-CN"/>
                    </w:rPr>
                    <w:t>介入室</w:t>
                  </w:r>
                  <w:r>
                    <w:rPr>
                      <w:rFonts w:hint="default" w:ascii="Times New Roman" w:hAnsi="Times New Roman" w:cs="Times New Roman"/>
                      <w:color w:val="auto"/>
                      <w:szCs w:val="21"/>
                      <w:highlight w:val="none"/>
                    </w:rPr>
                    <w:t>周围及内部</w:t>
                  </w:r>
                </w:p>
              </w:tc>
            </w:tr>
            <w:tr w14:paraId="32A37220">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pct"/>
                  <w:tcBorders>
                    <w:top w:val="single" w:color="auto" w:sz="4" w:space="0"/>
                    <w:left w:val="single" w:color="auto" w:sz="4" w:space="0"/>
                    <w:bottom w:val="single" w:color="auto" w:sz="4" w:space="0"/>
                  </w:tcBorders>
                  <w:vAlign w:val="center"/>
                </w:tcPr>
                <w:p w14:paraId="7EF36DB0">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保护目标</w:t>
                  </w:r>
                </w:p>
              </w:tc>
              <w:tc>
                <w:tcPr>
                  <w:tcW w:w="1908" w:type="pct"/>
                  <w:tcBorders>
                    <w:top w:val="single" w:color="auto" w:sz="4" w:space="0"/>
                    <w:bottom w:val="single" w:color="auto" w:sz="4" w:space="0"/>
                  </w:tcBorders>
                  <w:vAlign w:val="center"/>
                </w:tcPr>
                <w:p w14:paraId="1A17E8B8">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方位及位置</w:t>
                  </w:r>
                </w:p>
              </w:tc>
              <w:tc>
                <w:tcPr>
                  <w:tcW w:w="762" w:type="pct"/>
                  <w:tcBorders>
                    <w:top w:val="single" w:color="auto" w:sz="4" w:space="0"/>
                    <w:bottom w:val="single" w:color="auto" w:sz="4" w:space="0"/>
                    <w:right w:val="single" w:color="auto" w:sz="4" w:space="0"/>
                  </w:tcBorders>
                  <w:vAlign w:val="center"/>
                </w:tcPr>
                <w:p w14:paraId="4C1710E3">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距离辐射源最近距离</w:t>
                  </w:r>
                </w:p>
              </w:tc>
              <w:tc>
                <w:tcPr>
                  <w:tcW w:w="712" w:type="pct"/>
                  <w:tcBorders>
                    <w:top w:val="single" w:color="auto" w:sz="4" w:space="0"/>
                    <w:bottom w:val="single" w:color="auto" w:sz="4" w:space="0"/>
                    <w:right w:val="single" w:color="auto" w:sz="4" w:space="0"/>
                  </w:tcBorders>
                  <w:vAlign w:val="center"/>
                </w:tcPr>
                <w:p w14:paraId="545C8BA5">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规模</w:t>
                  </w:r>
                </w:p>
              </w:tc>
              <w:tc>
                <w:tcPr>
                  <w:tcW w:w="462" w:type="pct"/>
                  <w:tcBorders>
                    <w:top w:val="single" w:color="auto" w:sz="4" w:space="0"/>
                    <w:bottom w:val="single" w:color="auto" w:sz="4" w:space="0"/>
                    <w:right w:val="single" w:color="auto" w:sz="4" w:space="0"/>
                  </w:tcBorders>
                  <w:vAlign w:val="center"/>
                </w:tcPr>
                <w:p w14:paraId="17B5D1B1">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照射类型</w:t>
                  </w:r>
                </w:p>
              </w:tc>
              <w:tc>
                <w:tcPr>
                  <w:tcW w:w="473" w:type="pct"/>
                  <w:tcBorders>
                    <w:top w:val="single" w:color="auto" w:sz="4" w:space="0"/>
                    <w:bottom w:val="single" w:color="auto" w:sz="4" w:space="0"/>
                    <w:right w:val="single" w:color="auto" w:sz="4" w:space="0"/>
                  </w:tcBorders>
                  <w:vAlign w:val="center"/>
                </w:tcPr>
                <w:p w14:paraId="15887E26">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剂量约束值</w:t>
                  </w:r>
                </w:p>
              </w:tc>
            </w:tr>
            <w:tr w14:paraId="4079857D">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pct"/>
                  <w:vMerge w:val="restart"/>
                  <w:tcBorders>
                    <w:top w:val="single" w:color="auto" w:sz="4" w:space="0"/>
                    <w:left w:val="single" w:color="auto" w:sz="4" w:space="0"/>
                  </w:tcBorders>
                  <w:vAlign w:val="center"/>
                </w:tcPr>
                <w:p w14:paraId="3D9601B5">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职业人员</w:t>
                  </w:r>
                </w:p>
              </w:tc>
              <w:tc>
                <w:tcPr>
                  <w:tcW w:w="1908" w:type="pct"/>
                  <w:tcBorders>
                    <w:top w:val="single" w:color="auto" w:sz="4" w:space="0"/>
                    <w:bottom w:val="single" w:color="auto" w:sz="4" w:space="0"/>
                  </w:tcBorders>
                  <w:vAlign w:val="center"/>
                </w:tcPr>
                <w:p w14:paraId="497EC63D">
                  <w:pPr>
                    <w:autoSpaceDE w:val="0"/>
                    <w:autoSpaceDN w:val="0"/>
                    <w:adjustRightInd w:val="0"/>
                    <w:snapToGrid w:val="0"/>
                    <w:jc w:val="center"/>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DSA</w:t>
                  </w:r>
                  <w:r>
                    <w:rPr>
                      <w:rFonts w:hint="eastAsia" w:ascii="Times New Roman" w:hAnsi="Times New Roman" w:cs="Times New Roman"/>
                      <w:color w:val="auto"/>
                      <w:szCs w:val="21"/>
                      <w:highlight w:val="none"/>
                      <w:lang w:eastAsia="zh-CN"/>
                    </w:rPr>
                    <w:t>介入室</w:t>
                  </w:r>
                  <w:r>
                    <w:rPr>
                      <w:rFonts w:hint="default" w:ascii="Times New Roman" w:hAnsi="Times New Roman" w:cs="Times New Roman"/>
                      <w:color w:val="auto"/>
                      <w:szCs w:val="21"/>
                      <w:highlight w:val="none"/>
                    </w:rPr>
                    <w:t>（医生、</w:t>
                  </w:r>
                  <w:r>
                    <w:rPr>
                      <w:rFonts w:hint="default" w:ascii="Times New Roman" w:hAnsi="Times New Roman" w:cs="Times New Roman"/>
                      <w:color w:val="auto"/>
                      <w:szCs w:val="21"/>
                      <w:highlight w:val="none"/>
                      <w:lang w:val="en-US" w:eastAsia="zh-CN"/>
                    </w:rPr>
                    <w:t>护士</w:t>
                  </w:r>
                  <w:r>
                    <w:rPr>
                      <w:rFonts w:hint="default" w:ascii="Times New Roman" w:hAnsi="Times New Roman" w:cs="Times New Roman"/>
                      <w:color w:val="auto"/>
                      <w:szCs w:val="21"/>
                      <w:highlight w:val="none"/>
                    </w:rPr>
                    <w:t>）</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2#监测点</w:t>
                  </w:r>
                  <w:r>
                    <w:rPr>
                      <w:rFonts w:hint="eastAsia" w:ascii="Times New Roman" w:hAnsi="Times New Roman" w:cs="Times New Roman"/>
                      <w:color w:val="auto"/>
                      <w:szCs w:val="21"/>
                      <w:highlight w:val="none"/>
                      <w:lang w:eastAsia="zh-CN"/>
                    </w:rPr>
                    <w:t>）</w:t>
                  </w:r>
                </w:p>
              </w:tc>
              <w:tc>
                <w:tcPr>
                  <w:tcW w:w="762" w:type="pct"/>
                  <w:tcBorders>
                    <w:top w:val="single" w:color="auto" w:sz="4" w:space="0"/>
                    <w:bottom w:val="single" w:color="auto" w:sz="4" w:space="0"/>
                    <w:right w:val="single" w:color="auto" w:sz="4" w:space="0"/>
                  </w:tcBorders>
                  <w:vAlign w:val="center"/>
                </w:tcPr>
                <w:p w14:paraId="4A455940">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0.5~1.5m</w:t>
                  </w:r>
                </w:p>
              </w:tc>
              <w:tc>
                <w:tcPr>
                  <w:tcW w:w="712" w:type="pct"/>
                  <w:vMerge w:val="restart"/>
                  <w:tcBorders>
                    <w:top w:val="single" w:color="auto" w:sz="4" w:space="0"/>
                    <w:right w:val="single" w:color="auto" w:sz="4" w:space="0"/>
                  </w:tcBorders>
                  <w:vAlign w:val="center"/>
                </w:tcPr>
                <w:p w14:paraId="1F1E87F8">
                  <w:pPr>
                    <w:autoSpaceDE w:val="0"/>
                    <w:autoSpaceDN w:val="0"/>
                    <w:adjustRightInd w:val="0"/>
                    <w:snapToGrid w:val="0"/>
                    <w:jc w:val="center"/>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共计</w:t>
                  </w:r>
                  <w:r>
                    <w:rPr>
                      <w:rFonts w:hint="eastAsia" w:ascii="Times New Roman" w:hAnsi="Times New Roman" w:cs="Times New Roman"/>
                      <w:color w:val="auto"/>
                      <w:szCs w:val="21"/>
                      <w:highlight w:val="none"/>
                      <w:lang w:val="en-US" w:eastAsia="zh-CN"/>
                    </w:rPr>
                    <w:t>6</w:t>
                  </w:r>
                  <w:r>
                    <w:rPr>
                      <w:rFonts w:hint="default" w:ascii="Times New Roman" w:hAnsi="Times New Roman" w:cs="Times New Roman"/>
                      <w:color w:val="auto"/>
                      <w:szCs w:val="21"/>
                      <w:highlight w:val="none"/>
                    </w:rPr>
                    <w:t>名辐射工作人员</w:t>
                  </w:r>
                </w:p>
              </w:tc>
              <w:tc>
                <w:tcPr>
                  <w:tcW w:w="462" w:type="pct"/>
                  <w:vMerge w:val="restart"/>
                  <w:tcBorders>
                    <w:top w:val="single" w:color="auto" w:sz="4" w:space="0"/>
                    <w:right w:val="single" w:color="auto" w:sz="4" w:space="0"/>
                  </w:tcBorders>
                  <w:vAlign w:val="center"/>
                </w:tcPr>
                <w:p w14:paraId="0A3D5B18">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辐射工作人员</w:t>
                  </w:r>
                </w:p>
              </w:tc>
              <w:tc>
                <w:tcPr>
                  <w:tcW w:w="473" w:type="pct"/>
                  <w:vMerge w:val="restart"/>
                  <w:tcBorders>
                    <w:top w:val="single" w:color="auto" w:sz="4" w:space="0"/>
                    <w:right w:val="single" w:color="auto" w:sz="4" w:space="0"/>
                  </w:tcBorders>
                  <w:vAlign w:val="center"/>
                </w:tcPr>
                <w:p w14:paraId="72CF31ED">
                  <w:pPr>
                    <w:autoSpaceDE w:val="0"/>
                    <w:autoSpaceDN w:val="0"/>
                    <w:adjustRightInd w:val="0"/>
                    <w:snapToGrid w:val="0"/>
                    <w:jc w:val="center"/>
                    <w:rPr>
                      <w:rFonts w:hint="default" w:ascii="Times New Roman" w:hAnsi="Times New Roman" w:cs="Times New Roman"/>
                      <w:color w:val="auto"/>
                      <w:szCs w:val="21"/>
                      <w:highlight w:val="none"/>
                    </w:rPr>
                  </w:pPr>
                </w:p>
                <w:p w14:paraId="290E1438">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5.0</w:t>
                  </w:r>
                </w:p>
              </w:tc>
            </w:tr>
            <w:tr w14:paraId="4EE0353F">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pct"/>
                  <w:vMerge w:val="continue"/>
                  <w:tcBorders>
                    <w:left w:val="single" w:color="auto" w:sz="4" w:space="0"/>
                  </w:tcBorders>
                  <w:vAlign w:val="center"/>
                </w:tcPr>
                <w:p w14:paraId="48110054">
                  <w:pPr>
                    <w:autoSpaceDE w:val="0"/>
                    <w:autoSpaceDN w:val="0"/>
                    <w:adjustRightInd w:val="0"/>
                    <w:snapToGrid w:val="0"/>
                    <w:jc w:val="center"/>
                    <w:rPr>
                      <w:rFonts w:hint="default" w:ascii="Times New Roman" w:hAnsi="Times New Roman" w:cs="Times New Roman"/>
                      <w:color w:val="auto"/>
                      <w:szCs w:val="21"/>
                      <w:highlight w:val="none"/>
                    </w:rPr>
                  </w:pPr>
                </w:p>
              </w:tc>
              <w:tc>
                <w:tcPr>
                  <w:tcW w:w="1908" w:type="pct"/>
                  <w:tcBorders>
                    <w:top w:val="single" w:color="auto" w:sz="4" w:space="0"/>
                    <w:bottom w:val="single" w:color="auto" w:sz="4" w:space="0"/>
                  </w:tcBorders>
                  <w:shd w:val="clear" w:color="auto" w:fill="auto"/>
                  <w:vAlign w:val="center"/>
                </w:tcPr>
                <w:p w14:paraId="19D646C9">
                  <w:pPr>
                    <w:autoSpaceDE w:val="0"/>
                    <w:autoSpaceDN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医护人员通道</w:t>
                  </w:r>
                </w:p>
              </w:tc>
              <w:tc>
                <w:tcPr>
                  <w:tcW w:w="762" w:type="pct"/>
                  <w:tcBorders>
                    <w:top w:val="single" w:color="auto" w:sz="4" w:space="0"/>
                    <w:bottom w:val="single" w:color="auto" w:sz="4" w:space="0"/>
                    <w:right w:val="single" w:color="auto" w:sz="4" w:space="0"/>
                  </w:tcBorders>
                  <w:shd w:val="clear" w:color="auto" w:fill="auto"/>
                  <w:vAlign w:val="center"/>
                </w:tcPr>
                <w:p w14:paraId="747F023B">
                  <w:pPr>
                    <w:autoSpaceDE w:val="0"/>
                    <w:autoSpaceDN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7.3m</w:t>
                  </w:r>
                </w:p>
              </w:tc>
              <w:tc>
                <w:tcPr>
                  <w:tcW w:w="712" w:type="pct"/>
                  <w:vMerge w:val="continue"/>
                  <w:tcBorders>
                    <w:right w:val="single" w:color="auto" w:sz="4" w:space="0"/>
                  </w:tcBorders>
                  <w:vAlign w:val="center"/>
                </w:tcPr>
                <w:p w14:paraId="446BA611">
                  <w:pPr>
                    <w:autoSpaceDE w:val="0"/>
                    <w:autoSpaceDN w:val="0"/>
                    <w:adjustRightInd w:val="0"/>
                    <w:snapToGrid w:val="0"/>
                    <w:jc w:val="center"/>
                    <w:rPr>
                      <w:rFonts w:hint="default" w:ascii="Times New Roman" w:hAnsi="Times New Roman" w:cs="Times New Roman"/>
                      <w:color w:val="auto"/>
                      <w:szCs w:val="21"/>
                      <w:highlight w:val="none"/>
                    </w:rPr>
                  </w:pPr>
                </w:p>
              </w:tc>
              <w:tc>
                <w:tcPr>
                  <w:tcW w:w="462" w:type="pct"/>
                  <w:vMerge w:val="continue"/>
                  <w:tcBorders>
                    <w:right w:val="single" w:color="auto" w:sz="4" w:space="0"/>
                  </w:tcBorders>
                  <w:vAlign w:val="center"/>
                </w:tcPr>
                <w:p w14:paraId="3B88AAF0">
                  <w:pPr>
                    <w:autoSpaceDE w:val="0"/>
                    <w:autoSpaceDN w:val="0"/>
                    <w:adjustRightInd w:val="0"/>
                    <w:snapToGrid w:val="0"/>
                    <w:jc w:val="center"/>
                    <w:rPr>
                      <w:rFonts w:hint="default" w:ascii="Times New Roman" w:hAnsi="Times New Roman" w:cs="Times New Roman"/>
                      <w:color w:val="auto"/>
                      <w:szCs w:val="21"/>
                      <w:highlight w:val="none"/>
                    </w:rPr>
                  </w:pPr>
                </w:p>
              </w:tc>
              <w:tc>
                <w:tcPr>
                  <w:tcW w:w="473" w:type="pct"/>
                  <w:vMerge w:val="continue"/>
                  <w:tcBorders>
                    <w:right w:val="single" w:color="auto" w:sz="4" w:space="0"/>
                  </w:tcBorders>
                  <w:vAlign w:val="center"/>
                </w:tcPr>
                <w:p w14:paraId="0B4A9262">
                  <w:pPr>
                    <w:autoSpaceDE w:val="0"/>
                    <w:autoSpaceDN w:val="0"/>
                    <w:adjustRightInd w:val="0"/>
                    <w:snapToGrid w:val="0"/>
                    <w:jc w:val="center"/>
                    <w:rPr>
                      <w:rFonts w:hint="default" w:ascii="Times New Roman" w:hAnsi="Times New Roman" w:cs="Times New Roman"/>
                      <w:color w:val="auto"/>
                      <w:szCs w:val="21"/>
                      <w:highlight w:val="none"/>
                    </w:rPr>
                  </w:pPr>
                </w:p>
              </w:tc>
            </w:tr>
            <w:tr w14:paraId="42F86B55">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pct"/>
                  <w:vMerge w:val="continue"/>
                  <w:tcBorders>
                    <w:left w:val="single" w:color="auto" w:sz="4" w:space="0"/>
                  </w:tcBorders>
                  <w:vAlign w:val="center"/>
                </w:tcPr>
                <w:p w14:paraId="14EAF378">
                  <w:pPr>
                    <w:autoSpaceDE w:val="0"/>
                    <w:autoSpaceDN w:val="0"/>
                    <w:adjustRightInd w:val="0"/>
                    <w:snapToGrid w:val="0"/>
                    <w:jc w:val="center"/>
                    <w:rPr>
                      <w:rFonts w:hint="default" w:ascii="Times New Roman" w:hAnsi="Times New Roman" w:cs="Times New Roman"/>
                      <w:color w:val="auto"/>
                      <w:szCs w:val="21"/>
                      <w:highlight w:val="none"/>
                    </w:rPr>
                  </w:pPr>
                </w:p>
              </w:tc>
              <w:tc>
                <w:tcPr>
                  <w:tcW w:w="1908" w:type="pct"/>
                  <w:tcBorders>
                    <w:top w:val="single" w:color="auto" w:sz="4" w:space="0"/>
                    <w:bottom w:val="single" w:color="auto" w:sz="4" w:space="0"/>
                  </w:tcBorders>
                  <w:shd w:val="clear" w:color="auto" w:fill="auto"/>
                  <w:vAlign w:val="center"/>
                </w:tcPr>
                <w:p w14:paraId="78EC0DEB">
                  <w:pPr>
                    <w:autoSpaceDE w:val="0"/>
                    <w:autoSpaceDN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医护卫浴间</w:t>
                  </w:r>
                </w:p>
              </w:tc>
              <w:tc>
                <w:tcPr>
                  <w:tcW w:w="762" w:type="pct"/>
                  <w:tcBorders>
                    <w:top w:val="single" w:color="auto" w:sz="4" w:space="0"/>
                    <w:bottom w:val="single" w:color="auto" w:sz="4" w:space="0"/>
                    <w:right w:val="single" w:color="auto" w:sz="4" w:space="0"/>
                  </w:tcBorders>
                  <w:shd w:val="clear" w:color="auto" w:fill="auto"/>
                  <w:vAlign w:val="center"/>
                </w:tcPr>
                <w:p w14:paraId="071DBE79">
                  <w:pPr>
                    <w:autoSpaceDE w:val="0"/>
                    <w:autoSpaceDN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6.2m</w:t>
                  </w:r>
                </w:p>
              </w:tc>
              <w:tc>
                <w:tcPr>
                  <w:tcW w:w="712" w:type="pct"/>
                  <w:vMerge w:val="continue"/>
                  <w:tcBorders>
                    <w:right w:val="single" w:color="auto" w:sz="4" w:space="0"/>
                  </w:tcBorders>
                  <w:vAlign w:val="center"/>
                </w:tcPr>
                <w:p w14:paraId="741155BE">
                  <w:pPr>
                    <w:autoSpaceDE w:val="0"/>
                    <w:autoSpaceDN w:val="0"/>
                    <w:adjustRightInd w:val="0"/>
                    <w:snapToGrid w:val="0"/>
                    <w:jc w:val="center"/>
                    <w:rPr>
                      <w:rFonts w:hint="default" w:ascii="Times New Roman" w:hAnsi="Times New Roman" w:cs="Times New Roman"/>
                      <w:color w:val="auto"/>
                      <w:szCs w:val="21"/>
                      <w:highlight w:val="none"/>
                    </w:rPr>
                  </w:pPr>
                </w:p>
              </w:tc>
              <w:tc>
                <w:tcPr>
                  <w:tcW w:w="462" w:type="pct"/>
                  <w:vMerge w:val="continue"/>
                  <w:tcBorders>
                    <w:right w:val="single" w:color="auto" w:sz="4" w:space="0"/>
                  </w:tcBorders>
                  <w:vAlign w:val="center"/>
                </w:tcPr>
                <w:p w14:paraId="43175766">
                  <w:pPr>
                    <w:autoSpaceDE w:val="0"/>
                    <w:autoSpaceDN w:val="0"/>
                    <w:adjustRightInd w:val="0"/>
                    <w:snapToGrid w:val="0"/>
                    <w:jc w:val="center"/>
                    <w:rPr>
                      <w:rFonts w:hint="default" w:ascii="Times New Roman" w:hAnsi="Times New Roman" w:cs="Times New Roman"/>
                      <w:color w:val="auto"/>
                      <w:szCs w:val="21"/>
                      <w:highlight w:val="none"/>
                    </w:rPr>
                  </w:pPr>
                </w:p>
              </w:tc>
              <w:tc>
                <w:tcPr>
                  <w:tcW w:w="473" w:type="pct"/>
                  <w:vMerge w:val="continue"/>
                  <w:tcBorders>
                    <w:right w:val="single" w:color="auto" w:sz="4" w:space="0"/>
                  </w:tcBorders>
                  <w:vAlign w:val="center"/>
                </w:tcPr>
                <w:p w14:paraId="7349265B">
                  <w:pPr>
                    <w:autoSpaceDE w:val="0"/>
                    <w:autoSpaceDN w:val="0"/>
                    <w:adjustRightInd w:val="0"/>
                    <w:snapToGrid w:val="0"/>
                    <w:jc w:val="center"/>
                    <w:rPr>
                      <w:rFonts w:hint="default" w:ascii="Times New Roman" w:hAnsi="Times New Roman" w:cs="Times New Roman"/>
                      <w:color w:val="auto"/>
                      <w:szCs w:val="21"/>
                      <w:highlight w:val="none"/>
                    </w:rPr>
                  </w:pPr>
                </w:p>
              </w:tc>
            </w:tr>
            <w:tr w14:paraId="710B4AF6">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pct"/>
                  <w:vMerge w:val="continue"/>
                  <w:tcBorders>
                    <w:left w:val="single" w:color="auto" w:sz="4" w:space="0"/>
                  </w:tcBorders>
                  <w:vAlign w:val="center"/>
                </w:tcPr>
                <w:p w14:paraId="20CF50DE">
                  <w:pPr>
                    <w:autoSpaceDE w:val="0"/>
                    <w:autoSpaceDN w:val="0"/>
                    <w:adjustRightInd w:val="0"/>
                    <w:snapToGrid w:val="0"/>
                    <w:jc w:val="center"/>
                    <w:rPr>
                      <w:rFonts w:hint="default" w:ascii="Times New Roman" w:hAnsi="Times New Roman" w:cs="Times New Roman"/>
                      <w:color w:val="auto"/>
                      <w:szCs w:val="21"/>
                      <w:highlight w:val="none"/>
                    </w:rPr>
                  </w:pPr>
                </w:p>
              </w:tc>
              <w:tc>
                <w:tcPr>
                  <w:tcW w:w="1908" w:type="pct"/>
                  <w:tcBorders>
                    <w:top w:val="single" w:color="auto" w:sz="4" w:space="0"/>
                    <w:bottom w:val="single" w:color="auto" w:sz="4" w:space="0"/>
                  </w:tcBorders>
                  <w:shd w:val="clear" w:color="auto" w:fill="auto"/>
                  <w:vAlign w:val="center"/>
                </w:tcPr>
                <w:p w14:paraId="1F78AB0E">
                  <w:pPr>
                    <w:autoSpaceDE w:val="0"/>
                    <w:autoSpaceDN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高值耗材存放处（8#监测点）</w:t>
                  </w:r>
                </w:p>
              </w:tc>
              <w:tc>
                <w:tcPr>
                  <w:tcW w:w="762" w:type="pct"/>
                  <w:tcBorders>
                    <w:top w:val="single" w:color="auto" w:sz="4" w:space="0"/>
                    <w:bottom w:val="single" w:color="auto" w:sz="4" w:space="0"/>
                    <w:right w:val="single" w:color="auto" w:sz="4" w:space="0"/>
                  </w:tcBorders>
                  <w:shd w:val="clear" w:color="auto" w:fill="auto"/>
                  <w:vAlign w:val="center"/>
                </w:tcPr>
                <w:p w14:paraId="1549217D">
                  <w:pPr>
                    <w:autoSpaceDE w:val="0"/>
                    <w:autoSpaceDN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3.8</w:t>
                  </w:r>
                  <w:r>
                    <w:rPr>
                      <w:rFonts w:hint="default" w:ascii="Times New Roman" w:hAnsi="Times New Roman" w:cs="Times New Roman"/>
                      <w:color w:val="auto"/>
                      <w:szCs w:val="21"/>
                      <w:highlight w:val="none"/>
                      <w:lang w:val="en-US" w:eastAsia="zh-CN"/>
                    </w:rPr>
                    <w:t>m</w:t>
                  </w:r>
                </w:p>
              </w:tc>
              <w:tc>
                <w:tcPr>
                  <w:tcW w:w="712" w:type="pct"/>
                  <w:vMerge w:val="continue"/>
                  <w:tcBorders>
                    <w:right w:val="single" w:color="auto" w:sz="4" w:space="0"/>
                  </w:tcBorders>
                  <w:vAlign w:val="center"/>
                </w:tcPr>
                <w:p w14:paraId="42C81735">
                  <w:pPr>
                    <w:autoSpaceDE w:val="0"/>
                    <w:autoSpaceDN w:val="0"/>
                    <w:adjustRightInd w:val="0"/>
                    <w:snapToGrid w:val="0"/>
                    <w:jc w:val="center"/>
                    <w:rPr>
                      <w:rFonts w:hint="default" w:ascii="Times New Roman" w:hAnsi="Times New Roman" w:cs="Times New Roman"/>
                      <w:color w:val="auto"/>
                      <w:szCs w:val="21"/>
                      <w:highlight w:val="none"/>
                    </w:rPr>
                  </w:pPr>
                </w:p>
              </w:tc>
              <w:tc>
                <w:tcPr>
                  <w:tcW w:w="462" w:type="pct"/>
                  <w:vMerge w:val="continue"/>
                  <w:tcBorders>
                    <w:right w:val="single" w:color="auto" w:sz="4" w:space="0"/>
                  </w:tcBorders>
                  <w:vAlign w:val="center"/>
                </w:tcPr>
                <w:p w14:paraId="4ACC73A5">
                  <w:pPr>
                    <w:autoSpaceDE w:val="0"/>
                    <w:autoSpaceDN w:val="0"/>
                    <w:adjustRightInd w:val="0"/>
                    <w:snapToGrid w:val="0"/>
                    <w:jc w:val="center"/>
                    <w:rPr>
                      <w:rFonts w:hint="default" w:ascii="Times New Roman" w:hAnsi="Times New Roman" w:cs="Times New Roman"/>
                      <w:color w:val="auto"/>
                      <w:szCs w:val="21"/>
                      <w:highlight w:val="none"/>
                    </w:rPr>
                  </w:pPr>
                </w:p>
              </w:tc>
              <w:tc>
                <w:tcPr>
                  <w:tcW w:w="473" w:type="pct"/>
                  <w:vMerge w:val="continue"/>
                  <w:tcBorders>
                    <w:right w:val="single" w:color="auto" w:sz="4" w:space="0"/>
                  </w:tcBorders>
                  <w:vAlign w:val="center"/>
                </w:tcPr>
                <w:p w14:paraId="69F297F2">
                  <w:pPr>
                    <w:autoSpaceDE w:val="0"/>
                    <w:autoSpaceDN w:val="0"/>
                    <w:adjustRightInd w:val="0"/>
                    <w:snapToGrid w:val="0"/>
                    <w:jc w:val="center"/>
                    <w:rPr>
                      <w:rFonts w:hint="default" w:ascii="Times New Roman" w:hAnsi="Times New Roman" w:cs="Times New Roman"/>
                      <w:color w:val="auto"/>
                      <w:szCs w:val="21"/>
                      <w:highlight w:val="none"/>
                    </w:rPr>
                  </w:pPr>
                </w:p>
              </w:tc>
            </w:tr>
            <w:tr w14:paraId="1DF1850F">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pct"/>
                  <w:vMerge w:val="continue"/>
                  <w:tcBorders>
                    <w:left w:val="single" w:color="auto" w:sz="4" w:space="0"/>
                  </w:tcBorders>
                  <w:vAlign w:val="center"/>
                </w:tcPr>
                <w:p w14:paraId="1B9651F4">
                  <w:pPr>
                    <w:autoSpaceDE w:val="0"/>
                    <w:autoSpaceDN w:val="0"/>
                    <w:adjustRightInd w:val="0"/>
                    <w:snapToGrid w:val="0"/>
                    <w:jc w:val="center"/>
                    <w:rPr>
                      <w:rFonts w:hint="default" w:ascii="Times New Roman" w:hAnsi="Times New Roman" w:cs="Times New Roman"/>
                      <w:color w:val="auto"/>
                      <w:szCs w:val="21"/>
                      <w:highlight w:val="none"/>
                    </w:rPr>
                  </w:pPr>
                </w:p>
              </w:tc>
              <w:tc>
                <w:tcPr>
                  <w:tcW w:w="1908" w:type="pct"/>
                  <w:tcBorders>
                    <w:top w:val="single" w:color="auto" w:sz="4" w:space="0"/>
                    <w:bottom w:val="single" w:color="auto" w:sz="4" w:space="0"/>
                  </w:tcBorders>
                  <w:shd w:val="clear" w:color="auto" w:fill="auto"/>
                  <w:vAlign w:val="center"/>
                </w:tcPr>
                <w:p w14:paraId="142AA277">
                  <w:pPr>
                    <w:autoSpaceDE w:val="0"/>
                    <w:autoSpaceDN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控制室（6#、7#监测点）</w:t>
                  </w:r>
                </w:p>
              </w:tc>
              <w:tc>
                <w:tcPr>
                  <w:tcW w:w="762" w:type="pct"/>
                  <w:tcBorders>
                    <w:top w:val="single" w:color="auto" w:sz="4" w:space="0"/>
                    <w:bottom w:val="single" w:color="auto" w:sz="4" w:space="0"/>
                    <w:right w:val="single" w:color="auto" w:sz="4" w:space="0"/>
                  </w:tcBorders>
                  <w:shd w:val="clear" w:color="auto" w:fill="auto"/>
                  <w:vAlign w:val="center"/>
                </w:tcPr>
                <w:p w14:paraId="5385F9BC">
                  <w:pPr>
                    <w:autoSpaceDE w:val="0"/>
                    <w:autoSpaceDN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3.1</w:t>
                  </w:r>
                  <w:r>
                    <w:rPr>
                      <w:rFonts w:hint="default" w:ascii="Times New Roman" w:hAnsi="Times New Roman" w:cs="Times New Roman"/>
                      <w:color w:val="auto"/>
                      <w:szCs w:val="21"/>
                      <w:highlight w:val="none"/>
                    </w:rPr>
                    <w:t>m</w:t>
                  </w:r>
                </w:p>
              </w:tc>
              <w:tc>
                <w:tcPr>
                  <w:tcW w:w="712" w:type="pct"/>
                  <w:vMerge w:val="continue"/>
                  <w:tcBorders>
                    <w:right w:val="single" w:color="auto" w:sz="4" w:space="0"/>
                  </w:tcBorders>
                  <w:vAlign w:val="center"/>
                </w:tcPr>
                <w:p w14:paraId="0ECB605E">
                  <w:pPr>
                    <w:autoSpaceDE w:val="0"/>
                    <w:autoSpaceDN w:val="0"/>
                    <w:adjustRightInd w:val="0"/>
                    <w:snapToGrid w:val="0"/>
                    <w:jc w:val="center"/>
                    <w:rPr>
                      <w:rFonts w:hint="default" w:ascii="Times New Roman" w:hAnsi="Times New Roman" w:cs="Times New Roman"/>
                      <w:color w:val="auto"/>
                      <w:szCs w:val="21"/>
                      <w:highlight w:val="none"/>
                    </w:rPr>
                  </w:pPr>
                </w:p>
              </w:tc>
              <w:tc>
                <w:tcPr>
                  <w:tcW w:w="462" w:type="pct"/>
                  <w:vMerge w:val="continue"/>
                  <w:tcBorders>
                    <w:right w:val="single" w:color="auto" w:sz="4" w:space="0"/>
                  </w:tcBorders>
                  <w:vAlign w:val="center"/>
                </w:tcPr>
                <w:p w14:paraId="6995B0C9">
                  <w:pPr>
                    <w:autoSpaceDE w:val="0"/>
                    <w:autoSpaceDN w:val="0"/>
                    <w:adjustRightInd w:val="0"/>
                    <w:snapToGrid w:val="0"/>
                    <w:jc w:val="center"/>
                    <w:rPr>
                      <w:rFonts w:hint="default" w:ascii="Times New Roman" w:hAnsi="Times New Roman" w:cs="Times New Roman"/>
                      <w:color w:val="auto"/>
                      <w:szCs w:val="21"/>
                      <w:highlight w:val="none"/>
                    </w:rPr>
                  </w:pPr>
                </w:p>
              </w:tc>
              <w:tc>
                <w:tcPr>
                  <w:tcW w:w="473" w:type="pct"/>
                  <w:vMerge w:val="continue"/>
                  <w:tcBorders>
                    <w:right w:val="single" w:color="auto" w:sz="4" w:space="0"/>
                  </w:tcBorders>
                  <w:vAlign w:val="center"/>
                </w:tcPr>
                <w:p w14:paraId="483BB3CA">
                  <w:pPr>
                    <w:autoSpaceDE w:val="0"/>
                    <w:autoSpaceDN w:val="0"/>
                    <w:adjustRightInd w:val="0"/>
                    <w:snapToGrid w:val="0"/>
                    <w:jc w:val="center"/>
                    <w:rPr>
                      <w:rFonts w:hint="default" w:ascii="Times New Roman" w:hAnsi="Times New Roman" w:cs="Times New Roman"/>
                      <w:color w:val="auto"/>
                      <w:szCs w:val="21"/>
                      <w:highlight w:val="none"/>
                    </w:rPr>
                  </w:pPr>
                </w:p>
              </w:tc>
            </w:tr>
            <w:tr w14:paraId="539F4B92">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pct"/>
                  <w:vMerge w:val="restart"/>
                  <w:tcBorders>
                    <w:left w:val="single" w:color="auto" w:sz="4" w:space="0"/>
                  </w:tcBorders>
                  <w:vAlign w:val="center"/>
                </w:tcPr>
                <w:p w14:paraId="427A0FC8">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其他医护人员、病患、陪同家属及公众</w:t>
                  </w:r>
                </w:p>
              </w:tc>
              <w:tc>
                <w:tcPr>
                  <w:tcW w:w="1908" w:type="pct"/>
                  <w:tcBorders>
                    <w:top w:val="single" w:color="auto" w:sz="4" w:space="0"/>
                    <w:bottom w:val="single" w:color="auto" w:sz="4" w:space="0"/>
                  </w:tcBorders>
                  <w:shd w:val="clear" w:color="auto" w:fill="auto"/>
                  <w:vAlign w:val="center"/>
                </w:tcPr>
                <w:p w14:paraId="377F592B">
                  <w:pPr>
                    <w:autoSpaceDE w:val="0"/>
                    <w:autoSpaceDN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污物间（5#监测点）</w:t>
                  </w:r>
                </w:p>
              </w:tc>
              <w:tc>
                <w:tcPr>
                  <w:tcW w:w="762" w:type="pct"/>
                  <w:tcBorders>
                    <w:top w:val="single" w:color="auto" w:sz="4" w:space="0"/>
                    <w:bottom w:val="single" w:color="auto" w:sz="4" w:space="0"/>
                    <w:right w:val="single" w:color="auto" w:sz="4" w:space="0"/>
                  </w:tcBorders>
                  <w:shd w:val="clear" w:color="auto" w:fill="auto"/>
                  <w:vAlign w:val="center"/>
                </w:tcPr>
                <w:p w14:paraId="2EF17FB5">
                  <w:pPr>
                    <w:autoSpaceDE w:val="0"/>
                    <w:autoSpaceDN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3.2</w:t>
                  </w:r>
                  <w:r>
                    <w:rPr>
                      <w:rFonts w:hint="default" w:ascii="Times New Roman" w:hAnsi="Times New Roman" w:cs="Times New Roman"/>
                      <w:color w:val="auto"/>
                      <w:szCs w:val="21"/>
                      <w:highlight w:val="none"/>
                    </w:rPr>
                    <w:t>m</w:t>
                  </w:r>
                </w:p>
              </w:tc>
              <w:tc>
                <w:tcPr>
                  <w:tcW w:w="712" w:type="pct"/>
                  <w:tcBorders>
                    <w:right w:val="single" w:color="auto" w:sz="4" w:space="0"/>
                  </w:tcBorders>
                  <w:vAlign w:val="center"/>
                </w:tcPr>
                <w:p w14:paraId="0669F978">
                  <w:pPr>
                    <w:autoSpaceDE w:val="0"/>
                    <w:autoSpaceDN w:val="0"/>
                    <w:adjustRightInd w:val="0"/>
                    <w:snapToGrid w:val="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名/d</w:t>
                  </w:r>
                </w:p>
              </w:tc>
              <w:tc>
                <w:tcPr>
                  <w:tcW w:w="462" w:type="pct"/>
                  <w:vMerge w:val="restart"/>
                  <w:tcBorders>
                    <w:right w:val="single" w:color="auto" w:sz="4" w:space="0"/>
                  </w:tcBorders>
                  <w:vAlign w:val="center"/>
                </w:tcPr>
                <w:p w14:paraId="49C6B2BA">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公众</w:t>
                  </w:r>
                </w:p>
              </w:tc>
              <w:tc>
                <w:tcPr>
                  <w:tcW w:w="473" w:type="pct"/>
                  <w:tcBorders>
                    <w:right w:val="single" w:color="auto" w:sz="4" w:space="0"/>
                  </w:tcBorders>
                  <w:vAlign w:val="center"/>
                </w:tcPr>
                <w:p w14:paraId="13AEAA99">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0.1</w:t>
                  </w:r>
                </w:p>
              </w:tc>
            </w:tr>
            <w:tr w14:paraId="10EB08E8">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pct"/>
                  <w:vMerge w:val="continue"/>
                  <w:tcBorders>
                    <w:left w:val="single" w:color="auto" w:sz="4" w:space="0"/>
                  </w:tcBorders>
                  <w:vAlign w:val="center"/>
                </w:tcPr>
                <w:p w14:paraId="21DDDD59">
                  <w:pPr>
                    <w:autoSpaceDE w:val="0"/>
                    <w:autoSpaceDN w:val="0"/>
                    <w:adjustRightInd w:val="0"/>
                    <w:snapToGrid w:val="0"/>
                    <w:jc w:val="center"/>
                    <w:rPr>
                      <w:rFonts w:hint="default" w:ascii="Times New Roman" w:hAnsi="Times New Roman" w:cs="Times New Roman"/>
                      <w:color w:val="auto"/>
                      <w:szCs w:val="21"/>
                      <w:highlight w:val="none"/>
                    </w:rPr>
                  </w:pPr>
                </w:p>
              </w:tc>
              <w:tc>
                <w:tcPr>
                  <w:tcW w:w="1908" w:type="pct"/>
                  <w:tcBorders>
                    <w:top w:val="single" w:color="auto" w:sz="4" w:space="0"/>
                    <w:bottom w:val="single" w:color="auto" w:sz="4" w:space="0"/>
                  </w:tcBorders>
                  <w:shd w:val="clear" w:color="auto" w:fill="auto"/>
                  <w:vAlign w:val="center"/>
                </w:tcPr>
                <w:p w14:paraId="38CAAB56">
                  <w:pPr>
                    <w:autoSpaceDE w:val="0"/>
                    <w:autoSpaceDN w:val="0"/>
                    <w:adjustRightInd w:val="0"/>
                    <w:snapToGrid w:val="0"/>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设备间（4#监测点）</w:t>
                  </w:r>
                </w:p>
              </w:tc>
              <w:tc>
                <w:tcPr>
                  <w:tcW w:w="762" w:type="pct"/>
                  <w:tcBorders>
                    <w:top w:val="single" w:color="auto" w:sz="4" w:space="0"/>
                    <w:bottom w:val="single" w:color="auto" w:sz="4" w:space="0"/>
                    <w:right w:val="single" w:color="auto" w:sz="4" w:space="0"/>
                  </w:tcBorders>
                  <w:shd w:val="clear" w:color="auto" w:fill="auto"/>
                  <w:vAlign w:val="center"/>
                </w:tcPr>
                <w:p w14:paraId="2E8118FE">
                  <w:pPr>
                    <w:autoSpaceDE w:val="0"/>
                    <w:autoSpaceDN w:val="0"/>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0.3m</w:t>
                  </w:r>
                </w:p>
              </w:tc>
              <w:tc>
                <w:tcPr>
                  <w:tcW w:w="712" w:type="pct"/>
                  <w:tcBorders>
                    <w:right w:val="single" w:color="auto" w:sz="4" w:space="0"/>
                  </w:tcBorders>
                  <w:vAlign w:val="center"/>
                </w:tcPr>
                <w:p w14:paraId="38C23202">
                  <w:pPr>
                    <w:autoSpaceDE w:val="0"/>
                    <w:autoSpaceDN w:val="0"/>
                    <w:adjustRightInd w:val="0"/>
                    <w:snapToGrid w:val="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名/d</w:t>
                  </w:r>
                </w:p>
              </w:tc>
              <w:tc>
                <w:tcPr>
                  <w:tcW w:w="462" w:type="pct"/>
                  <w:vMerge w:val="continue"/>
                  <w:tcBorders>
                    <w:right w:val="single" w:color="auto" w:sz="4" w:space="0"/>
                  </w:tcBorders>
                  <w:vAlign w:val="center"/>
                </w:tcPr>
                <w:p w14:paraId="6A6F36CE">
                  <w:pPr>
                    <w:autoSpaceDE w:val="0"/>
                    <w:autoSpaceDN w:val="0"/>
                    <w:adjustRightInd w:val="0"/>
                    <w:snapToGrid w:val="0"/>
                    <w:jc w:val="center"/>
                    <w:rPr>
                      <w:rFonts w:hint="default" w:ascii="Times New Roman" w:hAnsi="Times New Roman" w:cs="Times New Roman"/>
                      <w:color w:val="auto"/>
                      <w:szCs w:val="21"/>
                      <w:highlight w:val="none"/>
                    </w:rPr>
                  </w:pPr>
                </w:p>
              </w:tc>
              <w:tc>
                <w:tcPr>
                  <w:tcW w:w="473" w:type="pct"/>
                  <w:tcBorders>
                    <w:right w:val="single" w:color="auto" w:sz="4" w:space="0"/>
                  </w:tcBorders>
                  <w:vAlign w:val="center"/>
                </w:tcPr>
                <w:p w14:paraId="30B47029">
                  <w:pPr>
                    <w:autoSpaceDE w:val="0"/>
                    <w:autoSpaceDN w:val="0"/>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0.2</w:t>
                  </w:r>
                </w:p>
              </w:tc>
            </w:tr>
            <w:tr w14:paraId="1C473260">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pct"/>
                  <w:vMerge w:val="continue"/>
                  <w:tcBorders>
                    <w:left w:val="single" w:color="auto" w:sz="4" w:space="0"/>
                  </w:tcBorders>
                  <w:vAlign w:val="center"/>
                </w:tcPr>
                <w:p w14:paraId="61E6696B">
                  <w:pPr>
                    <w:autoSpaceDE w:val="0"/>
                    <w:autoSpaceDN w:val="0"/>
                    <w:adjustRightInd w:val="0"/>
                    <w:snapToGrid w:val="0"/>
                    <w:jc w:val="center"/>
                    <w:rPr>
                      <w:rFonts w:hint="default" w:ascii="Times New Roman" w:hAnsi="Times New Roman" w:cs="Times New Roman"/>
                      <w:color w:val="auto"/>
                      <w:szCs w:val="21"/>
                      <w:highlight w:val="none"/>
                    </w:rPr>
                  </w:pPr>
                </w:p>
              </w:tc>
              <w:tc>
                <w:tcPr>
                  <w:tcW w:w="1908" w:type="pct"/>
                  <w:tcBorders>
                    <w:top w:val="single" w:color="auto" w:sz="4" w:space="0"/>
                    <w:bottom w:val="single" w:color="auto" w:sz="4" w:space="0"/>
                  </w:tcBorders>
                  <w:shd w:val="clear" w:color="auto" w:fill="auto"/>
                  <w:vAlign w:val="center"/>
                </w:tcPr>
                <w:p w14:paraId="181A6D64">
                  <w:pPr>
                    <w:autoSpaceDE w:val="0"/>
                    <w:autoSpaceDN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患者缓冲区（3#监测点）</w:t>
                  </w:r>
                </w:p>
              </w:tc>
              <w:tc>
                <w:tcPr>
                  <w:tcW w:w="762" w:type="pct"/>
                  <w:tcBorders>
                    <w:top w:val="single" w:color="auto" w:sz="4" w:space="0"/>
                    <w:bottom w:val="single" w:color="auto" w:sz="4" w:space="0"/>
                    <w:right w:val="single" w:color="auto" w:sz="4" w:space="0"/>
                  </w:tcBorders>
                  <w:shd w:val="clear" w:color="auto" w:fill="auto"/>
                  <w:vAlign w:val="center"/>
                </w:tcPr>
                <w:p w14:paraId="48B9ACEF">
                  <w:pPr>
                    <w:autoSpaceDE w:val="0"/>
                    <w:autoSpaceDN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5.6</w:t>
                  </w:r>
                  <w:r>
                    <w:rPr>
                      <w:rFonts w:hint="default" w:ascii="Times New Roman" w:hAnsi="Times New Roman" w:cs="Times New Roman"/>
                      <w:color w:val="auto"/>
                      <w:kern w:val="2"/>
                      <w:sz w:val="21"/>
                      <w:szCs w:val="21"/>
                      <w:highlight w:val="none"/>
                      <w:lang w:val="en-US" w:eastAsia="zh-CN" w:bidi="ar-SA"/>
                    </w:rPr>
                    <w:t>m</w:t>
                  </w:r>
                </w:p>
              </w:tc>
              <w:tc>
                <w:tcPr>
                  <w:tcW w:w="712" w:type="pct"/>
                  <w:tcBorders>
                    <w:right w:val="single" w:color="auto" w:sz="4" w:space="0"/>
                  </w:tcBorders>
                  <w:vAlign w:val="center"/>
                </w:tcPr>
                <w:p w14:paraId="25906E54">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50名/d</w:t>
                  </w:r>
                </w:p>
              </w:tc>
              <w:tc>
                <w:tcPr>
                  <w:tcW w:w="462" w:type="pct"/>
                  <w:vMerge w:val="continue"/>
                  <w:tcBorders>
                    <w:right w:val="single" w:color="auto" w:sz="4" w:space="0"/>
                  </w:tcBorders>
                  <w:vAlign w:val="center"/>
                </w:tcPr>
                <w:p w14:paraId="12FC2B53">
                  <w:pPr>
                    <w:autoSpaceDE w:val="0"/>
                    <w:autoSpaceDN w:val="0"/>
                    <w:adjustRightInd w:val="0"/>
                    <w:snapToGrid w:val="0"/>
                    <w:jc w:val="center"/>
                    <w:rPr>
                      <w:rFonts w:hint="default" w:ascii="Times New Roman" w:hAnsi="Times New Roman" w:cs="Times New Roman"/>
                      <w:color w:val="auto"/>
                      <w:szCs w:val="21"/>
                      <w:highlight w:val="none"/>
                    </w:rPr>
                  </w:pPr>
                </w:p>
              </w:tc>
              <w:tc>
                <w:tcPr>
                  <w:tcW w:w="473" w:type="pct"/>
                  <w:tcBorders>
                    <w:right w:val="single" w:color="auto" w:sz="4" w:space="0"/>
                  </w:tcBorders>
                  <w:vAlign w:val="center"/>
                </w:tcPr>
                <w:p w14:paraId="17ED0A58">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0.1</w:t>
                  </w:r>
                </w:p>
              </w:tc>
            </w:tr>
            <w:tr w14:paraId="1E5175F1">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pct"/>
                  <w:vMerge w:val="continue"/>
                  <w:tcBorders>
                    <w:left w:val="single" w:color="auto" w:sz="4" w:space="0"/>
                  </w:tcBorders>
                  <w:vAlign w:val="center"/>
                </w:tcPr>
                <w:p w14:paraId="18A9D5DA">
                  <w:pPr>
                    <w:autoSpaceDE w:val="0"/>
                    <w:autoSpaceDN w:val="0"/>
                    <w:adjustRightInd w:val="0"/>
                    <w:snapToGrid w:val="0"/>
                    <w:jc w:val="center"/>
                    <w:rPr>
                      <w:rFonts w:hint="default" w:ascii="Times New Roman" w:hAnsi="Times New Roman" w:cs="Times New Roman"/>
                      <w:color w:val="auto"/>
                      <w:szCs w:val="21"/>
                      <w:highlight w:val="none"/>
                    </w:rPr>
                  </w:pPr>
                </w:p>
              </w:tc>
              <w:tc>
                <w:tcPr>
                  <w:tcW w:w="1908" w:type="pct"/>
                  <w:tcBorders>
                    <w:top w:val="single" w:color="auto" w:sz="4" w:space="0"/>
                    <w:bottom w:val="single" w:color="auto" w:sz="4" w:space="0"/>
                  </w:tcBorders>
                  <w:shd w:val="clear" w:color="auto" w:fill="auto"/>
                  <w:vAlign w:val="center"/>
                </w:tcPr>
                <w:p w14:paraId="531486F4">
                  <w:pPr>
                    <w:autoSpaceDE w:val="0"/>
                    <w:autoSpaceDN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患者卫生间</w:t>
                  </w:r>
                </w:p>
              </w:tc>
              <w:tc>
                <w:tcPr>
                  <w:tcW w:w="762" w:type="pct"/>
                  <w:tcBorders>
                    <w:top w:val="single" w:color="auto" w:sz="4" w:space="0"/>
                    <w:bottom w:val="single" w:color="auto" w:sz="4" w:space="0"/>
                    <w:right w:val="single" w:color="auto" w:sz="4" w:space="0"/>
                  </w:tcBorders>
                  <w:shd w:val="clear" w:color="auto" w:fill="auto"/>
                  <w:vAlign w:val="center"/>
                </w:tcPr>
                <w:p w14:paraId="7C3BAFFB">
                  <w:pPr>
                    <w:autoSpaceDE w:val="0"/>
                    <w:autoSpaceDN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5.8</w:t>
                  </w:r>
                  <w:r>
                    <w:rPr>
                      <w:rFonts w:hint="default" w:ascii="Times New Roman" w:hAnsi="Times New Roman" w:cs="Times New Roman"/>
                      <w:color w:val="auto"/>
                      <w:szCs w:val="21"/>
                      <w:highlight w:val="none"/>
                      <w:lang w:val="en-US" w:eastAsia="zh-CN"/>
                    </w:rPr>
                    <w:t>m</w:t>
                  </w:r>
                </w:p>
              </w:tc>
              <w:tc>
                <w:tcPr>
                  <w:tcW w:w="712" w:type="pct"/>
                  <w:tcBorders>
                    <w:right w:val="single" w:color="auto" w:sz="4" w:space="0"/>
                  </w:tcBorders>
                  <w:vAlign w:val="center"/>
                </w:tcPr>
                <w:p w14:paraId="1A408BCD">
                  <w:pPr>
                    <w:autoSpaceDE w:val="0"/>
                    <w:autoSpaceDN w:val="0"/>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50名/d</w:t>
                  </w:r>
                </w:p>
              </w:tc>
              <w:tc>
                <w:tcPr>
                  <w:tcW w:w="462" w:type="pct"/>
                  <w:vMerge w:val="continue"/>
                  <w:tcBorders>
                    <w:right w:val="single" w:color="auto" w:sz="4" w:space="0"/>
                  </w:tcBorders>
                  <w:vAlign w:val="center"/>
                </w:tcPr>
                <w:p w14:paraId="26A7EBF8">
                  <w:pPr>
                    <w:autoSpaceDE w:val="0"/>
                    <w:autoSpaceDN w:val="0"/>
                    <w:adjustRightInd w:val="0"/>
                    <w:snapToGrid w:val="0"/>
                    <w:jc w:val="center"/>
                    <w:rPr>
                      <w:rFonts w:hint="default" w:ascii="Times New Roman" w:hAnsi="Times New Roman" w:cs="Times New Roman"/>
                      <w:color w:val="auto"/>
                      <w:szCs w:val="21"/>
                      <w:highlight w:val="none"/>
                    </w:rPr>
                  </w:pPr>
                </w:p>
              </w:tc>
              <w:tc>
                <w:tcPr>
                  <w:tcW w:w="473" w:type="pct"/>
                  <w:tcBorders>
                    <w:right w:val="single" w:color="auto" w:sz="4" w:space="0"/>
                  </w:tcBorders>
                  <w:vAlign w:val="center"/>
                </w:tcPr>
                <w:p w14:paraId="7741483B">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0.1</w:t>
                  </w:r>
                </w:p>
              </w:tc>
            </w:tr>
            <w:tr w14:paraId="52D5DFDE">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1" w:type="pct"/>
                  <w:vMerge w:val="continue"/>
                  <w:tcBorders>
                    <w:left w:val="single" w:color="auto" w:sz="4" w:space="0"/>
                  </w:tcBorders>
                  <w:vAlign w:val="center"/>
                </w:tcPr>
                <w:p w14:paraId="0763B5F4">
                  <w:pPr>
                    <w:autoSpaceDE w:val="0"/>
                    <w:autoSpaceDN w:val="0"/>
                    <w:adjustRightInd w:val="0"/>
                    <w:snapToGrid w:val="0"/>
                    <w:jc w:val="center"/>
                    <w:rPr>
                      <w:rFonts w:hint="default" w:ascii="Times New Roman" w:hAnsi="Times New Roman" w:cs="Times New Roman"/>
                      <w:color w:val="auto"/>
                      <w:szCs w:val="21"/>
                      <w:highlight w:val="none"/>
                    </w:rPr>
                  </w:pPr>
                </w:p>
              </w:tc>
              <w:tc>
                <w:tcPr>
                  <w:tcW w:w="1908" w:type="pct"/>
                  <w:tcBorders>
                    <w:top w:val="single" w:color="auto" w:sz="4" w:space="0"/>
                    <w:bottom w:val="single" w:color="auto" w:sz="4" w:space="0"/>
                  </w:tcBorders>
                  <w:vAlign w:val="center"/>
                </w:tcPr>
                <w:p w14:paraId="17A7C95D">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污物通道</w:t>
                  </w:r>
                </w:p>
              </w:tc>
              <w:tc>
                <w:tcPr>
                  <w:tcW w:w="762" w:type="pct"/>
                  <w:tcBorders>
                    <w:top w:val="single" w:color="auto" w:sz="4" w:space="0"/>
                    <w:bottom w:val="single" w:color="auto" w:sz="4" w:space="0"/>
                    <w:right w:val="single" w:color="auto" w:sz="4" w:space="0"/>
                  </w:tcBorders>
                  <w:vAlign w:val="center"/>
                </w:tcPr>
                <w:p w14:paraId="5CD2F4A2">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6.9m</w:t>
                  </w:r>
                </w:p>
              </w:tc>
              <w:tc>
                <w:tcPr>
                  <w:tcW w:w="712" w:type="pct"/>
                  <w:tcBorders>
                    <w:top w:val="single" w:color="auto" w:sz="4" w:space="0"/>
                    <w:right w:val="single" w:color="auto" w:sz="4" w:space="0"/>
                  </w:tcBorders>
                  <w:vAlign w:val="center"/>
                </w:tcPr>
                <w:p w14:paraId="09AB4A86">
                  <w:pPr>
                    <w:autoSpaceDE w:val="0"/>
                    <w:autoSpaceDN w:val="0"/>
                    <w:adjustRightInd w:val="0"/>
                    <w:snapToGrid w:val="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名/d</w:t>
                  </w:r>
                </w:p>
              </w:tc>
              <w:tc>
                <w:tcPr>
                  <w:tcW w:w="462" w:type="pct"/>
                  <w:vMerge w:val="continue"/>
                  <w:tcBorders>
                    <w:right w:val="single" w:color="auto" w:sz="4" w:space="0"/>
                  </w:tcBorders>
                  <w:vAlign w:val="center"/>
                </w:tcPr>
                <w:p w14:paraId="7299BFE6">
                  <w:pPr>
                    <w:autoSpaceDE w:val="0"/>
                    <w:autoSpaceDN w:val="0"/>
                    <w:adjustRightInd w:val="0"/>
                    <w:snapToGrid w:val="0"/>
                    <w:jc w:val="center"/>
                    <w:rPr>
                      <w:rFonts w:hint="default" w:ascii="Times New Roman" w:hAnsi="Times New Roman" w:cs="Times New Roman"/>
                      <w:color w:val="auto"/>
                      <w:szCs w:val="21"/>
                      <w:highlight w:val="none"/>
                    </w:rPr>
                  </w:pPr>
                </w:p>
              </w:tc>
              <w:tc>
                <w:tcPr>
                  <w:tcW w:w="473" w:type="pct"/>
                  <w:tcBorders>
                    <w:top w:val="single" w:color="auto" w:sz="4" w:space="0"/>
                    <w:right w:val="single" w:color="auto" w:sz="4" w:space="0"/>
                  </w:tcBorders>
                  <w:vAlign w:val="center"/>
                </w:tcPr>
                <w:p w14:paraId="70131A12">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0.1</w:t>
                  </w:r>
                </w:p>
              </w:tc>
            </w:tr>
            <w:tr w14:paraId="3ECC0BEC">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pct"/>
                  <w:vMerge w:val="continue"/>
                  <w:tcBorders>
                    <w:left w:val="single" w:color="auto" w:sz="4" w:space="0"/>
                  </w:tcBorders>
                  <w:vAlign w:val="center"/>
                </w:tcPr>
                <w:p w14:paraId="61078D03">
                  <w:pPr>
                    <w:autoSpaceDE w:val="0"/>
                    <w:autoSpaceDN w:val="0"/>
                    <w:adjustRightInd w:val="0"/>
                    <w:snapToGrid w:val="0"/>
                    <w:jc w:val="center"/>
                    <w:rPr>
                      <w:rFonts w:hint="default" w:ascii="Times New Roman" w:hAnsi="Times New Roman" w:cs="Times New Roman"/>
                      <w:color w:val="auto"/>
                      <w:szCs w:val="21"/>
                      <w:highlight w:val="none"/>
                    </w:rPr>
                  </w:pPr>
                </w:p>
              </w:tc>
              <w:tc>
                <w:tcPr>
                  <w:tcW w:w="1908" w:type="pct"/>
                  <w:tcBorders>
                    <w:top w:val="single" w:color="auto" w:sz="4" w:space="0"/>
                    <w:bottom w:val="single" w:color="auto" w:sz="4" w:space="0"/>
                  </w:tcBorders>
                  <w:vAlign w:val="center"/>
                </w:tcPr>
                <w:p w14:paraId="1F7078E1">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患者恢复室</w:t>
                  </w:r>
                </w:p>
              </w:tc>
              <w:tc>
                <w:tcPr>
                  <w:tcW w:w="762" w:type="pct"/>
                  <w:tcBorders>
                    <w:top w:val="single" w:color="auto" w:sz="4" w:space="0"/>
                    <w:bottom w:val="single" w:color="auto" w:sz="4" w:space="0"/>
                    <w:right w:val="single" w:color="auto" w:sz="4" w:space="0"/>
                  </w:tcBorders>
                  <w:vAlign w:val="center"/>
                </w:tcPr>
                <w:p w14:paraId="69BB10D2">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6.7m</w:t>
                  </w:r>
                </w:p>
              </w:tc>
              <w:tc>
                <w:tcPr>
                  <w:tcW w:w="712" w:type="pct"/>
                  <w:tcBorders>
                    <w:top w:val="single" w:color="auto" w:sz="4" w:space="0"/>
                    <w:right w:val="single" w:color="auto" w:sz="4" w:space="0"/>
                  </w:tcBorders>
                  <w:shd w:val="clear" w:color="auto" w:fill="auto"/>
                  <w:vAlign w:val="center"/>
                </w:tcPr>
                <w:p w14:paraId="49114A3B">
                  <w:pPr>
                    <w:autoSpaceDE w:val="0"/>
                    <w:autoSpaceDN w:val="0"/>
                    <w:adjustRightInd w:val="0"/>
                    <w:snapToGrid w:val="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lang w:val="en-US" w:eastAsia="zh-CN"/>
                    </w:rPr>
                    <w:t>0</w:t>
                  </w:r>
                  <w:r>
                    <w:rPr>
                      <w:rFonts w:hint="default" w:ascii="Times New Roman" w:hAnsi="Times New Roman" w:cs="Times New Roman"/>
                      <w:color w:val="auto"/>
                      <w:szCs w:val="21"/>
                      <w:highlight w:val="none"/>
                    </w:rPr>
                    <w:t>名/d</w:t>
                  </w:r>
                </w:p>
              </w:tc>
              <w:tc>
                <w:tcPr>
                  <w:tcW w:w="462" w:type="pct"/>
                  <w:vMerge w:val="continue"/>
                  <w:tcBorders>
                    <w:right w:val="single" w:color="auto" w:sz="4" w:space="0"/>
                  </w:tcBorders>
                  <w:shd w:val="clear" w:color="auto" w:fill="auto"/>
                  <w:vAlign w:val="center"/>
                </w:tcPr>
                <w:p w14:paraId="55D7F87F">
                  <w:pPr>
                    <w:autoSpaceDE w:val="0"/>
                    <w:autoSpaceDN w:val="0"/>
                    <w:adjustRightInd w:val="0"/>
                    <w:snapToGrid w:val="0"/>
                    <w:jc w:val="center"/>
                    <w:rPr>
                      <w:rFonts w:hint="default" w:ascii="Times New Roman" w:hAnsi="Times New Roman" w:cs="Times New Roman"/>
                      <w:color w:val="auto"/>
                      <w:szCs w:val="21"/>
                      <w:highlight w:val="none"/>
                    </w:rPr>
                  </w:pPr>
                </w:p>
              </w:tc>
              <w:tc>
                <w:tcPr>
                  <w:tcW w:w="473" w:type="pct"/>
                  <w:tcBorders>
                    <w:top w:val="single" w:color="auto" w:sz="4" w:space="0"/>
                    <w:right w:val="single" w:color="auto" w:sz="4" w:space="0"/>
                  </w:tcBorders>
                  <w:shd w:val="clear" w:color="auto" w:fill="auto"/>
                  <w:vAlign w:val="center"/>
                </w:tcPr>
                <w:p w14:paraId="6CCBBF37">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0.1</w:t>
                  </w:r>
                </w:p>
              </w:tc>
            </w:tr>
            <w:tr w14:paraId="11FE17A2">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pct"/>
                  <w:vMerge w:val="continue"/>
                  <w:tcBorders>
                    <w:left w:val="single" w:color="auto" w:sz="4" w:space="0"/>
                  </w:tcBorders>
                  <w:vAlign w:val="center"/>
                </w:tcPr>
                <w:p w14:paraId="4852F539">
                  <w:pPr>
                    <w:autoSpaceDE w:val="0"/>
                    <w:autoSpaceDN w:val="0"/>
                    <w:adjustRightInd w:val="0"/>
                    <w:snapToGrid w:val="0"/>
                    <w:jc w:val="center"/>
                    <w:rPr>
                      <w:rFonts w:hint="default" w:ascii="Times New Roman" w:hAnsi="Times New Roman" w:cs="Times New Roman"/>
                      <w:color w:val="auto"/>
                      <w:szCs w:val="21"/>
                      <w:highlight w:val="none"/>
                    </w:rPr>
                  </w:pPr>
                </w:p>
              </w:tc>
              <w:tc>
                <w:tcPr>
                  <w:tcW w:w="1908" w:type="pct"/>
                  <w:tcBorders>
                    <w:top w:val="single" w:color="auto" w:sz="4" w:space="0"/>
                    <w:bottom w:val="single" w:color="auto" w:sz="4" w:space="0"/>
                  </w:tcBorders>
                  <w:vAlign w:val="center"/>
                </w:tcPr>
                <w:p w14:paraId="6AB5D46E">
                  <w:pPr>
                    <w:autoSpaceDE w:val="0"/>
                    <w:autoSpaceDN w:val="0"/>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介入室楼下口腔科门诊（1#监测点）</w:t>
                  </w:r>
                </w:p>
              </w:tc>
              <w:tc>
                <w:tcPr>
                  <w:tcW w:w="762" w:type="pct"/>
                  <w:tcBorders>
                    <w:top w:val="single" w:color="auto" w:sz="4" w:space="0"/>
                    <w:bottom w:val="single" w:color="auto" w:sz="4" w:space="0"/>
                    <w:right w:val="single" w:color="auto" w:sz="4" w:space="0"/>
                  </w:tcBorders>
                  <w:vAlign w:val="center"/>
                </w:tcPr>
                <w:p w14:paraId="5A655EDB">
                  <w:pPr>
                    <w:autoSpaceDE w:val="0"/>
                    <w:autoSpaceDN w:val="0"/>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4.45m</w:t>
                  </w:r>
                </w:p>
              </w:tc>
              <w:tc>
                <w:tcPr>
                  <w:tcW w:w="712" w:type="pct"/>
                  <w:tcBorders>
                    <w:top w:val="single" w:color="auto" w:sz="4" w:space="0"/>
                    <w:right w:val="single" w:color="auto" w:sz="4" w:space="0"/>
                  </w:tcBorders>
                  <w:shd w:val="clear" w:color="auto" w:fill="auto"/>
                  <w:vAlign w:val="center"/>
                </w:tcPr>
                <w:p w14:paraId="3DE05112">
                  <w:pPr>
                    <w:autoSpaceDE w:val="0"/>
                    <w:autoSpaceDN w:val="0"/>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100名/d</w:t>
                  </w:r>
                </w:p>
              </w:tc>
              <w:tc>
                <w:tcPr>
                  <w:tcW w:w="462" w:type="pct"/>
                  <w:vMerge w:val="continue"/>
                  <w:tcBorders>
                    <w:right w:val="single" w:color="auto" w:sz="4" w:space="0"/>
                  </w:tcBorders>
                  <w:shd w:val="clear" w:color="auto" w:fill="auto"/>
                  <w:vAlign w:val="center"/>
                </w:tcPr>
                <w:p w14:paraId="323CA550">
                  <w:pPr>
                    <w:autoSpaceDE w:val="0"/>
                    <w:autoSpaceDN w:val="0"/>
                    <w:adjustRightInd w:val="0"/>
                    <w:snapToGrid w:val="0"/>
                    <w:jc w:val="center"/>
                    <w:rPr>
                      <w:rFonts w:hint="default" w:ascii="Times New Roman" w:hAnsi="Times New Roman" w:cs="Times New Roman"/>
                      <w:color w:val="auto"/>
                      <w:szCs w:val="21"/>
                      <w:highlight w:val="none"/>
                    </w:rPr>
                  </w:pPr>
                </w:p>
              </w:tc>
              <w:tc>
                <w:tcPr>
                  <w:tcW w:w="473" w:type="pct"/>
                  <w:tcBorders>
                    <w:top w:val="single" w:color="auto" w:sz="4" w:space="0"/>
                    <w:right w:val="single" w:color="auto" w:sz="4" w:space="0"/>
                  </w:tcBorders>
                  <w:shd w:val="clear" w:color="auto" w:fill="auto"/>
                  <w:vAlign w:val="center"/>
                </w:tcPr>
                <w:p w14:paraId="2EB5BA71">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0.1</w:t>
                  </w:r>
                </w:p>
              </w:tc>
            </w:tr>
            <w:tr w14:paraId="2E5189EA">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pct"/>
                  <w:vMerge w:val="continue"/>
                  <w:tcBorders>
                    <w:left w:val="single" w:color="auto" w:sz="4" w:space="0"/>
                  </w:tcBorders>
                  <w:vAlign w:val="center"/>
                </w:tcPr>
                <w:p w14:paraId="73BDC8BC">
                  <w:pPr>
                    <w:autoSpaceDE w:val="0"/>
                    <w:autoSpaceDN w:val="0"/>
                    <w:adjustRightInd w:val="0"/>
                    <w:snapToGrid w:val="0"/>
                    <w:jc w:val="center"/>
                    <w:rPr>
                      <w:rFonts w:hint="default" w:ascii="Times New Roman" w:hAnsi="Times New Roman" w:cs="Times New Roman"/>
                      <w:color w:val="auto"/>
                      <w:szCs w:val="21"/>
                      <w:highlight w:val="none"/>
                    </w:rPr>
                  </w:pPr>
                </w:p>
              </w:tc>
              <w:tc>
                <w:tcPr>
                  <w:tcW w:w="1908" w:type="pct"/>
                  <w:tcBorders>
                    <w:top w:val="single" w:color="auto" w:sz="4" w:space="0"/>
                    <w:bottom w:val="single" w:color="auto" w:sz="4" w:space="0"/>
                  </w:tcBorders>
                  <w:vAlign w:val="center"/>
                </w:tcPr>
                <w:p w14:paraId="2EBEF842">
                  <w:pPr>
                    <w:autoSpaceDE w:val="0"/>
                    <w:autoSpaceDN w:val="0"/>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介入室楼上屋面（13#监测点）</w:t>
                  </w:r>
                </w:p>
              </w:tc>
              <w:tc>
                <w:tcPr>
                  <w:tcW w:w="762" w:type="pct"/>
                  <w:tcBorders>
                    <w:top w:val="single" w:color="auto" w:sz="4" w:space="0"/>
                    <w:bottom w:val="single" w:color="auto" w:sz="4" w:space="0"/>
                    <w:right w:val="single" w:color="auto" w:sz="4" w:space="0"/>
                  </w:tcBorders>
                  <w:vAlign w:val="center"/>
                </w:tcPr>
                <w:p w14:paraId="11ED1B72">
                  <w:pPr>
                    <w:autoSpaceDE w:val="0"/>
                    <w:autoSpaceDN w:val="0"/>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3m</w:t>
                  </w:r>
                </w:p>
              </w:tc>
              <w:tc>
                <w:tcPr>
                  <w:tcW w:w="712" w:type="pct"/>
                  <w:tcBorders>
                    <w:top w:val="single" w:color="auto" w:sz="4" w:space="0"/>
                    <w:right w:val="single" w:color="auto" w:sz="4" w:space="0"/>
                  </w:tcBorders>
                  <w:shd w:val="clear" w:color="auto" w:fill="auto"/>
                  <w:vAlign w:val="center"/>
                </w:tcPr>
                <w:p w14:paraId="6A4C75FE">
                  <w:pPr>
                    <w:autoSpaceDE w:val="0"/>
                    <w:autoSpaceDN w:val="0"/>
                    <w:adjustRightInd w:val="0"/>
                    <w:snapToGrid w:val="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名/d</w:t>
                  </w:r>
                </w:p>
              </w:tc>
              <w:tc>
                <w:tcPr>
                  <w:tcW w:w="462" w:type="pct"/>
                  <w:vMerge w:val="continue"/>
                  <w:tcBorders>
                    <w:right w:val="single" w:color="auto" w:sz="4" w:space="0"/>
                  </w:tcBorders>
                  <w:shd w:val="clear" w:color="auto" w:fill="auto"/>
                  <w:vAlign w:val="center"/>
                </w:tcPr>
                <w:p w14:paraId="58CF31D9">
                  <w:pPr>
                    <w:autoSpaceDE w:val="0"/>
                    <w:autoSpaceDN w:val="0"/>
                    <w:adjustRightInd w:val="0"/>
                    <w:snapToGrid w:val="0"/>
                    <w:jc w:val="center"/>
                    <w:rPr>
                      <w:rFonts w:hint="default" w:ascii="Times New Roman" w:hAnsi="Times New Roman" w:cs="Times New Roman"/>
                      <w:color w:val="auto"/>
                      <w:szCs w:val="21"/>
                      <w:highlight w:val="none"/>
                    </w:rPr>
                  </w:pPr>
                </w:p>
              </w:tc>
              <w:tc>
                <w:tcPr>
                  <w:tcW w:w="473" w:type="pct"/>
                  <w:tcBorders>
                    <w:top w:val="single" w:color="auto" w:sz="4" w:space="0"/>
                    <w:right w:val="single" w:color="auto" w:sz="4" w:space="0"/>
                  </w:tcBorders>
                  <w:shd w:val="clear" w:color="auto" w:fill="auto"/>
                  <w:vAlign w:val="center"/>
                </w:tcPr>
                <w:p w14:paraId="4992D92E">
                  <w:pPr>
                    <w:autoSpaceDE w:val="0"/>
                    <w:autoSpaceDN w:val="0"/>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0.1</w:t>
                  </w:r>
                </w:p>
              </w:tc>
            </w:tr>
            <w:tr w14:paraId="0C929D2D">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6"/>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6CE85F9">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50m范围</w:t>
                  </w:r>
                </w:p>
              </w:tc>
            </w:tr>
            <w:tr w14:paraId="304DC2F5">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pct"/>
                  <w:tcBorders>
                    <w:top w:val="single" w:color="auto" w:sz="4" w:space="0"/>
                    <w:left w:val="single" w:color="auto" w:sz="4" w:space="0"/>
                    <w:bottom w:val="single" w:color="auto" w:sz="4" w:space="0"/>
                  </w:tcBorders>
                  <w:vAlign w:val="center"/>
                </w:tcPr>
                <w:p w14:paraId="1F31EF63">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保护目标</w:t>
                  </w:r>
                </w:p>
              </w:tc>
              <w:tc>
                <w:tcPr>
                  <w:tcW w:w="1908" w:type="pct"/>
                  <w:tcBorders>
                    <w:top w:val="single" w:color="auto" w:sz="4" w:space="0"/>
                    <w:bottom w:val="single" w:color="auto" w:sz="4" w:space="0"/>
                  </w:tcBorders>
                  <w:vAlign w:val="center"/>
                </w:tcPr>
                <w:p w14:paraId="34303E65">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位置</w:t>
                  </w:r>
                </w:p>
              </w:tc>
              <w:tc>
                <w:tcPr>
                  <w:tcW w:w="762" w:type="pct"/>
                  <w:tcBorders>
                    <w:top w:val="single" w:color="auto" w:sz="4" w:space="0"/>
                    <w:bottom w:val="single" w:color="auto" w:sz="4" w:space="0"/>
                    <w:right w:val="single" w:color="auto" w:sz="4" w:space="0"/>
                  </w:tcBorders>
                  <w:vAlign w:val="center"/>
                </w:tcPr>
                <w:p w14:paraId="41818C7E">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距离屏蔽体最近距离</w:t>
                  </w:r>
                </w:p>
              </w:tc>
              <w:tc>
                <w:tcPr>
                  <w:tcW w:w="712" w:type="pct"/>
                  <w:tcBorders>
                    <w:top w:val="single" w:color="auto" w:sz="4" w:space="0"/>
                    <w:bottom w:val="single" w:color="auto" w:sz="4" w:space="0"/>
                    <w:right w:val="single" w:color="auto" w:sz="4" w:space="0"/>
                  </w:tcBorders>
                  <w:vAlign w:val="center"/>
                </w:tcPr>
                <w:p w14:paraId="7904E7F6">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规模</w:t>
                  </w:r>
                </w:p>
              </w:tc>
              <w:tc>
                <w:tcPr>
                  <w:tcW w:w="462" w:type="pct"/>
                  <w:tcBorders>
                    <w:top w:val="single" w:color="auto" w:sz="4" w:space="0"/>
                    <w:bottom w:val="single" w:color="auto" w:sz="4" w:space="0"/>
                    <w:right w:val="single" w:color="auto" w:sz="4" w:space="0"/>
                  </w:tcBorders>
                  <w:vAlign w:val="center"/>
                </w:tcPr>
                <w:p w14:paraId="7C798650">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照射类型</w:t>
                  </w:r>
                </w:p>
              </w:tc>
              <w:tc>
                <w:tcPr>
                  <w:tcW w:w="473" w:type="pct"/>
                  <w:tcBorders>
                    <w:top w:val="single" w:color="auto" w:sz="4" w:space="0"/>
                    <w:bottom w:val="single" w:color="auto" w:sz="4" w:space="0"/>
                    <w:right w:val="single" w:color="auto" w:sz="4" w:space="0"/>
                  </w:tcBorders>
                  <w:vAlign w:val="center"/>
                </w:tcPr>
                <w:p w14:paraId="224E3BB6">
                  <w:pPr>
                    <w:widowControl/>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剂量约束值</w:t>
                  </w:r>
                </w:p>
              </w:tc>
            </w:tr>
            <w:tr w14:paraId="4ECBCC26">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pct"/>
                  <w:vMerge w:val="restart"/>
                  <w:tcBorders>
                    <w:top w:val="single" w:color="auto" w:sz="4" w:space="0"/>
                    <w:left w:val="single" w:color="auto" w:sz="4" w:space="0"/>
                  </w:tcBorders>
                  <w:vAlign w:val="center"/>
                </w:tcPr>
                <w:p w14:paraId="357143EF">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其他医护人员、病患、陪同家属及公众</w:t>
                  </w:r>
                </w:p>
              </w:tc>
              <w:tc>
                <w:tcPr>
                  <w:tcW w:w="1908" w:type="pct"/>
                  <w:tcBorders>
                    <w:top w:val="single" w:color="auto" w:sz="4" w:space="0"/>
                    <w:bottom w:val="single" w:color="auto" w:sz="4" w:space="0"/>
                  </w:tcBorders>
                  <w:vAlign w:val="center"/>
                </w:tcPr>
                <w:p w14:paraId="233751E0">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1#医疗综合楼办公室（14#监测点）</w:t>
                  </w:r>
                </w:p>
              </w:tc>
              <w:tc>
                <w:tcPr>
                  <w:tcW w:w="762" w:type="pct"/>
                  <w:tcBorders>
                    <w:top w:val="single" w:color="auto" w:sz="4" w:space="0"/>
                    <w:bottom w:val="single" w:color="auto" w:sz="4" w:space="0"/>
                    <w:right w:val="single" w:color="auto" w:sz="4" w:space="0"/>
                  </w:tcBorders>
                  <w:vAlign w:val="center"/>
                </w:tcPr>
                <w:p w14:paraId="7539A331">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东</w:t>
                  </w:r>
                  <w:r>
                    <w:rPr>
                      <w:rFonts w:hint="default" w:ascii="Times New Roman" w:hAnsi="Times New Roman" w:cs="Times New Roman"/>
                      <w:color w:val="auto"/>
                      <w:szCs w:val="21"/>
                      <w:highlight w:val="none"/>
                      <w:lang w:val="en-US" w:eastAsia="zh-CN"/>
                    </w:rPr>
                    <w:t>侧</w:t>
                  </w:r>
                  <w:r>
                    <w:rPr>
                      <w:rFonts w:hint="eastAsia" w:ascii="Times New Roman" w:hAnsi="Times New Roman" w:cs="Times New Roman"/>
                      <w:color w:val="auto"/>
                      <w:szCs w:val="21"/>
                      <w:highlight w:val="none"/>
                      <w:lang w:val="en-US" w:eastAsia="zh-CN"/>
                    </w:rPr>
                    <w:t>30</w:t>
                  </w:r>
                  <w:r>
                    <w:rPr>
                      <w:rFonts w:hint="default" w:ascii="Times New Roman" w:hAnsi="Times New Roman" w:cs="Times New Roman"/>
                      <w:color w:val="auto"/>
                      <w:szCs w:val="21"/>
                      <w:highlight w:val="none"/>
                      <w:lang w:val="en-US" w:eastAsia="zh-CN"/>
                    </w:rPr>
                    <w:t>m</w:t>
                  </w:r>
                </w:p>
              </w:tc>
              <w:tc>
                <w:tcPr>
                  <w:tcW w:w="712" w:type="pct"/>
                  <w:tcBorders>
                    <w:top w:val="single" w:color="auto" w:sz="4" w:space="0"/>
                    <w:bottom w:val="single" w:color="auto" w:sz="4" w:space="0"/>
                    <w:right w:val="single" w:color="auto" w:sz="4" w:space="0"/>
                  </w:tcBorders>
                  <w:vAlign w:val="center"/>
                </w:tcPr>
                <w:p w14:paraId="2F3BA412">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约</w:t>
                  </w:r>
                  <w:r>
                    <w:rPr>
                      <w:rFonts w:hint="default" w:ascii="Times New Roman" w:hAnsi="Times New Roman" w:cs="Times New Roman"/>
                      <w:color w:val="auto"/>
                      <w:szCs w:val="21"/>
                      <w:highlight w:val="none"/>
                      <w:lang w:val="en-US" w:eastAsia="zh-CN"/>
                    </w:rPr>
                    <w:t>1</w:t>
                  </w:r>
                  <w:r>
                    <w:rPr>
                      <w:rFonts w:hint="eastAsia" w:ascii="Times New Roman" w:hAnsi="Times New Roman" w:cs="Times New Roman"/>
                      <w:color w:val="auto"/>
                      <w:szCs w:val="21"/>
                      <w:highlight w:val="none"/>
                      <w:lang w:val="en-US" w:eastAsia="zh-CN"/>
                    </w:rPr>
                    <w:t>0</w:t>
                  </w:r>
                  <w:r>
                    <w:rPr>
                      <w:rFonts w:hint="default" w:ascii="Times New Roman" w:hAnsi="Times New Roman" w:cs="Times New Roman"/>
                      <w:color w:val="auto"/>
                      <w:szCs w:val="21"/>
                      <w:highlight w:val="none"/>
                    </w:rPr>
                    <w:t>人</w:t>
                  </w:r>
                </w:p>
              </w:tc>
              <w:tc>
                <w:tcPr>
                  <w:tcW w:w="462" w:type="pct"/>
                  <w:vMerge w:val="restart"/>
                  <w:tcBorders>
                    <w:top w:val="single" w:color="auto" w:sz="4" w:space="0"/>
                    <w:right w:val="single" w:color="auto" w:sz="4" w:space="0"/>
                  </w:tcBorders>
                  <w:vAlign w:val="center"/>
                </w:tcPr>
                <w:p w14:paraId="5F65D9E5">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公众</w:t>
                  </w:r>
                </w:p>
              </w:tc>
              <w:tc>
                <w:tcPr>
                  <w:tcW w:w="473" w:type="pct"/>
                  <w:vMerge w:val="restart"/>
                  <w:tcBorders>
                    <w:top w:val="single" w:color="auto" w:sz="4" w:space="0"/>
                    <w:right w:val="single" w:color="auto" w:sz="4" w:space="0"/>
                  </w:tcBorders>
                  <w:vAlign w:val="center"/>
                </w:tcPr>
                <w:p w14:paraId="36D470DA">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0.1mSv/a</w:t>
                  </w:r>
                </w:p>
              </w:tc>
            </w:tr>
            <w:tr w14:paraId="5027D023">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pct"/>
                  <w:vMerge w:val="continue"/>
                  <w:tcBorders>
                    <w:left w:val="single" w:color="auto" w:sz="4" w:space="0"/>
                  </w:tcBorders>
                  <w:vAlign w:val="center"/>
                </w:tcPr>
                <w:p w14:paraId="3B5126E8">
                  <w:pPr>
                    <w:autoSpaceDE w:val="0"/>
                    <w:autoSpaceDN w:val="0"/>
                    <w:adjustRightInd w:val="0"/>
                    <w:snapToGrid w:val="0"/>
                    <w:jc w:val="center"/>
                    <w:rPr>
                      <w:rFonts w:hint="default" w:ascii="Times New Roman" w:hAnsi="Times New Roman" w:cs="Times New Roman"/>
                      <w:color w:val="auto"/>
                      <w:szCs w:val="21"/>
                      <w:highlight w:val="none"/>
                    </w:rPr>
                  </w:pPr>
                </w:p>
              </w:tc>
              <w:tc>
                <w:tcPr>
                  <w:tcW w:w="1908" w:type="pct"/>
                  <w:tcBorders>
                    <w:top w:val="single" w:color="auto" w:sz="4" w:space="0"/>
                    <w:bottom w:val="single" w:color="auto" w:sz="4" w:space="0"/>
                  </w:tcBorders>
                  <w:vAlign w:val="center"/>
                </w:tcPr>
                <w:p w14:paraId="3066C38A">
                  <w:pPr>
                    <w:autoSpaceDE w:val="0"/>
                    <w:autoSpaceDN w:val="0"/>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血液科观察室（9#监测点）</w:t>
                  </w:r>
                </w:p>
              </w:tc>
              <w:tc>
                <w:tcPr>
                  <w:tcW w:w="762" w:type="pct"/>
                  <w:tcBorders>
                    <w:top w:val="single" w:color="auto" w:sz="4" w:space="0"/>
                    <w:bottom w:val="single" w:color="auto" w:sz="4" w:space="0"/>
                    <w:right w:val="single" w:color="auto" w:sz="4" w:space="0"/>
                  </w:tcBorders>
                  <w:vAlign w:val="center"/>
                </w:tcPr>
                <w:p w14:paraId="099181DC">
                  <w:pPr>
                    <w:autoSpaceDE w:val="0"/>
                    <w:autoSpaceDN w:val="0"/>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西侧8m</w:t>
                  </w:r>
                </w:p>
              </w:tc>
              <w:tc>
                <w:tcPr>
                  <w:tcW w:w="712" w:type="pct"/>
                  <w:tcBorders>
                    <w:top w:val="single" w:color="auto" w:sz="4" w:space="0"/>
                    <w:bottom w:val="single" w:color="auto" w:sz="4" w:space="0"/>
                    <w:right w:val="single" w:color="auto" w:sz="4" w:space="0"/>
                  </w:tcBorders>
                  <w:vAlign w:val="center"/>
                </w:tcPr>
                <w:p w14:paraId="000AB50E">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约2人</w:t>
                  </w:r>
                </w:p>
              </w:tc>
              <w:tc>
                <w:tcPr>
                  <w:tcW w:w="462" w:type="pct"/>
                  <w:vMerge w:val="continue"/>
                  <w:tcBorders>
                    <w:right w:val="single" w:color="auto" w:sz="4" w:space="0"/>
                  </w:tcBorders>
                  <w:vAlign w:val="center"/>
                </w:tcPr>
                <w:p w14:paraId="5ADA56DD">
                  <w:pPr>
                    <w:autoSpaceDE w:val="0"/>
                    <w:autoSpaceDN w:val="0"/>
                    <w:adjustRightInd w:val="0"/>
                    <w:snapToGrid w:val="0"/>
                    <w:jc w:val="center"/>
                    <w:rPr>
                      <w:rFonts w:hint="default" w:ascii="Times New Roman" w:hAnsi="Times New Roman" w:cs="Times New Roman"/>
                      <w:color w:val="auto"/>
                      <w:szCs w:val="21"/>
                      <w:highlight w:val="none"/>
                    </w:rPr>
                  </w:pPr>
                </w:p>
              </w:tc>
              <w:tc>
                <w:tcPr>
                  <w:tcW w:w="473" w:type="pct"/>
                  <w:vMerge w:val="continue"/>
                  <w:tcBorders>
                    <w:right w:val="single" w:color="auto" w:sz="4" w:space="0"/>
                  </w:tcBorders>
                  <w:vAlign w:val="center"/>
                </w:tcPr>
                <w:p w14:paraId="33082C46">
                  <w:pPr>
                    <w:autoSpaceDE w:val="0"/>
                    <w:autoSpaceDN w:val="0"/>
                    <w:adjustRightInd w:val="0"/>
                    <w:snapToGrid w:val="0"/>
                    <w:jc w:val="center"/>
                    <w:rPr>
                      <w:rFonts w:hint="default" w:ascii="Times New Roman" w:hAnsi="Times New Roman" w:cs="Times New Roman"/>
                      <w:color w:val="auto"/>
                      <w:szCs w:val="21"/>
                      <w:highlight w:val="none"/>
                    </w:rPr>
                  </w:pPr>
                </w:p>
              </w:tc>
            </w:tr>
            <w:tr w14:paraId="385BAFD9">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pct"/>
                  <w:vMerge w:val="continue"/>
                  <w:tcBorders>
                    <w:left w:val="single" w:color="auto" w:sz="4" w:space="0"/>
                  </w:tcBorders>
                  <w:vAlign w:val="center"/>
                </w:tcPr>
                <w:p w14:paraId="3F3DAE92">
                  <w:pPr>
                    <w:autoSpaceDE w:val="0"/>
                    <w:autoSpaceDN w:val="0"/>
                    <w:adjustRightInd w:val="0"/>
                    <w:snapToGrid w:val="0"/>
                    <w:jc w:val="center"/>
                    <w:rPr>
                      <w:rFonts w:hint="default" w:ascii="Times New Roman" w:hAnsi="Times New Roman" w:cs="Times New Roman"/>
                      <w:color w:val="auto"/>
                      <w:szCs w:val="21"/>
                      <w:highlight w:val="none"/>
                    </w:rPr>
                  </w:pPr>
                </w:p>
              </w:tc>
              <w:tc>
                <w:tcPr>
                  <w:tcW w:w="1908" w:type="pct"/>
                  <w:tcBorders>
                    <w:top w:val="single" w:color="auto" w:sz="4" w:space="0"/>
                    <w:bottom w:val="single" w:color="auto" w:sz="4" w:space="0"/>
                  </w:tcBorders>
                  <w:vAlign w:val="center"/>
                </w:tcPr>
                <w:p w14:paraId="34403331">
                  <w:pPr>
                    <w:autoSpaceDE w:val="0"/>
                    <w:autoSpaceDN w:val="0"/>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血液透析大厅患者走廊（10#监测点）</w:t>
                  </w:r>
                </w:p>
              </w:tc>
              <w:tc>
                <w:tcPr>
                  <w:tcW w:w="762" w:type="pct"/>
                  <w:tcBorders>
                    <w:top w:val="single" w:color="auto" w:sz="4" w:space="0"/>
                    <w:bottom w:val="single" w:color="auto" w:sz="4" w:space="0"/>
                    <w:right w:val="single" w:color="auto" w:sz="4" w:space="0"/>
                  </w:tcBorders>
                  <w:vAlign w:val="center"/>
                </w:tcPr>
                <w:p w14:paraId="043437EC">
                  <w:pPr>
                    <w:autoSpaceDE w:val="0"/>
                    <w:autoSpaceDN w:val="0"/>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西侧6m</w:t>
                  </w:r>
                </w:p>
              </w:tc>
              <w:tc>
                <w:tcPr>
                  <w:tcW w:w="712" w:type="pct"/>
                  <w:tcBorders>
                    <w:top w:val="single" w:color="auto" w:sz="4" w:space="0"/>
                    <w:bottom w:val="single" w:color="auto" w:sz="4" w:space="0"/>
                    <w:right w:val="single" w:color="auto" w:sz="4" w:space="0"/>
                  </w:tcBorders>
                  <w:vAlign w:val="center"/>
                </w:tcPr>
                <w:p w14:paraId="148CB70F">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约100人</w:t>
                  </w:r>
                </w:p>
              </w:tc>
              <w:tc>
                <w:tcPr>
                  <w:tcW w:w="462" w:type="pct"/>
                  <w:vMerge w:val="continue"/>
                  <w:tcBorders>
                    <w:right w:val="single" w:color="auto" w:sz="4" w:space="0"/>
                  </w:tcBorders>
                  <w:vAlign w:val="center"/>
                </w:tcPr>
                <w:p w14:paraId="331E00BF">
                  <w:pPr>
                    <w:autoSpaceDE w:val="0"/>
                    <w:autoSpaceDN w:val="0"/>
                    <w:adjustRightInd w:val="0"/>
                    <w:snapToGrid w:val="0"/>
                    <w:jc w:val="center"/>
                    <w:rPr>
                      <w:rFonts w:hint="default" w:ascii="Times New Roman" w:hAnsi="Times New Roman" w:cs="Times New Roman"/>
                      <w:color w:val="auto"/>
                      <w:szCs w:val="21"/>
                      <w:highlight w:val="none"/>
                    </w:rPr>
                  </w:pPr>
                </w:p>
              </w:tc>
              <w:tc>
                <w:tcPr>
                  <w:tcW w:w="473" w:type="pct"/>
                  <w:vMerge w:val="continue"/>
                  <w:tcBorders>
                    <w:right w:val="single" w:color="auto" w:sz="4" w:space="0"/>
                  </w:tcBorders>
                  <w:vAlign w:val="center"/>
                </w:tcPr>
                <w:p w14:paraId="501CA56C">
                  <w:pPr>
                    <w:autoSpaceDE w:val="0"/>
                    <w:autoSpaceDN w:val="0"/>
                    <w:adjustRightInd w:val="0"/>
                    <w:snapToGrid w:val="0"/>
                    <w:jc w:val="center"/>
                    <w:rPr>
                      <w:rFonts w:hint="default" w:ascii="Times New Roman" w:hAnsi="Times New Roman" w:cs="Times New Roman"/>
                      <w:color w:val="auto"/>
                      <w:szCs w:val="21"/>
                      <w:highlight w:val="none"/>
                    </w:rPr>
                  </w:pPr>
                </w:p>
              </w:tc>
            </w:tr>
            <w:tr w14:paraId="2FD2639E">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pct"/>
                  <w:vMerge w:val="continue"/>
                  <w:tcBorders>
                    <w:left w:val="single" w:color="auto" w:sz="4" w:space="0"/>
                  </w:tcBorders>
                  <w:vAlign w:val="center"/>
                </w:tcPr>
                <w:p w14:paraId="6308FA21">
                  <w:pPr>
                    <w:autoSpaceDE w:val="0"/>
                    <w:autoSpaceDN w:val="0"/>
                    <w:adjustRightInd w:val="0"/>
                    <w:snapToGrid w:val="0"/>
                    <w:jc w:val="center"/>
                    <w:rPr>
                      <w:rFonts w:hint="default" w:ascii="Times New Roman" w:hAnsi="Times New Roman" w:cs="Times New Roman"/>
                      <w:color w:val="auto"/>
                      <w:szCs w:val="21"/>
                      <w:highlight w:val="none"/>
                    </w:rPr>
                  </w:pPr>
                </w:p>
              </w:tc>
              <w:tc>
                <w:tcPr>
                  <w:tcW w:w="1908" w:type="pct"/>
                  <w:tcBorders>
                    <w:top w:val="single" w:color="auto" w:sz="4" w:space="0"/>
                    <w:bottom w:val="single" w:color="auto" w:sz="4" w:space="0"/>
                  </w:tcBorders>
                  <w:vAlign w:val="center"/>
                </w:tcPr>
                <w:p w14:paraId="0C996642">
                  <w:pPr>
                    <w:autoSpaceDE w:val="0"/>
                    <w:autoSpaceDN w:val="0"/>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体检中心（12#监测点）</w:t>
                  </w:r>
                </w:p>
              </w:tc>
              <w:tc>
                <w:tcPr>
                  <w:tcW w:w="762" w:type="pct"/>
                  <w:tcBorders>
                    <w:top w:val="single" w:color="auto" w:sz="4" w:space="0"/>
                    <w:bottom w:val="single" w:color="auto" w:sz="4" w:space="0"/>
                    <w:right w:val="single" w:color="auto" w:sz="4" w:space="0"/>
                  </w:tcBorders>
                  <w:vAlign w:val="center"/>
                </w:tcPr>
                <w:p w14:paraId="2B663905">
                  <w:pPr>
                    <w:autoSpaceDE w:val="0"/>
                    <w:autoSpaceDN w:val="0"/>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南侧15m</w:t>
                  </w:r>
                </w:p>
              </w:tc>
              <w:tc>
                <w:tcPr>
                  <w:tcW w:w="712" w:type="pct"/>
                  <w:tcBorders>
                    <w:top w:val="single" w:color="auto" w:sz="4" w:space="0"/>
                    <w:bottom w:val="single" w:color="auto" w:sz="4" w:space="0"/>
                    <w:right w:val="single" w:color="auto" w:sz="4" w:space="0"/>
                  </w:tcBorders>
                  <w:vAlign w:val="center"/>
                </w:tcPr>
                <w:p w14:paraId="715131FA">
                  <w:pPr>
                    <w:autoSpaceDE w:val="0"/>
                    <w:autoSpaceDN w:val="0"/>
                    <w:adjustRightInd w:val="0"/>
                    <w:snapToGrid w:val="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约2人</w:t>
                  </w:r>
                </w:p>
              </w:tc>
              <w:tc>
                <w:tcPr>
                  <w:tcW w:w="462" w:type="pct"/>
                  <w:vMerge w:val="continue"/>
                  <w:tcBorders>
                    <w:right w:val="single" w:color="auto" w:sz="4" w:space="0"/>
                  </w:tcBorders>
                  <w:vAlign w:val="center"/>
                </w:tcPr>
                <w:p w14:paraId="72306CDE">
                  <w:pPr>
                    <w:autoSpaceDE w:val="0"/>
                    <w:autoSpaceDN w:val="0"/>
                    <w:adjustRightInd w:val="0"/>
                    <w:snapToGrid w:val="0"/>
                    <w:jc w:val="center"/>
                    <w:rPr>
                      <w:rFonts w:hint="default" w:ascii="Times New Roman" w:hAnsi="Times New Roman" w:cs="Times New Roman"/>
                      <w:color w:val="auto"/>
                      <w:szCs w:val="21"/>
                      <w:highlight w:val="none"/>
                    </w:rPr>
                  </w:pPr>
                </w:p>
              </w:tc>
              <w:tc>
                <w:tcPr>
                  <w:tcW w:w="473" w:type="pct"/>
                  <w:vMerge w:val="continue"/>
                  <w:tcBorders>
                    <w:right w:val="single" w:color="auto" w:sz="4" w:space="0"/>
                  </w:tcBorders>
                  <w:vAlign w:val="center"/>
                </w:tcPr>
                <w:p w14:paraId="4676E1EE">
                  <w:pPr>
                    <w:autoSpaceDE w:val="0"/>
                    <w:autoSpaceDN w:val="0"/>
                    <w:adjustRightInd w:val="0"/>
                    <w:snapToGrid w:val="0"/>
                    <w:jc w:val="center"/>
                    <w:rPr>
                      <w:rFonts w:hint="default" w:ascii="Times New Roman" w:hAnsi="Times New Roman" w:cs="Times New Roman"/>
                      <w:color w:val="auto"/>
                      <w:szCs w:val="21"/>
                      <w:highlight w:val="none"/>
                    </w:rPr>
                  </w:pPr>
                </w:p>
              </w:tc>
            </w:tr>
            <w:tr w14:paraId="662498D2">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pct"/>
                  <w:vMerge w:val="continue"/>
                  <w:tcBorders>
                    <w:left w:val="single" w:color="auto" w:sz="4" w:space="0"/>
                  </w:tcBorders>
                  <w:vAlign w:val="center"/>
                </w:tcPr>
                <w:p w14:paraId="144F54C4">
                  <w:pPr>
                    <w:autoSpaceDE w:val="0"/>
                    <w:autoSpaceDN w:val="0"/>
                    <w:adjustRightInd w:val="0"/>
                    <w:snapToGrid w:val="0"/>
                    <w:jc w:val="center"/>
                    <w:rPr>
                      <w:rFonts w:hint="default" w:ascii="Times New Roman" w:hAnsi="Times New Roman" w:cs="Times New Roman"/>
                      <w:color w:val="auto"/>
                      <w:szCs w:val="21"/>
                      <w:highlight w:val="none"/>
                    </w:rPr>
                  </w:pPr>
                </w:p>
              </w:tc>
              <w:tc>
                <w:tcPr>
                  <w:tcW w:w="1908" w:type="pct"/>
                  <w:tcBorders>
                    <w:top w:val="single" w:color="auto" w:sz="4" w:space="0"/>
                    <w:bottom w:val="single" w:color="auto" w:sz="4" w:space="0"/>
                  </w:tcBorders>
                  <w:vAlign w:val="center"/>
                </w:tcPr>
                <w:p w14:paraId="4FE36C75">
                  <w:pPr>
                    <w:autoSpaceDE w:val="0"/>
                    <w:autoSpaceDN w:val="0"/>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电梯厅（11#监测点）</w:t>
                  </w:r>
                </w:p>
              </w:tc>
              <w:tc>
                <w:tcPr>
                  <w:tcW w:w="762" w:type="pct"/>
                  <w:tcBorders>
                    <w:top w:val="single" w:color="auto" w:sz="4" w:space="0"/>
                    <w:bottom w:val="single" w:color="auto" w:sz="4" w:space="0"/>
                    <w:right w:val="single" w:color="auto" w:sz="4" w:space="0"/>
                  </w:tcBorders>
                  <w:vAlign w:val="center"/>
                </w:tcPr>
                <w:p w14:paraId="034452B9">
                  <w:pPr>
                    <w:autoSpaceDE w:val="0"/>
                    <w:autoSpaceDN w:val="0"/>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南侧7m</w:t>
                  </w:r>
                </w:p>
              </w:tc>
              <w:tc>
                <w:tcPr>
                  <w:tcW w:w="712" w:type="pct"/>
                  <w:tcBorders>
                    <w:top w:val="single" w:color="auto" w:sz="4" w:space="0"/>
                    <w:bottom w:val="single" w:color="auto" w:sz="4" w:space="0"/>
                    <w:right w:val="single" w:color="auto" w:sz="4" w:space="0"/>
                  </w:tcBorders>
                  <w:vAlign w:val="center"/>
                </w:tcPr>
                <w:p w14:paraId="33C40F67">
                  <w:pPr>
                    <w:autoSpaceDE w:val="0"/>
                    <w:autoSpaceDN w:val="0"/>
                    <w:adjustRightInd w:val="0"/>
                    <w:snapToGrid w:val="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约100人</w:t>
                  </w:r>
                </w:p>
              </w:tc>
              <w:tc>
                <w:tcPr>
                  <w:tcW w:w="462" w:type="pct"/>
                  <w:vMerge w:val="continue"/>
                  <w:tcBorders>
                    <w:right w:val="single" w:color="auto" w:sz="4" w:space="0"/>
                  </w:tcBorders>
                  <w:vAlign w:val="center"/>
                </w:tcPr>
                <w:p w14:paraId="002B592D">
                  <w:pPr>
                    <w:autoSpaceDE w:val="0"/>
                    <w:autoSpaceDN w:val="0"/>
                    <w:adjustRightInd w:val="0"/>
                    <w:snapToGrid w:val="0"/>
                    <w:jc w:val="center"/>
                    <w:rPr>
                      <w:rFonts w:hint="default" w:ascii="Times New Roman" w:hAnsi="Times New Roman" w:cs="Times New Roman"/>
                      <w:color w:val="auto"/>
                      <w:szCs w:val="21"/>
                      <w:highlight w:val="none"/>
                    </w:rPr>
                  </w:pPr>
                </w:p>
              </w:tc>
              <w:tc>
                <w:tcPr>
                  <w:tcW w:w="473" w:type="pct"/>
                  <w:vMerge w:val="continue"/>
                  <w:tcBorders>
                    <w:right w:val="single" w:color="auto" w:sz="4" w:space="0"/>
                  </w:tcBorders>
                  <w:vAlign w:val="center"/>
                </w:tcPr>
                <w:p w14:paraId="4F639609">
                  <w:pPr>
                    <w:autoSpaceDE w:val="0"/>
                    <w:autoSpaceDN w:val="0"/>
                    <w:adjustRightInd w:val="0"/>
                    <w:snapToGrid w:val="0"/>
                    <w:jc w:val="center"/>
                    <w:rPr>
                      <w:rFonts w:hint="default" w:ascii="Times New Roman" w:hAnsi="Times New Roman" w:cs="Times New Roman"/>
                      <w:color w:val="auto"/>
                      <w:szCs w:val="21"/>
                      <w:highlight w:val="none"/>
                    </w:rPr>
                  </w:pPr>
                </w:p>
              </w:tc>
            </w:tr>
            <w:tr w14:paraId="54B2C261">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pct"/>
                  <w:vMerge w:val="continue"/>
                  <w:tcBorders>
                    <w:left w:val="single" w:color="auto" w:sz="4" w:space="0"/>
                  </w:tcBorders>
                  <w:vAlign w:val="center"/>
                </w:tcPr>
                <w:p w14:paraId="7E35767A">
                  <w:pPr>
                    <w:autoSpaceDE w:val="0"/>
                    <w:autoSpaceDN w:val="0"/>
                    <w:adjustRightInd w:val="0"/>
                    <w:snapToGrid w:val="0"/>
                    <w:jc w:val="center"/>
                    <w:rPr>
                      <w:rFonts w:hint="default" w:ascii="Times New Roman" w:hAnsi="Times New Roman" w:cs="Times New Roman"/>
                      <w:color w:val="auto"/>
                      <w:szCs w:val="21"/>
                      <w:highlight w:val="none"/>
                    </w:rPr>
                  </w:pPr>
                </w:p>
              </w:tc>
              <w:tc>
                <w:tcPr>
                  <w:tcW w:w="1908" w:type="pct"/>
                  <w:tcBorders>
                    <w:top w:val="single" w:color="auto" w:sz="4" w:space="0"/>
                    <w:bottom w:val="single" w:color="auto" w:sz="4" w:space="0"/>
                  </w:tcBorders>
                  <w:vAlign w:val="center"/>
                </w:tcPr>
                <w:p w14:paraId="4EFC5148">
                  <w:pPr>
                    <w:autoSpaceDE w:val="0"/>
                    <w:autoSpaceDN w:val="0"/>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一楼北侧出入口（16#监测点）</w:t>
                  </w:r>
                </w:p>
              </w:tc>
              <w:tc>
                <w:tcPr>
                  <w:tcW w:w="762" w:type="pct"/>
                  <w:tcBorders>
                    <w:top w:val="single" w:color="auto" w:sz="4" w:space="0"/>
                    <w:bottom w:val="single" w:color="auto" w:sz="4" w:space="0"/>
                    <w:right w:val="single" w:color="auto" w:sz="4" w:space="0"/>
                  </w:tcBorders>
                  <w:vAlign w:val="center"/>
                </w:tcPr>
                <w:p w14:paraId="1FEAD036">
                  <w:pPr>
                    <w:autoSpaceDE w:val="0"/>
                    <w:autoSpaceDN w:val="0"/>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北侧17m</w:t>
                  </w:r>
                </w:p>
              </w:tc>
              <w:tc>
                <w:tcPr>
                  <w:tcW w:w="712" w:type="pct"/>
                  <w:tcBorders>
                    <w:top w:val="single" w:color="auto" w:sz="4" w:space="0"/>
                    <w:bottom w:val="single" w:color="auto" w:sz="4" w:space="0"/>
                    <w:right w:val="single" w:color="auto" w:sz="4" w:space="0"/>
                  </w:tcBorders>
                  <w:vAlign w:val="center"/>
                </w:tcPr>
                <w:p w14:paraId="646D1FCC">
                  <w:pPr>
                    <w:autoSpaceDE w:val="0"/>
                    <w:autoSpaceDN w:val="0"/>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约500人</w:t>
                  </w:r>
                </w:p>
              </w:tc>
              <w:tc>
                <w:tcPr>
                  <w:tcW w:w="462" w:type="pct"/>
                  <w:vMerge w:val="continue"/>
                  <w:tcBorders>
                    <w:right w:val="single" w:color="auto" w:sz="4" w:space="0"/>
                  </w:tcBorders>
                  <w:vAlign w:val="center"/>
                </w:tcPr>
                <w:p w14:paraId="17CBBA59">
                  <w:pPr>
                    <w:autoSpaceDE w:val="0"/>
                    <w:autoSpaceDN w:val="0"/>
                    <w:adjustRightInd w:val="0"/>
                    <w:snapToGrid w:val="0"/>
                    <w:jc w:val="center"/>
                    <w:rPr>
                      <w:rFonts w:hint="default" w:ascii="Times New Roman" w:hAnsi="Times New Roman" w:cs="Times New Roman"/>
                      <w:color w:val="auto"/>
                      <w:szCs w:val="21"/>
                      <w:highlight w:val="none"/>
                    </w:rPr>
                  </w:pPr>
                </w:p>
              </w:tc>
              <w:tc>
                <w:tcPr>
                  <w:tcW w:w="473" w:type="pct"/>
                  <w:vMerge w:val="continue"/>
                  <w:tcBorders>
                    <w:right w:val="single" w:color="auto" w:sz="4" w:space="0"/>
                  </w:tcBorders>
                  <w:vAlign w:val="center"/>
                </w:tcPr>
                <w:p w14:paraId="5DC8C7FF">
                  <w:pPr>
                    <w:autoSpaceDE w:val="0"/>
                    <w:autoSpaceDN w:val="0"/>
                    <w:adjustRightInd w:val="0"/>
                    <w:snapToGrid w:val="0"/>
                    <w:jc w:val="center"/>
                    <w:rPr>
                      <w:rFonts w:hint="default" w:ascii="Times New Roman" w:hAnsi="Times New Roman" w:cs="Times New Roman"/>
                      <w:color w:val="auto"/>
                      <w:szCs w:val="21"/>
                      <w:highlight w:val="none"/>
                    </w:rPr>
                  </w:pPr>
                </w:p>
              </w:tc>
            </w:tr>
            <w:tr w14:paraId="5B6042E9">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pct"/>
                  <w:vMerge w:val="continue"/>
                  <w:tcBorders>
                    <w:left w:val="single" w:color="auto" w:sz="4" w:space="0"/>
                  </w:tcBorders>
                  <w:vAlign w:val="center"/>
                </w:tcPr>
                <w:p w14:paraId="039C618D">
                  <w:pPr>
                    <w:autoSpaceDE w:val="0"/>
                    <w:autoSpaceDN w:val="0"/>
                    <w:adjustRightInd w:val="0"/>
                    <w:snapToGrid w:val="0"/>
                    <w:jc w:val="center"/>
                    <w:rPr>
                      <w:rFonts w:hint="default" w:ascii="Times New Roman" w:hAnsi="Times New Roman" w:cs="Times New Roman"/>
                      <w:color w:val="auto"/>
                      <w:szCs w:val="21"/>
                      <w:highlight w:val="none"/>
                    </w:rPr>
                  </w:pPr>
                </w:p>
              </w:tc>
              <w:tc>
                <w:tcPr>
                  <w:tcW w:w="1908" w:type="pct"/>
                  <w:tcBorders>
                    <w:top w:val="single" w:color="auto" w:sz="4" w:space="0"/>
                    <w:bottom w:val="single" w:color="auto" w:sz="4" w:space="0"/>
                  </w:tcBorders>
                  <w:shd w:val="clear" w:color="auto" w:fill="auto"/>
                  <w:vAlign w:val="center"/>
                </w:tcPr>
                <w:p w14:paraId="7D19584A">
                  <w:pPr>
                    <w:autoSpaceDE w:val="0"/>
                    <w:autoSpaceDN w:val="0"/>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一楼东侧出入口（17#监测点）</w:t>
                  </w:r>
                </w:p>
              </w:tc>
              <w:tc>
                <w:tcPr>
                  <w:tcW w:w="762" w:type="pct"/>
                  <w:tcBorders>
                    <w:top w:val="single" w:color="auto" w:sz="4" w:space="0"/>
                    <w:bottom w:val="single" w:color="auto" w:sz="4" w:space="0"/>
                    <w:right w:val="single" w:color="auto" w:sz="4" w:space="0"/>
                  </w:tcBorders>
                  <w:shd w:val="clear" w:color="auto" w:fill="auto"/>
                  <w:vAlign w:val="center"/>
                </w:tcPr>
                <w:p w14:paraId="3A61D46C">
                  <w:pPr>
                    <w:autoSpaceDE w:val="0"/>
                    <w:autoSpaceDN w:val="0"/>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东侧19m</w:t>
                  </w:r>
                </w:p>
              </w:tc>
              <w:tc>
                <w:tcPr>
                  <w:tcW w:w="712" w:type="pct"/>
                  <w:tcBorders>
                    <w:top w:val="single" w:color="auto" w:sz="4" w:space="0"/>
                    <w:bottom w:val="single" w:color="auto" w:sz="4" w:space="0"/>
                    <w:right w:val="single" w:color="auto" w:sz="4" w:space="0"/>
                  </w:tcBorders>
                  <w:shd w:val="clear" w:color="auto" w:fill="auto"/>
                  <w:vAlign w:val="center"/>
                </w:tcPr>
                <w:p w14:paraId="5D7775B5">
                  <w:pPr>
                    <w:autoSpaceDE w:val="0"/>
                    <w:autoSpaceDN w:val="0"/>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约500人</w:t>
                  </w:r>
                </w:p>
              </w:tc>
              <w:tc>
                <w:tcPr>
                  <w:tcW w:w="462" w:type="pct"/>
                  <w:vMerge w:val="continue"/>
                  <w:tcBorders>
                    <w:right w:val="single" w:color="auto" w:sz="4" w:space="0"/>
                  </w:tcBorders>
                  <w:vAlign w:val="center"/>
                </w:tcPr>
                <w:p w14:paraId="28584258">
                  <w:pPr>
                    <w:autoSpaceDE w:val="0"/>
                    <w:autoSpaceDN w:val="0"/>
                    <w:adjustRightInd w:val="0"/>
                    <w:snapToGrid w:val="0"/>
                    <w:jc w:val="center"/>
                    <w:rPr>
                      <w:rFonts w:hint="default" w:ascii="Times New Roman" w:hAnsi="Times New Roman" w:cs="Times New Roman"/>
                      <w:color w:val="auto"/>
                      <w:szCs w:val="21"/>
                      <w:highlight w:val="none"/>
                    </w:rPr>
                  </w:pPr>
                </w:p>
              </w:tc>
              <w:tc>
                <w:tcPr>
                  <w:tcW w:w="473" w:type="pct"/>
                  <w:vMerge w:val="continue"/>
                  <w:tcBorders>
                    <w:right w:val="single" w:color="auto" w:sz="4" w:space="0"/>
                  </w:tcBorders>
                  <w:vAlign w:val="center"/>
                </w:tcPr>
                <w:p w14:paraId="1F05A5F6">
                  <w:pPr>
                    <w:autoSpaceDE w:val="0"/>
                    <w:autoSpaceDN w:val="0"/>
                    <w:adjustRightInd w:val="0"/>
                    <w:snapToGrid w:val="0"/>
                    <w:jc w:val="center"/>
                    <w:rPr>
                      <w:rFonts w:hint="default" w:ascii="Times New Roman" w:hAnsi="Times New Roman" w:cs="Times New Roman"/>
                      <w:color w:val="auto"/>
                      <w:szCs w:val="21"/>
                      <w:highlight w:val="none"/>
                    </w:rPr>
                  </w:pPr>
                </w:p>
              </w:tc>
            </w:tr>
            <w:tr w14:paraId="4C746050">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pct"/>
                  <w:vMerge w:val="continue"/>
                  <w:tcBorders>
                    <w:left w:val="single" w:color="auto" w:sz="4" w:space="0"/>
                  </w:tcBorders>
                  <w:vAlign w:val="center"/>
                </w:tcPr>
                <w:p w14:paraId="1D0099B2">
                  <w:pPr>
                    <w:autoSpaceDE w:val="0"/>
                    <w:autoSpaceDN w:val="0"/>
                    <w:adjustRightInd w:val="0"/>
                    <w:snapToGrid w:val="0"/>
                    <w:jc w:val="center"/>
                    <w:rPr>
                      <w:rFonts w:hint="default" w:ascii="Times New Roman" w:hAnsi="Times New Roman" w:cs="Times New Roman"/>
                      <w:color w:val="auto"/>
                      <w:szCs w:val="21"/>
                      <w:highlight w:val="none"/>
                    </w:rPr>
                  </w:pPr>
                </w:p>
              </w:tc>
              <w:tc>
                <w:tcPr>
                  <w:tcW w:w="1908" w:type="pct"/>
                  <w:tcBorders>
                    <w:top w:val="single" w:color="auto" w:sz="4" w:space="0"/>
                    <w:bottom w:val="single" w:color="auto" w:sz="4" w:space="0"/>
                  </w:tcBorders>
                  <w:vAlign w:val="center"/>
                </w:tcPr>
                <w:p w14:paraId="2C42FEC4">
                  <w:pPr>
                    <w:autoSpaceDE w:val="0"/>
                    <w:autoSpaceDN w:val="0"/>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一楼体育场（15#监测点）</w:t>
                  </w:r>
                </w:p>
              </w:tc>
              <w:tc>
                <w:tcPr>
                  <w:tcW w:w="762" w:type="pct"/>
                  <w:tcBorders>
                    <w:top w:val="single" w:color="auto" w:sz="4" w:space="0"/>
                    <w:bottom w:val="single" w:color="auto" w:sz="4" w:space="0"/>
                    <w:right w:val="single" w:color="auto" w:sz="4" w:space="0"/>
                  </w:tcBorders>
                  <w:vAlign w:val="center"/>
                </w:tcPr>
                <w:p w14:paraId="665579FA">
                  <w:pPr>
                    <w:autoSpaceDE w:val="0"/>
                    <w:autoSpaceDN w:val="0"/>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北侧50m</w:t>
                  </w:r>
                </w:p>
              </w:tc>
              <w:tc>
                <w:tcPr>
                  <w:tcW w:w="712" w:type="pct"/>
                  <w:tcBorders>
                    <w:top w:val="single" w:color="auto" w:sz="4" w:space="0"/>
                    <w:bottom w:val="single" w:color="auto" w:sz="4" w:space="0"/>
                    <w:right w:val="single" w:color="auto" w:sz="4" w:space="0"/>
                  </w:tcBorders>
                  <w:vAlign w:val="center"/>
                </w:tcPr>
                <w:p w14:paraId="01CD458C">
                  <w:pPr>
                    <w:autoSpaceDE w:val="0"/>
                    <w:autoSpaceDN w:val="0"/>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约50人</w:t>
                  </w:r>
                </w:p>
              </w:tc>
              <w:tc>
                <w:tcPr>
                  <w:tcW w:w="462" w:type="pct"/>
                  <w:vMerge w:val="continue"/>
                  <w:tcBorders>
                    <w:right w:val="single" w:color="auto" w:sz="4" w:space="0"/>
                  </w:tcBorders>
                  <w:vAlign w:val="center"/>
                </w:tcPr>
                <w:p w14:paraId="4BA41F10">
                  <w:pPr>
                    <w:autoSpaceDE w:val="0"/>
                    <w:autoSpaceDN w:val="0"/>
                    <w:adjustRightInd w:val="0"/>
                    <w:snapToGrid w:val="0"/>
                    <w:jc w:val="center"/>
                    <w:rPr>
                      <w:rFonts w:hint="default" w:ascii="Times New Roman" w:hAnsi="Times New Roman" w:cs="Times New Roman"/>
                      <w:color w:val="auto"/>
                      <w:szCs w:val="21"/>
                      <w:highlight w:val="none"/>
                    </w:rPr>
                  </w:pPr>
                </w:p>
              </w:tc>
              <w:tc>
                <w:tcPr>
                  <w:tcW w:w="473" w:type="pct"/>
                  <w:vMerge w:val="continue"/>
                  <w:tcBorders>
                    <w:right w:val="single" w:color="auto" w:sz="4" w:space="0"/>
                  </w:tcBorders>
                  <w:vAlign w:val="center"/>
                </w:tcPr>
                <w:p w14:paraId="3738056E">
                  <w:pPr>
                    <w:autoSpaceDE w:val="0"/>
                    <w:autoSpaceDN w:val="0"/>
                    <w:adjustRightInd w:val="0"/>
                    <w:snapToGrid w:val="0"/>
                    <w:jc w:val="center"/>
                    <w:rPr>
                      <w:rFonts w:hint="default" w:ascii="Times New Roman" w:hAnsi="Times New Roman" w:cs="Times New Roman"/>
                      <w:color w:val="auto"/>
                      <w:szCs w:val="21"/>
                      <w:highlight w:val="none"/>
                    </w:rPr>
                  </w:pPr>
                </w:p>
              </w:tc>
            </w:tr>
          </w:tbl>
          <w:p w14:paraId="057DC2E4">
            <w:pPr>
              <w:pStyle w:val="10"/>
              <w:rPr>
                <w:rFonts w:hint="default" w:ascii="Times New Roman" w:hAnsi="Times New Roman" w:cs="Times New Roman"/>
                <w:color w:val="auto"/>
                <w:highlight w:val="none"/>
                <w:lang w:val="en-GB"/>
              </w:rPr>
            </w:pPr>
          </w:p>
        </w:tc>
      </w:tr>
      <w:tr w14:paraId="627E2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vAlign w:val="center"/>
          </w:tcPr>
          <w:p w14:paraId="1596055A">
            <w:pPr>
              <w:adjustRightInd w:val="0"/>
              <w:snapToGrid w:val="0"/>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三、评价标准</w:t>
            </w:r>
          </w:p>
          <w:p w14:paraId="2FCE95FB">
            <w:pPr>
              <w:adjustRightInd w:val="0"/>
              <w:snapToGrid w:val="0"/>
              <w:spacing w:line="360" w:lineRule="auto"/>
              <w:ind w:firstLine="480"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本项目应执行的环境保护标准如下：</w:t>
            </w:r>
          </w:p>
          <w:p w14:paraId="4FDEA353">
            <w:pPr>
              <w:numPr>
                <w:ilvl w:val="0"/>
                <w:numId w:val="12"/>
              </w:numPr>
              <w:adjustRightInd w:val="0"/>
              <w:snapToGrid w:val="0"/>
              <w:spacing w:line="360" w:lineRule="auto"/>
              <w:ind w:firstLine="480"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环境质量标准</w:t>
            </w:r>
          </w:p>
          <w:p w14:paraId="5B998B69">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1、大气：《环境空气质量标准》（GB3095-2012）中二级标准，《环境影响评价技术导则 大气环境》（HJ2.2-2018）附录D其他污染物空气质量浓度参考限值；</w:t>
            </w:r>
          </w:p>
          <w:p w14:paraId="22A3EC3E">
            <w:pPr>
              <w:adjustRightInd w:val="0"/>
              <w:snapToGrid w:val="0"/>
              <w:spacing w:line="360" w:lineRule="auto"/>
              <w:ind w:firstLine="480" w:firstLineChars="200"/>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sz w:val="24"/>
                <w:highlight w:val="none"/>
              </w:rPr>
              <w:t>2、地表水：</w:t>
            </w:r>
            <w:r>
              <w:rPr>
                <w:rFonts w:hint="default" w:ascii="Times New Roman" w:hAnsi="Times New Roman" w:cs="Times New Roman"/>
                <w:bCs/>
                <w:color w:val="auto"/>
                <w:sz w:val="24"/>
                <w:highlight w:val="none"/>
              </w:rPr>
              <w:t>地表水环境质量执行国家</w:t>
            </w:r>
            <w:r>
              <w:rPr>
                <w:rFonts w:hint="default" w:ascii="Times New Roman" w:hAnsi="Times New Roman" w:cs="Times New Roman"/>
                <w:color w:val="auto"/>
                <w:kern w:val="0"/>
                <w:sz w:val="24"/>
                <w:highlight w:val="none"/>
                <w:lang w:bidi="ar"/>
              </w:rPr>
              <w:t>《地下水质量标准》(GB/T14848-2017)中Ⅲ类水域标准；</w:t>
            </w:r>
          </w:p>
          <w:p w14:paraId="6C453F14">
            <w:pPr>
              <w:adjustRightInd w:val="0"/>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color w:val="auto"/>
                <w:sz w:val="24"/>
                <w:highlight w:val="none"/>
              </w:rPr>
              <w:t>3、声环境：</w:t>
            </w:r>
            <w:r>
              <w:rPr>
                <w:rFonts w:hint="default" w:ascii="Times New Roman" w:hAnsi="Times New Roman" w:cs="Times New Roman"/>
                <w:bCs/>
                <w:color w:val="auto"/>
                <w:sz w:val="24"/>
                <w:highlight w:val="none"/>
              </w:rPr>
              <w:t>《声环境质量标准》（GB3096-2008）中2类标准。</w:t>
            </w:r>
          </w:p>
          <w:p w14:paraId="069DA8F4">
            <w:pPr>
              <w:adjustRightInd w:val="0"/>
              <w:snapToGrid w:val="0"/>
              <w:spacing w:line="360" w:lineRule="auto"/>
              <w:ind w:firstLine="480"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（二）污染物排放标准</w:t>
            </w:r>
          </w:p>
          <w:p w14:paraId="24F8DA12">
            <w:pPr>
              <w:adjustRightInd w:val="0"/>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color w:val="auto"/>
                <w:sz w:val="24"/>
                <w:highlight w:val="none"/>
              </w:rPr>
              <w:t>1、废气：《大气污染物综合排放标准》（GB16297-1996）及其修改单；《医疗机构水污染物排放标准》（GB18466-2005）中表3“污水处理站周边大气污染物最高允许浓度”规定。</w:t>
            </w:r>
          </w:p>
          <w:p w14:paraId="7538C8E5">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2、噪声：《工业企业厂界环境噪声排放标准》(GB12348-2008)2类；</w:t>
            </w:r>
          </w:p>
          <w:p w14:paraId="378BD6A4">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3、废水：《医疗机构水污染物排放标准》（GB18466-2005）中“表2”预处理标准要求；</w:t>
            </w:r>
          </w:p>
          <w:p w14:paraId="5756FC73">
            <w:pPr>
              <w:pStyle w:val="74"/>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4、固废：</w:t>
            </w:r>
            <w:r>
              <w:rPr>
                <w:rFonts w:hint="default" w:ascii="Times New Roman" w:hAnsi="Times New Roman" w:cs="Times New Roman"/>
                <w:color w:val="auto"/>
                <w:highlight w:val="none"/>
              </w:rPr>
              <w:t>危险固废执行《危险废物贮存污染控制标准》（GB 18597-2023）中的相关规定；医疗废物执行《医疗卫生机构医疗废物管理办法》（卫生部令第36号）规定的标准。</w:t>
            </w:r>
          </w:p>
          <w:p w14:paraId="56146794">
            <w:pPr>
              <w:numPr>
                <w:ilvl w:val="0"/>
                <w:numId w:val="13"/>
              </w:numPr>
              <w:adjustRightInd w:val="0"/>
              <w:snapToGrid w:val="0"/>
              <w:spacing w:line="360" w:lineRule="auto"/>
              <w:ind w:firstLine="480"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剂量约束值</w:t>
            </w:r>
          </w:p>
          <w:p w14:paraId="451CF14B">
            <w:pPr>
              <w:widowControl/>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电离辐射执行《电离辐射防护与辐射源安全基本标准》（GB18871-2002）。</w:t>
            </w:r>
          </w:p>
          <w:p w14:paraId="210AFC69">
            <w:pPr>
              <w:widowControl/>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职业照射：</w:t>
            </w:r>
            <w:r>
              <w:rPr>
                <w:rFonts w:hint="default" w:ascii="Times New Roman" w:hAnsi="Times New Roman" w:cs="Times New Roman"/>
                <w:color w:val="auto"/>
                <w:sz w:val="24"/>
                <w:highlight w:val="none"/>
              </w:rPr>
              <w:t>根据《电离辐射防护与辐射源安全基本标准》（GB18871-2002）第4.3.2.1条的规定，对任何工作人员，由来自各项获准实践的综合照射所致的个人总有效剂量不超过由审管部门决定的连续5年的年平均有效剂量（但不可作任何追溯平均）20mSv。四肢（手和足）或皮肤的年当量剂量不超过500mSv。结合开展诊疗项目后预计收治病人量，从而确定</w:t>
            </w:r>
            <w:r>
              <w:rPr>
                <w:rFonts w:hint="eastAsia" w:ascii="Times New Roman" w:hAnsi="Times New Roman" w:cs="Times New Roman"/>
                <w:color w:val="auto"/>
                <w:sz w:val="24"/>
                <w:highlight w:val="none"/>
                <w:lang w:val="en-US" w:eastAsia="zh-CN"/>
              </w:rPr>
              <w:t>平昌县第二人民医院</w:t>
            </w:r>
            <w:r>
              <w:rPr>
                <w:rFonts w:hint="default" w:ascii="Times New Roman" w:hAnsi="Times New Roman" w:cs="Times New Roman"/>
                <w:color w:val="auto"/>
                <w:sz w:val="24"/>
                <w:highlight w:val="none"/>
              </w:rPr>
              <w:t>职业人员年有效剂量按上述标准中规定的约束限值的1/4执行：职业人员年有效剂量不超过</w:t>
            </w:r>
            <w:r>
              <w:rPr>
                <w:rFonts w:hint="default" w:ascii="Times New Roman" w:hAnsi="Times New Roman" w:cs="Times New Roman"/>
                <w:b/>
                <w:bCs/>
                <w:color w:val="auto"/>
                <w:sz w:val="24"/>
                <w:highlight w:val="none"/>
              </w:rPr>
              <w:t>5mSv</w:t>
            </w:r>
            <w:r>
              <w:rPr>
                <w:rFonts w:hint="default" w:ascii="Times New Roman" w:hAnsi="Times New Roman" w:cs="Times New Roman"/>
                <w:color w:val="auto"/>
                <w:sz w:val="24"/>
                <w:highlight w:val="none"/>
              </w:rPr>
              <w:t>；</w:t>
            </w:r>
            <w:r>
              <w:rPr>
                <w:rFonts w:hint="default" w:ascii="Times New Roman" w:hAnsi="Times New Roman" w:cs="Times New Roman"/>
                <w:b/>
                <w:bCs/>
                <w:color w:val="auto"/>
                <w:sz w:val="24"/>
                <w:highlight w:val="none"/>
              </w:rPr>
              <w:t>四肢（手和足）或皮肤的年当量剂量约束值为125mSv；</w:t>
            </w:r>
            <w:r>
              <w:rPr>
                <w:rFonts w:hint="default" w:ascii="Times New Roman" w:hAnsi="Times New Roman" w:cs="Times New Roman"/>
                <w:color w:val="auto"/>
                <w:sz w:val="24"/>
                <w:highlight w:val="none"/>
              </w:rPr>
              <w:t>眼晶体的年当量剂量约束值为</w:t>
            </w:r>
            <w:r>
              <w:rPr>
                <w:rFonts w:hint="default" w:ascii="Times New Roman" w:hAnsi="Times New Roman" w:cs="Times New Roman"/>
                <w:b/>
                <w:bCs/>
                <w:color w:val="auto"/>
                <w:sz w:val="24"/>
                <w:highlight w:val="none"/>
              </w:rPr>
              <w:t>37.5mSv</w:t>
            </w:r>
            <w:r>
              <w:rPr>
                <w:rFonts w:hint="default" w:ascii="Times New Roman" w:hAnsi="Times New Roman" w:cs="Times New Roman"/>
                <w:color w:val="auto"/>
                <w:sz w:val="24"/>
                <w:highlight w:val="none"/>
              </w:rPr>
              <w:t>。</w:t>
            </w:r>
          </w:p>
          <w:p w14:paraId="13E77F80">
            <w:pPr>
              <w:widowControl/>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公众照射：</w:t>
            </w:r>
            <w:r>
              <w:rPr>
                <w:rFonts w:hint="default" w:ascii="Times New Roman" w:hAnsi="Times New Roman" w:cs="Times New Roman"/>
                <w:color w:val="auto"/>
                <w:sz w:val="24"/>
                <w:highlight w:val="none"/>
              </w:rPr>
              <w:t>第B1.2.1条的规定，实践使</w:t>
            </w:r>
            <w:r>
              <w:rPr>
                <w:rFonts w:hint="eastAsia" w:ascii="Times New Roman" w:hAnsi="Times New Roman" w:cs="Times New Roman"/>
                <w:color w:val="auto"/>
                <w:sz w:val="24"/>
                <w:highlight w:val="none"/>
                <w:lang w:val="en-US" w:eastAsia="zh-CN"/>
              </w:rPr>
              <w:t>平昌县第二人民医院</w:t>
            </w:r>
            <w:r>
              <w:rPr>
                <w:rFonts w:hint="default" w:ascii="Times New Roman" w:hAnsi="Times New Roman" w:cs="Times New Roman"/>
                <w:color w:val="auto"/>
                <w:sz w:val="24"/>
                <w:highlight w:val="none"/>
              </w:rPr>
              <w:t>周围的公众中有关关键人群组的成员所受到的平均剂量估计值不应超过年有效剂量1mSv。公众年有效剂量约束限值按照上述标准的1/10执行，即不超过</w:t>
            </w:r>
            <w:r>
              <w:rPr>
                <w:rFonts w:hint="default" w:ascii="Times New Roman" w:hAnsi="Times New Roman" w:cs="Times New Roman"/>
                <w:b/>
                <w:bCs/>
                <w:color w:val="auto"/>
                <w:sz w:val="24"/>
                <w:highlight w:val="none"/>
              </w:rPr>
              <w:t>0.1mSv</w:t>
            </w:r>
            <w:r>
              <w:rPr>
                <w:rFonts w:hint="default" w:ascii="Times New Roman" w:hAnsi="Times New Roman" w:cs="Times New Roman"/>
                <w:color w:val="auto"/>
                <w:sz w:val="24"/>
                <w:highlight w:val="none"/>
              </w:rPr>
              <w:t>。</w:t>
            </w:r>
          </w:p>
          <w:p w14:paraId="655145F4">
            <w:pPr>
              <w:adjustRightInd w:val="0"/>
              <w:snapToGrid w:val="0"/>
              <w:spacing w:line="360" w:lineRule="auto"/>
              <w:ind w:firstLine="480"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（四）工作场所周围剂量率</w:t>
            </w:r>
          </w:p>
          <w:p w14:paraId="51DF644E">
            <w:pPr>
              <w:pStyle w:val="32"/>
              <w:snapToGrid w:val="0"/>
              <w:spacing w:line="360" w:lineRule="auto"/>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参照《放射诊断放射防护要求》（GBZ130-2020）有关规定，在距离本项目DSA机房屏蔽体外表面30cm处，周围控制目标辐射剂量率应不大于2.5µSv/h。</w:t>
            </w:r>
          </w:p>
          <w:p w14:paraId="018BC43D">
            <w:pPr>
              <w:pStyle w:val="34"/>
              <w:adjustRightInd w:val="0"/>
              <w:snapToGrid w:val="0"/>
              <w:ind w:left="0"/>
              <w:rPr>
                <w:rFonts w:hint="default" w:ascii="Times New Roman" w:hAnsi="Times New Roman" w:cs="Times New Roman"/>
                <w:color w:val="auto"/>
                <w:sz w:val="24"/>
                <w:szCs w:val="24"/>
                <w:highlight w:val="none"/>
              </w:rPr>
            </w:pPr>
          </w:p>
          <w:p w14:paraId="7A43E3FE">
            <w:pPr>
              <w:adjustRightInd w:val="0"/>
              <w:snapToGrid w:val="0"/>
              <w:rPr>
                <w:rFonts w:hint="default" w:ascii="Times New Roman" w:hAnsi="Times New Roman" w:cs="Times New Roman"/>
                <w:color w:val="auto"/>
                <w:sz w:val="24"/>
                <w:highlight w:val="none"/>
              </w:rPr>
            </w:pPr>
          </w:p>
          <w:p w14:paraId="7CA70999">
            <w:pPr>
              <w:pStyle w:val="32"/>
              <w:snapToGrid w:val="0"/>
              <w:rPr>
                <w:rFonts w:hint="default" w:ascii="Times New Roman" w:hAnsi="Times New Roman" w:cs="Times New Roman"/>
                <w:color w:val="auto"/>
                <w:highlight w:val="none"/>
              </w:rPr>
            </w:pPr>
          </w:p>
          <w:p w14:paraId="2DBB39C1">
            <w:pPr>
              <w:pStyle w:val="34"/>
              <w:adjustRightInd w:val="0"/>
              <w:snapToGrid w:val="0"/>
              <w:ind w:left="0"/>
              <w:rPr>
                <w:rFonts w:hint="default" w:ascii="Times New Roman" w:hAnsi="Times New Roman" w:cs="Times New Roman"/>
                <w:color w:val="auto"/>
                <w:sz w:val="24"/>
                <w:szCs w:val="24"/>
                <w:highlight w:val="none"/>
              </w:rPr>
            </w:pPr>
          </w:p>
          <w:p w14:paraId="5257E649">
            <w:pPr>
              <w:adjustRightInd w:val="0"/>
              <w:snapToGrid w:val="0"/>
              <w:rPr>
                <w:rFonts w:hint="default" w:ascii="Times New Roman" w:hAnsi="Times New Roman" w:cs="Times New Roman"/>
                <w:color w:val="auto"/>
                <w:sz w:val="24"/>
                <w:highlight w:val="none"/>
              </w:rPr>
            </w:pPr>
          </w:p>
          <w:p w14:paraId="405B4898">
            <w:pPr>
              <w:pStyle w:val="32"/>
              <w:snapToGrid w:val="0"/>
              <w:rPr>
                <w:rFonts w:hint="default" w:ascii="Times New Roman" w:hAnsi="Times New Roman" w:cs="Times New Roman"/>
                <w:color w:val="auto"/>
                <w:highlight w:val="none"/>
              </w:rPr>
            </w:pPr>
          </w:p>
          <w:p w14:paraId="29FA0B87">
            <w:pPr>
              <w:pStyle w:val="34"/>
              <w:adjustRightInd w:val="0"/>
              <w:snapToGrid w:val="0"/>
              <w:ind w:left="0"/>
              <w:rPr>
                <w:rFonts w:hint="default" w:ascii="Times New Roman" w:hAnsi="Times New Roman" w:cs="Times New Roman"/>
                <w:color w:val="auto"/>
                <w:sz w:val="24"/>
                <w:szCs w:val="24"/>
                <w:highlight w:val="none"/>
              </w:rPr>
            </w:pPr>
          </w:p>
          <w:p w14:paraId="2247C4A8">
            <w:pPr>
              <w:adjustRightInd w:val="0"/>
              <w:snapToGrid w:val="0"/>
              <w:rPr>
                <w:rFonts w:hint="default" w:ascii="Times New Roman" w:hAnsi="Times New Roman" w:cs="Times New Roman"/>
                <w:color w:val="auto"/>
                <w:sz w:val="24"/>
                <w:highlight w:val="none"/>
              </w:rPr>
            </w:pPr>
          </w:p>
          <w:p w14:paraId="36E3DDCD">
            <w:pPr>
              <w:pStyle w:val="32"/>
              <w:rPr>
                <w:rFonts w:hint="default" w:ascii="Times New Roman" w:hAnsi="Times New Roman" w:cs="Times New Roman"/>
                <w:color w:val="auto"/>
                <w:highlight w:val="none"/>
              </w:rPr>
            </w:pPr>
          </w:p>
          <w:p w14:paraId="07E4FB8C">
            <w:pPr>
              <w:pStyle w:val="32"/>
              <w:snapToGrid w:val="0"/>
              <w:rPr>
                <w:rFonts w:hint="default" w:ascii="Times New Roman" w:hAnsi="Times New Roman" w:cs="Times New Roman"/>
                <w:color w:val="auto"/>
                <w:highlight w:val="none"/>
              </w:rPr>
            </w:pPr>
          </w:p>
          <w:p w14:paraId="5C90AF4D">
            <w:pPr>
              <w:pStyle w:val="34"/>
              <w:rPr>
                <w:rFonts w:hint="default" w:ascii="Times New Roman" w:hAnsi="Times New Roman" w:cs="Times New Roman"/>
                <w:color w:val="auto"/>
                <w:highlight w:val="none"/>
              </w:rPr>
            </w:pPr>
          </w:p>
          <w:p w14:paraId="5ED365DD">
            <w:pPr>
              <w:rPr>
                <w:rFonts w:hint="default" w:ascii="Times New Roman" w:hAnsi="Times New Roman" w:cs="Times New Roman"/>
                <w:color w:val="auto"/>
                <w:highlight w:val="none"/>
              </w:rPr>
            </w:pPr>
          </w:p>
          <w:p w14:paraId="3F6F679E">
            <w:pPr>
              <w:rPr>
                <w:rFonts w:hint="default" w:ascii="Times New Roman" w:hAnsi="Times New Roman" w:cs="Times New Roman"/>
                <w:color w:val="auto"/>
                <w:highlight w:val="none"/>
              </w:rPr>
            </w:pPr>
          </w:p>
          <w:p w14:paraId="0018A90D">
            <w:pPr>
              <w:rPr>
                <w:rFonts w:hint="default" w:ascii="Times New Roman" w:hAnsi="Times New Roman" w:cs="Times New Roman"/>
                <w:color w:val="auto"/>
                <w:highlight w:val="none"/>
              </w:rPr>
            </w:pPr>
          </w:p>
          <w:p w14:paraId="36B4C14B">
            <w:pPr>
              <w:rPr>
                <w:rFonts w:hint="default" w:ascii="Times New Roman" w:hAnsi="Times New Roman" w:cs="Times New Roman"/>
                <w:color w:val="auto"/>
                <w:highlight w:val="none"/>
              </w:rPr>
            </w:pPr>
          </w:p>
          <w:p w14:paraId="777108A5">
            <w:pPr>
              <w:rPr>
                <w:rFonts w:hint="default" w:ascii="Times New Roman" w:hAnsi="Times New Roman" w:cs="Times New Roman"/>
                <w:color w:val="auto"/>
                <w:highlight w:val="none"/>
              </w:rPr>
            </w:pPr>
          </w:p>
          <w:p w14:paraId="63DBC755">
            <w:pPr>
              <w:rPr>
                <w:rFonts w:hint="default" w:ascii="Times New Roman" w:hAnsi="Times New Roman" w:cs="Times New Roman"/>
                <w:color w:val="auto"/>
                <w:highlight w:val="none"/>
              </w:rPr>
            </w:pPr>
          </w:p>
          <w:p w14:paraId="209C76C7">
            <w:pPr>
              <w:rPr>
                <w:rFonts w:hint="default" w:ascii="Times New Roman" w:hAnsi="Times New Roman" w:cs="Times New Roman"/>
                <w:color w:val="auto"/>
                <w:highlight w:val="none"/>
              </w:rPr>
            </w:pPr>
          </w:p>
          <w:p w14:paraId="5220A789">
            <w:pPr>
              <w:pStyle w:val="34"/>
              <w:adjustRightInd w:val="0"/>
              <w:snapToGrid w:val="0"/>
              <w:ind w:left="0"/>
              <w:rPr>
                <w:rFonts w:hint="default" w:ascii="Times New Roman" w:hAnsi="Times New Roman" w:cs="Times New Roman"/>
                <w:color w:val="auto"/>
                <w:sz w:val="24"/>
                <w:szCs w:val="24"/>
                <w:highlight w:val="none"/>
              </w:rPr>
            </w:pPr>
          </w:p>
          <w:p w14:paraId="374DD3DD">
            <w:pPr>
              <w:adjustRightInd w:val="0"/>
              <w:snapToGrid w:val="0"/>
              <w:rPr>
                <w:rFonts w:hint="default" w:ascii="Times New Roman" w:hAnsi="Times New Roman" w:cs="Times New Roman"/>
                <w:color w:val="auto"/>
                <w:sz w:val="24"/>
                <w:highlight w:val="none"/>
              </w:rPr>
            </w:pPr>
          </w:p>
          <w:p w14:paraId="31ADC244">
            <w:pPr>
              <w:pStyle w:val="34"/>
              <w:adjustRightInd w:val="0"/>
              <w:snapToGrid w:val="0"/>
              <w:ind w:left="0"/>
              <w:rPr>
                <w:rFonts w:hint="default" w:ascii="Times New Roman" w:hAnsi="Times New Roman" w:cs="Times New Roman"/>
                <w:color w:val="auto"/>
                <w:sz w:val="24"/>
                <w:szCs w:val="24"/>
                <w:highlight w:val="none"/>
              </w:rPr>
            </w:pPr>
          </w:p>
          <w:p w14:paraId="571108C4">
            <w:pPr>
              <w:adjustRightInd w:val="0"/>
              <w:snapToGrid w:val="0"/>
              <w:rPr>
                <w:rFonts w:hint="default" w:ascii="Times New Roman" w:hAnsi="Times New Roman" w:cs="Times New Roman"/>
                <w:color w:val="auto"/>
                <w:sz w:val="24"/>
                <w:highlight w:val="none"/>
              </w:rPr>
            </w:pPr>
          </w:p>
          <w:p w14:paraId="7DE066DD">
            <w:pPr>
              <w:pStyle w:val="32"/>
              <w:rPr>
                <w:rFonts w:hint="default" w:ascii="Times New Roman" w:hAnsi="Times New Roman" w:cs="Times New Roman"/>
                <w:color w:val="auto"/>
                <w:highlight w:val="none"/>
              </w:rPr>
            </w:pPr>
          </w:p>
          <w:p w14:paraId="4F4E0461">
            <w:pPr>
              <w:adjustRightInd w:val="0"/>
              <w:snapToGrid w:val="0"/>
              <w:rPr>
                <w:rFonts w:hint="default" w:ascii="Times New Roman" w:hAnsi="Times New Roman" w:cs="Times New Roman"/>
                <w:color w:val="auto"/>
                <w:highlight w:val="none"/>
              </w:rPr>
            </w:pPr>
          </w:p>
        </w:tc>
      </w:tr>
    </w:tbl>
    <w:p w14:paraId="296A0D51">
      <w:pPr>
        <w:pStyle w:val="2"/>
        <w:adjustRightInd w:val="0"/>
        <w:snapToGrid w:val="0"/>
        <w:spacing w:before="0" w:after="0" w:line="360" w:lineRule="auto"/>
        <w:jc w:val="center"/>
        <w:rPr>
          <w:rFonts w:hint="default" w:ascii="Times New Roman" w:hAnsi="Times New Roman" w:cs="Times New Roman"/>
          <w:color w:val="auto"/>
          <w:sz w:val="30"/>
          <w:szCs w:val="30"/>
          <w:highlight w:val="none"/>
          <w:lang w:val="en-GB"/>
        </w:rPr>
        <w:sectPr>
          <w:pgSz w:w="11907" w:h="16840"/>
          <w:pgMar w:top="1440" w:right="1803" w:bottom="1440" w:left="1803" w:header="851" w:footer="850" w:gutter="0"/>
          <w:pgBorders>
            <w:top w:val="none" w:sz="0" w:space="0"/>
            <w:left w:val="none" w:sz="0" w:space="0"/>
            <w:bottom w:val="none" w:sz="0" w:space="0"/>
            <w:right w:val="none" w:sz="0" w:space="0"/>
          </w:pgBorders>
          <w:cols w:space="720" w:num="1"/>
          <w:docGrid w:type="linesAndChars" w:linePitch="319" w:charSpace="0"/>
        </w:sectPr>
      </w:pPr>
      <w:bookmarkStart w:id="34" w:name="_Toc17283"/>
      <w:bookmarkStart w:id="35" w:name="_Toc13757"/>
      <w:bookmarkStart w:id="36" w:name="_Toc448838919"/>
    </w:p>
    <w:p w14:paraId="577056DD">
      <w:pPr>
        <w:pStyle w:val="2"/>
        <w:adjustRightInd w:val="0"/>
        <w:snapToGrid w:val="0"/>
        <w:spacing w:before="0" w:after="0"/>
        <w:jc w:val="center"/>
        <w:rPr>
          <w:rFonts w:hint="default" w:ascii="Times New Roman" w:hAnsi="Times New Roman" w:cs="Times New Roman"/>
          <w:b w:val="0"/>
          <w:bCs/>
          <w:color w:val="auto"/>
          <w:sz w:val="30"/>
          <w:szCs w:val="30"/>
          <w:highlight w:val="none"/>
          <w:lang w:val="en-GB"/>
        </w:rPr>
      </w:pPr>
      <w:bookmarkStart w:id="37" w:name="_Toc1979"/>
      <w:bookmarkStart w:id="38" w:name="_Toc9712"/>
      <w:bookmarkStart w:id="39" w:name="_Toc14603"/>
      <w:r>
        <w:rPr>
          <w:rFonts w:hint="default" w:ascii="Times New Roman" w:hAnsi="Times New Roman" w:cs="Times New Roman"/>
          <w:b w:val="0"/>
          <w:bCs/>
          <w:color w:val="auto"/>
          <w:sz w:val="30"/>
          <w:szCs w:val="30"/>
          <w:highlight w:val="none"/>
          <w:lang w:val="en-GB"/>
        </w:rPr>
        <w:t>表8 环境质量和辐射现状</w:t>
      </w:r>
      <w:bookmarkEnd w:id="34"/>
      <w:bookmarkEnd w:id="35"/>
      <w:bookmarkEnd w:id="36"/>
      <w:bookmarkEnd w:id="37"/>
      <w:bookmarkEnd w:id="38"/>
      <w:bookmarkEnd w:id="39"/>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7"/>
      </w:tblGrid>
      <w:tr w14:paraId="761FF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8" w:hRule="atLeast"/>
        </w:trPr>
        <w:tc>
          <w:tcPr>
            <w:tcW w:w="5000" w:type="pct"/>
          </w:tcPr>
          <w:p w14:paraId="3DECA1F1">
            <w:pPr>
              <w:adjustRightInd w:val="0"/>
              <w:snapToGrid w:val="0"/>
              <w:spacing w:line="360" w:lineRule="auto"/>
              <w:jc w:val="left"/>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一、环境质量和辐射现状</w:t>
            </w:r>
          </w:p>
          <w:p w14:paraId="3D11EEF7">
            <w:pPr>
              <w:keepNext w:val="0"/>
              <w:keepLines w:val="0"/>
              <w:pageBreakBefore w:val="0"/>
              <w:kinsoku/>
              <w:wordWrap/>
              <w:overflowPunct/>
              <w:topLinePunct w:val="0"/>
              <w:bidi w:val="0"/>
              <w:adjustRightInd w:val="0"/>
              <w:snapToGrid w:val="0"/>
              <w:spacing w:line="360" w:lineRule="auto"/>
              <w:ind w:firstLine="500" w:firstLineChars="200"/>
              <w:jc w:val="left"/>
              <w:rPr>
                <w:rFonts w:hint="eastAsia" w:ascii="Times New Roman" w:hAnsi="Times New Roman" w:cs="Times New Roman"/>
                <w:color w:val="auto"/>
                <w:sz w:val="24"/>
                <w:highlight w:val="none"/>
                <w:lang w:val="en-US" w:eastAsia="zh-CN"/>
              </w:rPr>
            </w:pPr>
            <w:r>
              <w:rPr>
                <w:rFonts w:hint="eastAsia" w:ascii="Times New Roman" w:hAnsi="Times New Roman" w:cs="Times New Roman"/>
                <w:b w:val="0"/>
                <w:bCs w:val="0"/>
                <w:color w:val="auto"/>
                <w:spacing w:val="5"/>
                <w:sz w:val="24"/>
                <w:highlight w:val="none"/>
                <w:shd w:val="clear" w:color="auto" w:fill="FFFFFF"/>
                <w:lang w:val="en-US" w:eastAsia="zh-CN"/>
              </w:rPr>
              <w:t>本项目在平昌县第二人民医院黄滩坝院区，</w:t>
            </w:r>
            <w:r>
              <w:rPr>
                <w:rFonts w:hint="eastAsia" w:ascii="Times New Roman" w:hAnsi="Times New Roman" w:cs="Times New Roman"/>
                <w:color w:val="auto"/>
                <w:sz w:val="24"/>
                <w:highlight w:val="none"/>
                <w:lang w:val="en-US" w:eastAsia="zh-CN"/>
              </w:rPr>
              <w:t>黄滩坝院区东侧和北侧为邦泰中心，东侧为平昌金贝幼儿园，东南侧为泰升游乐场，南侧和西南侧临白鹤路，白鹤路对面为平昌城市体育运动公园，西侧为明悦天府天骄小区。医院外环境关系图见附图2。</w:t>
            </w:r>
          </w:p>
          <w:p w14:paraId="5121C78D">
            <w:pPr>
              <w:keepNext w:val="0"/>
              <w:keepLines w:val="0"/>
              <w:pageBreakBefore w:val="0"/>
              <w:widowControl w:val="0"/>
              <w:kinsoku/>
              <w:wordWrap/>
              <w:overflowPunct/>
              <w:topLinePunct w:val="0"/>
              <w:bidi w:val="0"/>
              <w:adjustRightInd w:val="0"/>
              <w:snapToGrid w:val="0"/>
              <w:spacing w:line="360" w:lineRule="auto"/>
              <w:ind w:firstLine="480" w:firstLineChars="200"/>
              <w:jc w:val="left"/>
              <w:rPr>
                <w:rFonts w:hint="default" w:eastAsia="宋体"/>
                <w:color w:val="auto"/>
                <w:highlight w:val="none"/>
                <w:lang w:val="en-US" w:eastAsia="zh-CN"/>
              </w:rPr>
            </w:pPr>
            <w:r>
              <w:rPr>
                <w:rFonts w:hint="eastAsia" w:ascii="Times New Roman" w:hAnsi="Times New Roman" w:eastAsia="宋体" w:cs="Times New Roman"/>
                <w:color w:val="auto"/>
                <w:sz w:val="24"/>
                <w:highlight w:val="none"/>
                <w:lang w:val="en-US" w:eastAsia="zh-CN"/>
              </w:rPr>
              <w:t>本项目介入室位于</w:t>
            </w:r>
            <w:r>
              <w:rPr>
                <w:rFonts w:hint="default" w:ascii="Times New Roman" w:hAnsi="Times New Roman" w:eastAsia="宋体" w:cs="Times New Roman"/>
                <w:color w:val="auto"/>
                <w:sz w:val="24"/>
                <w:highlight w:val="none"/>
                <w:lang w:val="en-US" w:eastAsia="zh-CN"/>
              </w:rPr>
              <w:t>平昌县第二人民医院</w:t>
            </w:r>
            <w:r>
              <w:rPr>
                <w:rFonts w:hint="eastAsia" w:ascii="Times New Roman" w:hAnsi="Times New Roman" w:cs="Times New Roman"/>
                <w:color w:val="auto"/>
                <w:sz w:val="24"/>
                <w:highlight w:val="none"/>
                <w:lang w:val="en-US" w:eastAsia="zh-CN"/>
              </w:rPr>
              <w:t>黄滩坝院区</w:t>
            </w:r>
            <w:r>
              <w:rPr>
                <w:rFonts w:hint="default" w:ascii="Times New Roman" w:hAnsi="Times New Roman" w:eastAsia="宋体" w:cs="Times New Roman"/>
                <w:color w:val="auto"/>
                <w:sz w:val="24"/>
                <w:highlight w:val="none"/>
                <w:lang w:val="en-US" w:eastAsia="zh-CN"/>
              </w:rPr>
              <w:t>的</w:t>
            </w:r>
            <w:r>
              <w:rPr>
                <w:rFonts w:hint="eastAsia" w:ascii="Times New Roman" w:hAnsi="Times New Roman" w:cs="Times New Roman"/>
                <w:color w:val="auto"/>
                <w:sz w:val="24"/>
                <w:highlight w:val="none"/>
                <w:lang w:val="en-US" w:eastAsia="zh-CN"/>
              </w:rPr>
              <w:t>2#</w:t>
            </w:r>
            <w:r>
              <w:rPr>
                <w:rFonts w:hint="default" w:ascii="Times New Roman" w:hAnsi="Times New Roman" w:eastAsia="宋体" w:cs="Times New Roman"/>
                <w:color w:val="auto"/>
                <w:sz w:val="24"/>
                <w:highlight w:val="none"/>
                <w:lang w:val="en-US" w:eastAsia="zh-CN"/>
              </w:rPr>
              <w:t>医疗综合楼四楼东北角</w:t>
            </w:r>
            <w:r>
              <w:rPr>
                <w:rFonts w:hint="eastAsia" w:ascii="Times New Roman" w:hAnsi="Times New Roman" w:cs="Times New Roman"/>
                <w:color w:val="auto"/>
                <w:sz w:val="24"/>
                <w:highlight w:val="none"/>
                <w:lang w:val="en-US" w:eastAsia="zh-CN"/>
              </w:rPr>
              <w:t>，该综合楼东侧为1#医疗综合楼，南侧为医院道路，西侧为预留用地，北侧为医院道路。本项目DSA介入室东侧为设备间和污物间；南侧为控制室，西侧为患者缓冲区；北侧为四楼悬空区域，无人经过。楼上为裙房非上人屋面，楼下为口腔门诊。</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5"/>
              <w:gridCol w:w="4146"/>
            </w:tblGrid>
            <w:tr w14:paraId="26A52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7" w:type="dxa"/>
                  <w:vAlign w:val="top"/>
                </w:tcPr>
                <w:p w14:paraId="3E7FD063">
                  <w:pPr>
                    <w:keepNext w:val="0"/>
                    <w:keepLines w:val="0"/>
                    <w:pageBreakBefore w:val="0"/>
                    <w:kinsoku/>
                    <w:wordWrap/>
                    <w:overflowPunct/>
                    <w:topLinePunct w:val="0"/>
                    <w:bidi w:val="0"/>
                    <w:adjustRightInd w:val="0"/>
                    <w:snapToGrid w:val="0"/>
                    <w:spacing w:line="360" w:lineRule="auto"/>
                    <w:jc w:val="left"/>
                    <w:rPr>
                      <w:rFonts w:hint="default" w:ascii="Times New Roman" w:hAnsi="Times New Roman" w:cs="Times New Roman"/>
                      <w:color w:val="auto"/>
                      <w:sz w:val="24"/>
                      <w:highlight w:val="none"/>
                      <w:vertAlign w:val="baseline"/>
                      <w:lang w:val="en-US" w:eastAsia="zh-CN"/>
                    </w:rPr>
                  </w:pPr>
                  <w:r>
                    <w:rPr>
                      <w:rFonts w:hint="default" w:ascii="Times New Roman" w:hAnsi="Times New Roman" w:cs="Times New Roman"/>
                      <w:color w:val="auto"/>
                      <w:sz w:val="24"/>
                      <w:highlight w:val="none"/>
                      <w:vertAlign w:val="baseline"/>
                      <w:lang w:val="en-US" w:eastAsia="zh-CN"/>
                    </w:rPr>
                    <w:drawing>
                      <wp:inline distT="0" distB="0" distL="114300" distR="114300">
                        <wp:extent cx="2485390" cy="3314700"/>
                        <wp:effectExtent l="0" t="0" r="10160" b="0"/>
                        <wp:docPr id="25" name="图片 25" descr="e7959e3eb78a2bab7cd3d8d31ea126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e7959e3eb78a2bab7cd3d8d31ea1269f"/>
                                <pic:cNvPicPr>
                                  <a:picLocks noChangeAspect="1"/>
                                </pic:cNvPicPr>
                              </pic:nvPicPr>
                              <pic:blipFill>
                                <a:blip r:embed="rId11"/>
                                <a:stretch>
                                  <a:fillRect/>
                                </a:stretch>
                              </pic:blipFill>
                              <pic:spPr>
                                <a:xfrm>
                                  <a:off x="0" y="0"/>
                                  <a:ext cx="2485390" cy="3314700"/>
                                </a:xfrm>
                                <a:prstGeom prst="rect">
                                  <a:avLst/>
                                </a:prstGeom>
                              </pic:spPr>
                            </pic:pic>
                          </a:graphicData>
                        </a:graphic>
                      </wp:inline>
                    </w:drawing>
                  </w:r>
                </w:p>
              </w:tc>
              <w:tc>
                <w:tcPr>
                  <w:tcW w:w="2767" w:type="dxa"/>
                  <w:vAlign w:val="top"/>
                </w:tcPr>
                <w:p w14:paraId="2CE0FD54">
                  <w:pPr>
                    <w:keepNext w:val="0"/>
                    <w:keepLines w:val="0"/>
                    <w:pageBreakBefore w:val="0"/>
                    <w:kinsoku/>
                    <w:wordWrap/>
                    <w:overflowPunct/>
                    <w:topLinePunct w:val="0"/>
                    <w:bidi w:val="0"/>
                    <w:adjustRightInd w:val="0"/>
                    <w:snapToGrid w:val="0"/>
                    <w:spacing w:line="360" w:lineRule="auto"/>
                    <w:jc w:val="left"/>
                    <w:rPr>
                      <w:rFonts w:hint="default" w:ascii="Times New Roman" w:hAnsi="Times New Roman" w:cs="Times New Roman"/>
                      <w:color w:val="auto"/>
                      <w:sz w:val="24"/>
                      <w:highlight w:val="none"/>
                      <w:vertAlign w:val="baseline"/>
                      <w:lang w:val="en-US" w:eastAsia="zh-CN"/>
                    </w:rPr>
                  </w:pPr>
                  <w:r>
                    <w:rPr>
                      <w:rFonts w:hint="default" w:ascii="Times New Roman" w:hAnsi="Times New Roman" w:cs="Times New Roman"/>
                      <w:color w:val="auto"/>
                      <w:sz w:val="24"/>
                      <w:highlight w:val="none"/>
                      <w:vertAlign w:val="baseline"/>
                      <w:lang w:val="en-US" w:eastAsia="zh-CN"/>
                    </w:rPr>
                    <w:drawing>
                      <wp:inline distT="0" distB="0" distL="114300" distR="114300">
                        <wp:extent cx="2491105" cy="3323590"/>
                        <wp:effectExtent l="0" t="0" r="4445" b="10160"/>
                        <wp:docPr id="15" name="图片 15" descr="f5330febb3a6553b90321c658781f2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5330febb3a6553b90321c658781f22d"/>
                                <pic:cNvPicPr>
                                  <a:picLocks noChangeAspect="1"/>
                                </pic:cNvPicPr>
                              </pic:nvPicPr>
                              <pic:blipFill>
                                <a:blip r:embed="rId12"/>
                                <a:stretch>
                                  <a:fillRect/>
                                </a:stretch>
                              </pic:blipFill>
                              <pic:spPr>
                                <a:xfrm>
                                  <a:off x="0" y="0"/>
                                  <a:ext cx="2491105" cy="3323590"/>
                                </a:xfrm>
                                <a:prstGeom prst="rect">
                                  <a:avLst/>
                                </a:prstGeom>
                              </pic:spPr>
                            </pic:pic>
                          </a:graphicData>
                        </a:graphic>
                      </wp:inline>
                    </w:drawing>
                  </w:r>
                </w:p>
              </w:tc>
            </w:tr>
            <w:tr w14:paraId="27E3C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7" w:type="dxa"/>
                  <w:vAlign w:val="top"/>
                </w:tcPr>
                <w:p w14:paraId="6512D64E">
                  <w:pPr>
                    <w:keepNext w:val="0"/>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DSA介入室拟建地址现状照片</w:t>
                  </w:r>
                </w:p>
              </w:tc>
              <w:tc>
                <w:tcPr>
                  <w:tcW w:w="2767" w:type="dxa"/>
                  <w:vAlign w:val="top"/>
                </w:tcPr>
                <w:p w14:paraId="4BA8ACDC">
                  <w:pPr>
                    <w:keepNext w:val="0"/>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DSA介入室正上方屋面照片</w:t>
                  </w:r>
                </w:p>
              </w:tc>
            </w:tr>
            <w:tr w14:paraId="63905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7" w:type="dxa"/>
                  <w:vAlign w:val="top"/>
                </w:tcPr>
                <w:p w14:paraId="5C20A933">
                  <w:pPr>
                    <w:keepNext w:val="0"/>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auto"/>
                      <w:sz w:val="24"/>
                      <w:highlight w:val="none"/>
                      <w:vertAlign w:val="baseline"/>
                      <w:lang w:val="en-US" w:eastAsia="zh-CN"/>
                    </w:rPr>
                  </w:pPr>
                  <w:r>
                    <w:rPr>
                      <w:rFonts w:hint="default" w:ascii="Times New Roman" w:hAnsi="Times New Roman" w:cs="Times New Roman"/>
                      <w:color w:val="auto"/>
                      <w:sz w:val="24"/>
                      <w:highlight w:val="none"/>
                      <w:vertAlign w:val="baseline"/>
                      <w:lang w:val="en-US" w:eastAsia="zh-CN"/>
                    </w:rPr>
                    <w:drawing>
                      <wp:inline distT="0" distB="0" distL="114300" distR="114300">
                        <wp:extent cx="2485390" cy="3314700"/>
                        <wp:effectExtent l="0" t="0" r="10160" b="0"/>
                        <wp:docPr id="8" name="图片 8" descr="5d7b820e9b9f71eeb78c9b22e04d51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5d7b820e9b9f71eeb78c9b22e04d512a"/>
                                <pic:cNvPicPr>
                                  <a:picLocks noChangeAspect="1"/>
                                </pic:cNvPicPr>
                              </pic:nvPicPr>
                              <pic:blipFill>
                                <a:blip r:embed="rId13"/>
                                <a:stretch>
                                  <a:fillRect/>
                                </a:stretch>
                              </pic:blipFill>
                              <pic:spPr>
                                <a:xfrm>
                                  <a:off x="0" y="0"/>
                                  <a:ext cx="2485390" cy="3314700"/>
                                </a:xfrm>
                                <a:prstGeom prst="rect">
                                  <a:avLst/>
                                </a:prstGeom>
                              </pic:spPr>
                            </pic:pic>
                          </a:graphicData>
                        </a:graphic>
                      </wp:inline>
                    </w:drawing>
                  </w:r>
                </w:p>
              </w:tc>
              <w:tc>
                <w:tcPr>
                  <w:tcW w:w="2767" w:type="dxa"/>
                  <w:vAlign w:val="top"/>
                </w:tcPr>
                <w:p w14:paraId="5043568A">
                  <w:pPr>
                    <w:keepNext w:val="0"/>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auto"/>
                      <w:sz w:val="24"/>
                      <w:highlight w:val="none"/>
                      <w:vertAlign w:val="baseline"/>
                      <w:lang w:val="en-US" w:eastAsia="zh-CN"/>
                    </w:rPr>
                  </w:pPr>
                  <w:r>
                    <w:rPr>
                      <w:rFonts w:hint="default" w:ascii="Times New Roman" w:hAnsi="Times New Roman" w:cs="Times New Roman"/>
                      <w:color w:val="auto"/>
                      <w:sz w:val="24"/>
                      <w:highlight w:val="none"/>
                      <w:vertAlign w:val="baseline"/>
                      <w:lang w:val="en-US" w:eastAsia="zh-CN"/>
                    </w:rPr>
                    <w:drawing>
                      <wp:inline distT="0" distB="0" distL="114300" distR="114300">
                        <wp:extent cx="2485390" cy="3314700"/>
                        <wp:effectExtent l="0" t="0" r="10160" b="0"/>
                        <wp:docPr id="14" name="图片 14" descr="cf8abb3b5f387e249c231b979ebe2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f8abb3b5f387e249c231b979ebe2703"/>
                                <pic:cNvPicPr>
                                  <a:picLocks noChangeAspect="1"/>
                                </pic:cNvPicPr>
                              </pic:nvPicPr>
                              <pic:blipFill>
                                <a:blip r:embed="rId14"/>
                                <a:stretch>
                                  <a:fillRect/>
                                </a:stretch>
                              </pic:blipFill>
                              <pic:spPr>
                                <a:xfrm>
                                  <a:off x="0" y="0"/>
                                  <a:ext cx="2485390" cy="3314700"/>
                                </a:xfrm>
                                <a:prstGeom prst="rect">
                                  <a:avLst/>
                                </a:prstGeom>
                              </pic:spPr>
                            </pic:pic>
                          </a:graphicData>
                        </a:graphic>
                      </wp:inline>
                    </w:drawing>
                  </w:r>
                </w:p>
              </w:tc>
            </w:tr>
            <w:tr w14:paraId="79117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7" w:type="dxa"/>
                  <w:vAlign w:val="top"/>
                </w:tcPr>
                <w:p w14:paraId="6E4E13EA">
                  <w:pPr>
                    <w:keepNext w:val="0"/>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auto"/>
                      <w:sz w:val="24"/>
                      <w:highlight w:val="none"/>
                      <w:vertAlign w:val="baseline"/>
                      <w:lang w:val="en-US" w:eastAsia="zh-CN"/>
                    </w:rPr>
                  </w:pPr>
                  <w:r>
                    <w:rPr>
                      <w:rFonts w:hint="eastAsia" w:ascii="Times New Roman" w:hAnsi="Times New Roman" w:cs="Times New Roman"/>
                      <w:color w:val="auto"/>
                      <w:sz w:val="24"/>
                      <w:highlight w:val="none"/>
                      <w:vertAlign w:val="baseline"/>
                      <w:lang w:val="en-US" w:eastAsia="zh-CN"/>
                    </w:rPr>
                    <w:t>DSA介入室楼下口腔科照片</w:t>
                  </w:r>
                </w:p>
              </w:tc>
              <w:tc>
                <w:tcPr>
                  <w:tcW w:w="2767" w:type="dxa"/>
                  <w:vAlign w:val="top"/>
                </w:tcPr>
                <w:p w14:paraId="6A09AF3A">
                  <w:pPr>
                    <w:keepNext w:val="0"/>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auto"/>
                      <w:sz w:val="24"/>
                      <w:highlight w:val="none"/>
                      <w:vertAlign w:val="baseline"/>
                      <w:lang w:val="en-US" w:eastAsia="zh-CN"/>
                    </w:rPr>
                  </w:pPr>
                  <w:r>
                    <w:rPr>
                      <w:rFonts w:hint="eastAsia" w:ascii="Times New Roman" w:hAnsi="Times New Roman" w:cs="Times New Roman"/>
                      <w:color w:val="auto"/>
                      <w:sz w:val="24"/>
                      <w:highlight w:val="none"/>
                      <w:vertAlign w:val="baseline"/>
                      <w:lang w:val="en-US" w:eastAsia="zh-CN"/>
                    </w:rPr>
                    <w:t>DSA西侧血液大厅照片</w:t>
                  </w:r>
                </w:p>
              </w:tc>
            </w:tr>
            <w:tr w14:paraId="12FEE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7" w:type="dxa"/>
                  <w:vAlign w:val="top"/>
                </w:tcPr>
                <w:p w14:paraId="4CA7EF1A">
                  <w:pPr>
                    <w:keepNext w:val="0"/>
                    <w:keepLines w:val="0"/>
                    <w:pageBreakBefore w:val="0"/>
                    <w:kinsoku/>
                    <w:wordWrap/>
                    <w:overflowPunct/>
                    <w:topLinePunct w:val="0"/>
                    <w:bidi w:val="0"/>
                    <w:adjustRightInd w:val="0"/>
                    <w:snapToGrid w:val="0"/>
                    <w:spacing w:line="360" w:lineRule="auto"/>
                    <w:jc w:val="center"/>
                    <w:rPr>
                      <w:rFonts w:hint="eastAsia" w:ascii="Times New Roman" w:hAnsi="Times New Roman" w:cs="Times New Roman"/>
                      <w:color w:val="auto"/>
                      <w:sz w:val="24"/>
                      <w:highlight w:val="none"/>
                      <w:vertAlign w:val="baseline"/>
                      <w:lang w:val="en-US" w:eastAsia="zh-CN"/>
                    </w:rPr>
                  </w:pPr>
                  <w:r>
                    <w:rPr>
                      <w:rFonts w:hint="eastAsia" w:ascii="Times New Roman" w:hAnsi="Times New Roman" w:cs="Times New Roman"/>
                      <w:color w:val="auto"/>
                      <w:sz w:val="24"/>
                      <w:highlight w:val="none"/>
                      <w:vertAlign w:val="baseline"/>
                      <w:lang w:val="en-US" w:eastAsia="zh-CN"/>
                    </w:rPr>
                    <w:drawing>
                      <wp:inline distT="0" distB="0" distL="114300" distR="114300">
                        <wp:extent cx="2251075" cy="3003550"/>
                        <wp:effectExtent l="0" t="0" r="15875" b="6350"/>
                        <wp:docPr id="3" name="图片 3" descr="32aa16f2cd935e2ed65e889042b8bc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2aa16f2cd935e2ed65e889042b8bc1f"/>
                                <pic:cNvPicPr>
                                  <a:picLocks noChangeAspect="1"/>
                                </pic:cNvPicPr>
                              </pic:nvPicPr>
                              <pic:blipFill>
                                <a:blip r:embed="rId15"/>
                                <a:stretch>
                                  <a:fillRect/>
                                </a:stretch>
                              </pic:blipFill>
                              <pic:spPr>
                                <a:xfrm>
                                  <a:off x="0" y="0"/>
                                  <a:ext cx="2251075" cy="3003550"/>
                                </a:xfrm>
                                <a:prstGeom prst="rect">
                                  <a:avLst/>
                                </a:prstGeom>
                              </pic:spPr>
                            </pic:pic>
                          </a:graphicData>
                        </a:graphic>
                      </wp:inline>
                    </w:drawing>
                  </w:r>
                </w:p>
              </w:tc>
              <w:tc>
                <w:tcPr>
                  <w:tcW w:w="2767" w:type="dxa"/>
                  <w:vAlign w:val="top"/>
                </w:tcPr>
                <w:p w14:paraId="01FB983D">
                  <w:pPr>
                    <w:keepNext w:val="0"/>
                    <w:keepLines w:val="0"/>
                    <w:pageBreakBefore w:val="0"/>
                    <w:kinsoku/>
                    <w:wordWrap/>
                    <w:overflowPunct/>
                    <w:topLinePunct w:val="0"/>
                    <w:bidi w:val="0"/>
                    <w:adjustRightInd w:val="0"/>
                    <w:snapToGrid w:val="0"/>
                    <w:spacing w:line="360" w:lineRule="auto"/>
                    <w:jc w:val="center"/>
                    <w:rPr>
                      <w:rFonts w:hint="eastAsia" w:ascii="Times New Roman" w:hAnsi="Times New Roman" w:cs="Times New Roman"/>
                      <w:color w:val="auto"/>
                      <w:sz w:val="24"/>
                      <w:highlight w:val="none"/>
                      <w:vertAlign w:val="baseline"/>
                      <w:lang w:val="en-US" w:eastAsia="zh-CN"/>
                    </w:rPr>
                  </w:pPr>
                  <w:r>
                    <w:rPr>
                      <w:rFonts w:hint="eastAsia" w:ascii="Times New Roman" w:hAnsi="Times New Roman" w:cs="Times New Roman"/>
                      <w:color w:val="auto"/>
                      <w:sz w:val="24"/>
                      <w:highlight w:val="none"/>
                      <w:vertAlign w:val="baseline"/>
                      <w:lang w:val="en-US" w:eastAsia="zh-CN"/>
                    </w:rPr>
                    <w:drawing>
                      <wp:inline distT="0" distB="0" distL="114300" distR="114300">
                        <wp:extent cx="2243455" cy="2992120"/>
                        <wp:effectExtent l="0" t="0" r="4445" b="17780"/>
                        <wp:docPr id="1" name="图片 1" descr="ee889f9b51d02f6c3249dd25b11e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e889f9b51d02f6c3249dd25b11e1598"/>
                                <pic:cNvPicPr>
                                  <a:picLocks noChangeAspect="1"/>
                                </pic:cNvPicPr>
                              </pic:nvPicPr>
                              <pic:blipFill>
                                <a:blip r:embed="rId16"/>
                                <a:stretch>
                                  <a:fillRect/>
                                </a:stretch>
                              </pic:blipFill>
                              <pic:spPr>
                                <a:xfrm>
                                  <a:off x="0" y="0"/>
                                  <a:ext cx="2243455" cy="2992120"/>
                                </a:xfrm>
                                <a:prstGeom prst="rect">
                                  <a:avLst/>
                                </a:prstGeom>
                              </pic:spPr>
                            </pic:pic>
                          </a:graphicData>
                        </a:graphic>
                      </wp:inline>
                    </w:drawing>
                  </w:r>
                </w:p>
              </w:tc>
            </w:tr>
            <w:tr w14:paraId="50751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7" w:type="dxa"/>
                  <w:vAlign w:val="top"/>
                </w:tcPr>
                <w:p w14:paraId="478A22D1">
                  <w:pPr>
                    <w:keepNext w:val="0"/>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auto"/>
                      <w:sz w:val="24"/>
                      <w:highlight w:val="none"/>
                      <w:vertAlign w:val="baseline"/>
                      <w:lang w:val="en-US" w:eastAsia="zh-CN"/>
                    </w:rPr>
                  </w:pPr>
                  <w:r>
                    <w:rPr>
                      <w:rFonts w:hint="eastAsia" w:ascii="Times New Roman" w:hAnsi="Times New Roman" w:cs="Times New Roman"/>
                      <w:color w:val="auto"/>
                      <w:sz w:val="24"/>
                      <w:highlight w:val="none"/>
                      <w:vertAlign w:val="baseline"/>
                      <w:lang w:val="en-US" w:eastAsia="zh-CN"/>
                    </w:rPr>
                    <w:t>医院一楼道路照片</w:t>
                  </w:r>
                </w:p>
              </w:tc>
              <w:tc>
                <w:tcPr>
                  <w:tcW w:w="2767" w:type="dxa"/>
                  <w:vAlign w:val="top"/>
                </w:tcPr>
                <w:p w14:paraId="10E82952">
                  <w:pPr>
                    <w:keepNext w:val="0"/>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auto"/>
                      <w:sz w:val="24"/>
                      <w:highlight w:val="none"/>
                      <w:vertAlign w:val="baseline"/>
                      <w:lang w:val="en-US" w:eastAsia="zh-CN"/>
                    </w:rPr>
                  </w:pPr>
                  <w:r>
                    <w:rPr>
                      <w:rFonts w:hint="eastAsia" w:ascii="Times New Roman" w:hAnsi="Times New Roman" w:cs="Times New Roman"/>
                      <w:color w:val="auto"/>
                      <w:sz w:val="24"/>
                      <w:highlight w:val="none"/>
                      <w:vertAlign w:val="baseline"/>
                      <w:lang w:val="en-US" w:eastAsia="zh-CN"/>
                    </w:rPr>
                    <w:t>南侧29m电梯厅照片</w:t>
                  </w:r>
                </w:p>
              </w:tc>
            </w:tr>
            <w:tr w14:paraId="260CD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7" w:type="dxa"/>
                  <w:vAlign w:val="top"/>
                </w:tcPr>
                <w:p w14:paraId="1DACCA9E">
                  <w:pPr>
                    <w:keepNext w:val="0"/>
                    <w:keepLines w:val="0"/>
                    <w:pageBreakBefore w:val="0"/>
                    <w:kinsoku/>
                    <w:wordWrap/>
                    <w:overflowPunct/>
                    <w:topLinePunct w:val="0"/>
                    <w:bidi w:val="0"/>
                    <w:adjustRightInd w:val="0"/>
                    <w:snapToGrid w:val="0"/>
                    <w:spacing w:line="360" w:lineRule="auto"/>
                    <w:jc w:val="center"/>
                    <w:rPr>
                      <w:rFonts w:hint="eastAsia" w:ascii="Times New Roman" w:hAnsi="Times New Roman" w:cs="Times New Roman"/>
                      <w:color w:val="auto"/>
                      <w:sz w:val="24"/>
                      <w:highlight w:val="none"/>
                      <w:vertAlign w:val="baseline"/>
                      <w:lang w:val="en-US" w:eastAsia="zh-CN"/>
                    </w:rPr>
                  </w:pPr>
                  <w:r>
                    <w:rPr>
                      <w:rFonts w:hint="eastAsia" w:ascii="Times New Roman" w:hAnsi="Times New Roman" w:cs="Times New Roman"/>
                      <w:color w:val="auto"/>
                      <w:sz w:val="24"/>
                      <w:highlight w:val="none"/>
                      <w:vertAlign w:val="baseline"/>
                      <w:lang w:val="en-US" w:eastAsia="zh-CN"/>
                    </w:rPr>
                    <w:drawing>
                      <wp:inline distT="0" distB="0" distL="114300" distR="114300">
                        <wp:extent cx="2485390" cy="3314700"/>
                        <wp:effectExtent l="0" t="0" r="10160" b="0"/>
                        <wp:docPr id="18" name="图片 18" descr="b880f2cd5fddb0caaa7b82f38d8e2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b880f2cd5fddb0caaa7b82f38d8e2246"/>
                                <pic:cNvPicPr>
                                  <a:picLocks noChangeAspect="1"/>
                                </pic:cNvPicPr>
                              </pic:nvPicPr>
                              <pic:blipFill>
                                <a:blip r:embed="rId17"/>
                                <a:stretch>
                                  <a:fillRect/>
                                </a:stretch>
                              </pic:blipFill>
                              <pic:spPr>
                                <a:xfrm>
                                  <a:off x="0" y="0"/>
                                  <a:ext cx="2485390" cy="3314700"/>
                                </a:xfrm>
                                <a:prstGeom prst="rect">
                                  <a:avLst/>
                                </a:prstGeom>
                              </pic:spPr>
                            </pic:pic>
                          </a:graphicData>
                        </a:graphic>
                      </wp:inline>
                    </w:drawing>
                  </w:r>
                </w:p>
              </w:tc>
              <w:tc>
                <w:tcPr>
                  <w:tcW w:w="2767" w:type="dxa"/>
                  <w:vAlign w:val="top"/>
                </w:tcPr>
                <w:p w14:paraId="5E1D315A">
                  <w:pPr>
                    <w:keepNext w:val="0"/>
                    <w:keepLines w:val="0"/>
                    <w:pageBreakBefore w:val="0"/>
                    <w:kinsoku/>
                    <w:wordWrap/>
                    <w:overflowPunct/>
                    <w:topLinePunct w:val="0"/>
                    <w:bidi w:val="0"/>
                    <w:adjustRightInd w:val="0"/>
                    <w:snapToGrid w:val="0"/>
                    <w:spacing w:line="360" w:lineRule="auto"/>
                    <w:jc w:val="center"/>
                    <w:rPr>
                      <w:rFonts w:hint="eastAsia" w:ascii="Times New Roman" w:hAnsi="Times New Roman" w:cs="Times New Roman"/>
                      <w:color w:val="auto"/>
                      <w:sz w:val="24"/>
                      <w:highlight w:val="none"/>
                      <w:vertAlign w:val="baseline"/>
                      <w:lang w:val="en-US" w:eastAsia="zh-CN"/>
                    </w:rPr>
                  </w:pPr>
                  <w:r>
                    <w:rPr>
                      <w:rFonts w:hint="eastAsia" w:ascii="Times New Roman" w:hAnsi="Times New Roman" w:cs="Times New Roman"/>
                      <w:color w:val="auto"/>
                      <w:sz w:val="24"/>
                      <w:highlight w:val="none"/>
                      <w:vertAlign w:val="baseline"/>
                      <w:lang w:val="en-US" w:eastAsia="zh-CN"/>
                    </w:rPr>
                    <w:drawing>
                      <wp:inline distT="0" distB="0" distL="114300" distR="114300">
                        <wp:extent cx="2485390" cy="3314700"/>
                        <wp:effectExtent l="0" t="0" r="10160" b="0"/>
                        <wp:docPr id="33" name="图片 33" descr="1cb813525a25f6c02ab267f5c53f40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1cb813525a25f6c02ab267f5c53f408f"/>
                                <pic:cNvPicPr>
                                  <a:picLocks noChangeAspect="1"/>
                                </pic:cNvPicPr>
                              </pic:nvPicPr>
                              <pic:blipFill>
                                <a:blip r:embed="rId18"/>
                                <a:stretch>
                                  <a:fillRect/>
                                </a:stretch>
                              </pic:blipFill>
                              <pic:spPr>
                                <a:xfrm>
                                  <a:off x="0" y="0"/>
                                  <a:ext cx="2485390" cy="3314700"/>
                                </a:xfrm>
                                <a:prstGeom prst="rect">
                                  <a:avLst/>
                                </a:prstGeom>
                              </pic:spPr>
                            </pic:pic>
                          </a:graphicData>
                        </a:graphic>
                      </wp:inline>
                    </w:drawing>
                  </w:r>
                </w:p>
              </w:tc>
            </w:tr>
            <w:tr w14:paraId="62DEE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7" w:type="dxa"/>
                  <w:vAlign w:val="top"/>
                </w:tcPr>
                <w:p w14:paraId="00F3536C">
                  <w:pPr>
                    <w:keepNext w:val="0"/>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auto"/>
                      <w:sz w:val="24"/>
                      <w:highlight w:val="none"/>
                      <w:vertAlign w:val="baseline"/>
                      <w:lang w:val="en-US" w:eastAsia="zh-CN"/>
                    </w:rPr>
                  </w:pPr>
                  <w:r>
                    <w:rPr>
                      <w:rFonts w:hint="eastAsia" w:ascii="Times New Roman" w:hAnsi="Times New Roman" w:cs="Times New Roman"/>
                      <w:color w:val="auto"/>
                      <w:sz w:val="24"/>
                      <w:highlight w:val="none"/>
                      <w:vertAlign w:val="baseline"/>
                      <w:lang w:val="en-US" w:eastAsia="zh-CN"/>
                    </w:rPr>
                    <w:t>南侧20m空调机房照片</w:t>
                  </w:r>
                </w:p>
              </w:tc>
              <w:tc>
                <w:tcPr>
                  <w:tcW w:w="2767" w:type="dxa"/>
                  <w:vAlign w:val="top"/>
                </w:tcPr>
                <w:p w14:paraId="6269B002">
                  <w:pPr>
                    <w:keepNext w:val="0"/>
                    <w:keepLines w:val="0"/>
                    <w:pageBreakBefore w:val="0"/>
                    <w:kinsoku/>
                    <w:wordWrap/>
                    <w:overflowPunct/>
                    <w:topLinePunct w:val="0"/>
                    <w:bidi w:val="0"/>
                    <w:adjustRightInd w:val="0"/>
                    <w:snapToGrid w:val="0"/>
                    <w:spacing w:line="360" w:lineRule="auto"/>
                    <w:jc w:val="center"/>
                    <w:rPr>
                      <w:rFonts w:hint="default" w:ascii="Times New Roman" w:hAnsi="Times New Roman" w:cs="Times New Roman"/>
                      <w:color w:val="auto"/>
                      <w:sz w:val="24"/>
                      <w:highlight w:val="none"/>
                      <w:vertAlign w:val="baseline"/>
                      <w:lang w:val="en-US" w:eastAsia="zh-CN"/>
                    </w:rPr>
                  </w:pPr>
                  <w:r>
                    <w:rPr>
                      <w:rFonts w:hint="eastAsia" w:ascii="Times New Roman" w:hAnsi="Times New Roman" w:cs="Times New Roman"/>
                      <w:color w:val="auto"/>
                      <w:sz w:val="24"/>
                      <w:highlight w:val="none"/>
                      <w:vertAlign w:val="baseline"/>
                      <w:lang w:val="en-US" w:eastAsia="zh-CN"/>
                    </w:rPr>
                    <w:t>西侧2m信息机房照片</w:t>
                  </w:r>
                </w:p>
              </w:tc>
            </w:tr>
          </w:tbl>
          <w:p w14:paraId="6AE5E986">
            <w:pPr>
              <w:pStyle w:val="7"/>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图8-1    现场照片</w:t>
            </w:r>
          </w:p>
          <w:p w14:paraId="0ECA1B5E">
            <w:pPr>
              <w:adjustRightInd w:val="0"/>
              <w:snapToGrid w:val="0"/>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二、本项目主要环境影响</w:t>
            </w:r>
          </w:p>
          <w:p w14:paraId="35DC0A44">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本项目在投入运营后，主要对环境造成影响的是DSA在曝光过程中，产生的X射线。</w:t>
            </w:r>
          </w:p>
          <w:p w14:paraId="2C3619A5">
            <w:pPr>
              <w:adjustRightInd w:val="0"/>
              <w:snapToGrid w:val="0"/>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三、本项目所在地X-γ辐射空气吸收剂量现状监测</w:t>
            </w:r>
          </w:p>
          <w:p w14:paraId="78568B7D">
            <w:pPr>
              <w:autoSpaceDE w:val="0"/>
              <w:autoSpaceDN w:val="0"/>
              <w:adjustRightInd w:val="0"/>
              <w:snapToGrid w:val="0"/>
              <w:spacing w:line="360" w:lineRule="auto"/>
              <w:ind w:firstLine="480" w:firstLineChars="200"/>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本项目为使用Ⅱ类射线装置，主要的污染因子为电离辐射，对环境空气、地表水及地下水影响较小，因此本次评价没有对区域环境空气质量、地表水和地下水环境质量进行监测评价，</w:t>
            </w:r>
            <w:r>
              <w:rPr>
                <w:rFonts w:hint="default" w:ascii="Times New Roman" w:hAnsi="Times New Roman" w:cs="Times New Roman"/>
                <w:color w:val="auto"/>
                <w:sz w:val="24"/>
                <w:highlight w:val="none"/>
              </w:rPr>
              <w:t>重点对评价区域的辐射环境现状进行了评价</w:t>
            </w:r>
            <w:r>
              <w:rPr>
                <w:rFonts w:hint="default" w:ascii="Times New Roman" w:hAnsi="Times New Roman" w:cs="Times New Roman"/>
                <w:color w:val="auto"/>
                <w:kern w:val="0"/>
                <w:sz w:val="24"/>
                <w:highlight w:val="none"/>
              </w:rPr>
              <w:t>。</w:t>
            </w:r>
          </w:p>
          <w:p w14:paraId="3E1FA547">
            <w:pPr>
              <w:autoSpaceDE w:val="0"/>
              <w:autoSpaceDN w:val="0"/>
              <w:adjustRightInd w:val="0"/>
              <w:snapToGrid w:val="0"/>
              <w:spacing w:line="360" w:lineRule="auto"/>
              <w:ind w:firstLine="480" w:firstLineChars="200"/>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为掌握项目所在地辐射水平，本次由</w:t>
            </w:r>
            <w:r>
              <w:rPr>
                <w:rFonts w:hint="default" w:ascii="Times New Roman" w:hAnsi="Times New Roman" w:cs="Times New Roman"/>
                <w:color w:val="auto"/>
                <w:sz w:val="24"/>
                <w:highlight w:val="none"/>
              </w:rPr>
              <w:t>四川中环康源卫生技术服务有限公司</w:t>
            </w:r>
            <w:r>
              <w:rPr>
                <w:rFonts w:hint="default" w:ascii="Times New Roman" w:hAnsi="Times New Roman" w:cs="Times New Roman"/>
                <w:color w:val="auto"/>
                <w:kern w:val="0"/>
                <w:sz w:val="24"/>
                <w:highlight w:val="none"/>
              </w:rPr>
              <w:t>对本项目所在位置及周围的辐射环境进行了监测。监测报告见附件</w:t>
            </w:r>
            <w:r>
              <w:rPr>
                <w:rFonts w:hint="eastAsia" w:ascii="Times New Roman" w:hAnsi="Times New Roman" w:cs="Times New Roman"/>
                <w:color w:val="auto"/>
                <w:kern w:val="0"/>
                <w:sz w:val="24"/>
                <w:highlight w:val="none"/>
                <w:lang w:val="en-US" w:eastAsia="zh-CN"/>
              </w:rPr>
              <w:t>8</w:t>
            </w:r>
            <w:r>
              <w:rPr>
                <w:rFonts w:hint="default" w:ascii="Times New Roman" w:hAnsi="Times New Roman" w:cs="Times New Roman"/>
                <w:color w:val="auto"/>
                <w:kern w:val="0"/>
                <w:sz w:val="24"/>
                <w:highlight w:val="none"/>
              </w:rPr>
              <w:t>，监测结果见表8-</w:t>
            </w:r>
            <w:r>
              <w:rPr>
                <w:rFonts w:hint="eastAsia" w:ascii="Times New Roman" w:hAnsi="Times New Roman" w:cs="Times New Roman"/>
                <w:color w:val="auto"/>
                <w:kern w:val="0"/>
                <w:sz w:val="24"/>
                <w:highlight w:val="none"/>
                <w:lang w:val="en-US" w:eastAsia="zh-CN"/>
              </w:rPr>
              <w:t>3</w:t>
            </w:r>
            <w:r>
              <w:rPr>
                <w:rFonts w:hint="default" w:ascii="Times New Roman" w:hAnsi="Times New Roman" w:cs="Times New Roman"/>
                <w:color w:val="auto"/>
                <w:kern w:val="0"/>
                <w:sz w:val="24"/>
                <w:highlight w:val="none"/>
              </w:rPr>
              <w:t>。</w:t>
            </w:r>
          </w:p>
          <w:p w14:paraId="00526B26">
            <w:pPr>
              <w:pStyle w:val="10"/>
              <w:adjustRightInd w:val="0"/>
              <w:snapToGrid w:val="0"/>
              <w:spacing w:line="360" w:lineRule="auto"/>
              <w:rPr>
                <w:rFonts w:hint="default" w:ascii="Times New Roman" w:hAnsi="Times New Roman" w:cs="Times New Roman"/>
                <w:color w:val="auto"/>
                <w:highlight w:val="none"/>
              </w:rPr>
            </w:pPr>
            <w:r>
              <w:rPr>
                <w:rFonts w:hint="default" w:ascii="Times New Roman" w:hAnsi="Times New Roman" w:cs="Times New Roman"/>
                <w:b/>
                <w:bCs/>
                <w:color w:val="auto"/>
                <w:kern w:val="0"/>
                <w:highlight w:val="none"/>
              </w:rPr>
              <w:t>四、布点原则及监测点位</w:t>
            </w:r>
          </w:p>
          <w:p w14:paraId="12D3F494">
            <w:pPr>
              <w:pStyle w:val="50"/>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布点原则：原则上在屏蔽体周围紧邻的房间内距离屏蔽体表面30cm处及机头拟设置位置进行布点，六面墙取距离机头拟设置位置最近的方位进行布点。在建筑物内测量，考虑建筑物的类型与层次，在室内中央距地面1m高度处进行。另在50m保护目标内的原野、道路及建筑体处设置监测点位。</w:t>
            </w:r>
          </w:p>
          <w:p w14:paraId="777E6EC0">
            <w:pPr>
              <w:pStyle w:val="50"/>
              <w:snapToGrid w:val="0"/>
              <w:spacing w:line="360" w:lineRule="auto"/>
              <w:ind w:firstLine="48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rPr>
              <w:t>监测点位：在DSA机房拟建址内部、四周</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楼上</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楼下</w:t>
            </w:r>
            <w:r>
              <w:rPr>
                <w:rFonts w:hint="default" w:ascii="Times New Roman" w:hAnsi="Times New Roman" w:cs="Times New Roman"/>
                <w:color w:val="auto"/>
                <w:sz w:val="24"/>
                <w:highlight w:val="none"/>
              </w:rPr>
              <w:t>布置监测点位，共计</w:t>
            </w:r>
            <w:r>
              <w:rPr>
                <w:rFonts w:hint="eastAsia" w:ascii="Times New Roman" w:hAnsi="Times New Roman" w:cs="Times New Roman"/>
                <w:color w:val="auto"/>
                <w:sz w:val="24"/>
                <w:highlight w:val="none"/>
                <w:lang w:val="en-US" w:eastAsia="zh-CN"/>
              </w:rPr>
              <w:t>17</w:t>
            </w:r>
            <w:r>
              <w:rPr>
                <w:rFonts w:hint="default" w:ascii="Times New Roman" w:hAnsi="Times New Roman" w:cs="Times New Roman"/>
                <w:color w:val="auto"/>
                <w:sz w:val="24"/>
                <w:highlight w:val="none"/>
              </w:rPr>
              <w:t>个监测点位。</w:t>
            </w:r>
            <w:r>
              <w:rPr>
                <w:rFonts w:hint="eastAsia" w:ascii="Times New Roman" w:hAnsi="Times New Roman" w:cs="Times New Roman"/>
                <w:color w:val="auto"/>
                <w:sz w:val="24"/>
                <w:highlight w:val="none"/>
                <w:lang w:val="en-US" w:eastAsia="zh-CN"/>
              </w:rPr>
              <w:t>监测布点图见附图5。</w:t>
            </w:r>
          </w:p>
          <w:p w14:paraId="3C53B9E9">
            <w:pPr>
              <w:pStyle w:val="50"/>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bCs/>
                <w:color w:val="auto"/>
                <w:sz w:val="24"/>
                <w:highlight w:val="none"/>
              </w:rPr>
              <w:t>监测内容：X-γ辐射剂量率</w:t>
            </w:r>
          </w:p>
          <w:p w14:paraId="5B987475">
            <w:pPr>
              <w:pStyle w:val="50"/>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监测频次：每点10次。</w:t>
            </w:r>
          </w:p>
          <w:p w14:paraId="2B2FF6FD">
            <w:pPr>
              <w:pStyle w:val="50"/>
              <w:numPr>
                <w:ilvl w:val="0"/>
                <w:numId w:val="14"/>
              </w:numPr>
              <w:ind w:firstLine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检测布点方案表</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4"/>
              <w:gridCol w:w="5134"/>
              <w:gridCol w:w="739"/>
              <w:gridCol w:w="1381"/>
            </w:tblGrid>
            <w:tr w14:paraId="0495E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23" w:type="pct"/>
                  <w:vAlign w:val="center"/>
                </w:tcPr>
                <w:p w14:paraId="7CCA7D41">
                  <w:pPr>
                    <w:autoSpaceDE w:val="0"/>
                    <w:autoSpaceDN w:val="0"/>
                    <w:adjustRightInd w:val="0"/>
                    <w:snapToGrid w:val="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测量点号</w:t>
                  </w:r>
                </w:p>
              </w:tc>
              <w:tc>
                <w:tcPr>
                  <w:tcW w:w="3097" w:type="pct"/>
                  <w:vAlign w:val="center"/>
                </w:tcPr>
                <w:p w14:paraId="5EB41921">
                  <w:pPr>
                    <w:autoSpaceDE w:val="0"/>
                    <w:autoSpaceDN w:val="0"/>
                    <w:adjustRightInd w:val="0"/>
                    <w:snapToGrid w:val="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测量点位置</w:t>
                  </w:r>
                </w:p>
              </w:tc>
              <w:tc>
                <w:tcPr>
                  <w:tcW w:w="445" w:type="pct"/>
                  <w:vAlign w:val="center"/>
                </w:tcPr>
                <w:p w14:paraId="1A68BDDB">
                  <w:pPr>
                    <w:autoSpaceDE w:val="0"/>
                    <w:autoSpaceDN w:val="0"/>
                    <w:adjustRightInd w:val="0"/>
                    <w:snapToGrid w:val="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备注</w:t>
                  </w:r>
                </w:p>
              </w:tc>
              <w:tc>
                <w:tcPr>
                  <w:tcW w:w="833" w:type="pct"/>
                  <w:vAlign w:val="center"/>
                </w:tcPr>
                <w:p w14:paraId="59FBF49A">
                  <w:pPr>
                    <w:autoSpaceDE w:val="0"/>
                    <w:autoSpaceDN w:val="0"/>
                    <w:adjustRightInd w:val="0"/>
                    <w:snapToGrid w:val="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监测因子</w:t>
                  </w:r>
                </w:p>
              </w:tc>
            </w:tr>
            <w:tr w14:paraId="5B5EF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3" w:type="pct"/>
                  <w:vAlign w:val="center"/>
                </w:tcPr>
                <w:p w14:paraId="35546E02">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w:t>
                  </w:r>
                </w:p>
              </w:tc>
              <w:tc>
                <w:tcPr>
                  <w:tcW w:w="3097" w:type="pct"/>
                  <w:vAlign w:val="center"/>
                </w:tcPr>
                <w:p w14:paraId="15DE8511">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仿宋_GB2312"/>
                      <w:color w:val="auto"/>
                      <w:kern w:val="0"/>
                      <w:sz w:val="21"/>
                      <w:szCs w:val="21"/>
                      <w:highlight w:val="none"/>
                      <w:lang w:val="en-US" w:eastAsia="zh-CN"/>
                    </w:rPr>
                    <w:t>2#楼三层DSA机房下方口腔诊室1</w:t>
                  </w:r>
                </w:p>
              </w:tc>
              <w:tc>
                <w:tcPr>
                  <w:tcW w:w="445" w:type="pct"/>
                  <w:vAlign w:val="center"/>
                </w:tcPr>
                <w:p w14:paraId="27DCCEA0">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室内</w:t>
                  </w:r>
                </w:p>
              </w:tc>
              <w:tc>
                <w:tcPr>
                  <w:tcW w:w="833" w:type="pct"/>
                  <w:vMerge w:val="restart"/>
                  <w:vAlign w:val="center"/>
                </w:tcPr>
                <w:p w14:paraId="5491EA3D">
                  <w:pPr>
                    <w:autoSpaceDE w:val="0"/>
                    <w:autoSpaceDN w:val="0"/>
                    <w:adjustRightInd w:val="0"/>
                    <w:snapToGrid w:val="0"/>
                    <w:jc w:val="center"/>
                    <w:rPr>
                      <w:rFonts w:hint="eastAsia" w:ascii="Times New Roman" w:hAnsi="Times New Roman" w:eastAsia="宋体" w:cs="Times New Roman"/>
                      <w:color w:val="auto"/>
                      <w:szCs w:val="21"/>
                      <w:highlight w:val="none"/>
                      <w:lang w:val="en-US" w:eastAsia="zh-CN"/>
                    </w:rPr>
                  </w:pPr>
                </w:p>
                <w:p w14:paraId="7146818C">
                  <w:pPr>
                    <w:autoSpaceDE w:val="0"/>
                    <w:autoSpaceDN w:val="0"/>
                    <w:adjustRightInd w:val="0"/>
                    <w:snapToGrid w:val="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X-γ辐射空气吸收剂量率</w:t>
                  </w:r>
                </w:p>
              </w:tc>
            </w:tr>
            <w:tr w14:paraId="6DB96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pct"/>
                  <w:vAlign w:val="center"/>
                </w:tcPr>
                <w:p w14:paraId="0ED712C1">
                  <w:pPr>
                    <w:autoSpaceDE w:val="0"/>
                    <w:autoSpaceDN w:val="0"/>
                    <w:adjustRightInd w:val="0"/>
                    <w:snapToGrid w:val="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w:t>
                  </w:r>
                </w:p>
              </w:tc>
              <w:tc>
                <w:tcPr>
                  <w:tcW w:w="3097" w:type="pct"/>
                  <w:vAlign w:val="center"/>
                </w:tcPr>
                <w:p w14:paraId="62BB9760">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仿宋_GB2312"/>
                      <w:color w:val="auto"/>
                      <w:kern w:val="0"/>
                      <w:sz w:val="21"/>
                      <w:szCs w:val="21"/>
                      <w:highlight w:val="none"/>
                      <w:lang w:val="en-US" w:eastAsia="zh-CN"/>
                    </w:rPr>
                    <w:t>2#楼四层机房内</w:t>
                  </w:r>
                </w:p>
              </w:tc>
              <w:tc>
                <w:tcPr>
                  <w:tcW w:w="445" w:type="pct"/>
                  <w:vAlign w:val="center"/>
                </w:tcPr>
                <w:p w14:paraId="5BD7330E">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室内</w:t>
                  </w:r>
                </w:p>
              </w:tc>
              <w:tc>
                <w:tcPr>
                  <w:tcW w:w="833" w:type="pct"/>
                  <w:vMerge w:val="continue"/>
                  <w:vAlign w:val="center"/>
                </w:tcPr>
                <w:p w14:paraId="4BBC3CBB">
                  <w:pPr>
                    <w:jc w:val="center"/>
                    <w:rPr>
                      <w:rFonts w:hint="eastAsia" w:ascii="仿宋_GB2312" w:hAnsi="仿宋_GB2312" w:eastAsia="仿宋_GB2312" w:cs="仿宋_GB2312"/>
                      <w:color w:val="auto"/>
                      <w:sz w:val="21"/>
                      <w:szCs w:val="21"/>
                      <w:highlight w:val="none"/>
                    </w:rPr>
                  </w:pPr>
                </w:p>
              </w:tc>
            </w:tr>
            <w:tr w14:paraId="3CA8A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pct"/>
                  <w:vAlign w:val="center"/>
                </w:tcPr>
                <w:p w14:paraId="79518AE7">
                  <w:pPr>
                    <w:autoSpaceDE w:val="0"/>
                    <w:autoSpaceDN w:val="0"/>
                    <w:adjustRightInd w:val="0"/>
                    <w:snapToGrid w:val="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w:t>
                  </w:r>
                </w:p>
              </w:tc>
              <w:tc>
                <w:tcPr>
                  <w:tcW w:w="3097" w:type="pct"/>
                  <w:vAlign w:val="center"/>
                </w:tcPr>
                <w:p w14:paraId="3923BEF6">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仿宋_GB2312"/>
                      <w:color w:val="auto"/>
                      <w:kern w:val="0"/>
                      <w:sz w:val="21"/>
                      <w:szCs w:val="21"/>
                      <w:highlight w:val="none"/>
                      <w:lang w:val="en-US" w:eastAsia="zh-CN"/>
                    </w:rPr>
                    <w:t>2#楼四层机房患者出入口</w:t>
                  </w:r>
                </w:p>
              </w:tc>
              <w:tc>
                <w:tcPr>
                  <w:tcW w:w="445" w:type="pct"/>
                  <w:vAlign w:val="center"/>
                </w:tcPr>
                <w:p w14:paraId="43D31EE2">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室内</w:t>
                  </w:r>
                </w:p>
              </w:tc>
              <w:tc>
                <w:tcPr>
                  <w:tcW w:w="833" w:type="pct"/>
                  <w:vMerge w:val="continue"/>
                  <w:vAlign w:val="center"/>
                </w:tcPr>
                <w:p w14:paraId="31F76EED">
                  <w:pPr>
                    <w:jc w:val="center"/>
                    <w:rPr>
                      <w:rFonts w:hint="eastAsia" w:ascii="仿宋_GB2312" w:hAnsi="仿宋_GB2312" w:eastAsia="仿宋_GB2312" w:cs="仿宋_GB2312"/>
                      <w:color w:val="auto"/>
                      <w:sz w:val="21"/>
                      <w:szCs w:val="21"/>
                      <w:highlight w:val="none"/>
                    </w:rPr>
                  </w:pPr>
                </w:p>
              </w:tc>
            </w:tr>
            <w:tr w14:paraId="6852A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pct"/>
                  <w:vAlign w:val="center"/>
                </w:tcPr>
                <w:p w14:paraId="46929ACC">
                  <w:pPr>
                    <w:autoSpaceDE w:val="0"/>
                    <w:autoSpaceDN w:val="0"/>
                    <w:adjustRightInd w:val="0"/>
                    <w:snapToGrid w:val="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4#</w:t>
                  </w:r>
                </w:p>
              </w:tc>
              <w:tc>
                <w:tcPr>
                  <w:tcW w:w="3097" w:type="pct"/>
                  <w:vAlign w:val="center"/>
                </w:tcPr>
                <w:p w14:paraId="5BCED169">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仿宋_GB2312"/>
                      <w:color w:val="auto"/>
                      <w:kern w:val="0"/>
                      <w:sz w:val="21"/>
                      <w:szCs w:val="21"/>
                      <w:highlight w:val="none"/>
                      <w:lang w:val="en-US" w:eastAsia="zh-CN"/>
                    </w:rPr>
                    <w:t>2#楼四层机房设备间出入口</w:t>
                  </w:r>
                </w:p>
              </w:tc>
              <w:tc>
                <w:tcPr>
                  <w:tcW w:w="445" w:type="pct"/>
                  <w:vAlign w:val="center"/>
                </w:tcPr>
                <w:p w14:paraId="71E29122">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室内</w:t>
                  </w:r>
                </w:p>
              </w:tc>
              <w:tc>
                <w:tcPr>
                  <w:tcW w:w="833" w:type="pct"/>
                  <w:vMerge w:val="continue"/>
                  <w:vAlign w:val="center"/>
                </w:tcPr>
                <w:p w14:paraId="46C38F8F">
                  <w:pPr>
                    <w:jc w:val="center"/>
                    <w:rPr>
                      <w:rFonts w:hint="eastAsia" w:ascii="仿宋_GB2312" w:hAnsi="仿宋_GB2312" w:eastAsia="仿宋_GB2312" w:cs="仿宋_GB2312"/>
                      <w:color w:val="auto"/>
                      <w:sz w:val="21"/>
                      <w:szCs w:val="21"/>
                      <w:highlight w:val="none"/>
                    </w:rPr>
                  </w:pPr>
                </w:p>
              </w:tc>
            </w:tr>
            <w:tr w14:paraId="3A472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23" w:type="pct"/>
                  <w:vAlign w:val="center"/>
                </w:tcPr>
                <w:p w14:paraId="1B33DB65">
                  <w:pPr>
                    <w:autoSpaceDE w:val="0"/>
                    <w:autoSpaceDN w:val="0"/>
                    <w:adjustRightInd w:val="0"/>
                    <w:snapToGrid w:val="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5#</w:t>
                  </w:r>
                </w:p>
              </w:tc>
              <w:tc>
                <w:tcPr>
                  <w:tcW w:w="3097" w:type="pct"/>
                  <w:vAlign w:val="center"/>
                </w:tcPr>
                <w:p w14:paraId="4E625B9F">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仿宋_GB2312"/>
                      <w:color w:val="auto"/>
                      <w:kern w:val="0"/>
                      <w:sz w:val="21"/>
                      <w:szCs w:val="21"/>
                      <w:highlight w:val="none"/>
                      <w:lang w:val="en-US" w:eastAsia="zh-CN"/>
                    </w:rPr>
                    <w:t>2#楼四层机房污物间出入口</w:t>
                  </w:r>
                </w:p>
              </w:tc>
              <w:tc>
                <w:tcPr>
                  <w:tcW w:w="445" w:type="pct"/>
                  <w:vAlign w:val="center"/>
                </w:tcPr>
                <w:p w14:paraId="131ECBD1">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室内</w:t>
                  </w:r>
                </w:p>
              </w:tc>
              <w:tc>
                <w:tcPr>
                  <w:tcW w:w="833" w:type="pct"/>
                  <w:vMerge w:val="continue"/>
                  <w:vAlign w:val="center"/>
                </w:tcPr>
                <w:p w14:paraId="15E8E527">
                  <w:pPr>
                    <w:jc w:val="center"/>
                    <w:rPr>
                      <w:rFonts w:hint="eastAsia" w:ascii="仿宋_GB2312" w:hAnsi="仿宋_GB2312" w:eastAsia="仿宋_GB2312" w:cs="仿宋_GB2312"/>
                      <w:color w:val="auto"/>
                      <w:sz w:val="21"/>
                      <w:szCs w:val="21"/>
                      <w:highlight w:val="none"/>
                    </w:rPr>
                  </w:pPr>
                </w:p>
              </w:tc>
            </w:tr>
            <w:tr w14:paraId="5FDCF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23" w:type="pct"/>
                  <w:vAlign w:val="center"/>
                </w:tcPr>
                <w:p w14:paraId="42840697">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6#</w:t>
                  </w:r>
                </w:p>
              </w:tc>
              <w:tc>
                <w:tcPr>
                  <w:tcW w:w="3097" w:type="pct"/>
                  <w:vAlign w:val="center"/>
                </w:tcPr>
                <w:p w14:paraId="66493E06">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仿宋_GB2312"/>
                      <w:color w:val="auto"/>
                      <w:kern w:val="0"/>
                      <w:sz w:val="21"/>
                      <w:szCs w:val="21"/>
                      <w:highlight w:val="none"/>
                      <w:lang w:val="en-US" w:eastAsia="zh-CN"/>
                    </w:rPr>
                    <w:t>2#楼四层机房控制室出入口</w:t>
                  </w:r>
                </w:p>
              </w:tc>
              <w:tc>
                <w:tcPr>
                  <w:tcW w:w="445" w:type="pct"/>
                  <w:vAlign w:val="center"/>
                </w:tcPr>
                <w:p w14:paraId="01765EBF">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室内</w:t>
                  </w:r>
                </w:p>
              </w:tc>
              <w:tc>
                <w:tcPr>
                  <w:tcW w:w="833" w:type="pct"/>
                  <w:vMerge w:val="continue"/>
                  <w:vAlign w:val="center"/>
                </w:tcPr>
                <w:p w14:paraId="506FB240">
                  <w:pPr>
                    <w:jc w:val="center"/>
                    <w:rPr>
                      <w:rFonts w:hint="eastAsia" w:ascii="仿宋_GB2312" w:hAnsi="仿宋_GB2312" w:eastAsia="仿宋_GB2312" w:cs="仿宋_GB2312"/>
                      <w:color w:val="auto"/>
                      <w:sz w:val="21"/>
                      <w:szCs w:val="21"/>
                      <w:highlight w:val="none"/>
                    </w:rPr>
                  </w:pPr>
                </w:p>
              </w:tc>
            </w:tr>
            <w:tr w14:paraId="0933F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23" w:type="pct"/>
                  <w:vAlign w:val="center"/>
                </w:tcPr>
                <w:p w14:paraId="75F844E2">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7#</w:t>
                  </w:r>
                </w:p>
              </w:tc>
              <w:tc>
                <w:tcPr>
                  <w:tcW w:w="3097" w:type="pct"/>
                  <w:vAlign w:val="center"/>
                </w:tcPr>
                <w:p w14:paraId="1620D043">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仿宋_GB2312"/>
                      <w:color w:val="auto"/>
                      <w:kern w:val="0"/>
                      <w:sz w:val="21"/>
                      <w:szCs w:val="21"/>
                      <w:highlight w:val="none"/>
                      <w:lang w:val="en-US" w:eastAsia="zh-CN"/>
                    </w:rPr>
                    <w:t>2#楼四层机房控制室观察窗处</w:t>
                  </w:r>
                </w:p>
              </w:tc>
              <w:tc>
                <w:tcPr>
                  <w:tcW w:w="445" w:type="pct"/>
                  <w:vAlign w:val="center"/>
                </w:tcPr>
                <w:p w14:paraId="30FF40F1">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室内</w:t>
                  </w:r>
                </w:p>
              </w:tc>
              <w:tc>
                <w:tcPr>
                  <w:tcW w:w="833" w:type="pct"/>
                  <w:vMerge w:val="continue"/>
                  <w:vAlign w:val="center"/>
                </w:tcPr>
                <w:p w14:paraId="2249AD5D">
                  <w:pPr>
                    <w:jc w:val="center"/>
                    <w:rPr>
                      <w:rFonts w:hint="eastAsia" w:ascii="仿宋_GB2312" w:hAnsi="仿宋_GB2312" w:eastAsia="仿宋_GB2312" w:cs="仿宋_GB2312"/>
                      <w:color w:val="auto"/>
                      <w:sz w:val="21"/>
                      <w:szCs w:val="21"/>
                      <w:highlight w:val="none"/>
                    </w:rPr>
                  </w:pPr>
                </w:p>
              </w:tc>
            </w:tr>
            <w:tr w14:paraId="06E05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pct"/>
                  <w:vAlign w:val="center"/>
                </w:tcPr>
                <w:p w14:paraId="4096838C">
                  <w:pPr>
                    <w:autoSpaceDE w:val="0"/>
                    <w:autoSpaceDN w:val="0"/>
                    <w:adjustRightInd w:val="0"/>
                    <w:snapToGrid w:val="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8#</w:t>
                  </w:r>
                </w:p>
              </w:tc>
              <w:tc>
                <w:tcPr>
                  <w:tcW w:w="3097" w:type="pct"/>
                  <w:vAlign w:val="center"/>
                </w:tcPr>
                <w:p w14:paraId="138E1FCC">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仿宋_GB2312"/>
                      <w:color w:val="auto"/>
                      <w:kern w:val="0"/>
                      <w:sz w:val="21"/>
                      <w:szCs w:val="21"/>
                      <w:highlight w:val="none"/>
                      <w:lang w:val="en-US" w:eastAsia="zh-CN"/>
                    </w:rPr>
                    <w:t>2#楼四层机房高值耗材存放处</w:t>
                  </w:r>
                </w:p>
              </w:tc>
              <w:tc>
                <w:tcPr>
                  <w:tcW w:w="445" w:type="pct"/>
                  <w:vAlign w:val="center"/>
                </w:tcPr>
                <w:p w14:paraId="57B195A9">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室内</w:t>
                  </w:r>
                </w:p>
              </w:tc>
              <w:tc>
                <w:tcPr>
                  <w:tcW w:w="833" w:type="pct"/>
                  <w:vMerge w:val="continue"/>
                  <w:vAlign w:val="center"/>
                </w:tcPr>
                <w:p w14:paraId="77651BCE">
                  <w:pPr>
                    <w:jc w:val="center"/>
                    <w:rPr>
                      <w:rFonts w:hint="eastAsia" w:ascii="仿宋_GB2312" w:hAnsi="仿宋_GB2312" w:eastAsia="仿宋_GB2312" w:cs="仿宋_GB2312"/>
                      <w:color w:val="auto"/>
                      <w:sz w:val="21"/>
                      <w:szCs w:val="21"/>
                      <w:highlight w:val="none"/>
                    </w:rPr>
                  </w:pPr>
                </w:p>
              </w:tc>
            </w:tr>
            <w:tr w14:paraId="06014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623" w:type="pct"/>
                  <w:vAlign w:val="center"/>
                </w:tcPr>
                <w:p w14:paraId="73D0EADB">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9#</w:t>
                  </w:r>
                </w:p>
              </w:tc>
              <w:tc>
                <w:tcPr>
                  <w:tcW w:w="3097" w:type="pct"/>
                  <w:vAlign w:val="center"/>
                </w:tcPr>
                <w:p w14:paraId="705A2173">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仿宋_GB2312"/>
                      <w:color w:val="auto"/>
                      <w:kern w:val="0"/>
                      <w:sz w:val="21"/>
                      <w:szCs w:val="21"/>
                      <w:highlight w:val="none"/>
                      <w:lang w:val="en-US" w:eastAsia="zh-CN"/>
                    </w:rPr>
                    <w:t>2#楼四层观察室</w:t>
                  </w:r>
                </w:p>
              </w:tc>
              <w:tc>
                <w:tcPr>
                  <w:tcW w:w="445" w:type="pct"/>
                  <w:vAlign w:val="center"/>
                </w:tcPr>
                <w:p w14:paraId="750767C0">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室内</w:t>
                  </w:r>
                </w:p>
              </w:tc>
              <w:tc>
                <w:tcPr>
                  <w:tcW w:w="833" w:type="pct"/>
                  <w:vMerge w:val="continue"/>
                  <w:vAlign w:val="center"/>
                </w:tcPr>
                <w:p w14:paraId="78B16510">
                  <w:pPr>
                    <w:jc w:val="center"/>
                    <w:rPr>
                      <w:rFonts w:hint="eastAsia" w:ascii="仿宋_GB2312" w:hAnsi="仿宋_GB2312" w:eastAsia="仿宋_GB2312" w:cs="仿宋_GB2312"/>
                      <w:color w:val="auto"/>
                      <w:sz w:val="21"/>
                      <w:szCs w:val="21"/>
                      <w:highlight w:val="none"/>
                    </w:rPr>
                  </w:pPr>
                </w:p>
              </w:tc>
            </w:tr>
            <w:tr w14:paraId="52D4B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623" w:type="pct"/>
                  <w:vAlign w:val="center"/>
                </w:tcPr>
                <w:p w14:paraId="1E825C88">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10#</w:t>
                  </w:r>
                </w:p>
              </w:tc>
              <w:tc>
                <w:tcPr>
                  <w:tcW w:w="3097" w:type="pct"/>
                  <w:vAlign w:val="center"/>
                </w:tcPr>
                <w:p w14:paraId="4A803CBF">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仿宋_GB2312"/>
                      <w:color w:val="auto"/>
                      <w:kern w:val="0"/>
                      <w:sz w:val="21"/>
                      <w:szCs w:val="21"/>
                      <w:highlight w:val="none"/>
                      <w:lang w:val="en-US" w:eastAsia="zh-CN"/>
                    </w:rPr>
                    <w:t>2#楼四层患者走廊东</w:t>
                  </w:r>
                </w:p>
              </w:tc>
              <w:tc>
                <w:tcPr>
                  <w:tcW w:w="445" w:type="pct"/>
                  <w:vAlign w:val="center"/>
                </w:tcPr>
                <w:p w14:paraId="7C581E8E">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室内</w:t>
                  </w:r>
                </w:p>
              </w:tc>
              <w:tc>
                <w:tcPr>
                  <w:tcW w:w="833" w:type="pct"/>
                  <w:vMerge w:val="continue"/>
                  <w:vAlign w:val="center"/>
                </w:tcPr>
                <w:p w14:paraId="4B31FDDD">
                  <w:pPr>
                    <w:jc w:val="center"/>
                    <w:rPr>
                      <w:rFonts w:hint="eastAsia" w:ascii="仿宋_GB2312" w:hAnsi="仿宋_GB2312" w:eastAsia="仿宋_GB2312" w:cs="仿宋_GB2312"/>
                      <w:color w:val="auto"/>
                      <w:sz w:val="21"/>
                      <w:szCs w:val="21"/>
                      <w:highlight w:val="none"/>
                    </w:rPr>
                  </w:pPr>
                </w:p>
              </w:tc>
            </w:tr>
            <w:tr w14:paraId="3B95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623" w:type="pct"/>
                  <w:vAlign w:val="center"/>
                </w:tcPr>
                <w:p w14:paraId="799BB160">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11#</w:t>
                  </w:r>
                </w:p>
              </w:tc>
              <w:tc>
                <w:tcPr>
                  <w:tcW w:w="3097" w:type="pct"/>
                  <w:vAlign w:val="center"/>
                </w:tcPr>
                <w:p w14:paraId="16241F76">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仿宋_GB2312"/>
                      <w:color w:val="auto"/>
                      <w:kern w:val="0"/>
                      <w:sz w:val="21"/>
                      <w:szCs w:val="21"/>
                      <w:highlight w:val="none"/>
                      <w:lang w:val="en-US" w:eastAsia="zh-CN"/>
                    </w:rPr>
                    <w:t>2#楼四层电梯口</w:t>
                  </w:r>
                </w:p>
              </w:tc>
              <w:tc>
                <w:tcPr>
                  <w:tcW w:w="445" w:type="pct"/>
                  <w:vAlign w:val="center"/>
                </w:tcPr>
                <w:p w14:paraId="438CA294">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室内</w:t>
                  </w:r>
                </w:p>
              </w:tc>
              <w:tc>
                <w:tcPr>
                  <w:tcW w:w="833" w:type="pct"/>
                  <w:vMerge w:val="continue"/>
                  <w:vAlign w:val="center"/>
                </w:tcPr>
                <w:p w14:paraId="2C19A626">
                  <w:pPr>
                    <w:jc w:val="center"/>
                    <w:rPr>
                      <w:rFonts w:hint="eastAsia" w:ascii="仿宋_GB2312" w:hAnsi="仿宋_GB2312" w:eastAsia="仿宋_GB2312" w:cs="仿宋_GB2312"/>
                      <w:color w:val="auto"/>
                      <w:sz w:val="21"/>
                      <w:szCs w:val="21"/>
                      <w:highlight w:val="none"/>
                    </w:rPr>
                  </w:pPr>
                </w:p>
              </w:tc>
            </w:tr>
            <w:tr w14:paraId="6799A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623" w:type="pct"/>
                  <w:vAlign w:val="center"/>
                </w:tcPr>
                <w:p w14:paraId="34FC9448">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12#</w:t>
                  </w:r>
                </w:p>
              </w:tc>
              <w:tc>
                <w:tcPr>
                  <w:tcW w:w="3097" w:type="pct"/>
                  <w:vAlign w:val="center"/>
                </w:tcPr>
                <w:p w14:paraId="54579DB4">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仿宋_GB2312"/>
                      <w:color w:val="auto"/>
                      <w:kern w:val="0"/>
                      <w:sz w:val="21"/>
                      <w:szCs w:val="21"/>
                      <w:highlight w:val="none"/>
                      <w:lang w:val="en-US" w:eastAsia="zh-CN"/>
                    </w:rPr>
                    <w:t>2#楼四层卫生间处</w:t>
                  </w:r>
                </w:p>
              </w:tc>
              <w:tc>
                <w:tcPr>
                  <w:tcW w:w="445" w:type="pct"/>
                  <w:vAlign w:val="center"/>
                </w:tcPr>
                <w:p w14:paraId="2D109B5D">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室内</w:t>
                  </w:r>
                </w:p>
              </w:tc>
              <w:tc>
                <w:tcPr>
                  <w:tcW w:w="833" w:type="pct"/>
                  <w:vMerge w:val="continue"/>
                  <w:vAlign w:val="center"/>
                </w:tcPr>
                <w:p w14:paraId="150FD2DE">
                  <w:pPr>
                    <w:jc w:val="center"/>
                    <w:rPr>
                      <w:rFonts w:hint="eastAsia" w:ascii="仿宋_GB2312" w:hAnsi="仿宋_GB2312" w:eastAsia="仿宋_GB2312" w:cs="仿宋_GB2312"/>
                      <w:color w:val="auto"/>
                      <w:sz w:val="21"/>
                      <w:szCs w:val="21"/>
                      <w:highlight w:val="none"/>
                    </w:rPr>
                  </w:pPr>
                </w:p>
              </w:tc>
            </w:tr>
            <w:tr w14:paraId="08D9F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623" w:type="pct"/>
                  <w:shd w:val="clear" w:color="auto" w:fill="auto"/>
                  <w:vAlign w:val="center"/>
                </w:tcPr>
                <w:p w14:paraId="0A325B4A">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13#</w:t>
                  </w:r>
                </w:p>
              </w:tc>
              <w:tc>
                <w:tcPr>
                  <w:tcW w:w="3097" w:type="pct"/>
                  <w:shd w:val="clear" w:color="auto" w:fill="auto"/>
                  <w:vAlign w:val="center"/>
                </w:tcPr>
                <w:p w14:paraId="22E85650">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仿宋_GB2312"/>
                      <w:color w:val="auto"/>
                      <w:kern w:val="0"/>
                      <w:sz w:val="21"/>
                      <w:szCs w:val="21"/>
                      <w:highlight w:val="none"/>
                      <w:lang w:val="en-US" w:eastAsia="zh-CN"/>
                    </w:rPr>
                    <w:t>2#楼五层机房正上方</w:t>
                  </w:r>
                </w:p>
              </w:tc>
              <w:tc>
                <w:tcPr>
                  <w:tcW w:w="445" w:type="pct"/>
                  <w:vAlign w:val="center"/>
                </w:tcPr>
                <w:p w14:paraId="65C0E0C1">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室内</w:t>
                  </w:r>
                </w:p>
              </w:tc>
              <w:tc>
                <w:tcPr>
                  <w:tcW w:w="833" w:type="pct"/>
                  <w:vMerge w:val="continue"/>
                  <w:vAlign w:val="center"/>
                </w:tcPr>
                <w:p w14:paraId="0B3FA5F4">
                  <w:pPr>
                    <w:jc w:val="center"/>
                    <w:rPr>
                      <w:rFonts w:hint="eastAsia" w:ascii="仿宋_GB2312" w:hAnsi="仿宋_GB2312" w:eastAsia="仿宋_GB2312" w:cs="仿宋_GB2312"/>
                      <w:color w:val="auto"/>
                      <w:sz w:val="21"/>
                      <w:szCs w:val="21"/>
                      <w:highlight w:val="none"/>
                    </w:rPr>
                  </w:pPr>
                </w:p>
              </w:tc>
            </w:tr>
            <w:tr w14:paraId="5CD78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623" w:type="pct"/>
                  <w:shd w:val="clear" w:color="auto" w:fill="auto"/>
                  <w:vAlign w:val="center"/>
                </w:tcPr>
                <w:p w14:paraId="34552028">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14#</w:t>
                  </w:r>
                </w:p>
              </w:tc>
              <w:tc>
                <w:tcPr>
                  <w:tcW w:w="3097" w:type="pct"/>
                  <w:shd w:val="clear" w:color="auto" w:fill="auto"/>
                  <w:vAlign w:val="center"/>
                </w:tcPr>
                <w:p w14:paraId="09E6D9AE">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仿宋_GB2312"/>
                      <w:color w:val="auto"/>
                      <w:kern w:val="0"/>
                      <w:sz w:val="21"/>
                      <w:szCs w:val="21"/>
                      <w:highlight w:val="none"/>
                      <w:lang w:val="en-US" w:eastAsia="zh-CN"/>
                    </w:rPr>
                    <w:t>1#楼四层医生办公室</w:t>
                  </w:r>
                </w:p>
              </w:tc>
              <w:tc>
                <w:tcPr>
                  <w:tcW w:w="445" w:type="pct"/>
                  <w:shd w:val="clear" w:color="auto" w:fill="auto"/>
                  <w:vAlign w:val="center"/>
                </w:tcPr>
                <w:p w14:paraId="5B2C71D9">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室内</w:t>
                  </w:r>
                </w:p>
              </w:tc>
              <w:tc>
                <w:tcPr>
                  <w:tcW w:w="833" w:type="pct"/>
                  <w:vMerge w:val="continue"/>
                  <w:vAlign w:val="center"/>
                </w:tcPr>
                <w:p w14:paraId="0F10F298">
                  <w:pPr>
                    <w:jc w:val="center"/>
                    <w:rPr>
                      <w:rFonts w:hint="eastAsia" w:ascii="仿宋_GB2312" w:hAnsi="仿宋_GB2312" w:eastAsia="仿宋_GB2312" w:cs="仿宋_GB2312"/>
                      <w:color w:val="auto"/>
                      <w:sz w:val="21"/>
                      <w:szCs w:val="21"/>
                      <w:highlight w:val="none"/>
                    </w:rPr>
                  </w:pPr>
                </w:p>
              </w:tc>
            </w:tr>
            <w:tr w14:paraId="0E009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623" w:type="pct"/>
                  <w:shd w:val="clear" w:color="auto" w:fill="auto"/>
                  <w:vAlign w:val="center"/>
                </w:tcPr>
                <w:p w14:paraId="453B3737">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15#</w:t>
                  </w:r>
                </w:p>
              </w:tc>
              <w:tc>
                <w:tcPr>
                  <w:tcW w:w="3097" w:type="pct"/>
                  <w:shd w:val="clear" w:color="auto" w:fill="auto"/>
                  <w:vAlign w:val="center"/>
                </w:tcPr>
                <w:p w14:paraId="607F8FF3">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仿宋_GB2312"/>
                      <w:color w:val="auto"/>
                      <w:kern w:val="0"/>
                      <w:sz w:val="21"/>
                      <w:szCs w:val="21"/>
                      <w:highlight w:val="none"/>
                      <w:lang w:val="en-US" w:eastAsia="zh-CN"/>
                    </w:rPr>
                    <w:t>医院体育场处</w:t>
                  </w:r>
                </w:p>
              </w:tc>
              <w:tc>
                <w:tcPr>
                  <w:tcW w:w="445" w:type="pct"/>
                  <w:shd w:val="clear" w:color="auto" w:fill="auto"/>
                  <w:vAlign w:val="center"/>
                </w:tcPr>
                <w:p w14:paraId="4EBC21BE">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宋体"/>
                      <w:iCs/>
                      <w:color w:val="auto"/>
                      <w:kern w:val="2"/>
                      <w:sz w:val="21"/>
                      <w:szCs w:val="21"/>
                      <w:highlight w:val="none"/>
                      <w:lang w:val="en-US" w:eastAsia="zh-CN" w:bidi="ar"/>
                    </w:rPr>
                    <w:t>室外</w:t>
                  </w:r>
                </w:p>
              </w:tc>
              <w:tc>
                <w:tcPr>
                  <w:tcW w:w="833" w:type="pct"/>
                  <w:vMerge w:val="continue"/>
                  <w:vAlign w:val="center"/>
                </w:tcPr>
                <w:p w14:paraId="769F02E3">
                  <w:pPr>
                    <w:jc w:val="center"/>
                    <w:rPr>
                      <w:rFonts w:hint="eastAsia" w:ascii="仿宋_GB2312" w:hAnsi="仿宋_GB2312" w:eastAsia="仿宋_GB2312" w:cs="仿宋_GB2312"/>
                      <w:color w:val="auto"/>
                      <w:sz w:val="21"/>
                      <w:szCs w:val="21"/>
                      <w:highlight w:val="none"/>
                    </w:rPr>
                  </w:pPr>
                </w:p>
              </w:tc>
            </w:tr>
            <w:tr w14:paraId="06B61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pct"/>
                  <w:vAlign w:val="center"/>
                </w:tcPr>
                <w:p w14:paraId="75528D98">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16#</w:t>
                  </w:r>
                </w:p>
              </w:tc>
              <w:tc>
                <w:tcPr>
                  <w:tcW w:w="3097" w:type="pct"/>
                  <w:vAlign w:val="center"/>
                </w:tcPr>
                <w:p w14:paraId="1077AD8E">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仿宋_GB2312"/>
                      <w:color w:val="auto"/>
                      <w:kern w:val="0"/>
                      <w:sz w:val="21"/>
                      <w:szCs w:val="21"/>
                      <w:highlight w:val="none"/>
                      <w:lang w:val="en-US" w:eastAsia="zh-CN"/>
                    </w:rPr>
                    <w:t>2#楼北侧外侧</w:t>
                  </w:r>
                </w:p>
              </w:tc>
              <w:tc>
                <w:tcPr>
                  <w:tcW w:w="445" w:type="pct"/>
                  <w:shd w:val="clear" w:color="auto" w:fill="auto"/>
                  <w:vAlign w:val="center"/>
                </w:tcPr>
                <w:p w14:paraId="09C326FA">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宋体"/>
                      <w:iCs/>
                      <w:color w:val="auto"/>
                      <w:kern w:val="2"/>
                      <w:sz w:val="21"/>
                      <w:szCs w:val="21"/>
                      <w:highlight w:val="none"/>
                      <w:lang w:val="en-US" w:eastAsia="zh-CN" w:bidi="ar"/>
                    </w:rPr>
                    <w:t>室外</w:t>
                  </w:r>
                </w:p>
              </w:tc>
              <w:tc>
                <w:tcPr>
                  <w:tcW w:w="833" w:type="pct"/>
                  <w:vMerge w:val="continue"/>
                  <w:vAlign w:val="center"/>
                </w:tcPr>
                <w:p w14:paraId="0477FF75">
                  <w:pPr>
                    <w:jc w:val="center"/>
                    <w:rPr>
                      <w:rFonts w:hint="eastAsia" w:ascii="仿宋_GB2312" w:hAnsi="仿宋_GB2312" w:eastAsia="仿宋_GB2312" w:cs="仿宋_GB2312"/>
                      <w:color w:val="auto"/>
                      <w:sz w:val="21"/>
                      <w:szCs w:val="21"/>
                      <w:highlight w:val="none"/>
                    </w:rPr>
                  </w:pPr>
                </w:p>
              </w:tc>
            </w:tr>
            <w:tr w14:paraId="07E42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pct"/>
                  <w:vAlign w:val="center"/>
                </w:tcPr>
                <w:p w14:paraId="2062A638">
                  <w:pPr>
                    <w:autoSpaceDE w:val="0"/>
                    <w:autoSpaceDN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17#</w:t>
                  </w:r>
                </w:p>
              </w:tc>
              <w:tc>
                <w:tcPr>
                  <w:tcW w:w="3097" w:type="pct"/>
                  <w:vAlign w:val="center"/>
                </w:tcPr>
                <w:p w14:paraId="02CA1899">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仿宋_GB2312"/>
                      <w:color w:val="auto"/>
                      <w:kern w:val="0"/>
                      <w:sz w:val="21"/>
                      <w:szCs w:val="21"/>
                      <w:highlight w:val="none"/>
                      <w:lang w:val="en-US" w:eastAsia="zh-CN"/>
                    </w:rPr>
                    <w:t>2#楼东侧外侧</w:t>
                  </w:r>
                </w:p>
              </w:tc>
              <w:tc>
                <w:tcPr>
                  <w:tcW w:w="445" w:type="pct"/>
                  <w:shd w:val="clear" w:color="auto" w:fill="auto"/>
                  <w:vAlign w:val="center"/>
                </w:tcPr>
                <w:p w14:paraId="14CD5406">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宋体"/>
                      <w:iCs/>
                      <w:color w:val="auto"/>
                      <w:kern w:val="2"/>
                      <w:sz w:val="21"/>
                      <w:szCs w:val="21"/>
                      <w:highlight w:val="none"/>
                      <w:lang w:val="en-US" w:eastAsia="zh-CN" w:bidi="ar"/>
                    </w:rPr>
                    <w:t>室外</w:t>
                  </w:r>
                </w:p>
              </w:tc>
              <w:tc>
                <w:tcPr>
                  <w:tcW w:w="833" w:type="pct"/>
                  <w:vMerge w:val="continue"/>
                  <w:vAlign w:val="center"/>
                </w:tcPr>
                <w:p w14:paraId="7307C17E">
                  <w:pPr>
                    <w:jc w:val="center"/>
                    <w:rPr>
                      <w:rFonts w:hint="eastAsia" w:ascii="仿宋_GB2312" w:hAnsi="仿宋_GB2312" w:eastAsia="仿宋_GB2312" w:cs="仿宋_GB2312"/>
                      <w:color w:val="auto"/>
                      <w:sz w:val="21"/>
                      <w:szCs w:val="21"/>
                      <w:highlight w:val="none"/>
                    </w:rPr>
                  </w:pPr>
                </w:p>
              </w:tc>
            </w:tr>
          </w:tbl>
          <w:p w14:paraId="0ED0554F">
            <w:pPr>
              <w:pStyle w:val="50"/>
              <w:snapToGrid w:val="0"/>
              <w:spacing w:line="360" w:lineRule="auto"/>
              <w:ind w:firstLine="0" w:firstLineChars="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四、监测时间</w:t>
            </w:r>
          </w:p>
          <w:p w14:paraId="123CD593">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监测日期：2</w:t>
            </w:r>
            <w:r>
              <w:rPr>
                <w:rFonts w:hint="default" w:ascii="Times New Roman" w:hAnsi="Times New Roman" w:cs="Times New Roman"/>
                <w:bCs/>
                <w:color w:val="auto"/>
                <w:sz w:val="24"/>
                <w:highlight w:val="none"/>
              </w:rPr>
              <w:t>02</w:t>
            </w:r>
            <w:r>
              <w:rPr>
                <w:rFonts w:hint="eastAsia" w:ascii="Times New Roman" w:hAnsi="Times New Roman" w:cs="Times New Roman"/>
                <w:bCs/>
                <w:color w:val="auto"/>
                <w:sz w:val="24"/>
                <w:highlight w:val="none"/>
                <w:lang w:val="en-US" w:eastAsia="zh-CN"/>
              </w:rPr>
              <w:t>6</w:t>
            </w:r>
            <w:r>
              <w:rPr>
                <w:rFonts w:hint="default" w:ascii="Times New Roman" w:hAnsi="Times New Roman" w:cs="Times New Roman"/>
                <w:bCs/>
                <w:color w:val="auto"/>
                <w:sz w:val="24"/>
                <w:highlight w:val="none"/>
              </w:rPr>
              <w:t>年</w:t>
            </w:r>
            <w:r>
              <w:rPr>
                <w:rFonts w:hint="eastAsia" w:ascii="Times New Roman" w:hAnsi="Times New Roman" w:cs="Times New Roman"/>
                <w:bCs/>
                <w:color w:val="auto"/>
                <w:sz w:val="24"/>
                <w:highlight w:val="none"/>
                <w:lang w:val="en-US" w:eastAsia="zh-CN"/>
              </w:rPr>
              <w:t>3</w:t>
            </w:r>
            <w:r>
              <w:rPr>
                <w:rFonts w:hint="default" w:ascii="Times New Roman" w:hAnsi="Times New Roman" w:cs="Times New Roman"/>
                <w:bCs/>
                <w:color w:val="auto"/>
                <w:sz w:val="24"/>
                <w:highlight w:val="none"/>
              </w:rPr>
              <w:t>月</w:t>
            </w:r>
            <w:r>
              <w:rPr>
                <w:rFonts w:hint="eastAsia" w:ascii="Times New Roman" w:hAnsi="Times New Roman" w:cs="Times New Roman"/>
                <w:bCs/>
                <w:color w:val="auto"/>
                <w:sz w:val="24"/>
                <w:highlight w:val="none"/>
                <w:lang w:val="en-US" w:eastAsia="zh-CN"/>
              </w:rPr>
              <w:t>19</w:t>
            </w:r>
            <w:r>
              <w:rPr>
                <w:rFonts w:hint="default" w:ascii="Times New Roman" w:hAnsi="Times New Roman" w:cs="Times New Roman"/>
                <w:bCs/>
                <w:color w:val="auto"/>
                <w:sz w:val="24"/>
                <w:highlight w:val="none"/>
              </w:rPr>
              <w:t>日。</w:t>
            </w:r>
          </w:p>
          <w:p w14:paraId="2275FE04">
            <w:pPr>
              <w:autoSpaceDE w:val="0"/>
              <w:autoSpaceDN w:val="0"/>
              <w:adjustRightInd w:val="0"/>
              <w:snapToGrid w:val="0"/>
              <w:spacing w:line="360" w:lineRule="auto"/>
              <w:rPr>
                <w:rFonts w:hint="default" w:ascii="Times New Roman" w:hAnsi="Times New Roman" w:cs="Times New Roman"/>
                <w:b/>
                <w:color w:val="auto"/>
                <w:kern w:val="0"/>
                <w:sz w:val="24"/>
                <w:highlight w:val="none"/>
              </w:rPr>
            </w:pPr>
            <w:r>
              <w:rPr>
                <w:rFonts w:hint="default" w:ascii="Times New Roman" w:hAnsi="Times New Roman" w:cs="Times New Roman"/>
                <w:b/>
                <w:color w:val="auto"/>
                <w:sz w:val="24"/>
                <w:highlight w:val="none"/>
              </w:rPr>
              <w:t>五、监测外环境条件</w:t>
            </w:r>
          </w:p>
          <w:p w14:paraId="33E41C2E">
            <w:pPr>
              <w:adjustRightInd w:val="0"/>
              <w:snapToGrid w:val="0"/>
              <w:spacing w:line="360" w:lineRule="auto"/>
              <w:ind w:firstLine="480" w:firstLineChars="200"/>
              <w:rPr>
                <w:rFonts w:hint="default" w:ascii="Times New Roman" w:hAnsi="Times New Roman" w:cs="Times New Roman"/>
                <w:b/>
                <w:color w:val="auto"/>
                <w:sz w:val="24"/>
                <w:highlight w:val="none"/>
              </w:rPr>
            </w:pPr>
            <w:r>
              <w:rPr>
                <w:rFonts w:hint="default" w:ascii="Times New Roman" w:hAnsi="Times New Roman" w:cs="Times New Roman"/>
                <w:color w:val="auto"/>
                <w:kern w:val="0"/>
                <w:sz w:val="24"/>
                <w:highlight w:val="none"/>
              </w:rPr>
              <w:t>环境温度：温度：1</w:t>
            </w:r>
            <w:r>
              <w:rPr>
                <w:rFonts w:hint="eastAsia" w:ascii="Times New Roman" w:hAnsi="Times New Roman" w:cs="Times New Roman"/>
                <w:color w:val="auto"/>
                <w:kern w:val="0"/>
                <w:sz w:val="24"/>
                <w:highlight w:val="none"/>
                <w:lang w:val="en-US" w:eastAsia="zh-CN"/>
              </w:rPr>
              <w:t>4</w:t>
            </w:r>
            <w:r>
              <w:rPr>
                <w:rFonts w:hint="default" w:ascii="Times New Roman" w:hAnsi="Times New Roman" w:cs="Times New Roman"/>
                <w:color w:val="auto"/>
                <w:kern w:val="0"/>
                <w:sz w:val="24"/>
                <w:highlight w:val="none"/>
              </w:rPr>
              <w:t>℃；气压：</w:t>
            </w:r>
            <w:r>
              <w:rPr>
                <w:rFonts w:hint="eastAsia" w:ascii="Times New Roman" w:hAnsi="Times New Roman" w:cs="Times New Roman"/>
                <w:color w:val="auto"/>
                <w:kern w:val="0"/>
                <w:sz w:val="24"/>
                <w:highlight w:val="none"/>
                <w:lang w:val="en-US" w:eastAsia="zh-CN"/>
              </w:rPr>
              <w:t>97.4</w:t>
            </w:r>
            <w:r>
              <w:rPr>
                <w:rFonts w:hint="default" w:ascii="Times New Roman" w:hAnsi="Times New Roman" w:cs="Times New Roman"/>
                <w:color w:val="auto"/>
                <w:kern w:val="0"/>
                <w:sz w:val="24"/>
                <w:highlight w:val="none"/>
              </w:rPr>
              <w:t>kPa；空气湿度：</w:t>
            </w:r>
            <w:r>
              <w:rPr>
                <w:rFonts w:hint="eastAsia" w:ascii="Times New Roman" w:hAnsi="Times New Roman" w:cs="Times New Roman"/>
                <w:color w:val="auto"/>
                <w:kern w:val="0"/>
                <w:sz w:val="24"/>
                <w:highlight w:val="none"/>
                <w:lang w:val="en-US" w:eastAsia="zh-CN"/>
              </w:rPr>
              <w:t>65</w:t>
            </w:r>
            <w:r>
              <w:rPr>
                <w:rFonts w:hint="default" w:ascii="Times New Roman" w:hAnsi="Times New Roman" w:cs="Times New Roman"/>
                <w:color w:val="auto"/>
                <w:kern w:val="0"/>
                <w:sz w:val="24"/>
                <w:highlight w:val="none"/>
              </w:rPr>
              <w:t>%RH；天气状况：阴。</w:t>
            </w:r>
          </w:p>
          <w:p w14:paraId="250CF323">
            <w:pPr>
              <w:adjustRightInd w:val="0"/>
              <w:snapToGrid w:val="0"/>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六、监测方法及监测仪器</w:t>
            </w:r>
          </w:p>
          <w:p w14:paraId="5B317DC0">
            <w:pPr>
              <w:pStyle w:val="50"/>
              <w:numPr>
                <w:ilvl w:val="0"/>
                <w:numId w:val="14"/>
              </w:numPr>
              <w:ind w:firstLineChars="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监测方法及监测仪器一览表</w:t>
            </w:r>
          </w:p>
          <w:tbl>
            <w:tblPr>
              <w:tblStyle w:val="22"/>
              <w:tblW w:w="5000"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90"/>
              <w:gridCol w:w="2691"/>
              <w:gridCol w:w="4390"/>
            </w:tblGrid>
            <w:tr w14:paraId="7CB49E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 w:hRule="atLeast"/>
                <w:jc w:val="center"/>
              </w:trPr>
              <w:tc>
                <w:tcPr>
                  <w:tcW w:w="719" w:type="pct"/>
                  <w:tcBorders>
                    <w:top w:val="single" w:color="auto" w:sz="4" w:space="0"/>
                    <w:left w:val="single" w:color="auto" w:sz="4" w:space="0"/>
                    <w:bottom w:val="single" w:color="auto" w:sz="4" w:space="0"/>
                    <w:right w:val="single" w:color="auto" w:sz="4" w:space="0"/>
                  </w:tcBorders>
                  <w:shd w:val="clear" w:color="auto" w:fill="auto"/>
                  <w:vAlign w:val="center"/>
                </w:tcPr>
                <w:p w14:paraId="13B982C4">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监测因子</w:t>
                  </w:r>
                </w:p>
              </w:tc>
              <w:tc>
                <w:tcPr>
                  <w:tcW w:w="1626" w:type="pct"/>
                  <w:tcBorders>
                    <w:top w:val="single" w:color="auto" w:sz="4" w:space="0"/>
                    <w:left w:val="single" w:color="auto" w:sz="4" w:space="0"/>
                    <w:bottom w:val="single" w:color="auto" w:sz="4" w:space="0"/>
                    <w:right w:val="single" w:color="auto" w:sz="4" w:space="0"/>
                  </w:tcBorders>
                  <w:shd w:val="clear" w:color="auto" w:fill="auto"/>
                  <w:vAlign w:val="center"/>
                </w:tcPr>
                <w:p w14:paraId="360C7BFA">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监测方法</w:t>
                  </w:r>
                </w:p>
              </w:tc>
              <w:tc>
                <w:tcPr>
                  <w:tcW w:w="2653" w:type="pct"/>
                  <w:tcBorders>
                    <w:top w:val="single" w:color="auto" w:sz="4" w:space="0"/>
                    <w:left w:val="single" w:color="auto" w:sz="4" w:space="0"/>
                    <w:bottom w:val="single" w:color="auto" w:sz="4" w:space="0"/>
                    <w:right w:val="single" w:color="auto" w:sz="4" w:space="0"/>
                  </w:tcBorders>
                  <w:shd w:val="clear" w:color="auto" w:fill="auto"/>
                  <w:vAlign w:val="center"/>
                </w:tcPr>
                <w:p w14:paraId="69C310E8">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监测仪器</w:t>
                  </w:r>
                </w:p>
              </w:tc>
            </w:tr>
            <w:tr w14:paraId="7045E0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19" w:type="pct"/>
                  <w:tcBorders>
                    <w:top w:val="single" w:color="auto" w:sz="4" w:space="0"/>
                    <w:left w:val="single" w:color="auto" w:sz="4" w:space="0"/>
                    <w:bottom w:val="single" w:color="auto" w:sz="4" w:space="0"/>
                    <w:right w:val="single" w:color="auto" w:sz="4" w:space="0"/>
                  </w:tcBorders>
                  <w:vAlign w:val="center"/>
                </w:tcPr>
                <w:p w14:paraId="2B9EF96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X-γ辐射剂量率</w:t>
                  </w:r>
                </w:p>
              </w:tc>
              <w:tc>
                <w:tcPr>
                  <w:tcW w:w="1626" w:type="pct"/>
                  <w:tcBorders>
                    <w:top w:val="single" w:color="auto" w:sz="4" w:space="0"/>
                    <w:left w:val="single" w:color="auto" w:sz="4" w:space="0"/>
                    <w:bottom w:val="single" w:color="auto" w:sz="4" w:space="0"/>
                    <w:right w:val="single" w:color="auto" w:sz="4" w:space="0"/>
                  </w:tcBorders>
                  <w:vAlign w:val="center"/>
                </w:tcPr>
                <w:p w14:paraId="4DB90765">
                  <w:pPr>
                    <w:widowControl/>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《环境γ辐射剂量率测量技术规范》（HJ 1157-2021）、</w:t>
                  </w:r>
                  <w:r>
                    <w:rPr>
                      <w:rFonts w:hint="default" w:ascii="Times New Roman" w:hAnsi="Times New Roman" w:cs="Times New Roman"/>
                      <w:color w:val="auto"/>
                      <w:kern w:val="0"/>
                      <w:szCs w:val="21"/>
                      <w:highlight w:val="none"/>
                      <w:lang w:bidi="ar"/>
                    </w:rPr>
                    <w:t>《辐射环境监测技术规范》</w:t>
                  </w:r>
                  <w:r>
                    <w:rPr>
                      <w:rFonts w:hint="default" w:ascii="Times New Roman" w:hAnsi="Times New Roman" w:cs="Times New Roman"/>
                      <w:color w:val="auto"/>
                      <w:szCs w:val="21"/>
                      <w:highlight w:val="none"/>
                    </w:rPr>
                    <w:t>（HJ61-2021）</w:t>
                  </w:r>
                </w:p>
              </w:tc>
              <w:tc>
                <w:tcPr>
                  <w:tcW w:w="2653" w:type="pct"/>
                  <w:tcBorders>
                    <w:top w:val="single" w:color="auto" w:sz="4" w:space="0"/>
                    <w:left w:val="single" w:color="auto" w:sz="4" w:space="0"/>
                    <w:bottom w:val="single" w:color="auto" w:sz="4" w:space="0"/>
                    <w:right w:val="single" w:color="auto" w:sz="4" w:space="0"/>
                  </w:tcBorders>
                  <w:vAlign w:val="center"/>
                </w:tcPr>
                <w:p w14:paraId="2F05782B">
                  <w:pPr>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仪器名称：便携式X-γ剂量率仪</w:t>
                  </w:r>
                </w:p>
                <w:p w14:paraId="52C11A7B">
                  <w:pPr>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仪器型号：BH3103B</w:t>
                  </w:r>
                </w:p>
                <w:p w14:paraId="493765E6">
                  <w:pPr>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仪器编号：YQ19032</w:t>
                  </w:r>
                </w:p>
                <w:p w14:paraId="798B6235">
                  <w:pPr>
                    <w:pStyle w:val="32"/>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测量范围：（1~10000）×10</w:t>
                  </w:r>
                  <w:r>
                    <w:rPr>
                      <w:rFonts w:hint="default" w:ascii="Times New Roman" w:hAnsi="Times New Roman" w:cs="Times New Roman"/>
                      <w:color w:val="auto"/>
                      <w:sz w:val="21"/>
                      <w:szCs w:val="21"/>
                      <w:highlight w:val="none"/>
                      <w:vertAlign w:val="superscript"/>
                    </w:rPr>
                    <w:t>-8</w:t>
                  </w:r>
                  <w:r>
                    <w:rPr>
                      <w:rFonts w:hint="default" w:ascii="Times New Roman" w:hAnsi="Times New Roman" w:cs="Times New Roman"/>
                      <w:color w:val="auto"/>
                      <w:sz w:val="21"/>
                      <w:szCs w:val="21"/>
                      <w:highlight w:val="none"/>
                    </w:rPr>
                    <w:t>Gy/h</w:t>
                  </w:r>
                </w:p>
                <w:p w14:paraId="72B5C6CE">
                  <w:pPr>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能量响应范围：0.025MeV~3MeV</w:t>
                  </w:r>
                </w:p>
                <w:p w14:paraId="7FE3335C">
                  <w:pPr>
                    <w:pStyle w:val="1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修正因子：0.9</w:t>
                  </w:r>
                  <w:r>
                    <w:rPr>
                      <w:rFonts w:hint="default" w:ascii="Times New Roman" w:hAnsi="Times New Roman" w:cs="Times New Roman"/>
                      <w:color w:val="auto"/>
                      <w:sz w:val="21"/>
                      <w:szCs w:val="21"/>
                      <w:highlight w:val="none"/>
                      <w:lang w:val="en-US" w:eastAsia="zh-CN"/>
                    </w:rPr>
                    <w:t>3</w:t>
                  </w:r>
                </w:p>
                <w:p w14:paraId="21C795B2">
                  <w:pPr>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校准证书编号：校准字第</w:t>
                  </w:r>
                  <w:r>
                    <w:rPr>
                      <w:rFonts w:hint="default" w:ascii="Times New Roman" w:hAnsi="Times New Roman" w:cs="Times New Roman"/>
                      <w:color w:val="auto"/>
                      <w:szCs w:val="21"/>
                      <w:highlight w:val="none"/>
                      <w:lang w:val="en-US" w:eastAsia="zh-CN"/>
                    </w:rPr>
                    <w:t>202510101314</w:t>
                  </w:r>
                  <w:r>
                    <w:rPr>
                      <w:rFonts w:hint="default" w:ascii="Times New Roman" w:hAnsi="Times New Roman" w:cs="Times New Roman"/>
                      <w:color w:val="auto"/>
                      <w:szCs w:val="21"/>
                      <w:highlight w:val="none"/>
                    </w:rPr>
                    <w:t>号</w:t>
                  </w:r>
                </w:p>
                <w:p w14:paraId="38A343F1">
                  <w:pPr>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校准单位：中国测试技术研究院</w:t>
                  </w:r>
                </w:p>
                <w:p w14:paraId="4AEA276F">
                  <w:pPr>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校准日期：202</w:t>
                  </w:r>
                  <w:r>
                    <w:rPr>
                      <w:rFonts w:hint="default" w:ascii="Times New Roman" w:hAnsi="Times New Roman" w:cs="Times New Roman"/>
                      <w:color w:val="auto"/>
                      <w:szCs w:val="21"/>
                      <w:highlight w:val="none"/>
                      <w:lang w:val="en-US" w:eastAsia="zh-CN"/>
                    </w:rPr>
                    <w:t>5</w:t>
                  </w:r>
                  <w:r>
                    <w:rPr>
                      <w:rFonts w:hint="default" w:ascii="Times New Roman" w:hAnsi="Times New Roman" w:cs="Times New Roman"/>
                      <w:color w:val="auto"/>
                      <w:szCs w:val="21"/>
                      <w:highlight w:val="none"/>
                    </w:rPr>
                    <w:t>年10月</w:t>
                  </w:r>
                  <w:r>
                    <w:rPr>
                      <w:rFonts w:hint="default" w:ascii="Times New Roman" w:hAnsi="Times New Roman" w:cs="Times New Roman"/>
                      <w:color w:val="auto"/>
                      <w:szCs w:val="21"/>
                      <w:highlight w:val="none"/>
                      <w:lang w:val="en-US" w:eastAsia="zh-CN"/>
                    </w:rPr>
                    <w:t>16</w:t>
                  </w:r>
                  <w:r>
                    <w:rPr>
                      <w:rFonts w:hint="default" w:ascii="Times New Roman" w:hAnsi="Times New Roman" w:cs="Times New Roman"/>
                      <w:color w:val="auto"/>
                      <w:szCs w:val="21"/>
                      <w:highlight w:val="none"/>
                    </w:rPr>
                    <w:t>日</w:t>
                  </w:r>
                </w:p>
                <w:p w14:paraId="7B51EC09">
                  <w:pPr>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有效日期：202</w:t>
                  </w:r>
                  <w:r>
                    <w:rPr>
                      <w:rFonts w:hint="default" w:ascii="Times New Roman" w:hAnsi="Times New Roman" w:cs="Times New Roman"/>
                      <w:color w:val="auto"/>
                      <w:szCs w:val="21"/>
                      <w:highlight w:val="none"/>
                      <w:lang w:val="en-US" w:eastAsia="zh-CN"/>
                    </w:rPr>
                    <w:t>6</w:t>
                  </w:r>
                  <w:r>
                    <w:rPr>
                      <w:rFonts w:hint="default" w:ascii="Times New Roman" w:hAnsi="Times New Roman" w:cs="Times New Roman"/>
                      <w:color w:val="auto"/>
                      <w:szCs w:val="21"/>
                      <w:highlight w:val="none"/>
                    </w:rPr>
                    <w:t>年10月</w:t>
                  </w:r>
                  <w:r>
                    <w:rPr>
                      <w:rFonts w:hint="default" w:ascii="Times New Roman" w:hAnsi="Times New Roman" w:cs="Times New Roman"/>
                      <w:color w:val="auto"/>
                      <w:szCs w:val="21"/>
                      <w:highlight w:val="none"/>
                      <w:lang w:val="en-US" w:eastAsia="zh-CN"/>
                    </w:rPr>
                    <w:t>15</w:t>
                  </w:r>
                  <w:r>
                    <w:rPr>
                      <w:rFonts w:hint="default" w:ascii="Times New Roman" w:hAnsi="Times New Roman" w:cs="Times New Roman"/>
                      <w:color w:val="auto"/>
                      <w:szCs w:val="21"/>
                      <w:highlight w:val="none"/>
                    </w:rPr>
                    <w:t>日</w:t>
                  </w:r>
                </w:p>
              </w:tc>
            </w:tr>
          </w:tbl>
          <w:p w14:paraId="14765B31">
            <w:pPr>
              <w:adjustRightInd w:val="0"/>
              <w:snapToGrid w:val="0"/>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七、监测质量保证</w:t>
            </w:r>
          </w:p>
          <w:p w14:paraId="5D66D04D">
            <w:pPr>
              <w:adjustRightInd w:val="0"/>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本次监测单位为四川中环康源卫生技术服务有限公司，具有四川省市场监督管理局颁发的资质认定证书，并在许可范围内开展监测工作和出具有效的监测报告，保证了监测工作的合法性和有效性。具体质量保证措施如下：</w:t>
            </w:r>
          </w:p>
          <w:p w14:paraId="4365FAE5">
            <w:pPr>
              <w:adjustRightInd w:val="0"/>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fldChar w:fldCharType="begin"/>
            </w:r>
            <w:r>
              <w:rPr>
                <w:rFonts w:hint="default" w:ascii="Times New Roman" w:hAnsi="Times New Roman" w:cs="Times New Roman"/>
                <w:bCs/>
                <w:color w:val="auto"/>
                <w:sz w:val="24"/>
                <w:highlight w:val="none"/>
              </w:rPr>
              <w:instrText xml:space="preserve"> = 1 \* GB3 </w:instrText>
            </w:r>
            <w:r>
              <w:rPr>
                <w:rFonts w:hint="default" w:ascii="Times New Roman" w:hAnsi="Times New Roman" w:cs="Times New Roman"/>
                <w:bCs/>
                <w:color w:val="auto"/>
                <w:sz w:val="24"/>
                <w:highlight w:val="none"/>
              </w:rPr>
              <w:fldChar w:fldCharType="separate"/>
            </w:r>
            <w:r>
              <w:rPr>
                <w:rFonts w:hint="default" w:ascii="Times New Roman" w:hAnsi="Times New Roman" w:cs="Times New Roman"/>
                <w:bCs/>
                <w:color w:val="auto"/>
                <w:sz w:val="24"/>
                <w:highlight w:val="none"/>
              </w:rPr>
              <w:t>①</w:t>
            </w:r>
            <w:r>
              <w:rPr>
                <w:rFonts w:hint="default" w:ascii="Times New Roman" w:hAnsi="Times New Roman" w:cs="Times New Roman"/>
                <w:bCs/>
                <w:color w:val="auto"/>
                <w:sz w:val="24"/>
                <w:highlight w:val="none"/>
              </w:rPr>
              <w:fldChar w:fldCharType="end"/>
            </w:r>
            <w:r>
              <w:rPr>
                <w:rFonts w:hint="default" w:ascii="Times New Roman" w:hAnsi="Times New Roman" w:cs="Times New Roman"/>
                <w:bCs/>
                <w:color w:val="auto"/>
                <w:sz w:val="24"/>
                <w:highlight w:val="none"/>
              </w:rPr>
              <w:t>根据</w:t>
            </w:r>
            <w:r>
              <w:rPr>
                <w:rFonts w:hint="default" w:ascii="Times New Roman" w:hAnsi="Times New Roman" w:cs="Times New Roman"/>
                <w:color w:val="auto"/>
                <w:sz w:val="24"/>
                <w:highlight w:val="none"/>
              </w:rPr>
              <w:t>《环境γ辐射剂量率测量技术规范》（HJ1157-2021）</w:t>
            </w:r>
            <w:r>
              <w:rPr>
                <w:rFonts w:hint="default" w:ascii="Times New Roman" w:hAnsi="Times New Roman" w:cs="Times New Roman"/>
                <w:bCs/>
                <w:color w:val="auto"/>
                <w:sz w:val="24"/>
                <w:highlight w:val="none"/>
              </w:rPr>
              <w:t>和项目实际情况制定监测方案及实施细则；</w:t>
            </w:r>
          </w:p>
          <w:p w14:paraId="78705D8D">
            <w:pPr>
              <w:adjustRightInd w:val="0"/>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fldChar w:fldCharType="begin"/>
            </w:r>
            <w:r>
              <w:rPr>
                <w:rFonts w:hint="default" w:ascii="Times New Roman" w:hAnsi="Times New Roman" w:cs="Times New Roman"/>
                <w:bCs/>
                <w:color w:val="auto"/>
                <w:sz w:val="24"/>
                <w:highlight w:val="none"/>
              </w:rPr>
              <w:instrText xml:space="preserve"> = 2 \* GB3 </w:instrText>
            </w:r>
            <w:r>
              <w:rPr>
                <w:rFonts w:hint="default" w:ascii="Times New Roman" w:hAnsi="Times New Roman" w:cs="Times New Roman"/>
                <w:bCs/>
                <w:color w:val="auto"/>
                <w:sz w:val="24"/>
                <w:highlight w:val="none"/>
              </w:rPr>
              <w:fldChar w:fldCharType="separate"/>
            </w:r>
            <w:r>
              <w:rPr>
                <w:rFonts w:hint="default" w:ascii="Times New Roman" w:hAnsi="Times New Roman" w:cs="Times New Roman"/>
                <w:bCs/>
                <w:color w:val="auto"/>
                <w:sz w:val="24"/>
                <w:highlight w:val="none"/>
              </w:rPr>
              <w:t>②</w:t>
            </w:r>
            <w:r>
              <w:rPr>
                <w:rFonts w:hint="default" w:ascii="Times New Roman" w:hAnsi="Times New Roman" w:cs="Times New Roman"/>
                <w:bCs/>
                <w:color w:val="auto"/>
                <w:sz w:val="24"/>
                <w:highlight w:val="none"/>
              </w:rPr>
              <w:fldChar w:fldCharType="end"/>
            </w:r>
            <w:r>
              <w:rPr>
                <w:rFonts w:hint="default" w:ascii="Times New Roman" w:hAnsi="Times New Roman" w:cs="Times New Roman"/>
                <w:bCs/>
                <w:color w:val="auto"/>
                <w:sz w:val="24"/>
                <w:highlight w:val="none"/>
              </w:rPr>
              <w:t>严格按照监测单位《质保手册》《作业指导书》开展现场工作；</w:t>
            </w:r>
          </w:p>
          <w:p w14:paraId="612B0A6E">
            <w:pPr>
              <w:adjustRightInd w:val="0"/>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fldChar w:fldCharType="begin"/>
            </w:r>
            <w:r>
              <w:rPr>
                <w:rFonts w:hint="default" w:ascii="Times New Roman" w:hAnsi="Times New Roman" w:cs="Times New Roman"/>
                <w:bCs/>
                <w:color w:val="auto"/>
                <w:sz w:val="24"/>
                <w:highlight w:val="none"/>
              </w:rPr>
              <w:instrText xml:space="preserve"> = 3 \* GB3 </w:instrText>
            </w:r>
            <w:r>
              <w:rPr>
                <w:rFonts w:hint="default" w:ascii="Times New Roman" w:hAnsi="Times New Roman" w:cs="Times New Roman"/>
                <w:bCs/>
                <w:color w:val="auto"/>
                <w:sz w:val="24"/>
                <w:highlight w:val="none"/>
              </w:rPr>
              <w:fldChar w:fldCharType="separate"/>
            </w:r>
            <w:r>
              <w:rPr>
                <w:rFonts w:hint="default" w:ascii="Times New Roman" w:hAnsi="Times New Roman" w:cs="Times New Roman"/>
                <w:bCs/>
                <w:color w:val="auto"/>
                <w:sz w:val="24"/>
                <w:highlight w:val="none"/>
              </w:rPr>
              <w:t>③</w:t>
            </w:r>
            <w:r>
              <w:rPr>
                <w:rFonts w:hint="default" w:ascii="Times New Roman" w:hAnsi="Times New Roman" w:cs="Times New Roman"/>
                <w:bCs/>
                <w:color w:val="auto"/>
                <w:sz w:val="24"/>
                <w:highlight w:val="none"/>
              </w:rPr>
              <w:fldChar w:fldCharType="end"/>
            </w:r>
            <w:r>
              <w:rPr>
                <w:rFonts w:hint="default" w:ascii="Times New Roman" w:hAnsi="Times New Roman" w:cs="Times New Roman"/>
                <w:bCs/>
                <w:color w:val="auto"/>
                <w:sz w:val="24"/>
                <w:highlight w:val="none"/>
              </w:rPr>
              <w:t>监测仪器每年经过计量部门检定后使用；每次测量前、后均检查仪器的工作状态是否正常；</w:t>
            </w:r>
          </w:p>
          <w:p w14:paraId="7A205517">
            <w:pPr>
              <w:adjustRightInd w:val="0"/>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fldChar w:fldCharType="begin"/>
            </w:r>
            <w:r>
              <w:rPr>
                <w:rFonts w:hint="default" w:ascii="Times New Roman" w:hAnsi="Times New Roman" w:cs="Times New Roman"/>
                <w:bCs/>
                <w:color w:val="auto"/>
                <w:sz w:val="24"/>
                <w:highlight w:val="none"/>
              </w:rPr>
              <w:instrText xml:space="preserve"> = 4 \* GB3 </w:instrText>
            </w:r>
            <w:r>
              <w:rPr>
                <w:rFonts w:hint="default" w:ascii="Times New Roman" w:hAnsi="Times New Roman" w:cs="Times New Roman"/>
                <w:bCs/>
                <w:color w:val="auto"/>
                <w:sz w:val="24"/>
                <w:highlight w:val="none"/>
              </w:rPr>
              <w:fldChar w:fldCharType="separate"/>
            </w:r>
            <w:r>
              <w:rPr>
                <w:rFonts w:hint="default" w:ascii="Times New Roman" w:hAnsi="Times New Roman" w:cs="Times New Roman"/>
                <w:bCs/>
                <w:color w:val="auto"/>
                <w:sz w:val="24"/>
                <w:highlight w:val="none"/>
              </w:rPr>
              <w:t>④</w:t>
            </w:r>
            <w:r>
              <w:rPr>
                <w:rFonts w:hint="default" w:ascii="Times New Roman" w:hAnsi="Times New Roman" w:cs="Times New Roman"/>
                <w:bCs/>
                <w:color w:val="auto"/>
                <w:sz w:val="24"/>
                <w:highlight w:val="none"/>
              </w:rPr>
              <w:fldChar w:fldCharType="end"/>
            </w:r>
            <w:r>
              <w:rPr>
                <w:rFonts w:hint="default" w:ascii="Times New Roman" w:hAnsi="Times New Roman" w:cs="Times New Roman"/>
                <w:bCs/>
                <w:color w:val="auto"/>
                <w:sz w:val="24"/>
                <w:highlight w:val="none"/>
              </w:rPr>
              <w:t>监测人员经考核并持有合格证书上岗；</w:t>
            </w:r>
          </w:p>
          <w:p w14:paraId="46B1DD9B">
            <w:pPr>
              <w:adjustRightInd w:val="0"/>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fldChar w:fldCharType="begin"/>
            </w:r>
            <w:r>
              <w:rPr>
                <w:rFonts w:hint="default" w:ascii="Times New Roman" w:hAnsi="Times New Roman" w:cs="Times New Roman"/>
                <w:bCs/>
                <w:color w:val="auto"/>
                <w:sz w:val="24"/>
                <w:highlight w:val="none"/>
              </w:rPr>
              <w:instrText xml:space="preserve"> = 5 \* GB3 </w:instrText>
            </w:r>
            <w:r>
              <w:rPr>
                <w:rFonts w:hint="default" w:ascii="Times New Roman" w:hAnsi="Times New Roman" w:cs="Times New Roman"/>
                <w:bCs/>
                <w:color w:val="auto"/>
                <w:sz w:val="24"/>
                <w:highlight w:val="none"/>
              </w:rPr>
              <w:fldChar w:fldCharType="separate"/>
            </w:r>
            <w:r>
              <w:rPr>
                <w:rFonts w:hint="default" w:ascii="Times New Roman" w:hAnsi="Times New Roman" w:cs="Times New Roman"/>
                <w:bCs/>
                <w:color w:val="auto"/>
                <w:sz w:val="24"/>
                <w:highlight w:val="none"/>
              </w:rPr>
              <w:t>⑤</w:t>
            </w:r>
            <w:r>
              <w:rPr>
                <w:rFonts w:hint="default" w:ascii="Times New Roman" w:hAnsi="Times New Roman" w:cs="Times New Roman"/>
                <w:bCs/>
                <w:color w:val="auto"/>
                <w:sz w:val="24"/>
                <w:highlight w:val="none"/>
              </w:rPr>
              <w:fldChar w:fldCharType="end"/>
            </w:r>
            <w:r>
              <w:rPr>
                <w:rFonts w:hint="default" w:ascii="Times New Roman" w:hAnsi="Times New Roman" w:cs="Times New Roman"/>
                <w:bCs/>
                <w:color w:val="auto"/>
                <w:sz w:val="24"/>
                <w:highlight w:val="none"/>
              </w:rPr>
              <w:t>根据</w:t>
            </w:r>
            <w:r>
              <w:rPr>
                <w:rFonts w:hint="default" w:ascii="Times New Roman" w:hAnsi="Times New Roman" w:cs="Times New Roman"/>
                <w:color w:val="auto"/>
                <w:sz w:val="24"/>
                <w:highlight w:val="none"/>
              </w:rPr>
              <w:t>《环境γ辐射剂量率测量技术规范》（HJ1157-2021）</w:t>
            </w:r>
            <w:r>
              <w:rPr>
                <w:rFonts w:hint="default" w:ascii="Times New Roman" w:hAnsi="Times New Roman" w:cs="Times New Roman"/>
                <w:bCs/>
                <w:color w:val="auto"/>
                <w:sz w:val="24"/>
                <w:highlight w:val="none"/>
              </w:rPr>
              <w:t>，布设监测点位置和高度，兼顾监测技术规定和实际情况，监测结果具有代表性和针对性；</w:t>
            </w:r>
          </w:p>
          <w:p w14:paraId="6D8E171A">
            <w:pPr>
              <w:adjustRightInd w:val="0"/>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fldChar w:fldCharType="begin"/>
            </w:r>
            <w:r>
              <w:rPr>
                <w:rFonts w:hint="default" w:ascii="Times New Roman" w:hAnsi="Times New Roman" w:cs="Times New Roman"/>
                <w:bCs/>
                <w:color w:val="auto"/>
                <w:sz w:val="24"/>
                <w:highlight w:val="none"/>
              </w:rPr>
              <w:instrText xml:space="preserve"> = 6 \* GB3 </w:instrText>
            </w:r>
            <w:r>
              <w:rPr>
                <w:rFonts w:hint="default" w:ascii="Times New Roman" w:hAnsi="Times New Roman" w:cs="Times New Roman"/>
                <w:bCs/>
                <w:color w:val="auto"/>
                <w:sz w:val="24"/>
                <w:highlight w:val="none"/>
              </w:rPr>
              <w:fldChar w:fldCharType="separate"/>
            </w:r>
            <w:r>
              <w:rPr>
                <w:rFonts w:hint="default" w:ascii="Times New Roman" w:hAnsi="Times New Roman" w:cs="Times New Roman"/>
                <w:bCs/>
                <w:color w:val="auto"/>
                <w:sz w:val="24"/>
                <w:highlight w:val="none"/>
              </w:rPr>
              <w:t>⑥</w:t>
            </w:r>
            <w:r>
              <w:rPr>
                <w:rFonts w:hint="default" w:ascii="Times New Roman" w:hAnsi="Times New Roman" w:cs="Times New Roman"/>
                <w:bCs/>
                <w:color w:val="auto"/>
                <w:sz w:val="24"/>
                <w:highlight w:val="none"/>
              </w:rPr>
              <w:fldChar w:fldCharType="end"/>
            </w:r>
            <w:r>
              <w:rPr>
                <w:rFonts w:hint="default" w:ascii="Times New Roman" w:hAnsi="Times New Roman" w:cs="Times New Roman"/>
                <w:bCs/>
                <w:color w:val="auto"/>
                <w:sz w:val="24"/>
                <w:highlight w:val="none"/>
              </w:rPr>
              <w:t>监测时获取足够的数据量，以保证监测结果的统计学精度。监测中异常数据以及监测结果的数据处理按照统计学原则处理；</w:t>
            </w:r>
          </w:p>
          <w:p w14:paraId="2F987245">
            <w:pPr>
              <w:adjustRightInd w:val="0"/>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fldChar w:fldCharType="begin"/>
            </w:r>
            <w:r>
              <w:rPr>
                <w:rFonts w:hint="default" w:ascii="Times New Roman" w:hAnsi="Times New Roman" w:cs="Times New Roman"/>
                <w:bCs/>
                <w:color w:val="auto"/>
                <w:sz w:val="24"/>
                <w:highlight w:val="none"/>
              </w:rPr>
              <w:instrText xml:space="preserve"> = 7 \* GB3 </w:instrText>
            </w:r>
            <w:r>
              <w:rPr>
                <w:rFonts w:hint="default" w:ascii="Times New Roman" w:hAnsi="Times New Roman" w:cs="Times New Roman"/>
                <w:bCs/>
                <w:color w:val="auto"/>
                <w:sz w:val="24"/>
                <w:highlight w:val="none"/>
              </w:rPr>
              <w:fldChar w:fldCharType="separate"/>
            </w:r>
            <w:r>
              <w:rPr>
                <w:rFonts w:hint="default" w:ascii="Times New Roman" w:hAnsi="Times New Roman" w:cs="Times New Roman"/>
                <w:bCs/>
                <w:color w:val="auto"/>
                <w:sz w:val="24"/>
                <w:highlight w:val="none"/>
              </w:rPr>
              <w:t>⑦</w:t>
            </w:r>
            <w:r>
              <w:rPr>
                <w:rFonts w:hint="default" w:ascii="Times New Roman" w:hAnsi="Times New Roman" w:cs="Times New Roman"/>
                <w:bCs/>
                <w:color w:val="auto"/>
                <w:sz w:val="24"/>
                <w:highlight w:val="none"/>
              </w:rPr>
              <w:fldChar w:fldCharType="end"/>
            </w:r>
            <w:r>
              <w:rPr>
                <w:rFonts w:hint="default" w:ascii="Times New Roman" w:hAnsi="Times New Roman" w:cs="Times New Roman"/>
                <w:bCs/>
                <w:color w:val="auto"/>
                <w:sz w:val="24"/>
                <w:highlight w:val="none"/>
              </w:rPr>
              <w:t>建立完整的文件资料。仪器校准（测试）证书、监测方案、监测布点图、测量原始数据、统计处理程序等全部保留，以备复查；</w:t>
            </w:r>
          </w:p>
          <w:p w14:paraId="09E0271A">
            <w:pPr>
              <w:adjustRightInd w:val="0"/>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fldChar w:fldCharType="begin"/>
            </w:r>
            <w:r>
              <w:rPr>
                <w:rFonts w:hint="default" w:ascii="Times New Roman" w:hAnsi="Times New Roman" w:cs="Times New Roman"/>
                <w:bCs/>
                <w:color w:val="auto"/>
                <w:sz w:val="24"/>
                <w:highlight w:val="none"/>
              </w:rPr>
              <w:instrText xml:space="preserve"> = 8 \* GB3 </w:instrText>
            </w:r>
            <w:r>
              <w:rPr>
                <w:rFonts w:hint="default" w:ascii="Times New Roman" w:hAnsi="Times New Roman" w:cs="Times New Roman"/>
                <w:bCs/>
                <w:color w:val="auto"/>
                <w:sz w:val="24"/>
                <w:highlight w:val="none"/>
              </w:rPr>
              <w:fldChar w:fldCharType="separate"/>
            </w:r>
            <w:r>
              <w:rPr>
                <w:rFonts w:hint="default" w:ascii="Times New Roman" w:hAnsi="Times New Roman" w:cs="Times New Roman"/>
                <w:bCs/>
                <w:color w:val="auto"/>
                <w:sz w:val="24"/>
                <w:highlight w:val="none"/>
              </w:rPr>
              <w:t>⑧</w:t>
            </w:r>
            <w:r>
              <w:rPr>
                <w:rFonts w:hint="default" w:ascii="Times New Roman" w:hAnsi="Times New Roman" w:cs="Times New Roman"/>
                <w:bCs/>
                <w:color w:val="auto"/>
                <w:sz w:val="24"/>
                <w:highlight w:val="none"/>
              </w:rPr>
              <w:fldChar w:fldCharType="end"/>
            </w:r>
            <w:r>
              <w:rPr>
                <w:rFonts w:hint="default" w:ascii="Times New Roman" w:hAnsi="Times New Roman" w:cs="Times New Roman"/>
                <w:bCs/>
                <w:color w:val="auto"/>
                <w:sz w:val="24"/>
                <w:highlight w:val="none"/>
              </w:rPr>
              <w:t>检测报告严格实行三级审核制度，经过审核，最后由技术负责人审定、签发。</w:t>
            </w:r>
          </w:p>
          <w:p w14:paraId="78A6FADE">
            <w:pPr>
              <w:adjustRightInd w:val="0"/>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bCs/>
                <w:color w:val="auto"/>
                <w:sz w:val="24"/>
                <w:highlight w:val="none"/>
              </w:rPr>
              <w:t>监测所用仪器已由计量部门年检，且在有效期内；测量方法按国家相关标准实施；测量不确定度符合统计学要求；布点合理、人员合格、结果可信，能够反映出辐射工作场所的客观辐射水平，可以作为本次评价的科学依据。本项目在DSA机房拟建址四周、正上方处布设了监测点位，以了解项目区域X-γ辐射剂量率背景</w:t>
            </w:r>
            <w:r>
              <w:rPr>
                <w:rFonts w:hint="default" w:ascii="Times New Roman" w:hAnsi="Times New Roman" w:cs="Times New Roman"/>
                <w:color w:val="auto"/>
                <w:sz w:val="24"/>
                <w:highlight w:val="none"/>
              </w:rPr>
              <w:t>。监测点位见</w:t>
            </w:r>
            <w:r>
              <w:rPr>
                <w:rFonts w:hint="eastAsia" w:ascii="Times New Roman" w:hAnsi="Times New Roman" w:cs="Times New Roman"/>
                <w:color w:val="auto"/>
                <w:sz w:val="24"/>
                <w:highlight w:val="none"/>
                <w:lang w:val="en-US" w:eastAsia="zh-CN"/>
              </w:rPr>
              <w:t>附图5</w:t>
            </w:r>
            <w:r>
              <w:rPr>
                <w:rFonts w:hint="default" w:ascii="Times New Roman" w:hAnsi="Times New Roman" w:cs="Times New Roman"/>
                <w:color w:val="auto"/>
                <w:sz w:val="24"/>
                <w:highlight w:val="none"/>
              </w:rPr>
              <w:t>。</w:t>
            </w:r>
          </w:p>
          <w:p w14:paraId="7C61E1FF">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本项目的监测结果列于表8-3。</w:t>
            </w:r>
          </w:p>
          <w:p w14:paraId="1AB3ED7E">
            <w:pPr>
              <w:pStyle w:val="50"/>
              <w:numPr>
                <w:ilvl w:val="0"/>
                <w:numId w:val="14"/>
              </w:numPr>
              <w:ind w:firstLineChars="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DSA机房内及周围X-γ辐射剂量率监测结果</w:t>
            </w:r>
          </w:p>
          <w:tbl>
            <w:tblPr>
              <w:tblStyle w:val="22"/>
              <w:tblW w:w="4998"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0" w:type="dxa"/>
                <w:bottom w:w="0" w:type="dxa"/>
                <w:right w:w="0" w:type="dxa"/>
              </w:tblCellMar>
            </w:tblPr>
            <w:tblGrid>
              <w:gridCol w:w="921"/>
              <w:gridCol w:w="1196"/>
              <w:gridCol w:w="1186"/>
              <w:gridCol w:w="4346"/>
              <w:gridCol w:w="643"/>
            </w:tblGrid>
            <w:tr w14:paraId="60EC626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203" w:hRule="atLeast"/>
                <w:tblHeader/>
                <w:jc w:val="center"/>
              </w:trPr>
              <w:tc>
                <w:tcPr>
                  <w:tcW w:w="921" w:type="dxa"/>
                  <w:vMerge w:val="restart"/>
                  <w:tcBorders>
                    <w:tl2br w:val="nil"/>
                    <w:tr2bl w:val="nil"/>
                  </w:tcBorders>
                  <w:noWrap w:val="0"/>
                  <w:vAlign w:val="center"/>
                </w:tcPr>
                <w:p w14:paraId="1469C16D">
                  <w:pPr>
                    <w:widowControl/>
                    <w:snapToGrid w:val="0"/>
                    <w:spacing w:line="400" w:lineRule="exact"/>
                    <w:jc w:val="center"/>
                    <w:rPr>
                      <w:rFonts w:hint="default" w:ascii="Times New Roman" w:hAnsi="Times New Roman" w:eastAsia="宋体" w:cs="Times New Roman"/>
                      <w:b/>
                      <w:bCs/>
                      <w:iCs/>
                      <w:snapToGrid/>
                      <w:color w:val="auto"/>
                      <w:kern w:val="2"/>
                      <w:sz w:val="21"/>
                      <w:szCs w:val="21"/>
                      <w:highlight w:val="none"/>
                    </w:rPr>
                  </w:pPr>
                  <w:r>
                    <w:rPr>
                      <w:rFonts w:hint="default" w:ascii="Times New Roman" w:hAnsi="Times New Roman" w:eastAsia="宋体" w:cs="Times New Roman"/>
                      <w:b/>
                      <w:bCs/>
                      <w:iCs/>
                      <w:snapToGrid/>
                      <w:color w:val="auto"/>
                      <w:kern w:val="2"/>
                      <w:sz w:val="21"/>
                      <w:szCs w:val="21"/>
                      <w:highlight w:val="none"/>
                    </w:rPr>
                    <w:t>测点编号</w:t>
                  </w:r>
                </w:p>
              </w:tc>
              <w:tc>
                <w:tcPr>
                  <w:tcW w:w="2382" w:type="dxa"/>
                  <w:gridSpan w:val="2"/>
                  <w:tcBorders>
                    <w:tl2br w:val="nil"/>
                    <w:tr2bl w:val="nil"/>
                  </w:tcBorders>
                  <w:noWrap w:val="0"/>
                  <w:vAlign w:val="center"/>
                </w:tcPr>
                <w:p w14:paraId="27D753E7">
                  <w:pPr>
                    <w:widowControl/>
                    <w:snapToGrid w:val="0"/>
                    <w:spacing w:line="400" w:lineRule="exact"/>
                    <w:jc w:val="center"/>
                    <w:rPr>
                      <w:rFonts w:hint="default" w:ascii="Times New Roman" w:hAnsi="Times New Roman" w:eastAsia="宋体" w:cs="Times New Roman"/>
                      <w:b/>
                      <w:bCs/>
                      <w:iCs/>
                      <w:snapToGrid/>
                      <w:color w:val="auto"/>
                      <w:kern w:val="2"/>
                      <w:sz w:val="21"/>
                      <w:szCs w:val="21"/>
                      <w:highlight w:val="none"/>
                    </w:rPr>
                  </w:pPr>
                  <w:r>
                    <w:rPr>
                      <w:rFonts w:hint="default" w:ascii="Times New Roman" w:hAnsi="Times New Roman" w:eastAsia="宋体" w:cs="Times New Roman"/>
                      <w:b/>
                      <w:bCs/>
                      <w:snapToGrid/>
                      <w:color w:val="auto"/>
                      <w:kern w:val="2"/>
                      <w:sz w:val="21"/>
                      <w:szCs w:val="21"/>
                      <w:highlight w:val="none"/>
                    </w:rPr>
                    <w:t>X-γ辐射（nGy/h）</w:t>
                  </w:r>
                </w:p>
              </w:tc>
              <w:tc>
                <w:tcPr>
                  <w:tcW w:w="4347" w:type="dxa"/>
                  <w:vMerge w:val="restart"/>
                  <w:tcBorders>
                    <w:tl2br w:val="nil"/>
                    <w:tr2bl w:val="nil"/>
                  </w:tcBorders>
                  <w:noWrap w:val="0"/>
                  <w:vAlign w:val="center"/>
                </w:tcPr>
                <w:p w14:paraId="6FE535F8">
                  <w:pPr>
                    <w:widowControl/>
                    <w:snapToGrid w:val="0"/>
                    <w:spacing w:line="400" w:lineRule="exact"/>
                    <w:jc w:val="center"/>
                    <w:rPr>
                      <w:rFonts w:hint="default" w:ascii="Times New Roman" w:hAnsi="Times New Roman" w:eastAsia="宋体" w:cs="Times New Roman"/>
                      <w:b/>
                      <w:bCs/>
                      <w:iCs/>
                      <w:snapToGrid/>
                      <w:color w:val="auto"/>
                      <w:kern w:val="2"/>
                      <w:sz w:val="21"/>
                      <w:szCs w:val="21"/>
                      <w:highlight w:val="none"/>
                    </w:rPr>
                  </w:pPr>
                  <w:r>
                    <w:rPr>
                      <w:rFonts w:hint="default" w:ascii="Times New Roman" w:hAnsi="Times New Roman" w:eastAsia="宋体" w:cs="Times New Roman"/>
                      <w:b/>
                      <w:bCs/>
                      <w:iCs/>
                      <w:snapToGrid/>
                      <w:color w:val="auto"/>
                      <w:kern w:val="2"/>
                      <w:sz w:val="21"/>
                      <w:szCs w:val="21"/>
                      <w:highlight w:val="none"/>
                    </w:rPr>
                    <w:t>监测点位</w:t>
                  </w:r>
                </w:p>
              </w:tc>
              <w:tc>
                <w:tcPr>
                  <w:tcW w:w="643" w:type="dxa"/>
                  <w:vMerge w:val="restart"/>
                  <w:tcBorders>
                    <w:tl2br w:val="nil"/>
                    <w:tr2bl w:val="nil"/>
                  </w:tcBorders>
                  <w:noWrap w:val="0"/>
                  <w:vAlign w:val="center"/>
                </w:tcPr>
                <w:p w14:paraId="56417F69">
                  <w:pPr>
                    <w:widowControl/>
                    <w:snapToGrid w:val="0"/>
                    <w:spacing w:line="400" w:lineRule="exact"/>
                    <w:jc w:val="center"/>
                    <w:rPr>
                      <w:rFonts w:hint="default" w:ascii="Times New Roman" w:hAnsi="Times New Roman" w:eastAsia="宋体" w:cs="Times New Roman"/>
                      <w:b/>
                      <w:bCs/>
                      <w:iCs/>
                      <w:snapToGrid/>
                      <w:color w:val="auto"/>
                      <w:kern w:val="2"/>
                      <w:sz w:val="21"/>
                      <w:szCs w:val="21"/>
                      <w:highlight w:val="none"/>
                    </w:rPr>
                  </w:pPr>
                  <w:r>
                    <w:rPr>
                      <w:rFonts w:hint="default" w:ascii="Times New Roman" w:hAnsi="Times New Roman" w:eastAsia="宋体" w:cs="Times New Roman"/>
                      <w:b/>
                      <w:bCs/>
                      <w:iCs/>
                      <w:snapToGrid/>
                      <w:color w:val="auto"/>
                      <w:kern w:val="2"/>
                      <w:sz w:val="21"/>
                      <w:szCs w:val="21"/>
                      <w:highlight w:val="none"/>
                    </w:rPr>
                    <w:t>备注</w:t>
                  </w:r>
                </w:p>
              </w:tc>
            </w:tr>
            <w:tr w14:paraId="5E404A8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202" w:hRule="atLeast"/>
                <w:tblHeader/>
                <w:jc w:val="center"/>
              </w:trPr>
              <w:tc>
                <w:tcPr>
                  <w:tcW w:w="921" w:type="dxa"/>
                  <w:vMerge w:val="continue"/>
                  <w:tcBorders>
                    <w:tl2br w:val="nil"/>
                    <w:tr2bl w:val="nil"/>
                  </w:tcBorders>
                  <w:noWrap w:val="0"/>
                  <w:vAlign w:val="center"/>
                </w:tcPr>
                <w:p w14:paraId="4ACEBF09">
                  <w:pPr>
                    <w:widowControl/>
                    <w:snapToGrid w:val="0"/>
                    <w:spacing w:line="400" w:lineRule="exact"/>
                    <w:jc w:val="center"/>
                    <w:rPr>
                      <w:rFonts w:hint="default" w:ascii="Times New Roman" w:hAnsi="Times New Roman" w:eastAsia="宋体" w:cs="Times New Roman"/>
                      <w:iCs/>
                      <w:snapToGrid/>
                      <w:color w:val="auto"/>
                      <w:kern w:val="2"/>
                      <w:sz w:val="21"/>
                      <w:szCs w:val="21"/>
                      <w:highlight w:val="none"/>
                    </w:rPr>
                  </w:pPr>
                </w:p>
              </w:tc>
              <w:tc>
                <w:tcPr>
                  <w:tcW w:w="1196" w:type="dxa"/>
                  <w:tcBorders>
                    <w:tl2br w:val="nil"/>
                    <w:tr2bl w:val="nil"/>
                  </w:tcBorders>
                  <w:noWrap w:val="0"/>
                  <w:vAlign w:val="center"/>
                </w:tcPr>
                <w:p w14:paraId="558DF8E7">
                  <w:pPr>
                    <w:widowControl/>
                    <w:snapToGrid w:val="0"/>
                    <w:spacing w:line="400" w:lineRule="exact"/>
                    <w:jc w:val="center"/>
                    <w:rPr>
                      <w:rFonts w:hint="default" w:ascii="Times New Roman" w:hAnsi="Times New Roman" w:eastAsia="宋体" w:cs="Times New Roman"/>
                      <w:b/>
                      <w:snapToGrid/>
                      <w:color w:val="auto"/>
                      <w:kern w:val="2"/>
                      <w:sz w:val="21"/>
                      <w:szCs w:val="21"/>
                      <w:highlight w:val="none"/>
                    </w:rPr>
                  </w:pPr>
                  <w:r>
                    <w:rPr>
                      <w:rFonts w:hint="default" w:ascii="Times New Roman" w:hAnsi="Times New Roman" w:eastAsia="宋体" w:cs="Times New Roman"/>
                      <w:b/>
                      <w:snapToGrid/>
                      <w:color w:val="auto"/>
                      <w:kern w:val="2"/>
                      <w:sz w:val="21"/>
                      <w:szCs w:val="21"/>
                      <w:highlight w:val="none"/>
                    </w:rPr>
                    <w:t>监测值</w:t>
                  </w:r>
                </w:p>
              </w:tc>
              <w:tc>
                <w:tcPr>
                  <w:tcW w:w="1186" w:type="dxa"/>
                  <w:tcBorders>
                    <w:tl2br w:val="nil"/>
                    <w:tr2bl w:val="nil"/>
                  </w:tcBorders>
                  <w:noWrap w:val="0"/>
                  <w:vAlign w:val="center"/>
                </w:tcPr>
                <w:p w14:paraId="56EF2163">
                  <w:pPr>
                    <w:widowControl/>
                    <w:snapToGrid w:val="0"/>
                    <w:spacing w:line="400" w:lineRule="exact"/>
                    <w:jc w:val="center"/>
                    <w:rPr>
                      <w:rFonts w:hint="default" w:ascii="Times New Roman" w:hAnsi="Times New Roman" w:eastAsia="宋体" w:cs="Times New Roman"/>
                      <w:b/>
                      <w:iCs/>
                      <w:snapToGrid/>
                      <w:color w:val="auto"/>
                      <w:kern w:val="2"/>
                      <w:sz w:val="21"/>
                      <w:szCs w:val="21"/>
                      <w:highlight w:val="none"/>
                    </w:rPr>
                  </w:pPr>
                  <w:r>
                    <w:rPr>
                      <w:rFonts w:hint="default" w:ascii="Times New Roman" w:hAnsi="Times New Roman" w:eastAsia="宋体" w:cs="Times New Roman"/>
                      <w:b/>
                      <w:snapToGrid/>
                      <w:color w:val="auto"/>
                      <w:kern w:val="2"/>
                      <w:sz w:val="21"/>
                      <w:szCs w:val="21"/>
                      <w:highlight w:val="none"/>
                    </w:rPr>
                    <w:t>标准差</w:t>
                  </w:r>
                </w:p>
              </w:tc>
              <w:tc>
                <w:tcPr>
                  <w:tcW w:w="4347" w:type="dxa"/>
                  <w:vMerge w:val="continue"/>
                  <w:tcBorders>
                    <w:tl2br w:val="nil"/>
                    <w:tr2bl w:val="nil"/>
                  </w:tcBorders>
                  <w:noWrap w:val="0"/>
                  <w:vAlign w:val="center"/>
                </w:tcPr>
                <w:p w14:paraId="5DA1B4D8">
                  <w:pPr>
                    <w:widowControl/>
                    <w:snapToGrid w:val="0"/>
                    <w:spacing w:line="400" w:lineRule="exact"/>
                    <w:jc w:val="center"/>
                    <w:rPr>
                      <w:rFonts w:hint="default" w:ascii="Times New Roman" w:hAnsi="Times New Roman" w:eastAsia="宋体" w:cs="Times New Roman"/>
                      <w:iCs/>
                      <w:snapToGrid/>
                      <w:color w:val="auto"/>
                      <w:kern w:val="2"/>
                      <w:sz w:val="21"/>
                      <w:szCs w:val="21"/>
                      <w:highlight w:val="none"/>
                    </w:rPr>
                  </w:pPr>
                </w:p>
              </w:tc>
              <w:tc>
                <w:tcPr>
                  <w:tcW w:w="643" w:type="dxa"/>
                  <w:vMerge w:val="continue"/>
                  <w:tcBorders>
                    <w:tl2br w:val="nil"/>
                    <w:tr2bl w:val="nil"/>
                  </w:tcBorders>
                  <w:noWrap w:val="0"/>
                  <w:vAlign w:val="center"/>
                </w:tcPr>
                <w:p w14:paraId="52419CEE">
                  <w:pPr>
                    <w:widowControl/>
                    <w:snapToGrid w:val="0"/>
                    <w:spacing w:line="400" w:lineRule="exact"/>
                    <w:jc w:val="center"/>
                    <w:rPr>
                      <w:rFonts w:hint="default" w:ascii="Times New Roman" w:hAnsi="Times New Roman" w:eastAsia="宋体" w:cs="Times New Roman"/>
                      <w:iCs/>
                      <w:snapToGrid/>
                      <w:color w:val="auto"/>
                      <w:kern w:val="2"/>
                      <w:sz w:val="21"/>
                      <w:szCs w:val="21"/>
                      <w:highlight w:val="none"/>
                    </w:rPr>
                  </w:pPr>
                </w:p>
              </w:tc>
            </w:tr>
            <w:tr w14:paraId="4B042A7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921" w:type="dxa"/>
                  <w:tcBorders>
                    <w:tl2br w:val="nil"/>
                    <w:tr2bl w:val="nil"/>
                  </w:tcBorders>
                  <w:noWrap w:val="0"/>
                  <w:vAlign w:val="center"/>
                </w:tcPr>
                <w:p w14:paraId="4C6FBBE0">
                  <w:pPr>
                    <w:jc w:val="center"/>
                    <w:rPr>
                      <w:rFonts w:hint="default" w:ascii="Times New Roman" w:hAnsi="Times New Roman" w:eastAsia="宋体" w:cs="Times New Roman"/>
                      <w:iCs/>
                      <w:snapToGrid/>
                      <w:color w:val="auto"/>
                      <w:kern w:val="2"/>
                      <w:sz w:val="21"/>
                      <w:szCs w:val="21"/>
                      <w:highlight w:val="none"/>
                      <w:lang w:val="en-US" w:eastAsia="zh-CN"/>
                    </w:rPr>
                  </w:pPr>
                  <w:r>
                    <w:rPr>
                      <w:rFonts w:hint="default" w:ascii="Times New Roman" w:hAnsi="Times New Roman" w:eastAsia="宋体" w:cs="Times New Roman"/>
                      <w:iCs/>
                      <w:snapToGrid/>
                      <w:color w:val="auto"/>
                      <w:kern w:val="2"/>
                      <w:sz w:val="21"/>
                      <w:szCs w:val="21"/>
                      <w:highlight w:val="none"/>
                      <w:lang w:val="en-US" w:eastAsia="zh-CN"/>
                    </w:rPr>
                    <w:t>1</w:t>
                  </w:r>
                </w:p>
              </w:tc>
              <w:tc>
                <w:tcPr>
                  <w:tcW w:w="1196" w:type="dxa"/>
                  <w:tcBorders>
                    <w:tl2br w:val="nil"/>
                    <w:tr2bl w:val="nil"/>
                  </w:tcBorders>
                  <w:noWrap w:val="0"/>
                  <w:vAlign w:val="center"/>
                </w:tcPr>
                <w:p w14:paraId="7417438D">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113.8</w:t>
                  </w:r>
                </w:p>
              </w:tc>
              <w:tc>
                <w:tcPr>
                  <w:tcW w:w="1186" w:type="dxa"/>
                  <w:tcBorders>
                    <w:tl2br w:val="nil"/>
                    <w:tr2bl w:val="nil"/>
                  </w:tcBorders>
                  <w:noWrap w:val="0"/>
                  <w:vAlign w:val="center"/>
                </w:tcPr>
                <w:p w14:paraId="35CD77FD">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0.8</w:t>
                  </w:r>
                </w:p>
              </w:tc>
              <w:tc>
                <w:tcPr>
                  <w:tcW w:w="4347" w:type="dxa"/>
                  <w:tcBorders>
                    <w:tl2br w:val="nil"/>
                    <w:tr2bl w:val="nil"/>
                  </w:tcBorders>
                  <w:shd w:val="clear" w:color="auto" w:fill="auto"/>
                  <w:noWrap w:val="0"/>
                  <w:vAlign w:val="center"/>
                </w:tcPr>
                <w:p w14:paraId="2972CEF4">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2#楼三层DSA机房下方口腔诊室1</w:t>
                  </w:r>
                </w:p>
              </w:tc>
              <w:tc>
                <w:tcPr>
                  <w:tcW w:w="643" w:type="dxa"/>
                  <w:tcBorders>
                    <w:tl2br w:val="nil"/>
                    <w:tr2bl w:val="nil"/>
                  </w:tcBorders>
                  <w:noWrap w:val="0"/>
                  <w:vAlign w:val="center"/>
                </w:tcPr>
                <w:p w14:paraId="3C111284">
                  <w:pPr>
                    <w:autoSpaceDE w:val="0"/>
                    <w:autoSpaceDN w:val="0"/>
                    <w:adjustRightInd w:val="0"/>
                    <w:snapToGrid w:val="0"/>
                    <w:jc w:val="center"/>
                    <w:rPr>
                      <w:rFonts w:hint="default" w:ascii="Times New Roman" w:hAnsi="Times New Roman" w:eastAsia="宋体" w:cs="Times New Roman"/>
                      <w:iCs/>
                      <w:color w:val="auto"/>
                      <w:kern w:val="2"/>
                      <w:sz w:val="21"/>
                      <w:szCs w:val="21"/>
                      <w:highlight w:val="none"/>
                      <w:lang w:val="en-US" w:eastAsia="zh-CN"/>
                    </w:rPr>
                  </w:pPr>
                  <w:r>
                    <w:rPr>
                      <w:rFonts w:hint="eastAsia" w:ascii="Times New Roman" w:hAnsi="Times New Roman" w:eastAsia="宋体" w:cs="Times New Roman"/>
                      <w:color w:val="auto"/>
                      <w:szCs w:val="21"/>
                      <w:highlight w:val="none"/>
                      <w:lang w:val="en-US" w:eastAsia="zh-CN"/>
                    </w:rPr>
                    <w:t>室内</w:t>
                  </w:r>
                </w:p>
              </w:tc>
            </w:tr>
            <w:tr w14:paraId="37AAE1B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921" w:type="dxa"/>
                  <w:tcBorders>
                    <w:tl2br w:val="nil"/>
                    <w:tr2bl w:val="nil"/>
                  </w:tcBorders>
                  <w:noWrap w:val="0"/>
                  <w:vAlign w:val="center"/>
                </w:tcPr>
                <w:p w14:paraId="50143FDB">
                  <w:pPr>
                    <w:jc w:val="center"/>
                    <w:rPr>
                      <w:rFonts w:hint="default" w:ascii="Times New Roman" w:hAnsi="Times New Roman" w:eastAsia="宋体" w:cs="Times New Roman"/>
                      <w:iCs/>
                      <w:snapToGrid/>
                      <w:color w:val="auto"/>
                      <w:kern w:val="2"/>
                      <w:sz w:val="21"/>
                      <w:szCs w:val="21"/>
                      <w:highlight w:val="none"/>
                      <w:lang w:val="en-US" w:eastAsia="zh-CN"/>
                    </w:rPr>
                  </w:pPr>
                  <w:r>
                    <w:rPr>
                      <w:rFonts w:hint="default" w:ascii="Times New Roman" w:hAnsi="Times New Roman" w:eastAsia="宋体" w:cs="Times New Roman"/>
                      <w:iCs/>
                      <w:snapToGrid/>
                      <w:color w:val="auto"/>
                      <w:kern w:val="2"/>
                      <w:sz w:val="21"/>
                      <w:szCs w:val="21"/>
                      <w:highlight w:val="none"/>
                      <w:lang w:val="en-US" w:eastAsia="zh-CN"/>
                    </w:rPr>
                    <w:t>2</w:t>
                  </w:r>
                </w:p>
              </w:tc>
              <w:tc>
                <w:tcPr>
                  <w:tcW w:w="1196" w:type="dxa"/>
                  <w:tcBorders>
                    <w:tl2br w:val="nil"/>
                    <w:tr2bl w:val="nil"/>
                  </w:tcBorders>
                  <w:noWrap w:val="0"/>
                  <w:vAlign w:val="center"/>
                </w:tcPr>
                <w:p w14:paraId="0C585CD3">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120.3</w:t>
                  </w:r>
                </w:p>
              </w:tc>
              <w:tc>
                <w:tcPr>
                  <w:tcW w:w="1186" w:type="dxa"/>
                  <w:tcBorders>
                    <w:tl2br w:val="nil"/>
                    <w:tr2bl w:val="nil"/>
                  </w:tcBorders>
                  <w:noWrap w:val="0"/>
                  <w:vAlign w:val="center"/>
                </w:tcPr>
                <w:p w14:paraId="6ECDE1EE">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1.1</w:t>
                  </w:r>
                </w:p>
              </w:tc>
              <w:tc>
                <w:tcPr>
                  <w:tcW w:w="4347" w:type="dxa"/>
                  <w:tcBorders>
                    <w:tl2br w:val="nil"/>
                    <w:tr2bl w:val="nil"/>
                  </w:tcBorders>
                  <w:shd w:val="clear" w:color="auto" w:fill="auto"/>
                  <w:noWrap w:val="0"/>
                  <w:vAlign w:val="center"/>
                </w:tcPr>
                <w:p w14:paraId="5F5D28B9">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2#楼四层机房内</w:t>
                  </w:r>
                </w:p>
              </w:tc>
              <w:tc>
                <w:tcPr>
                  <w:tcW w:w="643" w:type="dxa"/>
                  <w:tcBorders>
                    <w:tl2br w:val="nil"/>
                    <w:tr2bl w:val="nil"/>
                  </w:tcBorders>
                  <w:noWrap w:val="0"/>
                  <w:vAlign w:val="center"/>
                </w:tcPr>
                <w:p w14:paraId="1A129744">
                  <w:pPr>
                    <w:autoSpaceDE w:val="0"/>
                    <w:autoSpaceDN w:val="0"/>
                    <w:adjustRightInd w:val="0"/>
                    <w:snapToGrid w:val="0"/>
                    <w:jc w:val="center"/>
                    <w:rPr>
                      <w:rFonts w:hint="default" w:ascii="Times New Roman" w:hAnsi="Times New Roman" w:eastAsia="宋体" w:cs="Times New Roman"/>
                      <w:iCs/>
                      <w:color w:val="auto"/>
                      <w:kern w:val="2"/>
                      <w:sz w:val="21"/>
                      <w:szCs w:val="21"/>
                      <w:highlight w:val="none"/>
                      <w:lang w:val="en-US" w:eastAsia="zh-CN"/>
                    </w:rPr>
                  </w:pPr>
                  <w:r>
                    <w:rPr>
                      <w:rFonts w:hint="eastAsia" w:ascii="Times New Roman" w:hAnsi="Times New Roman" w:eastAsia="宋体" w:cs="Times New Roman"/>
                      <w:color w:val="auto"/>
                      <w:szCs w:val="21"/>
                      <w:highlight w:val="none"/>
                      <w:lang w:val="en-US" w:eastAsia="zh-CN"/>
                    </w:rPr>
                    <w:t>室内</w:t>
                  </w:r>
                </w:p>
              </w:tc>
            </w:tr>
            <w:tr w14:paraId="7998ED2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921" w:type="dxa"/>
                  <w:tcBorders>
                    <w:tl2br w:val="nil"/>
                    <w:tr2bl w:val="nil"/>
                  </w:tcBorders>
                  <w:noWrap w:val="0"/>
                  <w:vAlign w:val="center"/>
                </w:tcPr>
                <w:p w14:paraId="12E1CA2A">
                  <w:pPr>
                    <w:jc w:val="center"/>
                    <w:rPr>
                      <w:rFonts w:hint="default" w:ascii="Times New Roman" w:hAnsi="Times New Roman" w:eastAsia="宋体" w:cs="Times New Roman"/>
                      <w:iCs/>
                      <w:snapToGrid/>
                      <w:color w:val="auto"/>
                      <w:kern w:val="2"/>
                      <w:sz w:val="21"/>
                      <w:szCs w:val="21"/>
                      <w:highlight w:val="none"/>
                      <w:lang w:val="en-US" w:eastAsia="zh-CN"/>
                    </w:rPr>
                  </w:pPr>
                  <w:r>
                    <w:rPr>
                      <w:rFonts w:hint="default" w:ascii="Times New Roman" w:hAnsi="Times New Roman" w:eastAsia="宋体" w:cs="Times New Roman"/>
                      <w:iCs/>
                      <w:snapToGrid/>
                      <w:color w:val="auto"/>
                      <w:kern w:val="2"/>
                      <w:sz w:val="21"/>
                      <w:szCs w:val="21"/>
                      <w:highlight w:val="none"/>
                      <w:lang w:val="en-US" w:eastAsia="zh-CN"/>
                    </w:rPr>
                    <w:t>3</w:t>
                  </w:r>
                </w:p>
              </w:tc>
              <w:tc>
                <w:tcPr>
                  <w:tcW w:w="1196" w:type="dxa"/>
                  <w:tcBorders>
                    <w:tl2br w:val="nil"/>
                    <w:tr2bl w:val="nil"/>
                  </w:tcBorders>
                  <w:noWrap w:val="0"/>
                  <w:vAlign w:val="center"/>
                </w:tcPr>
                <w:p w14:paraId="55A53FF2">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121.4</w:t>
                  </w:r>
                </w:p>
              </w:tc>
              <w:tc>
                <w:tcPr>
                  <w:tcW w:w="1186" w:type="dxa"/>
                  <w:tcBorders>
                    <w:tl2br w:val="nil"/>
                    <w:tr2bl w:val="nil"/>
                  </w:tcBorders>
                  <w:noWrap w:val="0"/>
                  <w:vAlign w:val="center"/>
                </w:tcPr>
                <w:p w14:paraId="090B5911">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1.0</w:t>
                  </w:r>
                </w:p>
              </w:tc>
              <w:tc>
                <w:tcPr>
                  <w:tcW w:w="4347" w:type="dxa"/>
                  <w:tcBorders>
                    <w:tl2br w:val="nil"/>
                    <w:tr2bl w:val="nil"/>
                  </w:tcBorders>
                  <w:shd w:val="clear" w:color="auto" w:fill="auto"/>
                  <w:noWrap w:val="0"/>
                  <w:vAlign w:val="center"/>
                </w:tcPr>
                <w:p w14:paraId="1BEB4C61">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2#楼四层机房患者出入口</w:t>
                  </w:r>
                </w:p>
              </w:tc>
              <w:tc>
                <w:tcPr>
                  <w:tcW w:w="643" w:type="dxa"/>
                  <w:tcBorders>
                    <w:tl2br w:val="nil"/>
                    <w:tr2bl w:val="nil"/>
                  </w:tcBorders>
                  <w:noWrap w:val="0"/>
                  <w:vAlign w:val="center"/>
                </w:tcPr>
                <w:p w14:paraId="6687C1DF">
                  <w:pPr>
                    <w:autoSpaceDE w:val="0"/>
                    <w:autoSpaceDN w:val="0"/>
                    <w:adjustRightInd w:val="0"/>
                    <w:snapToGrid w:val="0"/>
                    <w:jc w:val="center"/>
                    <w:rPr>
                      <w:rFonts w:hint="default" w:ascii="Times New Roman" w:hAnsi="Times New Roman" w:eastAsia="宋体" w:cs="Times New Roman"/>
                      <w:iCs/>
                      <w:color w:val="auto"/>
                      <w:kern w:val="2"/>
                      <w:sz w:val="21"/>
                      <w:szCs w:val="21"/>
                      <w:highlight w:val="none"/>
                      <w:lang w:val="en-US" w:eastAsia="zh-CN"/>
                    </w:rPr>
                  </w:pPr>
                  <w:r>
                    <w:rPr>
                      <w:rFonts w:hint="eastAsia" w:ascii="Times New Roman" w:hAnsi="Times New Roman" w:eastAsia="宋体" w:cs="Times New Roman"/>
                      <w:color w:val="auto"/>
                      <w:szCs w:val="21"/>
                      <w:highlight w:val="none"/>
                      <w:lang w:val="en-US" w:eastAsia="zh-CN"/>
                    </w:rPr>
                    <w:t>室内</w:t>
                  </w:r>
                </w:p>
              </w:tc>
            </w:tr>
            <w:tr w14:paraId="18594A7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921" w:type="dxa"/>
                  <w:tcBorders>
                    <w:tl2br w:val="nil"/>
                    <w:tr2bl w:val="nil"/>
                  </w:tcBorders>
                  <w:noWrap w:val="0"/>
                  <w:vAlign w:val="center"/>
                </w:tcPr>
                <w:p w14:paraId="7EFC9FFD">
                  <w:pPr>
                    <w:jc w:val="center"/>
                    <w:rPr>
                      <w:rFonts w:hint="default" w:ascii="Times New Roman" w:hAnsi="Times New Roman" w:eastAsia="宋体" w:cs="Times New Roman"/>
                      <w:iCs/>
                      <w:snapToGrid/>
                      <w:color w:val="auto"/>
                      <w:kern w:val="2"/>
                      <w:sz w:val="21"/>
                      <w:szCs w:val="21"/>
                      <w:highlight w:val="none"/>
                      <w:lang w:val="en-US" w:eastAsia="zh-CN"/>
                    </w:rPr>
                  </w:pPr>
                  <w:r>
                    <w:rPr>
                      <w:rFonts w:hint="default" w:ascii="Times New Roman" w:hAnsi="Times New Roman" w:eastAsia="宋体" w:cs="Times New Roman"/>
                      <w:iCs/>
                      <w:snapToGrid/>
                      <w:color w:val="auto"/>
                      <w:kern w:val="2"/>
                      <w:sz w:val="21"/>
                      <w:szCs w:val="21"/>
                      <w:highlight w:val="none"/>
                      <w:lang w:val="en-US" w:eastAsia="zh-CN"/>
                    </w:rPr>
                    <w:t>4</w:t>
                  </w:r>
                </w:p>
              </w:tc>
              <w:tc>
                <w:tcPr>
                  <w:tcW w:w="1196" w:type="dxa"/>
                  <w:tcBorders>
                    <w:tl2br w:val="nil"/>
                    <w:tr2bl w:val="nil"/>
                  </w:tcBorders>
                  <w:noWrap w:val="0"/>
                  <w:vAlign w:val="center"/>
                </w:tcPr>
                <w:p w14:paraId="11C21149">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120.7</w:t>
                  </w:r>
                </w:p>
              </w:tc>
              <w:tc>
                <w:tcPr>
                  <w:tcW w:w="1186" w:type="dxa"/>
                  <w:tcBorders>
                    <w:tl2br w:val="nil"/>
                    <w:tr2bl w:val="nil"/>
                  </w:tcBorders>
                  <w:noWrap w:val="0"/>
                  <w:vAlign w:val="center"/>
                </w:tcPr>
                <w:p w14:paraId="2AA7D2E4">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1.4</w:t>
                  </w:r>
                </w:p>
              </w:tc>
              <w:tc>
                <w:tcPr>
                  <w:tcW w:w="4347" w:type="dxa"/>
                  <w:tcBorders>
                    <w:tl2br w:val="nil"/>
                    <w:tr2bl w:val="nil"/>
                  </w:tcBorders>
                  <w:shd w:val="clear" w:color="auto" w:fill="auto"/>
                  <w:noWrap w:val="0"/>
                  <w:vAlign w:val="center"/>
                </w:tcPr>
                <w:p w14:paraId="061408C6">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2#楼四层机房设备间出入口</w:t>
                  </w:r>
                </w:p>
              </w:tc>
              <w:tc>
                <w:tcPr>
                  <w:tcW w:w="643" w:type="dxa"/>
                  <w:tcBorders>
                    <w:tl2br w:val="nil"/>
                    <w:tr2bl w:val="nil"/>
                  </w:tcBorders>
                  <w:noWrap w:val="0"/>
                  <w:vAlign w:val="center"/>
                </w:tcPr>
                <w:p w14:paraId="225C3E7F">
                  <w:pPr>
                    <w:autoSpaceDE w:val="0"/>
                    <w:autoSpaceDN w:val="0"/>
                    <w:adjustRightInd w:val="0"/>
                    <w:snapToGrid w:val="0"/>
                    <w:jc w:val="center"/>
                    <w:rPr>
                      <w:rFonts w:hint="default" w:ascii="Times New Roman" w:hAnsi="Times New Roman" w:eastAsia="宋体" w:cs="Times New Roman"/>
                      <w:iCs/>
                      <w:color w:val="auto"/>
                      <w:kern w:val="2"/>
                      <w:sz w:val="21"/>
                      <w:szCs w:val="21"/>
                      <w:highlight w:val="none"/>
                      <w:lang w:val="en-US" w:eastAsia="zh-CN"/>
                    </w:rPr>
                  </w:pPr>
                  <w:r>
                    <w:rPr>
                      <w:rFonts w:hint="eastAsia" w:ascii="Times New Roman" w:hAnsi="Times New Roman" w:eastAsia="宋体" w:cs="Times New Roman"/>
                      <w:color w:val="auto"/>
                      <w:szCs w:val="21"/>
                      <w:highlight w:val="none"/>
                      <w:lang w:val="en-US" w:eastAsia="zh-CN"/>
                    </w:rPr>
                    <w:t>室内</w:t>
                  </w:r>
                </w:p>
              </w:tc>
            </w:tr>
            <w:tr w14:paraId="5DB457D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921" w:type="dxa"/>
                  <w:tcBorders>
                    <w:tl2br w:val="nil"/>
                    <w:tr2bl w:val="nil"/>
                  </w:tcBorders>
                  <w:noWrap w:val="0"/>
                  <w:vAlign w:val="center"/>
                </w:tcPr>
                <w:p w14:paraId="4E925A4D">
                  <w:pPr>
                    <w:jc w:val="center"/>
                    <w:rPr>
                      <w:rFonts w:hint="default" w:ascii="Times New Roman" w:hAnsi="Times New Roman" w:eastAsia="宋体" w:cs="Times New Roman"/>
                      <w:iCs/>
                      <w:snapToGrid/>
                      <w:color w:val="auto"/>
                      <w:kern w:val="2"/>
                      <w:sz w:val="21"/>
                      <w:szCs w:val="21"/>
                      <w:highlight w:val="none"/>
                      <w:lang w:val="en-US" w:eastAsia="zh-CN"/>
                    </w:rPr>
                  </w:pPr>
                  <w:r>
                    <w:rPr>
                      <w:rFonts w:hint="default" w:ascii="Times New Roman" w:hAnsi="Times New Roman" w:eastAsia="宋体" w:cs="Times New Roman"/>
                      <w:iCs/>
                      <w:snapToGrid/>
                      <w:color w:val="auto"/>
                      <w:kern w:val="2"/>
                      <w:sz w:val="21"/>
                      <w:szCs w:val="21"/>
                      <w:highlight w:val="none"/>
                      <w:lang w:val="en-US" w:eastAsia="zh-CN"/>
                    </w:rPr>
                    <w:t>5</w:t>
                  </w:r>
                </w:p>
              </w:tc>
              <w:tc>
                <w:tcPr>
                  <w:tcW w:w="1196" w:type="dxa"/>
                  <w:tcBorders>
                    <w:tl2br w:val="nil"/>
                    <w:tr2bl w:val="nil"/>
                  </w:tcBorders>
                  <w:noWrap w:val="0"/>
                  <w:vAlign w:val="center"/>
                </w:tcPr>
                <w:p w14:paraId="01ED407D">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121.1</w:t>
                  </w:r>
                </w:p>
              </w:tc>
              <w:tc>
                <w:tcPr>
                  <w:tcW w:w="1186" w:type="dxa"/>
                  <w:tcBorders>
                    <w:tl2br w:val="nil"/>
                    <w:tr2bl w:val="nil"/>
                  </w:tcBorders>
                  <w:noWrap w:val="0"/>
                  <w:vAlign w:val="center"/>
                </w:tcPr>
                <w:p w14:paraId="7C169EB0">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1.1</w:t>
                  </w:r>
                </w:p>
              </w:tc>
              <w:tc>
                <w:tcPr>
                  <w:tcW w:w="4347" w:type="dxa"/>
                  <w:tcBorders>
                    <w:tl2br w:val="nil"/>
                    <w:tr2bl w:val="nil"/>
                  </w:tcBorders>
                  <w:shd w:val="clear" w:color="auto" w:fill="auto"/>
                  <w:noWrap w:val="0"/>
                  <w:vAlign w:val="center"/>
                </w:tcPr>
                <w:p w14:paraId="7F541CC3">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2#楼四层机房污物间出入口</w:t>
                  </w:r>
                </w:p>
              </w:tc>
              <w:tc>
                <w:tcPr>
                  <w:tcW w:w="643" w:type="dxa"/>
                  <w:tcBorders>
                    <w:tl2br w:val="nil"/>
                    <w:tr2bl w:val="nil"/>
                  </w:tcBorders>
                  <w:noWrap w:val="0"/>
                  <w:vAlign w:val="center"/>
                </w:tcPr>
                <w:p w14:paraId="3002A52E">
                  <w:pPr>
                    <w:autoSpaceDE w:val="0"/>
                    <w:autoSpaceDN w:val="0"/>
                    <w:adjustRightInd w:val="0"/>
                    <w:snapToGrid w:val="0"/>
                    <w:jc w:val="center"/>
                    <w:rPr>
                      <w:rFonts w:hint="default" w:ascii="Times New Roman" w:hAnsi="Times New Roman" w:eastAsia="宋体" w:cs="Times New Roman"/>
                      <w:iCs/>
                      <w:color w:val="auto"/>
                      <w:kern w:val="2"/>
                      <w:sz w:val="21"/>
                      <w:szCs w:val="21"/>
                      <w:highlight w:val="none"/>
                      <w:lang w:val="en-US" w:eastAsia="zh-CN"/>
                    </w:rPr>
                  </w:pPr>
                  <w:r>
                    <w:rPr>
                      <w:rFonts w:hint="eastAsia" w:ascii="Times New Roman" w:hAnsi="Times New Roman" w:eastAsia="宋体" w:cs="Times New Roman"/>
                      <w:color w:val="auto"/>
                      <w:szCs w:val="21"/>
                      <w:highlight w:val="none"/>
                      <w:lang w:val="en-US" w:eastAsia="zh-CN"/>
                    </w:rPr>
                    <w:t>室内</w:t>
                  </w:r>
                </w:p>
              </w:tc>
            </w:tr>
            <w:tr w14:paraId="031090D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921" w:type="dxa"/>
                  <w:tcBorders>
                    <w:tl2br w:val="nil"/>
                    <w:tr2bl w:val="nil"/>
                  </w:tcBorders>
                  <w:noWrap w:val="0"/>
                  <w:vAlign w:val="center"/>
                </w:tcPr>
                <w:p w14:paraId="628C128D">
                  <w:pPr>
                    <w:jc w:val="center"/>
                    <w:rPr>
                      <w:rFonts w:hint="default" w:ascii="Times New Roman" w:hAnsi="Times New Roman" w:eastAsia="宋体" w:cs="Times New Roman"/>
                      <w:iCs/>
                      <w:snapToGrid/>
                      <w:color w:val="auto"/>
                      <w:kern w:val="2"/>
                      <w:sz w:val="21"/>
                      <w:szCs w:val="21"/>
                      <w:highlight w:val="none"/>
                      <w:lang w:val="en-US" w:eastAsia="zh-CN"/>
                    </w:rPr>
                  </w:pPr>
                  <w:r>
                    <w:rPr>
                      <w:rFonts w:hint="default" w:ascii="Times New Roman" w:hAnsi="Times New Roman" w:eastAsia="宋体" w:cs="Times New Roman"/>
                      <w:iCs/>
                      <w:snapToGrid/>
                      <w:color w:val="auto"/>
                      <w:kern w:val="2"/>
                      <w:sz w:val="21"/>
                      <w:szCs w:val="21"/>
                      <w:highlight w:val="none"/>
                      <w:lang w:val="en-US" w:eastAsia="zh-CN"/>
                    </w:rPr>
                    <w:t>6</w:t>
                  </w:r>
                </w:p>
              </w:tc>
              <w:tc>
                <w:tcPr>
                  <w:tcW w:w="1196" w:type="dxa"/>
                  <w:tcBorders>
                    <w:tl2br w:val="nil"/>
                    <w:tr2bl w:val="nil"/>
                  </w:tcBorders>
                  <w:noWrap w:val="0"/>
                  <w:vAlign w:val="center"/>
                </w:tcPr>
                <w:p w14:paraId="4778CC65">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120.4</w:t>
                  </w:r>
                </w:p>
              </w:tc>
              <w:tc>
                <w:tcPr>
                  <w:tcW w:w="1186" w:type="dxa"/>
                  <w:tcBorders>
                    <w:tl2br w:val="nil"/>
                    <w:tr2bl w:val="nil"/>
                  </w:tcBorders>
                  <w:noWrap w:val="0"/>
                  <w:vAlign w:val="center"/>
                </w:tcPr>
                <w:p w14:paraId="2FE8FE1A">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1.0</w:t>
                  </w:r>
                </w:p>
              </w:tc>
              <w:tc>
                <w:tcPr>
                  <w:tcW w:w="4347" w:type="dxa"/>
                  <w:tcBorders>
                    <w:tl2br w:val="nil"/>
                    <w:tr2bl w:val="nil"/>
                  </w:tcBorders>
                  <w:shd w:val="clear" w:color="auto" w:fill="auto"/>
                  <w:noWrap w:val="0"/>
                  <w:vAlign w:val="center"/>
                </w:tcPr>
                <w:p w14:paraId="072398ED">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2#楼四层机房控制室出入口</w:t>
                  </w:r>
                </w:p>
              </w:tc>
              <w:tc>
                <w:tcPr>
                  <w:tcW w:w="643" w:type="dxa"/>
                  <w:tcBorders>
                    <w:tl2br w:val="nil"/>
                    <w:tr2bl w:val="nil"/>
                  </w:tcBorders>
                  <w:noWrap w:val="0"/>
                  <w:vAlign w:val="center"/>
                </w:tcPr>
                <w:p w14:paraId="50ED6C79">
                  <w:pPr>
                    <w:autoSpaceDE w:val="0"/>
                    <w:autoSpaceDN w:val="0"/>
                    <w:adjustRightInd w:val="0"/>
                    <w:snapToGrid w:val="0"/>
                    <w:jc w:val="center"/>
                    <w:rPr>
                      <w:rFonts w:hint="default" w:ascii="Times New Roman" w:hAnsi="Times New Roman" w:eastAsia="宋体" w:cs="Times New Roman"/>
                      <w:iCs/>
                      <w:color w:val="auto"/>
                      <w:kern w:val="2"/>
                      <w:sz w:val="21"/>
                      <w:szCs w:val="21"/>
                      <w:highlight w:val="none"/>
                      <w:lang w:val="en-US" w:eastAsia="zh-CN"/>
                    </w:rPr>
                  </w:pPr>
                  <w:r>
                    <w:rPr>
                      <w:rFonts w:hint="eastAsia" w:ascii="Times New Roman" w:hAnsi="Times New Roman" w:eastAsia="宋体" w:cs="Times New Roman"/>
                      <w:color w:val="auto"/>
                      <w:szCs w:val="21"/>
                      <w:highlight w:val="none"/>
                      <w:lang w:val="en-US" w:eastAsia="zh-CN"/>
                    </w:rPr>
                    <w:t>室内</w:t>
                  </w:r>
                </w:p>
              </w:tc>
            </w:tr>
            <w:tr w14:paraId="1F718C56">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921" w:type="dxa"/>
                  <w:tcBorders>
                    <w:tl2br w:val="nil"/>
                    <w:tr2bl w:val="nil"/>
                  </w:tcBorders>
                  <w:noWrap w:val="0"/>
                  <w:vAlign w:val="center"/>
                </w:tcPr>
                <w:p w14:paraId="22B50917">
                  <w:pPr>
                    <w:jc w:val="center"/>
                    <w:rPr>
                      <w:rFonts w:hint="default" w:ascii="Times New Roman" w:hAnsi="Times New Roman" w:eastAsia="宋体" w:cs="Times New Roman"/>
                      <w:iCs/>
                      <w:snapToGrid/>
                      <w:color w:val="auto"/>
                      <w:kern w:val="2"/>
                      <w:sz w:val="21"/>
                      <w:szCs w:val="21"/>
                      <w:highlight w:val="none"/>
                      <w:lang w:val="en-US" w:eastAsia="zh-CN"/>
                    </w:rPr>
                  </w:pPr>
                  <w:r>
                    <w:rPr>
                      <w:rFonts w:hint="default" w:ascii="Times New Roman" w:hAnsi="Times New Roman" w:eastAsia="宋体" w:cs="Times New Roman"/>
                      <w:iCs/>
                      <w:snapToGrid/>
                      <w:color w:val="auto"/>
                      <w:kern w:val="2"/>
                      <w:sz w:val="21"/>
                      <w:szCs w:val="21"/>
                      <w:highlight w:val="none"/>
                      <w:lang w:val="en-US" w:eastAsia="zh-CN"/>
                    </w:rPr>
                    <w:t>7</w:t>
                  </w:r>
                </w:p>
              </w:tc>
              <w:tc>
                <w:tcPr>
                  <w:tcW w:w="1196" w:type="dxa"/>
                  <w:tcBorders>
                    <w:tl2br w:val="nil"/>
                    <w:tr2bl w:val="nil"/>
                  </w:tcBorders>
                  <w:noWrap w:val="0"/>
                  <w:vAlign w:val="center"/>
                </w:tcPr>
                <w:p w14:paraId="7BC82A5E">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118.9</w:t>
                  </w:r>
                </w:p>
              </w:tc>
              <w:tc>
                <w:tcPr>
                  <w:tcW w:w="1186" w:type="dxa"/>
                  <w:tcBorders>
                    <w:tl2br w:val="nil"/>
                    <w:tr2bl w:val="nil"/>
                  </w:tcBorders>
                  <w:noWrap w:val="0"/>
                  <w:vAlign w:val="center"/>
                </w:tcPr>
                <w:p w14:paraId="3614C710">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0.7</w:t>
                  </w:r>
                </w:p>
              </w:tc>
              <w:tc>
                <w:tcPr>
                  <w:tcW w:w="4347" w:type="dxa"/>
                  <w:tcBorders>
                    <w:tl2br w:val="nil"/>
                    <w:tr2bl w:val="nil"/>
                  </w:tcBorders>
                  <w:shd w:val="clear" w:color="auto" w:fill="auto"/>
                  <w:noWrap w:val="0"/>
                  <w:vAlign w:val="center"/>
                </w:tcPr>
                <w:p w14:paraId="7654BC80">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2#楼四层机房控制室观察窗处</w:t>
                  </w:r>
                </w:p>
              </w:tc>
              <w:tc>
                <w:tcPr>
                  <w:tcW w:w="643" w:type="dxa"/>
                  <w:tcBorders>
                    <w:tl2br w:val="nil"/>
                    <w:tr2bl w:val="nil"/>
                  </w:tcBorders>
                  <w:noWrap w:val="0"/>
                  <w:vAlign w:val="center"/>
                </w:tcPr>
                <w:p w14:paraId="1775BA28">
                  <w:pPr>
                    <w:autoSpaceDE w:val="0"/>
                    <w:autoSpaceDN w:val="0"/>
                    <w:adjustRightInd w:val="0"/>
                    <w:snapToGrid w:val="0"/>
                    <w:jc w:val="center"/>
                    <w:rPr>
                      <w:rFonts w:hint="default" w:ascii="Times New Roman" w:hAnsi="Times New Roman" w:eastAsia="宋体" w:cs="Times New Roman"/>
                      <w:iCs/>
                      <w:color w:val="auto"/>
                      <w:kern w:val="2"/>
                      <w:sz w:val="21"/>
                      <w:szCs w:val="21"/>
                      <w:highlight w:val="none"/>
                      <w:lang w:val="en-US" w:eastAsia="zh-CN"/>
                    </w:rPr>
                  </w:pPr>
                  <w:r>
                    <w:rPr>
                      <w:rFonts w:hint="eastAsia" w:ascii="Times New Roman" w:hAnsi="Times New Roman" w:eastAsia="宋体" w:cs="Times New Roman"/>
                      <w:color w:val="auto"/>
                      <w:szCs w:val="21"/>
                      <w:highlight w:val="none"/>
                      <w:lang w:val="en-US" w:eastAsia="zh-CN"/>
                    </w:rPr>
                    <w:t>室内</w:t>
                  </w:r>
                </w:p>
              </w:tc>
            </w:tr>
            <w:tr w14:paraId="6306E86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921" w:type="dxa"/>
                  <w:tcBorders>
                    <w:tl2br w:val="nil"/>
                    <w:tr2bl w:val="nil"/>
                  </w:tcBorders>
                  <w:noWrap w:val="0"/>
                  <w:vAlign w:val="center"/>
                </w:tcPr>
                <w:p w14:paraId="24924334">
                  <w:pPr>
                    <w:jc w:val="center"/>
                    <w:rPr>
                      <w:rFonts w:hint="default" w:ascii="Times New Roman" w:hAnsi="Times New Roman" w:eastAsia="宋体" w:cs="Times New Roman"/>
                      <w:iCs/>
                      <w:snapToGrid/>
                      <w:color w:val="auto"/>
                      <w:kern w:val="2"/>
                      <w:sz w:val="21"/>
                      <w:szCs w:val="21"/>
                      <w:highlight w:val="none"/>
                      <w:lang w:val="en-US" w:eastAsia="zh-CN"/>
                    </w:rPr>
                  </w:pPr>
                  <w:r>
                    <w:rPr>
                      <w:rFonts w:hint="default" w:ascii="Times New Roman" w:hAnsi="Times New Roman" w:eastAsia="宋体" w:cs="Times New Roman"/>
                      <w:iCs/>
                      <w:snapToGrid/>
                      <w:color w:val="auto"/>
                      <w:kern w:val="2"/>
                      <w:sz w:val="21"/>
                      <w:szCs w:val="21"/>
                      <w:highlight w:val="none"/>
                      <w:lang w:val="en-US" w:eastAsia="zh-CN"/>
                    </w:rPr>
                    <w:t>8</w:t>
                  </w:r>
                </w:p>
              </w:tc>
              <w:tc>
                <w:tcPr>
                  <w:tcW w:w="1196" w:type="dxa"/>
                  <w:tcBorders>
                    <w:tl2br w:val="nil"/>
                    <w:tr2bl w:val="nil"/>
                  </w:tcBorders>
                  <w:noWrap w:val="0"/>
                  <w:vAlign w:val="center"/>
                </w:tcPr>
                <w:p w14:paraId="462469BE">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120.9</w:t>
                  </w:r>
                </w:p>
              </w:tc>
              <w:tc>
                <w:tcPr>
                  <w:tcW w:w="1186" w:type="dxa"/>
                  <w:tcBorders>
                    <w:tl2br w:val="nil"/>
                    <w:tr2bl w:val="nil"/>
                  </w:tcBorders>
                  <w:noWrap w:val="0"/>
                  <w:vAlign w:val="center"/>
                </w:tcPr>
                <w:p w14:paraId="4D448802">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0.8</w:t>
                  </w:r>
                </w:p>
              </w:tc>
              <w:tc>
                <w:tcPr>
                  <w:tcW w:w="4347" w:type="dxa"/>
                  <w:tcBorders>
                    <w:tl2br w:val="nil"/>
                    <w:tr2bl w:val="nil"/>
                  </w:tcBorders>
                  <w:shd w:val="clear" w:color="auto" w:fill="auto"/>
                  <w:noWrap w:val="0"/>
                  <w:vAlign w:val="center"/>
                </w:tcPr>
                <w:p w14:paraId="27731C32">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2#楼四层机房高值耗材存放处</w:t>
                  </w:r>
                </w:p>
              </w:tc>
              <w:tc>
                <w:tcPr>
                  <w:tcW w:w="643" w:type="dxa"/>
                  <w:tcBorders>
                    <w:tl2br w:val="nil"/>
                    <w:tr2bl w:val="nil"/>
                  </w:tcBorders>
                  <w:noWrap w:val="0"/>
                  <w:vAlign w:val="center"/>
                </w:tcPr>
                <w:p w14:paraId="0B9778D5">
                  <w:pPr>
                    <w:autoSpaceDE w:val="0"/>
                    <w:autoSpaceDN w:val="0"/>
                    <w:adjustRightInd w:val="0"/>
                    <w:snapToGrid w:val="0"/>
                    <w:jc w:val="center"/>
                    <w:rPr>
                      <w:rFonts w:hint="default" w:ascii="Times New Roman" w:hAnsi="Times New Roman" w:eastAsia="宋体" w:cs="Times New Roman"/>
                      <w:iCs/>
                      <w:color w:val="auto"/>
                      <w:kern w:val="2"/>
                      <w:sz w:val="21"/>
                      <w:szCs w:val="21"/>
                      <w:highlight w:val="none"/>
                      <w:lang w:val="en-US" w:eastAsia="zh-CN"/>
                    </w:rPr>
                  </w:pPr>
                  <w:r>
                    <w:rPr>
                      <w:rFonts w:hint="eastAsia" w:ascii="Times New Roman" w:hAnsi="Times New Roman" w:eastAsia="宋体" w:cs="Times New Roman"/>
                      <w:color w:val="auto"/>
                      <w:szCs w:val="21"/>
                      <w:highlight w:val="none"/>
                      <w:lang w:val="en-US" w:eastAsia="zh-CN"/>
                    </w:rPr>
                    <w:t>室内</w:t>
                  </w:r>
                </w:p>
              </w:tc>
            </w:tr>
            <w:tr w14:paraId="6C92792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921" w:type="dxa"/>
                  <w:tcBorders>
                    <w:tl2br w:val="nil"/>
                    <w:tr2bl w:val="nil"/>
                  </w:tcBorders>
                  <w:noWrap w:val="0"/>
                  <w:vAlign w:val="center"/>
                </w:tcPr>
                <w:p w14:paraId="7520D5DD">
                  <w:pPr>
                    <w:jc w:val="center"/>
                    <w:rPr>
                      <w:rFonts w:hint="default" w:ascii="Times New Roman" w:hAnsi="Times New Roman" w:eastAsia="宋体" w:cs="Times New Roman"/>
                      <w:iCs/>
                      <w:snapToGrid/>
                      <w:color w:val="auto"/>
                      <w:kern w:val="2"/>
                      <w:sz w:val="21"/>
                      <w:szCs w:val="21"/>
                      <w:highlight w:val="none"/>
                      <w:lang w:val="en-US" w:eastAsia="zh-CN"/>
                    </w:rPr>
                  </w:pPr>
                  <w:r>
                    <w:rPr>
                      <w:rFonts w:hint="default" w:ascii="Times New Roman" w:hAnsi="Times New Roman" w:eastAsia="宋体" w:cs="Times New Roman"/>
                      <w:iCs/>
                      <w:snapToGrid/>
                      <w:color w:val="auto"/>
                      <w:kern w:val="2"/>
                      <w:sz w:val="21"/>
                      <w:szCs w:val="21"/>
                      <w:highlight w:val="none"/>
                      <w:lang w:val="en-US" w:eastAsia="zh-CN"/>
                    </w:rPr>
                    <w:t>9</w:t>
                  </w:r>
                </w:p>
              </w:tc>
              <w:tc>
                <w:tcPr>
                  <w:tcW w:w="1196" w:type="dxa"/>
                  <w:tcBorders>
                    <w:tl2br w:val="nil"/>
                    <w:tr2bl w:val="nil"/>
                  </w:tcBorders>
                  <w:noWrap w:val="0"/>
                  <w:vAlign w:val="center"/>
                </w:tcPr>
                <w:p w14:paraId="6229D89B">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120.4</w:t>
                  </w:r>
                </w:p>
              </w:tc>
              <w:tc>
                <w:tcPr>
                  <w:tcW w:w="1186" w:type="dxa"/>
                  <w:tcBorders>
                    <w:tl2br w:val="nil"/>
                    <w:tr2bl w:val="nil"/>
                  </w:tcBorders>
                  <w:noWrap w:val="0"/>
                  <w:vAlign w:val="center"/>
                </w:tcPr>
                <w:p w14:paraId="0FF3A960">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1.0</w:t>
                  </w:r>
                </w:p>
              </w:tc>
              <w:tc>
                <w:tcPr>
                  <w:tcW w:w="4347" w:type="dxa"/>
                  <w:tcBorders>
                    <w:tl2br w:val="nil"/>
                    <w:tr2bl w:val="nil"/>
                  </w:tcBorders>
                  <w:shd w:val="clear" w:color="auto" w:fill="auto"/>
                  <w:noWrap w:val="0"/>
                  <w:vAlign w:val="center"/>
                </w:tcPr>
                <w:p w14:paraId="0EE3BA09">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2#楼四层观察室</w:t>
                  </w:r>
                </w:p>
              </w:tc>
              <w:tc>
                <w:tcPr>
                  <w:tcW w:w="643" w:type="dxa"/>
                  <w:tcBorders>
                    <w:tl2br w:val="nil"/>
                    <w:tr2bl w:val="nil"/>
                  </w:tcBorders>
                  <w:noWrap w:val="0"/>
                  <w:vAlign w:val="center"/>
                </w:tcPr>
                <w:p w14:paraId="6BB543E5">
                  <w:pPr>
                    <w:autoSpaceDE w:val="0"/>
                    <w:autoSpaceDN w:val="0"/>
                    <w:adjustRightInd w:val="0"/>
                    <w:snapToGrid w:val="0"/>
                    <w:jc w:val="center"/>
                    <w:rPr>
                      <w:rFonts w:hint="default" w:ascii="Times New Roman" w:hAnsi="Times New Roman" w:eastAsia="宋体" w:cs="Times New Roman"/>
                      <w:iCs/>
                      <w:color w:val="auto"/>
                      <w:kern w:val="2"/>
                      <w:sz w:val="21"/>
                      <w:szCs w:val="21"/>
                      <w:highlight w:val="none"/>
                      <w:lang w:val="en-US" w:eastAsia="zh-CN"/>
                    </w:rPr>
                  </w:pPr>
                  <w:r>
                    <w:rPr>
                      <w:rFonts w:hint="eastAsia" w:ascii="Times New Roman" w:hAnsi="Times New Roman" w:eastAsia="宋体" w:cs="Times New Roman"/>
                      <w:color w:val="auto"/>
                      <w:szCs w:val="21"/>
                      <w:highlight w:val="none"/>
                      <w:lang w:val="en-US" w:eastAsia="zh-CN"/>
                    </w:rPr>
                    <w:t>室内</w:t>
                  </w:r>
                </w:p>
              </w:tc>
            </w:tr>
            <w:tr w14:paraId="7AA8321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921" w:type="dxa"/>
                  <w:tcBorders>
                    <w:tl2br w:val="nil"/>
                    <w:tr2bl w:val="nil"/>
                  </w:tcBorders>
                  <w:noWrap w:val="0"/>
                  <w:vAlign w:val="center"/>
                </w:tcPr>
                <w:p w14:paraId="695792EA">
                  <w:pPr>
                    <w:jc w:val="center"/>
                    <w:rPr>
                      <w:rFonts w:hint="default" w:ascii="Times New Roman" w:hAnsi="Times New Roman" w:eastAsia="宋体" w:cs="Times New Roman"/>
                      <w:iCs/>
                      <w:snapToGrid/>
                      <w:color w:val="auto"/>
                      <w:kern w:val="2"/>
                      <w:sz w:val="21"/>
                      <w:szCs w:val="21"/>
                      <w:highlight w:val="none"/>
                      <w:lang w:val="en-US" w:eastAsia="zh-CN"/>
                    </w:rPr>
                  </w:pPr>
                  <w:r>
                    <w:rPr>
                      <w:rFonts w:hint="default" w:ascii="Times New Roman" w:hAnsi="Times New Roman" w:eastAsia="宋体" w:cs="Times New Roman"/>
                      <w:iCs/>
                      <w:snapToGrid/>
                      <w:color w:val="auto"/>
                      <w:kern w:val="2"/>
                      <w:sz w:val="21"/>
                      <w:szCs w:val="21"/>
                      <w:highlight w:val="none"/>
                      <w:lang w:val="en-US" w:eastAsia="zh-CN"/>
                    </w:rPr>
                    <w:t>10</w:t>
                  </w:r>
                </w:p>
              </w:tc>
              <w:tc>
                <w:tcPr>
                  <w:tcW w:w="1196" w:type="dxa"/>
                  <w:tcBorders>
                    <w:tl2br w:val="nil"/>
                    <w:tr2bl w:val="nil"/>
                  </w:tcBorders>
                  <w:noWrap w:val="0"/>
                  <w:vAlign w:val="center"/>
                </w:tcPr>
                <w:p w14:paraId="12D5CF15">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119.8</w:t>
                  </w:r>
                </w:p>
              </w:tc>
              <w:tc>
                <w:tcPr>
                  <w:tcW w:w="1186" w:type="dxa"/>
                  <w:tcBorders>
                    <w:tl2br w:val="nil"/>
                    <w:tr2bl w:val="nil"/>
                  </w:tcBorders>
                  <w:noWrap w:val="0"/>
                  <w:vAlign w:val="center"/>
                </w:tcPr>
                <w:p w14:paraId="2EBFCAB7">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0.7</w:t>
                  </w:r>
                </w:p>
              </w:tc>
              <w:tc>
                <w:tcPr>
                  <w:tcW w:w="4347" w:type="dxa"/>
                  <w:tcBorders>
                    <w:tl2br w:val="nil"/>
                    <w:tr2bl w:val="nil"/>
                  </w:tcBorders>
                  <w:shd w:val="clear" w:color="auto" w:fill="auto"/>
                  <w:noWrap w:val="0"/>
                  <w:vAlign w:val="center"/>
                </w:tcPr>
                <w:p w14:paraId="7EE26920">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2#楼四层患者走廊东</w:t>
                  </w:r>
                </w:p>
              </w:tc>
              <w:tc>
                <w:tcPr>
                  <w:tcW w:w="643" w:type="dxa"/>
                  <w:tcBorders>
                    <w:tl2br w:val="nil"/>
                    <w:tr2bl w:val="nil"/>
                  </w:tcBorders>
                  <w:noWrap w:val="0"/>
                  <w:vAlign w:val="center"/>
                </w:tcPr>
                <w:p w14:paraId="7C79E936">
                  <w:pPr>
                    <w:autoSpaceDE w:val="0"/>
                    <w:autoSpaceDN w:val="0"/>
                    <w:adjustRightInd w:val="0"/>
                    <w:snapToGrid w:val="0"/>
                    <w:jc w:val="center"/>
                    <w:rPr>
                      <w:rFonts w:hint="default" w:ascii="Times New Roman" w:hAnsi="Times New Roman" w:eastAsia="宋体" w:cs="Times New Roman"/>
                      <w:iCs/>
                      <w:color w:val="auto"/>
                      <w:kern w:val="2"/>
                      <w:sz w:val="21"/>
                      <w:szCs w:val="21"/>
                      <w:highlight w:val="none"/>
                      <w:lang w:val="en-US" w:eastAsia="zh-CN"/>
                    </w:rPr>
                  </w:pPr>
                  <w:r>
                    <w:rPr>
                      <w:rFonts w:hint="eastAsia" w:ascii="Times New Roman" w:hAnsi="Times New Roman" w:eastAsia="宋体" w:cs="Times New Roman"/>
                      <w:color w:val="auto"/>
                      <w:szCs w:val="21"/>
                      <w:highlight w:val="none"/>
                      <w:lang w:val="en-US" w:eastAsia="zh-CN"/>
                    </w:rPr>
                    <w:t>室内</w:t>
                  </w:r>
                </w:p>
              </w:tc>
            </w:tr>
            <w:tr w14:paraId="2B3871F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921" w:type="dxa"/>
                  <w:tcBorders>
                    <w:tl2br w:val="nil"/>
                    <w:tr2bl w:val="nil"/>
                  </w:tcBorders>
                  <w:noWrap w:val="0"/>
                  <w:vAlign w:val="center"/>
                </w:tcPr>
                <w:p w14:paraId="1439E34D">
                  <w:pPr>
                    <w:jc w:val="center"/>
                    <w:rPr>
                      <w:rFonts w:hint="default" w:ascii="Times New Roman" w:hAnsi="Times New Roman" w:eastAsia="宋体" w:cs="Times New Roman"/>
                      <w:iCs/>
                      <w:snapToGrid/>
                      <w:color w:val="auto"/>
                      <w:kern w:val="2"/>
                      <w:sz w:val="21"/>
                      <w:szCs w:val="21"/>
                      <w:highlight w:val="none"/>
                      <w:lang w:val="en-US" w:eastAsia="zh-CN"/>
                    </w:rPr>
                  </w:pPr>
                  <w:r>
                    <w:rPr>
                      <w:rFonts w:hint="default" w:ascii="Times New Roman" w:hAnsi="Times New Roman" w:eastAsia="宋体" w:cs="Times New Roman"/>
                      <w:iCs/>
                      <w:snapToGrid/>
                      <w:color w:val="auto"/>
                      <w:kern w:val="2"/>
                      <w:sz w:val="21"/>
                      <w:szCs w:val="21"/>
                      <w:highlight w:val="none"/>
                      <w:lang w:val="en-US" w:eastAsia="zh-CN"/>
                    </w:rPr>
                    <w:t>11</w:t>
                  </w:r>
                </w:p>
              </w:tc>
              <w:tc>
                <w:tcPr>
                  <w:tcW w:w="1196" w:type="dxa"/>
                  <w:tcBorders>
                    <w:tl2br w:val="nil"/>
                    <w:tr2bl w:val="nil"/>
                  </w:tcBorders>
                  <w:noWrap w:val="0"/>
                  <w:vAlign w:val="center"/>
                </w:tcPr>
                <w:p w14:paraId="6E7851C7">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118.0</w:t>
                  </w:r>
                </w:p>
              </w:tc>
              <w:tc>
                <w:tcPr>
                  <w:tcW w:w="1186" w:type="dxa"/>
                  <w:tcBorders>
                    <w:tl2br w:val="nil"/>
                    <w:tr2bl w:val="nil"/>
                  </w:tcBorders>
                  <w:noWrap w:val="0"/>
                  <w:vAlign w:val="center"/>
                </w:tcPr>
                <w:p w14:paraId="085D5773">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0.7</w:t>
                  </w:r>
                </w:p>
              </w:tc>
              <w:tc>
                <w:tcPr>
                  <w:tcW w:w="4347" w:type="dxa"/>
                  <w:tcBorders>
                    <w:tl2br w:val="nil"/>
                    <w:tr2bl w:val="nil"/>
                  </w:tcBorders>
                  <w:shd w:val="clear" w:color="auto" w:fill="auto"/>
                  <w:noWrap w:val="0"/>
                  <w:vAlign w:val="center"/>
                </w:tcPr>
                <w:p w14:paraId="65CB6CE9">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2#楼四层电梯口</w:t>
                  </w:r>
                </w:p>
              </w:tc>
              <w:tc>
                <w:tcPr>
                  <w:tcW w:w="643" w:type="dxa"/>
                  <w:tcBorders>
                    <w:tl2br w:val="nil"/>
                    <w:tr2bl w:val="nil"/>
                  </w:tcBorders>
                  <w:noWrap w:val="0"/>
                  <w:vAlign w:val="center"/>
                </w:tcPr>
                <w:p w14:paraId="1BB5E125">
                  <w:pPr>
                    <w:autoSpaceDE w:val="0"/>
                    <w:autoSpaceDN w:val="0"/>
                    <w:adjustRightInd w:val="0"/>
                    <w:snapToGrid w:val="0"/>
                    <w:jc w:val="center"/>
                    <w:rPr>
                      <w:rFonts w:hint="default" w:ascii="Times New Roman" w:hAnsi="Times New Roman" w:eastAsia="宋体" w:cs="Times New Roman"/>
                      <w:iCs/>
                      <w:color w:val="auto"/>
                      <w:kern w:val="2"/>
                      <w:sz w:val="21"/>
                      <w:szCs w:val="21"/>
                      <w:highlight w:val="none"/>
                      <w:lang w:val="en-US" w:eastAsia="zh-CN"/>
                    </w:rPr>
                  </w:pPr>
                  <w:r>
                    <w:rPr>
                      <w:rFonts w:hint="eastAsia" w:ascii="Times New Roman" w:hAnsi="Times New Roman" w:eastAsia="宋体" w:cs="Times New Roman"/>
                      <w:color w:val="auto"/>
                      <w:szCs w:val="21"/>
                      <w:highlight w:val="none"/>
                      <w:lang w:val="en-US" w:eastAsia="zh-CN"/>
                    </w:rPr>
                    <w:t>室内</w:t>
                  </w:r>
                </w:p>
              </w:tc>
            </w:tr>
            <w:tr w14:paraId="6E6EEE9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921" w:type="dxa"/>
                  <w:tcBorders>
                    <w:tl2br w:val="nil"/>
                    <w:tr2bl w:val="nil"/>
                  </w:tcBorders>
                  <w:noWrap w:val="0"/>
                  <w:vAlign w:val="center"/>
                </w:tcPr>
                <w:p w14:paraId="25945A61">
                  <w:pPr>
                    <w:jc w:val="center"/>
                    <w:rPr>
                      <w:rFonts w:hint="default" w:ascii="Times New Roman" w:hAnsi="Times New Roman" w:eastAsia="宋体" w:cs="Times New Roman"/>
                      <w:iCs/>
                      <w:snapToGrid/>
                      <w:color w:val="auto"/>
                      <w:kern w:val="2"/>
                      <w:sz w:val="21"/>
                      <w:szCs w:val="21"/>
                      <w:highlight w:val="none"/>
                      <w:lang w:val="en-US" w:eastAsia="zh-CN"/>
                    </w:rPr>
                  </w:pPr>
                  <w:r>
                    <w:rPr>
                      <w:rFonts w:hint="default" w:ascii="Times New Roman" w:hAnsi="Times New Roman" w:eastAsia="宋体" w:cs="Times New Roman"/>
                      <w:iCs/>
                      <w:snapToGrid/>
                      <w:color w:val="auto"/>
                      <w:kern w:val="2"/>
                      <w:sz w:val="21"/>
                      <w:szCs w:val="21"/>
                      <w:highlight w:val="none"/>
                      <w:lang w:val="en-US" w:eastAsia="zh-CN"/>
                    </w:rPr>
                    <w:t>12</w:t>
                  </w:r>
                </w:p>
              </w:tc>
              <w:tc>
                <w:tcPr>
                  <w:tcW w:w="1196" w:type="dxa"/>
                  <w:tcBorders>
                    <w:tl2br w:val="nil"/>
                    <w:tr2bl w:val="nil"/>
                  </w:tcBorders>
                  <w:noWrap w:val="0"/>
                  <w:vAlign w:val="center"/>
                </w:tcPr>
                <w:p w14:paraId="532B9D11">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118.3</w:t>
                  </w:r>
                </w:p>
              </w:tc>
              <w:tc>
                <w:tcPr>
                  <w:tcW w:w="1186" w:type="dxa"/>
                  <w:tcBorders>
                    <w:tl2br w:val="nil"/>
                    <w:tr2bl w:val="nil"/>
                  </w:tcBorders>
                  <w:noWrap w:val="0"/>
                  <w:vAlign w:val="center"/>
                </w:tcPr>
                <w:p w14:paraId="4E14B64E">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1.1</w:t>
                  </w:r>
                </w:p>
              </w:tc>
              <w:tc>
                <w:tcPr>
                  <w:tcW w:w="4347" w:type="dxa"/>
                  <w:tcBorders>
                    <w:tl2br w:val="nil"/>
                    <w:tr2bl w:val="nil"/>
                  </w:tcBorders>
                  <w:shd w:val="clear" w:color="auto" w:fill="auto"/>
                  <w:noWrap w:val="0"/>
                  <w:vAlign w:val="center"/>
                </w:tcPr>
                <w:p w14:paraId="77A3F74C">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2#楼四层卫生间处</w:t>
                  </w:r>
                </w:p>
              </w:tc>
              <w:tc>
                <w:tcPr>
                  <w:tcW w:w="643" w:type="dxa"/>
                  <w:tcBorders>
                    <w:tl2br w:val="nil"/>
                    <w:tr2bl w:val="nil"/>
                  </w:tcBorders>
                  <w:noWrap w:val="0"/>
                  <w:vAlign w:val="center"/>
                </w:tcPr>
                <w:p w14:paraId="6FEB1278">
                  <w:pPr>
                    <w:autoSpaceDE w:val="0"/>
                    <w:autoSpaceDN w:val="0"/>
                    <w:adjustRightInd w:val="0"/>
                    <w:snapToGrid w:val="0"/>
                    <w:jc w:val="center"/>
                    <w:rPr>
                      <w:rFonts w:hint="default" w:ascii="Times New Roman" w:hAnsi="Times New Roman" w:eastAsia="宋体" w:cs="Times New Roman"/>
                      <w:iCs/>
                      <w:color w:val="auto"/>
                      <w:kern w:val="2"/>
                      <w:sz w:val="21"/>
                      <w:szCs w:val="21"/>
                      <w:highlight w:val="none"/>
                      <w:lang w:val="en-US" w:eastAsia="zh-CN"/>
                    </w:rPr>
                  </w:pPr>
                  <w:r>
                    <w:rPr>
                      <w:rFonts w:hint="eastAsia" w:ascii="Times New Roman" w:hAnsi="Times New Roman" w:eastAsia="宋体" w:cs="Times New Roman"/>
                      <w:color w:val="auto"/>
                      <w:szCs w:val="21"/>
                      <w:highlight w:val="none"/>
                      <w:lang w:val="en-US" w:eastAsia="zh-CN"/>
                    </w:rPr>
                    <w:t>室内</w:t>
                  </w:r>
                </w:p>
              </w:tc>
            </w:tr>
            <w:tr w14:paraId="46A8DB26">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921" w:type="dxa"/>
                  <w:tcBorders>
                    <w:tl2br w:val="nil"/>
                    <w:tr2bl w:val="nil"/>
                  </w:tcBorders>
                  <w:noWrap w:val="0"/>
                  <w:vAlign w:val="center"/>
                </w:tcPr>
                <w:p w14:paraId="74475D7F">
                  <w:pPr>
                    <w:jc w:val="center"/>
                    <w:rPr>
                      <w:rFonts w:hint="default" w:ascii="Times New Roman" w:hAnsi="Times New Roman" w:eastAsia="宋体" w:cs="Times New Roman"/>
                      <w:iCs/>
                      <w:snapToGrid/>
                      <w:color w:val="auto"/>
                      <w:kern w:val="2"/>
                      <w:sz w:val="21"/>
                      <w:szCs w:val="21"/>
                      <w:highlight w:val="none"/>
                      <w:lang w:val="en-US" w:eastAsia="zh-CN"/>
                    </w:rPr>
                  </w:pPr>
                  <w:r>
                    <w:rPr>
                      <w:rFonts w:hint="default" w:ascii="Times New Roman" w:hAnsi="Times New Roman" w:eastAsia="宋体" w:cs="Times New Roman"/>
                      <w:iCs/>
                      <w:snapToGrid/>
                      <w:color w:val="auto"/>
                      <w:kern w:val="2"/>
                      <w:sz w:val="21"/>
                      <w:szCs w:val="21"/>
                      <w:highlight w:val="none"/>
                      <w:lang w:val="en-US" w:eastAsia="zh-CN"/>
                    </w:rPr>
                    <w:t>13</w:t>
                  </w:r>
                </w:p>
              </w:tc>
              <w:tc>
                <w:tcPr>
                  <w:tcW w:w="1196" w:type="dxa"/>
                  <w:tcBorders>
                    <w:tl2br w:val="nil"/>
                    <w:tr2bl w:val="nil"/>
                  </w:tcBorders>
                  <w:noWrap w:val="0"/>
                  <w:vAlign w:val="center"/>
                </w:tcPr>
                <w:p w14:paraId="3B1A763A">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116.4</w:t>
                  </w:r>
                </w:p>
              </w:tc>
              <w:tc>
                <w:tcPr>
                  <w:tcW w:w="1186" w:type="dxa"/>
                  <w:tcBorders>
                    <w:tl2br w:val="nil"/>
                    <w:tr2bl w:val="nil"/>
                  </w:tcBorders>
                  <w:noWrap w:val="0"/>
                  <w:vAlign w:val="center"/>
                </w:tcPr>
                <w:p w14:paraId="14CEA47A">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1.1</w:t>
                  </w:r>
                </w:p>
              </w:tc>
              <w:tc>
                <w:tcPr>
                  <w:tcW w:w="4347" w:type="dxa"/>
                  <w:tcBorders>
                    <w:tl2br w:val="nil"/>
                    <w:tr2bl w:val="nil"/>
                  </w:tcBorders>
                  <w:shd w:val="clear" w:color="auto" w:fill="auto"/>
                  <w:noWrap w:val="0"/>
                  <w:vAlign w:val="center"/>
                </w:tcPr>
                <w:p w14:paraId="3408DF89">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2#楼五层机房正上方</w:t>
                  </w:r>
                </w:p>
              </w:tc>
              <w:tc>
                <w:tcPr>
                  <w:tcW w:w="643" w:type="dxa"/>
                  <w:tcBorders>
                    <w:tl2br w:val="nil"/>
                    <w:tr2bl w:val="nil"/>
                  </w:tcBorders>
                  <w:noWrap w:val="0"/>
                  <w:vAlign w:val="center"/>
                </w:tcPr>
                <w:p w14:paraId="0FD22BDA">
                  <w:pPr>
                    <w:autoSpaceDE w:val="0"/>
                    <w:autoSpaceDN w:val="0"/>
                    <w:adjustRightInd w:val="0"/>
                    <w:snapToGrid w:val="0"/>
                    <w:jc w:val="center"/>
                    <w:rPr>
                      <w:rFonts w:hint="default" w:ascii="Times New Roman" w:hAnsi="Times New Roman" w:eastAsia="宋体" w:cs="Times New Roman"/>
                      <w:iCs/>
                      <w:color w:val="auto"/>
                      <w:kern w:val="2"/>
                      <w:sz w:val="21"/>
                      <w:szCs w:val="21"/>
                      <w:highlight w:val="none"/>
                      <w:lang w:val="en-US" w:eastAsia="zh-CN"/>
                    </w:rPr>
                  </w:pPr>
                  <w:r>
                    <w:rPr>
                      <w:rFonts w:hint="eastAsia" w:ascii="Times New Roman" w:hAnsi="Times New Roman" w:eastAsia="宋体" w:cs="Times New Roman"/>
                      <w:color w:val="auto"/>
                      <w:szCs w:val="21"/>
                      <w:highlight w:val="none"/>
                      <w:lang w:val="en-US" w:eastAsia="zh-CN"/>
                    </w:rPr>
                    <w:t>室内</w:t>
                  </w:r>
                </w:p>
              </w:tc>
            </w:tr>
            <w:tr w14:paraId="3E8CFF8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921" w:type="dxa"/>
                  <w:tcBorders>
                    <w:tl2br w:val="nil"/>
                    <w:tr2bl w:val="nil"/>
                  </w:tcBorders>
                  <w:noWrap w:val="0"/>
                  <w:vAlign w:val="center"/>
                </w:tcPr>
                <w:p w14:paraId="6ECD5F76">
                  <w:pPr>
                    <w:jc w:val="center"/>
                    <w:rPr>
                      <w:rFonts w:hint="default" w:ascii="Times New Roman" w:hAnsi="Times New Roman" w:eastAsia="宋体" w:cs="Times New Roman"/>
                      <w:iCs/>
                      <w:snapToGrid/>
                      <w:color w:val="auto"/>
                      <w:kern w:val="2"/>
                      <w:sz w:val="21"/>
                      <w:szCs w:val="21"/>
                      <w:highlight w:val="none"/>
                      <w:lang w:val="en-US" w:eastAsia="zh-CN"/>
                    </w:rPr>
                  </w:pPr>
                  <w:r>
                    <w:rPr>
                      <w:rFonts w:hint="default" w:ascii="Times New Roman" w:hAnsi="Times New Roman" w:eastAsia="宋体" w:cs="Times New Roman"/>
                      <w:iCs/>
                      <w:snapToGrid/>
                      <w:color w:val="auto"/>
                      <w:kern w:val="2"/>
                      <w:sz w:val="21"/>
                      <w:szCs w:val="21"/>
                      <w:highlight w:val="none"/>
                      <w:lang w:val="en-US" w:eastAsia="zh-CN"/>
                    </w:rPr>
                    <w:t>14</w:t>
                  </w:r>
                </w:p>
              </w:tc>
              <w:tc>
                <w:tcPr>
                  <w:tcW w:w="1196" w:type="dxa"/>
                  <w:tcBorders>
                    <w:tl2br w:val="nil"/>
                    <w:tr2bl w:val="nil"/>
                  </w:tcBorders>
                  <w:noWrap w:val="0"/>
                  <w:vAlign w:val="center"/>
                </w:tcPr>
                <w:p w14:paraId="6BAC93C8">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122.1</w:t>
                  </w:r>
                </w:p>
              </w:tc>
              <w:tc>
                <w:tcPr>
                  <w:tcW w:w="1186" w:type="dxa"/>
                  <w:tcBorders>
                    <w:tl2br w:val="nil"/>
                    <w:tr2bl w:val="nil"/>
                  </w:tcBorders>
                  <w:noWrap w:val="0"/>
                  <w:vAlign w:val="center"/>
                </w:tcPr>
                <w:p w14:paraId="2847CC64">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1.1</w:t>
                  </w:r>
                </w:p>
              </w:tc>
              <w:tc>
                <w:tcPr>
                  <w:tcW w:w="4347" w:type="dxa"/>
                  <w:tcBorders>
                    <w:tl2br w:val="nil"/>
                    <w:tr2bl w:val="nil"/>
                  </w:tcBorders>
                  <w:shd w:val="clear" w:color="auto" w:fill="auto"/>
                  <w:noWrap w:val="0"/>
                  <w:vAlign w:val="center"/>
                </w:tcPr>
                <w:p w14:paraId="3A48609A">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1#楼四层医生办公室</w:t>
                  </w:r>
                </w:p>
              </w:tc>
              <w:tc>
                <w:tcPr>
                  <w:tcW w:w="643" w:type="dxa"/>
                  <w:tcBorders>
                    <w:tl2br w:val="nil"/>
                    <w:tr2bl w:val="nil"/>
                  </w:tcBorders>
                  <w:noWrap w:val="0"/>
                  <w:vAlign w:val="center"/>
                </w:tcPr>
                <w:p w14:paraId="3635CC1F">
                  <w:pPr>
                    <w:autoSpaceDE w:val="0"/>
                    <w:autoSpaceDN w:val="0"/>
                    <w:adjustRightInd w:val="0"/>
                    <w:snapToGrid w:val="0"/>
                    <w:jc w:val="center"/>
                    <w:rPr>
                      <w:rFonts w:hint="default" w:ascii="Times New Roman" w:hAnsi="Times New Roman" w:eastAsia="宋体" w:cs="Times New Roman"/>
                      <w:iCs/>
                      <w:color w:val="auto"/>
                      <w:kern w:val="2"/>
                      <w:sz w:val="21"/>
                      <w:szCs w:val="21"/>
                      <w:highlight w:val="none"/>
                      <w:lang w:val="en-US" w:eastAsia="zh-CN"/>
                    </w:rPr>
                  </w:pPr>
                  <w:r>
                    <w:rPr>
                      <w:rFonts w:hint="eastAsia" w:ascii="Times New Roman" w:hAnsi="Times New Roman" w:eastAsia="宋体" w:cs="Times New Roman"/>
                      <w:color w:val="auto"/>
                      <w:szCs w:val="21"/>
                      <w:highlight w:val="none"/>
                      <w:lang w:val="en-US" w:eastAsia="zh-CN"/>
                    </w:rPr>
                    <w:t>室内</w:t>
                  </w:r>
                </w:p>
              </w:tc>
            </w:tr>
            <w:tr w14:paraId="3300AA5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921" w:type="dxa"/>
                  <w:tcBorders>
                    <w:tl2br w:val="nil"/>
                    <w:tr2bl w:val="nil"/>
                  </w:tcBorders>
                  <w:noWrap w:val="0"/>
                  <w:vAlign w:val="center"/>
                </w:tcPr>
                <w:p w14:paraId="253B56C6">
                  <w:pPr>
                    <w:jc w:val="center"/>
                    <w:rPr>
                      <w:rFonts w:hint="default" w:ascii="Times New Roman" w:hAnsi="Times New Roman" w:eastAsia="宋体" w:cs="Times New Roman"/>
                      <w:iCs/>
                      <w:snapToGrid/>
                      <w:color w:val="auto"/>
                      <w:kern w:val="2"/>
                      <w:sz w:val="21"/>
                      <w:szCs w:val="21"/>
                      <w:highlight w:val="none"/>
                      <w:lang w:val="en-US" w:eastAsia="zh-CN"/>
                    </w:rPr>
                  </w:pPr>
                  <w:r>
                    <w:rPr>
                      <w:rFonts w:hint="default" w:ascii="Times New Roman" w:hAnsi="Times New Roman" w:eastAsia="宋体" w:cs="Times New Roman"/>
                      <w:iCs/>
                      <w:snapToGrid/>
                      <w:color w:val="auto"/>
                      <w:kern w:val="2"/>
                      <w:sz w:val="21"/>
                      <w:szCs w:val="21"/>
                      <w:highlight w:val="none"/>
                      <w:lang w:val="en-US" w:eastAsia="zh-CN"/>
                    </w:rPr>
                    <w:t>15</w:t>
                  </w:r>
                </w:p>
              </w:tc>
              <w:tc>
                <w:tcPr>
                  <w:tcW w:w="1196" w:type="dxa"/>
                  <w:tcBorders>
                    <w:tl2br w:val="nil"/>
                    <w:tr2bl w:val="nil"/>
                  </w:tcBorders>
                  <w:noWrap w:val="0"/>
                  <w:vAlign w:val="center"/>
                </w:tcPr>
                <w:p w14:paraId="7AB3963B">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82.3</w:t>
                  </w:r>
                </w:p>
              </w:tc>
              <w:tc>
                <w:tcPr>
                  <w:tcW w:w="1186" w:type="dxa"/>
                  <w:tcBorders>
                    <w:tl2br w:val="nil"/>
                    <w:tr2bl w:val="nil"/>
                  </w:tcBorders>
                  <w:noWrap w:val="0"/>
                  <w:vAlign w:val="center"/>
                </w:tcPr>
                <w:p w14:paraId="71329F5E">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1.0</w:t>
                  </w:r>
                </w:p>
              </w:tc>
              <w:tc>
                <w:tcPr>
                  <w:tcW w:w="4347" w:type="dxa"/>
                  <w:tcBorders>
                    <w:tl2br w:val="nil"/>
                    <w:tr2bl w:val="nil"/>
                  </w:tcBorders>
                  <w:shd w:val="clear" w:color="auto" w:fill="auto"/>
                  <w:noWrap w:val="0"/>
                  <w:vAlign w:val="center"/>
                </w:tcPr>
                <w:p w14:paraId="7A38E00A">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医院体育场处</w:t>
                  </w:r>
                </w:p>
              </w:tc>
              <w:tc>
                <w:tcPr>
                  <w:tcW w:w="643" w:type="dxa"/>
                  <w:tcBorders>
                    <w:tl2br w:val="nil"/>
                    <w:tr2bl w:val="nil"/>
                  </w:tcBorders>
                  <w:noWrap w:val="0"/>
                  <w:vAlign w:val="center"/>
                </w:tcPr>
                <w:p w14:paraId="04264D04">
                  <w:pPr>
                    <w:autoSpaceDE w:val="0"/>
                    <w:autoSpaceDN w:val="0"/>
                    <w:adjustRightInd w:val="0"/>
                    <w:snapToGrid w:val="0"/>
                    <w:jc w:val="center"/>
                    <w:rPr>
                      <w:rFonts w:hint="default" w:ascii="Times New Roman" w:hAnsi="Times New Roman" w:eastAsia="宋体" w:cs="Times New Roman"/>
                      <w:iCs/>
                      <w:color w:val="auto"/>
                      <w:kern w:val="2"/>
                      <w:sz w:val="21"/>
                      <w:szCs w:val="21"/>
                      <w:highlight w:val="none"/>
                      <w:lang w:val="en-US" w:eastAsia="zh-CN"/>
                    </w:rPr>
                  </w:pPr>
                  <w:r>
                    <w:rPr>
                      <w:rFonts w:hint="eastAsia" w:ascii="Times New Roman" w:hAnsi="Times New Roman" w:eastAsia="宋体" w:cs="Times New Roman"/>
                      <w:color w:val="auto"/>
                      <w:szCs w:val="21"/>
                      <w:highlight w:val="none"/>
                      <w:lang w:val="en-US" w:eastAsia="zh-CN"/>
                    </w:rPr>
                    <w:t>室内</w:t>
                  </w:r>
                </w:p>
              </w:tc>
            </w:tr>
            <w:tr w14:paraId="5C51AF5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921" w:type="dxa"/>
                  <w:tcBorders>
                    <w:tl2br w:val="nil"/>
                    <w:tr2bl w:val="nil"/>
                  </w:tcBorders>
                  <w:noWrap w:val="0"/>
                  <w:vAlign w:val="center"/>
                </w:tcPr>
                <w:p w14:paraId="54E83334">
                  <w:pPr>
                    <w:jc w:val="center"/>
                    <w:rPr>
                      <w:rFonts w:hint="default" w:ascii="Times New Roman" w:hAnsi="Times New Roman" w:eastAsia="宋体" w:cs="Times New Roman"/>
                      <w:iCs/>
                      <w:snapToGrid/>
                      <w:color w:val="auto"/>
                      <w:kern w:val="2"/>
                      <w:sz w:val="21"/>
                      <w:szCs w:val="21"/>
                      <w:highlight w:val="none"/>
                      <w:lang w:val="en-US" w:eastAsia="zh-CN"/>
                    </w:rPr>
                  </w:pPr>
                  <w:r>
                    <w:rPr>
                      <w:rFonts w:hint="default" w:ascii="Times New Roman" w:hAnsi="Times New Roman" w:eastAsia="宋体" w:cs="Times New Roman"/>
                      <w:iCs/>
                      <w:snapToGrid/>
                      <w:color w:val="auto"/>
                      <w:kern w:val="2"/>
                      <w:sz w:val="21"/>
                      <w:szCs w:val="21"/>
                      <w:highlight w:val="none"/>
                      <w:lang w:val="en-US" w:eastAsia="zh-CN"/>
                    </w:rPr>
                    <w:t>16</w:t>
                  </w:r>
                </w:p>
              </w:tc>
              <w:tc>
                <w:tcPr>
                  <w:tcW w:w="1196" w:type="dxa"/>
                  <w:tcBorders>
                    <w:tl2br w:val="nil"/>
                    <w:tr2bl w:val="nil"/>
                  </w:tcBorders>
                  <w:noWrap w:val="0"/>
                  <w:vAlign w:val="center"/>
                </w:tcPr>
                <w:p w14:paraId="41BC760E">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80.8</w:t>
                  </w:r>
                </w:p>
              </w:tc>
              <w:tc>
                <w:tcPr>
                  <w:tcW w:w="1186" w:type="dxa"/>
                  <w:tcBorders>
                    <w:tl2br w:val="nil"/>
                    <w:tr2bl w:val="nil"/>
                  </w:tcBorders>
                  <w:noWrap w:val="0"/>
                  <w:vAlign w:val="center"/>
                </w:tcPr>
                <w:p w14:paraId="3C40A2A5">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0.7</w:t>
                  </w:r>
                </w:p>
              </w:tc>
              <w:tc>
                <w:tcPr>
                  <w:tcW w:w="4347" w:type="dxa"/>
                  <w:tcBorders>
                    <w:tl2br w:val="nil"/>
                    <w:tr2bl w:val="nil"/>
                  </w:tcBorders>
                  <w:shd w:val="clear" w:color="auto" w:fill="auto"/>
                  <w:noWrap w:val="0"/>
                  <w:vAlign w:val="center"/>
                </w:tcPr>
                <w:p w14:paraId="41C0FFEA">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2#楼北侧外侧</w:t>
                  </w:r>
                </w:p>
              </w:tc>
              <w:tc>
                <w:tcPr>
                  <w:tcW w:w="643" w:type="dxa"/>
                  <w:tcBorders>
                    <w:tl2br w:val="nil"/>
                    <w:tr2bl w:val="nil"/>
                  </w:tcBorders>
                  <w:noWrap w:val="0"/>
                  <w:vAlign w:val="center"/>
                </w:tcPr>
                <w:p w14:paraId="5F06548C">
                  <w:pPr>
                    <w:autoSpaceDE w:val="0"/>
                    <w:autoSpaceDN w:val="0"/>
                    <w:adjustRightInd w:val="0"/>
                    <w:snapToGrid w:val="0"/>
                    <w:jc w:val="center"/>
                    <w:rPr>
                      <w:rFonts w:hint="default" w:ascii="Times New Roman" w:hAnsi="Times New Roman" w:eastAsia="宋体" w:cs="Times New Roman"/>
                      <w:iCs/>
                      <w:color w:val="auto"/>
                      <w:kern w:val="2"/>
                      <w:sz w:val="21"/>
                      <w:szCs w:val="21"/>
                      <w:highlight w:val="none"/>
                      <w:lang w:val="en-US" w:eastAsia="zh-CN"/>
                    </w:rPr>
                  </w:pPr>
                  <w:r>
                    <w:rPr>
                      <w:rFonts w:hint="eastAsia" w:ascii="Times New Roman" w:hAnsi="Times New Roman" w:eastAsia="宋体" w:cs="Times New Roman"/>
                      <w:color w:val="auto"/>
                      <w:szCs w:val="21"/>
                      <w:highlight w:val="none"/>
                      <w:lang w:val="en-US" w:eastAsia="zh-CN"/>
                    </w:rPr>
                    <w:t>室内</w:t>
                  </w:r>
                </w:p>
              </w:tc>
            </w:tr>
            <w:tr w14:paraId="0A4B85C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921" w:type="dxa"/>
                  <w:tcBorders>
                    <w:tl2br w:val="nil"/>
                    <w:tr2bl w:val="nil"/>
                  </w:tcBorders>
                  <w:noWrap w:val="0"/>
                  <w:vAlign w:val="center"/>
                </w:tcPr>
                <w:p w14:paraId="6ED8BC36">
                  <w:pPr>
                    <w:jc w:val="center"/>
                    <w:rPr>
                      <w:rFonts w:hint="default" w:ascii="Times New Roman" w:hAnsi="Times New Roman" w:eastAsia="宋体" w:cs="Times New Roman"/>
                      <w:iCs/>
                      <w:snapToGrid/>
                      <w:color w:val="auto"/>
                      <w:kern w:val="2"/>
                      <w:sz w:val="21"/>
                      <w:szCs w:val="21"/>
                      <w:highlight w:val="none"/>
                      <w:lang w:val="en-US" w:eastAsia="zh-CN"/>
                    </w:rPr>
                  </w:pPr>
                  <w:r>
                    <w:rPr>
                      <w:rFonts w:hint="default" w:ascii="Times New Roman" w:hAnsi="Times New Roman" w:eastAsia="宋体" w:cs="Times New Roman"/>
                      <w:iCs/>
                      <w:snapToGrid/>
                      <w:color w:val="auto"/>
                      <w:kern w:val="2"/>
                      <w:sz w:val="21"/>
                      <w:szCs w:val="21"/>
                      <w:highlight w:val="none"/>
                      <w:lang w:val="en-US" w:eastAsia="zh-CN"/>
                    </w:rPr>
                    <w:t>17</w:t>
                  </w:r>
                </w:p>
              </w:tc>
              <w:tc>
                <w:tcPr>
                  <w:tcW w:w="1196" w:type="dxa"/>
                  <w:tcBorders>
                    <w:tl2br w:val="nil"/>
                    <w:tr2bl w:val="nil"/>
                  </w:tcBorders>
                  <w:noWrap w:val="0"/>
                  <w:vAlign w:val="center"/>
                </w:tcPr>
                <w:p w14:paraId="145553FB">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88.4</w:t>
                  </w:r>
                </w:p>
              </w:tc>
              <w:tc>
                <w:tcPr>
                  <w:tcW w:w="1186" w:type="dxa"/>
                  <w:tcBorders>
                    <w:tl2br w:val="nil"/>
                    <w:tr2bl w:val="nil"/>
                  </w:tcBorders>
                  <w:noWrap w:val="0"/>
                  <w:vAlign w:val="center"/>
                </w:tcPr>
                <w:p w14:paraId="6DC845E7">
                  <w:pPr>
                    <w:jc w:val="center"/>
                    <w:rPr>
                      <w:rFonts w:hint="default" w:ascii="Times New Roman" w:hAnsi="Times New Roman" w:eastAsia="宋体" w:cs="Times New Roman"/>
                      <w:iCs/>
                      <w:snapToGrid/>
                      <w:color w:val="auto"/>
                      <w:kern w:val="2"/>
                      <w:sz w:val="21"/>
                      <w:szCs w:val="21"/>
                      <w:highlight w:val="none"/>
                      <w:lang w:val="en-US" w:eastAsia="zh-CN"/>
                    </w:rPr>
                  </w:pPr>
                  <w:r>
                    <w:rPr>
                      <w:rFonts w:hint="eastAsia" w:ascii="Times New Roman" w:hAnsi="Times New Roman" w:eastAsia="宋体" w:cs="Times New Roman"/>
                      <w:iCs/>
                      <w:snapToGrid/>
                      <w:color w:val="auto"/>
                      <w:kern w:val="2"/>
                      <w:sz w:val="21"/>
                      <w:szCs w:val="21"/>
                      <w:highlight w:val="none"/>
                      <w:lang w:val="en-US" w:eastAsia="zh-CN"/>
                    </w:rPr>
                    <w:t>0.8</w:t>
                  </w:r>
                </w:p>
              </w:tc>
              <w:tc>
                <w:tcPr>
                  <w:tcW w:w="4347" w:type="dxa"/>
                  <w:tcBorders>
                    <w:tl2br w:val="nil"/>
                    <w:tr2bl w:val="nil"/>
                  </w:tcBorders>
                  <w:shd w:val="clear" w:color="auto" w:fill="auto"/>
                  <w:noWrap w:val="0"/>
                  <w:vAlign w:val="center"/>
                </w:tcPr>
                <w:p w14:paraId="6AD8A1A8">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2#楼东侧外侧</w:t>
                  </w:r>
                </w:p>
              </w:tc>
              <w:tc>
                <w:tcPr>
                  <w:tcW w:w="643" w:type="dxa"/>
                  <w:tcBorders>
                    <w:tl2br w:val="nil"/>
                    <w:tr2bl w:val="nil"/>
                  </w:tcBorders>
                  <w:noWrap w:val="0"/>
                  <w:vAlign w:val="center"/>
                </w:tcPr>
                <w:p w14:paraId="6220D871">
                  <w:pPr>
                    <w:autoSpaceDE w:val="0"/>
                    <w:autoSpaceDN w:val="0"/>
                    <w:adjustRightInd w:val="0"/>
                    <w:snapToGrid w:val="0"/>
                    <w:jc w:val="center"/>
                    <w:rPr>
                      <w:rFonts w:hint="default" w:ascii="Times New Roman" w:hAnsi="Times New Roman" w:eastAsia="宋体" w:cs="Times New Roman"/>
                      <w:iCs/>
                      <w:color w:val="auto"/>
                      <w:kern w:val="2"/>
                      <w:sz w:val="21"/>
                      <w:szCs w:val="21"/>
                      <w:highlight w:val="none"/>
                      <w:lang w:val="en-US" w:eastAsia="zh-CN"/>
                    </w:rPr>
                  </w:pPr>
                  <w:r>
                    <w:rPr>
                      <w:rFonts w:hint="eastAsia" w:ascii="Times New Roman" w:hAnsi="Times New Roman" w:eastAsia="宋体" w:cs="Times New Roman"/>
                      <w:color w:val="auto"/>
                      <w:szCs w:val="21"/>
                      <w:highlight w:val="none"/>
                      <w:lang w:val="en-US" w:eastAsia="zh-CN"/>
                    </w:rPr>
                    <w:t>室内</w:t>
                  </w:r>
                </w:p>
              </w:tc>
            </w:tr>
          </w:tbl>
          <w:p w14:paraId="49775755">
            <w:pPr>
              <w:ind w:firstLine="360" w:firstLineChars="200"/>
              <w:jc w:val="left"/>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注：以上监测数据未扣除仪器宇宙射线响应值。</w:t>
            </w:r>
          </w:p>
          <w:p w14:paraId="1824724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cs="Times New Roman"/>
                <w:b w:val="0"/>
                <w:bCs/>
                <w:snapToGrid/>
                <w:color w:val="auto"/>
                <w:kern w:val="2"/>
                <w:sz w:val="24"/>
                <w:highlight w:val="none"/>
                <w:lang w:val="en-US" w:eastAsia="zh-CN"/>
              </w:rPr>
              <w:t>由监测报告得知，</w:t>
            </w:r>
            <w:r>
              <w:rPr>
                <w:rFonts w:hint="default" w:ascii="Times New Roman" w:hAnsi="Times New Roman" w:eastAsia="宋体" w:cs="Times New Roman"/>
                <w:b w:val="0"/>
                <w:bCs/>
                <w:color w:val="auto"/>
                <w:sz w:val="24"/>
                <w:szCs w:val="24"/>
                <w:highlight w:val="none"/>
                <w:lang w:val="en-US" w:eastAsia="zh-CN"/>
              </w:rPr>
              <w:t>项目所在区域的X-γ辐射背景值为</w:t>
            </w:r>
            <w:r>
              <w:rPr>
                <w:rFonts w:hint="eastAsia" w:ascii="Times New Roman" w:hAnsi="Times New Roman" w:cs="Times New Roman"/>
                <w:b w:val="0"/>
                <w:bCs/>
                <w:color w:val="auto"/>
                <w:sz w:val="24"/>
                <w:szCs w:val="24"/>
                <w:highlight w:val="none"/>
                <w:lang w:val="en-US" w:eastAsia="zh-CN"/>
              </w:rPr>
              <w:t>82.3</w:t>
            </w:r>
            <w:r>
              <w:rPr>
                <w:rFonts w:hint="default" w:ascii="Times New Roman" w:hAnsi="Times New Roman" w:eastAsia="宋体" w:cs="Times New Roman"/>
                <w:b w:val="0"/>
                <w:bCs/>
                <w:color w:val="auto"/>
                <w:sz w:val="24"/>
                <w:szCs w:val="24"/>
                <w:highlight w:val="none"/>
                <w:lang w:val="en-US" w:eastAsia="zh-CN"/>
              </w:rPr>
              <w:t xml:space="preserve"> nGy/h ~</w:t>
            </w:r>
            <w:r>
              <w:rPr>
                <w:rFonts w:hint="default" w:ascii="Times New Roman" w:hAnsi="Times New Roman" w:cs="Times New Roman"/>
                <w:b w:val="0"/>
                <w:bCs/>
                <w:color w:val="auto"/>
                <w:sz w:val="24"/>
                <w:szCs w:val="24"/>
                <w:highlight w:val="none"/>
                <w:lang w:val="en-US" w:eastAsia="zh-CN"/>
              </w:rPr>
              <w:t>1</w:t>
            </w:r>
            <w:r>
              <w:rPr>
                <w:rFonts w:hint="eastAsia" w:ascii="Times New Roman" w:hAnsi="Times New Roman" w:cs="Times New Roman"/>
                <w:b w:val="0"/>
                <w:bCs/>
                <w:color w:val="auto"/>
                <w:sz w:val="24"/>
                <w:szCs w:val="24"/>
                <w:highlight w:val="none"/>
                <w:lang w:val="en-US" w:eastAsia="zh-CN"/>
              </w:rPr>
              <w:t>22.1</w:t>
            </w:r>
            <w:r>
              <w:rPr>
                <w:rFonts w:hint="default" w:ascii="Times New Roman" w:hAnsi="Times New Roman" w:eastAsia="宋体" w:cs="Times New Roman"/>
                <w:b w:val="0"/>
                <w:bCs/>
                <w:color w:val="auto"/>
                <w:sz w:val="24"/>
                <w:szCs w:val="24"/>
                <w:highlight w:val="none"/>
                <w:lang w:val="en-US" w:eastAsia="zh-CN"/>
              </w:rPr>
              <w:t xml:space="preserve"> nGy/h，与四川省生态环境厅《2024年四川省生态环境状况公报》中</w:t>
            </w:r>
            <w:r>
              <w:rPr>
                <w:rFonts w:hint="eastAsia" w:ascii="Times New Roman" w:hAnsi="Times New Roman" w:eastAsia="宋体" w:cs="Times New Roman"/>
                <w:b w:val="0"/>
                <w:bCs/>
                <w:color w:val="auto"/>
                <w:sz w:val="24"/>
                <w:szCs w:val="24"/>
                <w:highlight w:val="none"/>
                <w:lang w:val="en-US" w:eastAsia="zh-CN"/>
              </w:rPr>
              <w:t>巴中市</w:t>
            </w:r>
            <w:r>
              <w:rPr>
                <w:rFonts w:hint="default" w:ascii="Times New Roman" w:hAnsi="Times New Roman" w:eastAsia="宋体" w:cs="Times New Roman"/>
                <w:b w:val="0"/>
                <w:bCs/>
                <w:color w:val="auto"/>
                <w:sz w:val="24"/>
                <w:szCs w:val="24"/>
                <w:highlight w:val="none"/>
                <w:lang w:val="en-US" w:eastAsia="zh-CN"/>
              </w:rPr>
              <w:t>辐射环境自动监测站实时连续监测空气吸收剂量率监测结果（</w:t>
            </w:r>
            <w:r>
              <w:rPr>
                <w:rFonts w:hint="eastAsia" w:ascii="Times New Roman" w:hAnsi="Times New Roman" w:eastAsia="宋体" w:cs="Times New Roman"/>
                <w:b w:val="0"/>
                <w:bCs/>
                <w:color w:val="auto"/>
                <w:sz w:val="24"/>
                <w:szCs w:val="24"/>
                <w:highlight w:val="none"/>
                <w:lang w:val="en-US" w:eastAsia="zh-CN"/>
              </w:rPr>
              <w:t>70-</w:t>
            </w:r>
            <w:r>
              <w:rPr>
                <w:rFonts w:hint="default" w:ascii="Times New Roman" w:hAnsi="Times New Roman" w:eastAsia="宋体" w:cs="Times New Roman"/>
                <w:b w:val="0"/>
                <w:bCs/>
                <w:color w:val="auto"/>
                <w:sz w:val="24"/>
                <w:szCs w:val="24"/>
                <w:highlight w:val="none"/>
                <w:lang w:val="en-US" w:eastAsia="zh-CN"/>
              </w:rPr>
              <w:t>1</w:t>
            </w:r>
            <w:r>
              <w:rPr>
                <w:rFonts w:hint="eastAsia" w:ascii="Times New Roman" w:hAnsi="Times New Roman" w:eastAsia="宋体" w:cs="Times New Roman"/>
                <w:b w:val="0"/>
                <w:bCs/>
                <w:color w:val="auto"/>
                <w:sz w:val="24"/>
                <w:szCs w:val="24"/>
                <w:highlight w:val="none"/>
                <w:lang w:val="en-US" w:eastAsia="zh-CN"/>
              </w:rPr>
              <w:t>0</w:t>
            </w:r>
            <w:r>
              <w:rPr>
                <w:rFonts w:hint="default" w:ascii="Times New Roman" w:hAnsi="Times New Roman" w:eastAsia="宋体" w:cs="Times New Roman"/>
                <w:b w:val="0"/>
                <w:bCs/>
                <w:color w:val="auto"/>
                <w:sz w:val="24"/>
                <w:szCs w:val="24"/>
                <w:highlight w:val="none"/>
                <w:lang w:val="en-US" w:eastAsia="zh-CN"/>
              </w:rPr>
              <w:t>0nGy）</w:t>
            </w:r>
            <w:r>
              <w:rPr>
                <w:rFonts w:hint="eastAsia" w:ascii="Times New Roman" w:hAnsi="Times New Roman" w:cs="Times New Roman"/>
                <w:b w:val="0"/>
                <w:bCs/>
                <w:color w:val="auto"/>
                <w:sz w:val="24"/>
                <w:szCs w:val="24"/>
                <w:highlight w:val="none"/>
                <w:lang w:val="en-US" w:eastAsia="zh-CN"/>
              </w:rPr>
              <w:t>基本</w:t>
            </w:r>
            <w:r>
              <w:rPr>
                <w:rFonts w:hint="default" w:ascii="Times New Roman" w:hAnsi="Times New Roman" w:eastAsia="宋体" w:cs="Times New Roman"/>
                <w:b w:val="0"/>
                <w:bCs/>
                <w:color w:val="auto"/>
                <w:sz w:val="24"/>
                <w:szCs w:val="24"/>
                <w:highlight w:val="none"/>
                <w:lang w:val="en-US" w:eastAsia="zh-CN"/>
              </w:rPr>
              <w:t>相当，属于当地天然本底辐射水平。</w:t>
            </w:r>
          </w:p>
          <w:p w14:paraId="5FA2EBD8">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b w:val="0"/>
                <w:bCs/>
                <w:color w:val="auto"/>
                <w:sz w:val="24"/>
                <w:szCs w:val="24"/>
                <w:highlight w:val="none"/>
                <w:lang w:val="en-US" w:eastAsia="zh-CN"/>
              </w:rPr>
            </w:pPr>
            <w:r>
              <w:rPr>
                <w:rFonts w:hint="eastAsia" w:ascii="Times New Roman" w:hAnsi="Times New Roman" w:eastAsia="宋体" w:cs="Times New Roman"/>
                <w:b w:val="0"/>
                <w:bCs/>
                <w:snapToGrid/>
                <w:color w:val="auto"/>
                <w:kern w:val="2"/>
                <w:sz w:val="24"/>
                <w:highlight w:val="none"/>
                <w:lang w:val="en-US" w:eastAsia="zh-CN"/>
              </w:rPr>
              <w:t>本项目监测值略偏高的主要原因在于：一是监测点位多位于建筑物室内，建筑材料中的天然放射性核素会对γ射线产生一定的散射和屏蔽效应，导致室内剂量率通常高于室外开阔环境；二是DSA介入室</w:t>
            </w:r>
            <w:r>
              <w:rPr>
                <w:rFonts w:hint="eastAsia" w:ascii="Times New Roman" w:hAnsi="Times New Roman" w:cs="Times New Roman"/>
                <w:b w:val="0"/>
                <w:bCs/>
                <w:snapToGrid/>
                <w:color w:val="auto"/>
                <w:kern w:val="2"/>
                <w:sz w:val="24"/>
                <w:highlight w:val="none"/>
                <w:lang w:val="en-US" w:eastAsia="zh-CN"/>
              </w:rPr>
              <w:t>基础工程正在建设中，</w:t>
            </w:r>
            <w:r>
              <w:rPr>
                <w:rFonts w:hint="eastAsia" w:ascii="Times New Roman" w:hAnsi="Times New Roman" w:eastAsia="宋体" w:cs="Times New Roman"/>
                <w:b w:val="0"/>
                <w:bCs/>
                <w:snapToGrid/>
                <w:color w:val="auto"/>
                <w:kern w:val="2"/>
                <w:sz w:val="24"/>
                <w:highlight w:val="none"/>
                <w:lang w:val="en-US" w:eastAsia="zh-CN"/>
              </w:rPr>
              <w:t>拟建址内部点位因空间相对封闭、墙体材料密度较高，形成了一定的本底累积效应。拟建址内部点位剂量率最高，室外点位剂量率低于室内，这一分布规律符合放射性物质在屏蔽介质中的衰减规律。</w:t>
            </w:r>
          </w:p>
          <w:p w14:paraId="351BD4BF">
            <w:pPr>
              <w:adjustRightInd w:val="0"/>
              <w:snapToGrid w:val="0"/>
              <w:spacing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九、小结</w:t>
            </w:r>
          </w:p>
          <w:p w14:paraId="6AE5BDDA">
            <w:pPr>
              <w:adjustRightInd w:val="0"/>
              <w:snapToGrid w:val="0"/>
              <w:spacing w:line="360" w:lineRule="auto"/>
              <w:ind w:firstLine="480" w:firstLineChars="200"/>
              <w:rPr>
                <w:rFonts w:hint="default" w:ascii="Times New Roman" w:hAnsi="Times New Roman" w:cs="Times New Roman"/>
                <w:color w:val="auto"/>
                <w:highlight w:val="none"/>
                <w:lang w:val="en-GB"/>
              </w:rPr>
            </w:pPr>
            <w:r>
              <w:rPr>
                <w:rFonts w:hint="default" w:ascii="Times New Roman" w:hAnsi="Times New Roman" w:cs="Times New Roman"/>
                <w:color w:val="auto"/>
                <w:sz w:val="24"/>
                <w:highlight w:val="none"/>
              </w:rPr>
              <w:t>本项目监测所用仪器已由计量部门年检，且在有效期内；监测方法按国家相关标准实施；测量不确定度符合统计学要求；布点合理、人员合格、结果可信，能够反映出辐射工作场所的客观辐射水平，可以作为本次评价的科学依据。</w:t>
            </w:r>
          </w:p>
          <w:p w14:paraId="491C8CF6">
            <w:pPr>
              <w:pStyle w:val="10"/>
              <w:rPr>
                <w:rFonts w:hint="default" w:ascii="Times New Roman" w:hAnsi="Times New Roman" w:cs="Times New Roman"/>
                <w:color w:val="auto"/>
                <w:highlight w:val="none"/>
                <w:lang w:val="en-GB"/>
              </w:rPr>
            </w:pPr>
          </w:p>
        </w:tc>
      </w:tr>
    </w:tbl>
    <w:p w14:paraId="30B3E687">
      <w:pPr>
        <w:pStyle w:val="2"/>
        <w:adjustRightInd w:val="0"/>
        <w:snapToGrid w:val="0"/>
        <w:spacing w:before="0" w:after="0" w:line="360" w:lineRule="auto"/>
        <w:jc w:val="center"/>
        <w:rPr>
          <w:rFonts w:hint="default" w:ascii="Times New Roman" w:hAnsi="Times New Roman" w:cs="Times New Roman"/>
          <w:color w:val="auto"/>
          <w:sz w:val="30"/>
          <w:szCs w:val="30"/>
          <w:highlight w:val="none"/>
          <w:lang w:val="en-GB"/>
        </w:rPr>
        <w:sectPr>
          <w:pgSz w:w="11907" w:h="16840"/>
          <w:pgMar w:top="1440" w:right="1803" w:bottom="1440" w:left="1803" w:header="851" w:footer="850" w:gutter="0"/>
          <w:pgBorders>
            <w:top w:val="none" w:sz="0" w:space="0"/>
            <w:left w:val="none" w:sz="0" w:space="0"/>
            <w:bottom w:val="none" w:sz="0" w:space="0"/>
            <w:right w:val="none" w:sz="0" w:space="0"/>
          </w:pgBorders>
          <w:cols w:space="720" w:num="1"/>
          <w:docGrid w:type="linesAndChars" w:linePitch="319" w:charSpace="0"/>
        </w:sectPr>
      </w:pPr>
      <w:bookmarkStart w:id="40" w:name="_Toc149"/>
      <w:bookmarkStart w:id="41" w:name="_Toc448838920"/>
      <w:bookmarkStart w:id="42" w:name="_Toc2393"/>
    </w:p>
    <w:p w14:paraId="5ADF8377">
      <w:pPr>
        <w:pStyle w:val="2"/>
        <w:adjustRightInd w:val="0"/>
        <w:snapToGrid w:val="0"/>
        <w:spacing w:before="0" w:after="0"/>
        <w:jc w:val="center"/>
        <w:rPr>
          <w:rFonts w:hint="default" w:ascii="Times New Roman" w:hAnsi="Times New Roman" w:cs="Times New Roman"/>
          <w:b w:val="0"/>
          <w:bCs/>
          <w:color w:val="auto"/>
          <w:sz w:val="30"/>
          <w:szCs w:val="30"/>
          <w:highlight w:val="none"/>
          <w:lang w:val="en-GB"/>
        </w:rPr>
      </w:pPr>
      <w:bookmarkStart w:id="43" w:name="_Toc18126"/>
      <w:bookmarkStart w:id="44" w:name="_Toc78"/>
      <w:bookmarkStart w:id="45" w:name="_Toc2314"/>
      <w:r>
        <w:rPr>
          <w:rFonts w:hint="default" w:ascii="Times New Roman" w:hAnsi="Times New Roman" w:cs="Times New Roman"/>
          <w:b w:val="0"/>
          <w:bCs/>
          <w:color w:val="auto"/>
          <w:sz w:val="30"/>
          <w:szCs w:val="30"/>
          <w:highlight w:val="none"/>
          <w:lang w:val="en-GB"/>
        </w:rPr>
        <w:t>表9 项目工程分析与源项</w:t>
      </w:r>
      <w:bookmarkEnd w:id="40"/>
      <w:bookmarkEnd w:id="41"/>
      <w:bookmarkEnd w:id="42"/>
      <w:bookmarkEnd w:id="43"/>
      <w:bookmarkEnd w:id="44"/>
      <w:bookmarkEnd w:id="45"/>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0"/>
      </w:tblGrid>
      <w:tr w14:paraId="11A51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7" w:hRule="atLeast"/>
        </w:trPr>
        <w:tc>
          <w:tcPr>
            <w:tcW w:w="5000" w:type="pct"/>
          </w:tcPr>
          <w:p w14:paraId="649FA647">
            <w:pPr>
              <w:adjustRightInd w:val="0"/>
              <w:snapToGrid w:val="0"/>
              <w:spacing w:line="360" w:lineRule="auto"/>
              <w:jc w:val="left"/>
              <w:rPr>
                <w:rFonts w:hint="default" w:ascii="Times New Roman" w:hAnsi="Times New Roman" w:cs="Times New Roman"/>
                <w:b/>
                <w:bCs/>
                <w:color w:val="auto"/>
                <w:kern w:val="0"/>
                <w:sz w:val="24"/>
                <w:highlight w:val="none"/>
              </w:rPr>
            </w:pPr>
            <w:bookmarkStart w:id="46" w:name="_Toc452968478"/>
            <w:bookmarkStart w:id="47" w:name="_Toc511308987"/>
            <w:bookmarkStart w:id="48" w:name="_Toc336431523"/>
            <w:bookmarkStart w:id="49" w:name="_Toc336418523"/>
            <w:bookmarkStart w:id="50" w:name="_Toc448838921"/>
            <w:r>
              <w:rPr>
                <w:rFonts w:hint="default" w:ascii="Times New Roman" w:hAnsi="Times New Roman" w:cs="Times New Roman"/>
                <w:b/>
                <w:bCs/>
                <w:color w:val="auto"/>
                <w:kern w:val="0"/>
                <w:sz w:val="24"/>
                <w:highlight w:val="none"/>
              </w:rPr>
              <w:t>工程设备和工艺分析</w:t>
            </w:r>
            <w:bookmarkEnd w:id="46"/>
            <w:bookmarkEnd w:id="47"/>
          </w:p>
          <w:p w14:paraId="128AF891">
            <w:pPr>
              <w:adjustRightInd w:val="0"/>
              <w:snapToGrid w:val="0"/>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一、施工期污染源项分析</w:t>
            </w:r>
          </w:p>
          <w:p w14:paraId="19CC6056">
            <w:pPr>
              <w:pStyle w:val="34"/>
              <w:adjustRightInd w:val="0"/>
              <w:snapToGrid w:val="0"/>
              <w:spacing w:line="360" w:lineRule="auto"/>
              <w:ind w:left="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（一）施工期间</w:t>
            </w:r>
            <w:r>
              <w:rPr>
                <w:rFonts w:hint="default" w:ascii="Times New Roman" w:hAnsi="Times New Roman" w:cs="Times New Roman"/>
                <w:color w:val="auto"/>
                <w:kern w:val="0"/>
                <w:sz w:val="24"/>
                <w:szCs w:val="24"/>
                <w:highlight w:val="none"/>
                <w:lang w:bidi="ar"/>
              </w:rPr>
              <w:t>的环境影响分析</w:t>
            </w:r>
          </w:p>
          <w:p w14:paraId="50478A83">
            <w:pPr>
              <w:pStyle w:val="32"/>
              <w:snapToGrid w:val="0"/>
              <w:spacing w:line="360" w:lineRule="auto"/>
              <w:ind w:firstLine="500" w:firstLineChars="200"/>
              <w:rPr>
                <w:rFonts w:hint="eastAsia" w:ascii="Times New Roman" w:hAnsi="Times New Roman" w:eastAsia="宋体" w:cs="Times New Roman"/>
                <w:b w:val="0"/>
                <w:bCs w:val="0"/>
                <w:color w:val="auto"/>
                <w:spacing w:val="5"/>
                <w:highlight w:val="none"/>
                <w:shd w:val="clear" w:color="auto" w:fill="FFFFFF"/>
                <w:lang w:val="en-US" w:eastAsia="zh-CN"/>
              </w:rPr>
            </w:pPr>
            <w:r>
              <w:rPr>
                <w:rFonts w:hint="eastAsia" w:ascii="Times New Roman" w:hAnsi="Times New Roman" w:cs="Times New Roman"/>
                <w:b w:val="0"/>
                <w:bCs w:val="0"/>
                <w:color w:val="auto"/>
                <w:spacing w:val="5"/>
                <w:highlight w:val="none"/>
                <w:shd w:val="clear" w:color="auto" w:fill="FFFFFF"/>
                <w:lang w:val="en-US" w:eastAsia="zh-CN"/>
              </w:rPr>
              <w:t>通过现场勘察可知，医院所有建筑主体结构已建成，目前内部正在装修。医院建筑的建设和内部装修已在《平昌县第二人民医院建设项目环境影响报告书》中分析。DSA介入室的表面防护工程、防护装修、通排风系统、设备安装调试尚未开展。</w:t>
            </w:r>
          </w:p>
          <w:p w14:paraId="682CD215">
            <w:pPr>
              <w:pStyle w:val="32"/>
              <w:snapToGrid w:val="0"/>
              <w:spacing w:line="360" w:lineRule="auto"/>
              <w:ind w:firstLine="500" w:firstLineChars="200"/>
              <w:rPr>
                <w:rFonts w:hint="default" w:ascii="Times New Roman" w:hAnsi="Times New Roman" w:eastAsia="宋体" w:cs="Times New Roman"/>
                <w:b w:val="0"/>
                <w:bCs w:val="0"/>
                <w:color w:val="auto"/>
                <w:spacing w:val="5"/>
                <w:highlight w:val="none"/>
                <w:shd w:val="clear" w:color="auto" w:fill="FFFFFF"/>
                <w:lang w:val="en-US" w:eastAsia="zh-CN"/>
              </w:rPr>
            </w:pPr>
            <w:r>
              <w:rPr>
                <w:rFonts w:hint="eastAsia" w:ascii="Times New Roman" w:hAnsi="Times New Roman" w:eastAsia="宋体" w:cs="Times New Roman"/>
                <w:b w:val="0"/>
                <w:bCs w:val="0"/>
                <w:color w:val="auto"/>
                <w:spacing w:val="5"/>
                <w:highlight w:val="none"/>
                <w:shd w:val="clear" w:color="auto" w:fill="FFFFFF"/>
                <w:lang w:val="en-US" w:eastAsia="zh-CN"/>
              </w:rPr>
              <w:t>施工期环境影响示意图见图9-1。</w:t>
            </w:r>
          </w:p>
          <w:p w14:paraId="4995BE91">
            <w:pPr>
              <w:pStyle w:val="34"/>
              <w:rPr>
                <w:rFonts w:hint="default"/>
                <w:color w:val="auto"/>
                <w:highlight w:val="none"/>
                <w:lang w:val="en-US" w:eastAsia="zh-CN"/>
              </w:rPr>
            </w:pPr>
            <w:r>
              <w:rPr>
                <w:color w:val="auto"/>
                <w:sz w:val="24"/>
                <w:highlight w:val="none"/>
              </w:rPr>
              <mc:AlternateContent>
                <mc:Choice Requires="wps">
                  <w:drawing>
                    <wp:anchor distT="0" distB="0" distL="114300" distR="114300" simplePos="0" relativeHeight="251663360" behindDoc="0" locked="0" layoutInCell="1" allowOverlap="1">
                      <wp:simplePos x="0" y="0"/>
                      <wp:positionH relativeFrom="column">
                        <wp:posOffset>1729105</wp:posOffset>
                      </wp:positionH>
                      <wp:positionV relativeFrom="paragraph">
                        <wp:posOffset>1386840</wp:posOffset>
                      </wp:positionV>
                      <wp:extent cx="0" cy="293370"/>
                      <wp:effectExtent l="57150" t="0" r="57150" b="11430"/>
                      <wp:wrapNone/>
                      <wp:docPr id="28" name="直接箭头连接符 28"/>
                      <wp:cNvGraphicFramePr/>
                      <a:graphic xmlns:a="http://schemas.openxmlformats.org/drawingml/2006/main">
                        <a:graphicData uri="http://schemas.microsoft.com/office/word/2010/wordprocessingShape">
                          <wps:wsp>
                            <wps:cNvCnPr/>
                            <wps:spPr>
                              <a:xfrm>
                                <a:off x="2872105" y="4919345"/>
                                <a:ext cx="0" cy="29337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36.15pt;margin-top:109.2pt;height:23.1pt;width:0pt;z-index:251663360;mso-width-relative:page;mso-height-relative:page;" filled="f" stroked="t" coordsize="21600,21600" o:gfxdata="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y2nB2gAAAAsBAAAPAAAAAAAAAAEAIAAA&#10;ACIAAABkcnMvZG93bnJldi54bWxQSwECFAAUAAAACACHTuJACHuxzgoCAADVAwAADgAAAAAAAAAB&#10;ACAAAAApAQAAZHJzL2Uyb0RvYy54bWxQSwUGAAAAAAYABgBZAQAApQUAAAAA&#10;">
                      <v:fill on="f" focussize="0,0"/>
                      <v:stroke weight="2pt" color="#4F81BD [3204]" joinstyle="round" endarrow="open"/>
                      <v:imagedata o:title=""/>
                      <o:lock v:ext="edit" aspectratio="f"/>
                    </v:shape>
                  </w:pict>
                </mc:Fallback>
              </mc:AlternateContent>
            </w:r>
            <w:r>
              <w:rPr>
                <w:color w:val="auto"/>
                <w:sz w:val="24"/>
                <w:highlight w:val="none"/>
              </w:rPr>
              <mc:AlternateContent>
                <mc:Choice Requires="wps">
                  <w:drawing>
                    <wp:anchor distT="0" distB="0" distL="114300" distR="114300" simplePos="0" relativeHeight="251662336" behindDoc="0" locked="0" layoutInCell="1" allowOverlap="1">
                      <wp:simplePos x="0" y="0"/>
                      <wp:positionH relativeFrom="column">
                        <wp:posOffset>4117340</wp:posOffset>
                      </wp:positionH>
                      <wp:positionV relativeFrom="paragraph">
                        <wp:posOffset>676910</wp:posOffset>
                      </wp:positionV>
                      <wp:extent cx="0" cy="234315"/>
                      <wp:effectExtent l="57150" t="0" r="57150" b="13335"/>
                      <wp:wrapNone/>
                      <wp:docPr id="24" name="直接箭头连接符 24"/>
                      <wp:cNvGraphicFramePr/>
                      <a:graphic xmlns:a="http://schemas.openxmlformats.org/drawingml/2006/main">
                        <a:graphicData uri="http://schemas.microsoft.com/office/word/2010/wordprocessingShape">
                          <wps:wsp>
                            <wps:cNvCnPr/>
                            <wps:spPr>
                              <a:xfrm flipV="1">
                                <a:off x="5260340" y="4216400"/>
                                <a:ext cx="0" cy="234315"/>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324.2pt;margin-top:53.3pt;height:18.45pt;width:0pt;z-index:251662336;mso-width-relative:page;mso-height-relative:page;" filled="f" stroked="t" coordsize="21600,21600" o:gfxdata="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vSkh22gAAAAsBAAAPAAAAAAAA&#10;AAEAIAAAACIAAABkcnMvZG93bnJldi54bWxQSwECFAAUAAAACACHTuJADU3MiRACAADfAwAADgAA&#10;AAAAAAABACAAAAApAQAAZHJzL2Uyb0RvYy54bWxQSwUGAAAAAAYABgBZAQAAqwUAAAAA&#10;">
                      <v:fill on="f" focussize="0,0"/>
                      <v:stroke weight="2pt" color="#4F81BD [3204]" joinstyle="round" endarrow="open"/>
                      <v:imagedata o:title=""/>
                      <o:lock v:ext="edit" aspectratio="f"/>
                    </v:shape>
                  </w:pict>
                </mc:Fallback>
              </mc:AlternateContent>
            </w:r>
            <w:r>
              <w:rPr>
                <w:color w:val="auto"/>
                <w:sz w:val="24"/>
                <w:highlight w:val="none"/>
              </w:rPr>
              <mc:AlternateContent>
                <mc:Choice Requires="wps">
                  <w:drawing>
                    <wp:anchor distT="0" distB="0" distL="114300" distR="114300" simplePos="0" relativeHeight="251661312" behindDoc="0" locked="0" layoutInCell="1" allowOverlap="1">
                      <wp:simplePos x="0" y="0"/>
                      <wp:positionH relativeFrom="column">
                        <wp:posOffset>2820670</wp:posOffset>
                      </wp:positionH>
                      <wp:positionV relativeFrom="paragraph">
                        <wp:posOffset>1130935</wp:posOffset>
                      </wp:positionV>
                      <wp:extent cx="505460" cy="0"/>
                      <wp:effectExtent l="0" t="57150" r="8890" b="57150"/>
                      <wp:wrapNone/>
                      <wp:docPr id="23" name="直接箭头连接符 23"/>
                      <wp:cNvGraphicFramePr/>
                      <a:graphic xmlns:a="http://schemas.openxmlformats.org/drawingml/2006/main">
                        <a:graphicData uri="http://schemas.microsoft.com/office/word/2010/wordprocessingShape">
                          <wps:wsp>
                            <wps:cNvCnPr/>
                            <wps:spPr>
                              <a:xfrm>
                                <a:off x="3963670" y="4670425"/>
                                <a:ext cx="505460" cy="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22.1pt;margin-top:89.05pt;height:0pt;width:39.8pt;z-index:251661312;mso-width-relative:page;mso-height-relative:page;" filled="f" stroked="t" coordsize="21600,21600" o:gfxdata="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piP3z9kAAAALAQAADwAAAAAAAAABACAAAAAi&#10;AAAAZHJzL2Rvd25yZXYueG1sUEsBAhQAFAAAAAgAh07iQD7XV1EJAgAA1QMAAA4AAAAAAAAAAQAg&#10;AAAAKAEAAGRycy9lMm9Eb2MueG1sUEsFBgAAAAAGAAYAWQEAAKMFAAAAAA==&#10;">
                      <v:fill on="f" focussize="0,0"/>
                      <v:stroke weight="2pt" color="#4F81BD [3204]" joinstyle="round" endarrow="open"/>
                      <v:imagedata o:title=""/>
                      <o:lock v:ext="edit" aspectratio="f"/>
                    </v:shape>
                  </w:pict>
                </mc:Fallback>
              </mc:AlternateContent>
            </w:r>
            <w:r>
              <w:rPr>
                <w:color w:val="auto"/>
                <w:sz w:val="24"/>
                <w:highlight w:val="none"/>
              </w:rPr>
              <mc:AlternateContent>
                <mc:Choice Requires="wps">
                  <w:drawing>
                    <wp:anchor distT="0" distB="0" distL="114300" distR="114300" simplePos="0" relativeHeight="251660288" behindDoc="0" locked="0" layoutInCell="1" allowOverlap="1">
                      <wp:simplePos x="0" y="0"/>
                      <wp:positionH relativeFrom="column">
                        <wp:posOffset>1721485</wp:posOffset>
                      </wp:positionH>
                      <wp:positionV relativeFrom="paragraph">
                        <wp:posOffset>640080</wp:posOffset>
                      </wp:positionV>
                      <wp:extent cx="0" cy="227330"/>
                      <wp:effectExtent l="57150" t="0" r="57150" b="1270"/>
                      <wp:wrapNone/>
                      <wp:docPr id="22" name="直接箭头连接符 22"/>
                      <wp:cNvGraphicFramePr/>
                      <a:graphic xmlns:a="http://schemas.openxmlformats.org/drawingml/2006/main">
                        <a:graphicData uri="http://schemas.microsoft.com/office/word/2010/wordprocessingShape">
                          <wps:wsp>
                            <wps:cNvCnPr/>
                            <wps:spPr>
                              <a:xfrm flipV="1">
                                <a:off x="2864485" y="4179570"/>
                                <a:ext cx="0" cy="22733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35.55pt;margin-top:50.4pt;height:17.9pt;width:0pt;z-index:251660288;mso-width-relative:page;mso-height-relative:page;" filled="f" stroked="t" coordsize="21600,21600" o:gfxdata="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j2rAjYAAAACwEAAA8AAAAAAAAA&#10;AQAgAAAAIgAAAGRycy9kb3ducmV2LnhtbFBLAQIUABQAAAAIAIdO4kDu9GGEEQIAAN8DAAAOAAAA&#10;AAAAAAEAIAAAACcBAABkcnMvZTJvRG9jLnhtbFBLBQYAAAAABgAGAFkBAACqBQAAAAA=&#10;">
                      <v:fill on="f" focussize="0,0"/>
                      <v:stroke weight="2pt" color="#4F81BD [3204]" joinstyle="round" endarrow="open"/>
                      <v:imagedata o:title=""/>
                      <o:lock v:ext="edit" aspectratio="f"/>
                    </v:shape>
                  </w:pict>
                </mc:Fallback>
              </mc:AlternateContent>
            </w:r>
            <w:r>
              <w:rPr>
                <w:rFonts w:hint="default" w:ascii="Times New Roman" w:hAnsi="Times New Roman" w:eastAsia="宋体" w:cs="Times New Roman"/>
                <w:color w:val="auto"/>
                <w:sz w:val="24"/>
                <w:highlight w:val="none"/>
              </w:rPr>
              <mc:AlternateContent>
                <mc:Choice Requires="wpc">
                  <w:drawing>
                    <wp:inline distT="0" distB="0" distL="114300" distR="114300">
                      <wp:extent cx="5123815" cy="2182495"/>
                      <wp:effectExtent l="0" t="12700" r="0" b="0"/>
                      <wp:docPr id="13" name="画布 13"/>
                      <wp:cNvGraphicFramePr/>
                      <a:graphic xmlns:a="http://schemas.openxmlformats.org/drawingml/2006/main">
                        <a:graphicData uri="http://schemas.microsoft.com/office/word/2010/wordprocessingCanvas">
                          <wpc:wpc>
                            <wpc:bg/>
                            <wpc:whole/>
                            <wps:wsp>
                              <wps:cNvPr id="16" name="矩形 5"/>
                              <wps:cNvSpPr/>
                              <wps:spPr>
                                <a:xfrm>
                                  <a:off x="474345" y="862965"/>
                                  <a:ext cx="2162175" cy="521335"/>
                                </a:xfrm>
                                <a:prstGeom prst="rect">
                                  <a:avLst/>
                                </a:prstGeom>
                                <a:solidFill>
                                  <a:schemeClr val="accent1">
                                    <a:lumMod val="40000"/>
                                    <a:lumOff val="60000"/>
                                  </a:schemeClr>
                                </a:solidFill>
                                <a:ln w="285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5014E8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bCs/>
                                        <w:color w:val="000000" w:themeColor="text1"/>
                                        <w:sz w:val="22"/>
                                        <w:szCs w:val="21"/>
                                        <w:lang w:val="en-US" w:eastAsia="zh-CN"/>
                                        <w14:textFill>
                                          <w14:solidFill>
                                            <w14:schemeClr w14:val="tx1"/>
                                          </w14:solidFill>
                                        </w14:textFill>
                                      </w:rPr>
                                    </w:pPr>
                                    <w:r>
                                      <w:rPr>
                                        <w:rFonts w:hint="eastAsia"/>
                                        <w:b/>
                                        <w:bCs/>
                                        <w:color w:val="000000" w:themeColor="text1"/>
                                        <w:sz w:val="22"/>
                                        <w:szCs w:val="21"/>
                                        <w:lang w:val="en-US" w:eastAsia="zh-CN"/>
                                        <w14:textFill>
                                          <w14:solidFill>
                                            <w14:schemeClr w14:val="tx1"/>
                                          </w14:solidFill>
                                        </w14:textFill>
                                      </w:rPr>
                                      <w:t>防护工程、表面装修、通排风系统</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7" name="矩形 47"/>
                              <wps:cNvSpPr/>
                              <wps:spPr>
                                <a:xfrm>
                                  <a:off x="681355" y="293370"/>
                                  <a:ext cx="1583055" cy="304165"/>
                                </a:xfrm>
                                <a:prstGeom prst="rect">
                                  <a:avLst/>
                                </a:prstGeom>
                                <a:solidFill>
                                  <a:schemeClr val="accent1">
                                    <a:lumMod val="40000"/>
                                    <a:lumOff val="60000"/>
                                  </a:schemeClr>
                                </a:solidFill>
                                <a:ln w="285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17CC84A3">
                                    <w:pPr>
                                      <w:jc w:val="center"/>
                                      <w:rPr>
                                        <w:rFonts w:hint="default" w:eastAsia="宋体"/>
                                        <w:b/>
                                        <w:bCs/>
                                        <w:color w:val="000000" w:themeColor="text1"/>
                                        <w:sz w:val="22"/>
                                        <w:szCs w:val="21"/>
                                        <w:lang w:val="en-US" w:eastAsia="zh-CN"/>
                                        <w14:textFill>
                                          <w14:solidFill>
                                            <w14:schemeClr w14:val="tx1"/>
                                          </w14:solidFill>
                                        </w14:textFill>
                                      </w:rPr>
                                    </w:pPr>
                                    <w:r>
                                      <w:rPr>
                                        <w:rFonts w:hint="eastAsia"/>
                                        <w:b/>
                                        <w:bCs/>
                                        <w:color w:val="000000" w:themeColor="text1"/>
                                        <w:sz w:val="22"/>
                                        <w:szCs w:val="21"/>
                                        <w:lang w:val="en-US" w:eastAsia="zh-CN"/>
                                        <w14:textFill>
                                          <w14:solidFill>
                                            <w14:schemeClr w14:val="tx1"/>
                                          </w14:solidFill>
                                        </w14:textFill>
                                      </w:rPr>
                                      <w:t>噪声、废气</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7" name="矩形 49"/>
                              <wps:cNvSpPr/>
                              <wps:spPr>
                                <a:xfrm>
                                  <a:off x="3184525" y="906780"/>
                                  <a:ext cx="1597025" cy="313690"/>
                                </a:xfrm>
                                <a:prstGeom prst="rect">
                                  <a:avLst/>
                                </a:prstGeom>
                                <a:solidFill>
                                  <a:schemeClr val="accent1">
                                    <a:lumMod val="40000"/>
                                    <a:lumOff val="60000"/>
                                  </a:schemeClr>
                                </a:solidFill>
                                <a:ln w="285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0C6CDBE4">
                                    <w:pPr>
                                      <w:jc w:val="center"/>
                                      <w:rPr>
                                        <w:rFonts w:hint="eastAsia"/>
                                        <w:b/>
                                        <w:bCs/>
                                        <w:color w:val="000000" w:themeColor="text1"/>
                                        <w:sz w:val="22"/>
                                        <w:szCs w:val="21"/>
                                        <w:lang w:val="en-US" w:eastAsia="zh-CN"/>
                                        <w14:textFill>
                                          <w14:solidFill>
                                            <w14:schemeClr w14:val="tx1"/>
                                          </w14:solidFill>
                                        </w14:textFill>
                                      </w:rPr>
                                    </w:pPr>
                                    <w:r>
                                      <w:rPr>
                                        <w:rFonts w:hint="eastAsia"/>
                                        <w:b/>
                                        <w:bCs/>
                                        <w:color w:val="000000" w:themeColor="text1"/>
                                        <w:sz w:val="22"/>
                                        <w:szCs w:val="21"/>
                                        <w:lang w:val="en-US" w:eastAsia="zh-CN"/>
                                        <w14:textFill>
                                          <w14:solidFill>
                                            <w14:schemeClr w14:val="tx1"/>
                                          </w14:solidFill>
                                        </w14:textFill>
                                      </w:rPr>
                                      <w:t>设备安装和调试</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1" name="矩形 50"/>
                              <wps:cNvSpPr/>
                              <wps:spPr>
                                <a:xfrm>
                                  <a:off x="527685" y="1649095"/>
                                  <a:ext cx="2161540" cy="302260"/>
                                </a:xfrm>
                                <a:prstGeom prst="rect">
                                  <a:avLst/>
                                </a:prstGeom>
                                <a:solidFill>
                                  <a:schemeClr val="accent1">
                                    <a:lumMod val="40000"/>
                                    <a:lumOff val="60000"/>
                                  </a:schemeClr>
                                </a:solidFill>
                                <a:ln w="285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7BA244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bCs/>
                                        <w:color w:val="000000" w:themeColor="text1"/>
                                        <w:sz w:val="22"/>
                                        <w:szCs w:val="21"/>
                                        <w:lang w:val="en-US" w:eastAsia="zh-CN"/>
                                        <w14:textFill>
                                          <w14:solidFill>
                                            <w14:schemeClr w14:val="tx1"/>
                                          </w14:solidFill>
                                        </w14:textFill>
                                      </w:rPr>
                                    </w:pPr>
                                    <w:r>
                                      <w:rPr>
                                        <w:rFonts w:hint="eastAsia"/>
                                        <w:b/>
                                        <w:bCs/>
                                        <w:color w:val="000000" w:themeColor="text1"/>
                                        <w:sz w:val="22"/>
                                        <w:szCs w:val="21"/>
                                        <w:lang w:val="en-US" w:eastAsia="zh-CN"/>
                                        <w14:textFill>
                                          <w14:solidFill>
                                            <w14:schemeClr w14:val="tx1"/>
                                          </w14:solidFill>
                                        </w14:textFill>
                                      </w:rPr>
                                      <w:t>生活污水、施工废水、建筑垃圾</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 name="矩形 52"/>
                              <wps:cNvSpPr/>
                              <wps:spPr>
                                <a:xfrm>
                                  <a:off x="2785745" y="279400"/>
                                  <a:ext cx="2006600" cy="341630"/>
                                </a:xfrm>
                                <a:prstGeom prst="rect">
                                  <a:avLst/>
                                </a:prstGeom>
                                <a:solidFill>
                                  <a:schemeClr val="accent1">
                                    <a:lumMod val="40000"/>
                                    <a:lumOff val="60000"/>
                                  </a:schemeClr>
                                </a:solidFill>
                                <a:ln w="285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4CDB08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bCs/>
                                        <w:color w:val="000000" w:themeColor="text1"/>
                                        <w:sz w:val="22"/>
                                        <w:szCs w:val="21"/>
                                        <w:lang w:val="en-US" w:eastAsia="zh-CN"/>
                                        <w14:textFill>
                                          <w14:solidFill>
                                            <w14:schemeClr w14:val="tx1"/>
                                          </w14:solidFill>
                                        </w14:textFill>
                                      </w:rPr>
                                    </w:pPr>
                                    <w:r>
                                      <w:rPr>
                                        <w:rFonts w:hint="eastAsia"/>
                                        <w:b/>
                                        <w:bCs/>
                                        <w:color w:val="000000" w:themeColor="text1"/>
                                        <w:sz w:val="22"/>
                                        <w:szCs w:val="21"/>
                                        <w:lang w:val="en-US" w:eastAsia="zh-CN"/>
                                        <w14:textFill>
                                          <w14:solidFill>
                                            <w14:schemeClr w14:val="tx1"/>
                                          </w14:solidFill>
                                        </w14:textFill>
                                      </w:rPr>
                                      <w:t>噪声、辐射、臭氧及氮氧化物</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1" name="矩形 1"/>
                              <wps:cNvSpPr/>
                              <wps:spPr>
                                <a:xfrm>
                                  <a:off x="283210" y="0"/>
                                  <a:ext cx="4679315" cy="20866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c:wpc>
                        </a:graphicData>
                      </a:graphic>
                    </wp:inline>
                  </w:drawing>
                </mc:Choice>
                <mc:Fallback>
                  <w:pict>
                    <v:group id="_x0000_s1026" o:spid="_x0000_s1026" o:spt="203" style="height:171.85pt;width:403.45pt;" coordsize="5123815,2182495" editas="canvas" o:gfxdata="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">
                      <o:lock v:ext="edit" aspectratio="f"/>
                      <v:shape id="_x0000_s1026" o:spid="_x0000_s1026" style="position:absolute;left:0;top:0;height:2182495;width:5123815;" filled="f" stroked="f" coordsize="21600,21600" o:gfxdata="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">
                        <v:fill on="f" focussize="0,0"/>
                        <v:stroke on="f"/>
                        <v:imagedata o:title=""/>
                        <o:lock v:ext="edit" aspectratio="f"/>
                      </v:shape>
                      <v:rect id="矩形 5" o:spid="_x0000_s1026" o:spt="1" style="position:absolute;left:474345;top:862965;height:521335;width:2162175;v-text-anchor:middle;" fillcolor="#B9CDE5 [1300]" filled="t" stroked="t" coordsize="21600,21600" o:gfxdata="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B4&#10;dT6c1wAAAAUBAAAPAAAAAAAAAAEAIAAAACIAAABkcnMvZG93bnJldi54bWxQSwECFAAUAAAACACH&#10;TuJAqS9MO5cCAAAsBQAADgAAAAAAAAABACAAAAAmAQAAZHJzL2Uyb0RvYy54bWxQSwUGAAAAAAYA&#10;BgBZAQAALwYAAAAA&#10;">
                        <v:fill on="t" focussize="0,0"/>
                        <v:stroke weight="2.25pt" color="#000000 [3213]" joinstyle="round"/>
                        <v:imagedata o:title=""/>
                        <o:lock v:ext="edit" aspectratio="f"/>
                        <v:textbox>
                          <w:txbxContent>
                            <w:p w14:paraId="5014E8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bCs/>
                                  <w:color w:val="000000" w:themeColor="text1"/>
                                  <w:sz w:val="22"/>
                                  <w:szCs w:val="21"/>
                                  <w:lang w:val="en-US" w:eastAsia="zh-CN"/>
                                  <w14:textFill>
                                    <w14:solidFill>
                                      <w14:schemeClr w14:val="tx1"/>
                                    </w14:solidFill>
                                  </w14:textFill>
                                </w:rPr>
                              </w:pPr>
                              <w:r>
                                <w:rPr>
                                  <w:rFonts w:hint="eastAsia"/>
                                  <w:b/>
                                  <w:bCs/>
                                  <w:color w:val="000000" w:themeColor="text1"/>
                                  <w:sz w:val="22"/>
                                  <w:szCs w:val="21"/>
                                  <w:lang w:val="en-US" w:eastAsia="zh-CN"/>
                                  <w14:textFill>
                                    <w14:solidFill>
                                      <w14:schemeClr w14:val="tx1"/>
                                    </w14:solidFill>
                                  </w14:textFill>
                                </w:rPr>
                                <w:t>防护工程、表面装修、通排风系统</w:t>
                              </w:r>
                            </w:p>
                          </w:txbxContent>
                        </v:textbox>
                      </v:rect>
                      <v:rect id="矩形 47" o:spid="_x0000_s1026" o:spt="1" style="position:absolute;left:681355;top:293370;height:304165;width:1583055;v-text-anchor:middle;" fillcolor="#B9CDE5 [1300]" filled="t" stroked="t" coordsize="21600,21600" o:gfxdata="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Hh1&#10;PpzXAAAABQEAAA8AAAAAAAAAAQAgAAAAIgAAAGRycy9kb3ducmV2LnhtbFBLAQIUABQAAAAIAIdO&#10;4kBzQJ12lgIAAC0FAAAOAAAAAAAAAAEAIAAAACYBAABkcnMvZTJvRG9jLnhtbFBLBQYAAAAABgAG&#10;AFkBAAAuBgAAAAA=&#10;">
                        <v:fill on="t" focussize="0,0"/>
                        <v:stroke weight="2.25pt" color="#000000 [3213]" joinstyle="round"/>
                        <v:imagedata o:title=""/>
                        <o:lock v:ext="edit" aspectratio="f"/>
                        <v:textbox>
                          <w:txbxContent>
                            <w:p w14:paraId="17CC84A3">
                              <w:pPr>
                                <w:jc w:val="center"/>
                                <w:rPr>
                                  <w:rFonts w:hint="default" w:eastAsia="宋体"/>
                                  <w:b/>
                                  <w:bCs/>
                                  <w:color w:val="000000" w:themeColor="text1"/>
                                  <w:sz w:val="22"/>
                                  <w:szCs w:val="21"/>
                                  <w:lang w:val="en-US" w:eastAsia="zh-CN"/>
                                  <w14:textFill>
                                    <w14:solidFill>
                                      <w14:schemeClr w14:val="tx1"/>
                                    </w14:solidFill>
                                  </w14:textFill>
                                </w:rPr>
                              </w:pPr>
                              <w:r>
                                <w:rPr>
                                  <w:rFonts w:hint="eastAsia"/>
                                  <w:b/>
                                  <w:bCs/>
                                  <w:color w:val="000000" w:themeColor="text1"/>
                                  <w:sz w:val="22"/>
                                  <w:szCs w:val="21"/>
                                  <w:lang w:val="en-US" w:eastAsia="zh-CN"/>
                                  <w14:textFill>
                                    <w14:solidFill>
                                      <w14:schemeClr w14:val="tx1"/>
                                    </w14:solidFill>
                                  </w14:textFill>
                                </w:rPr>
                                <w:t>噪声、废气</w:t>
                              </w:r>
                            </w:p>
                          </w:txbxContent>
                        </v:textbox>
                      </v:rect>
                      <v:rect id="矩形 49" o:spid="_x0000_s1026" o:spt="1" style="position:absolute;left:3184525;top:906780;height:313690;width:1597025;v-text-anchor:middle;" fillcolor="#B9CDE5 [1300]" filled="t" stroked="t" coordsize="21600,21600" o:gfxdata="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B4&#10;dT6c1wAAAAUBAAAPAAAAAAAAAAEAIAAAACIAAABkcnMvZG93bnJldi54bWxQSwECFAAUAAAACACH&#10;TuJA7cvny5cCAAAuBQAADgAAAAAAAAABACAAAAAmAQAAZHJzL2Uyb0RvYy54bWxQSwUGAAAAAAYA&#10;BgBZAQAALwYAAAAA&#10;">
                        <v:fill on="t" focussize="0,0"/>
                        <v:stroke weight="2.25pt" color="#000000 [3213]" joinstyle="round"/>
                        <v:imagedata o:title=""/>
                        <o:lock v:ext="edit" aspectratio="f"/>
                        <v:textbox>
                          <w:txbxContent>
                            <w:p w14:paraId="0C6CDBE4">
                              <w:pPr>
                                <w:jc w:val="center"/>
                                <w:rPr>
                                  <w:rFonts w:hint="eastAsia"/>
                                  <w:b/>
                                  <w:bCs/>
                                  <w:color w:val="000000" w:themeColor="text1"/>
                                  <w:sz w:val="22"/>
                                  <w:szCs w:val="21"/>
                                  <w:lang w:val="en-US" w:eastAsia="zh-CN"/>
                                  <w14:textFill>
                                    <w14:solidFill>
                                      <w14:schemeClr w14:val="tx1"/>
                                    </w14:solidFill>
                                  </w14:textFill>
                                </w:rPr>
                              </w:pPr>
                              <w:r>
                                <w:rPr>
                                  <w:rFonts w:hint="eastAsia"/>
                                  <w:b/>
                                  <w:bCs/>
                                  <w:color w:val="000000" w:themeColor="text1"/>
                                  <w:sz w:val="22"/>
                                  <w:szCs w:val="21"/>
                                  <w:lang w:val="en-US" w:eastAsia="zh-CN"/>
                                  <w14:textFill>
                                    <w14:solidFill>
                                      <w14:schemeClr w14:val="tx1"/>
                                    </w14:solidFill>
                                  </w14:textFill>
                                </w:rPr>
                                <w:t>设备安装和调试</w:t>
                              </w:r>
                            </w:p>
                          </w:txbxContent>
                        </v:textbox>
                      </v:rect>
                      <v:rect id="矩形 50" o:spid="_x0000_s1026" o:spt="1" style="position:absolute;left:527685;top:1649095;height:302260;width:2161540;v-text-anchor:middle;" fillcolor="#B9CDE5 [1300]" filled="t" stroked="t" coordsize="21600,21600" o:gfxdata="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B4&#10;dT6c1wAAAAUBAAAPAAAAAAAAAAEAIAAAACIAAABkcnMvZG93bnJldi54bWxQSwECFAAUAAAACACH&#10;TuJAIv53U5cCAAAuBQAADgAAAAAAAAABACAAAAAmAQAAZHJzL2Uyb0RvYy54bWxQSwUGAAAAAAYA&#10;BgBZAQAALwYAAAAA&#10;">
                        <v:fill on="t" focussize="0,0"/>
                        <v:stroke weight="2.25pt" color="#000000 [3213]" joinstyle="round"/>
                        <v:imagedata o:title=""/>
                        <o:lock v:ext="edit" aspectratio="f"/>
                        <v:textbox>
                          <w:txbxContent>
                            <w:p w14:paraId="7BA244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bCs/>
                                  <w:color w:val="000000" w:themeColor="text1"/>
                                  <w:sz w:val="22"/>
                                  <w:szCs w:val="21"/>
                                  <w:lang w:val="en-US" w:eastAsia="zh-CN"/>
                                  <w14:textFill>
                                    <w14:solidFill>
                                      <w14:schemeClr w14:val="tx1"/>
                                    </w14:solidFill>
                                  </w14:textFill>
                                </w:rPr>
                              </w:pPr>
                              <w:r>
                                <w:rPr>
                                  <w:rFonts w:hint="eastAsia"/>
                                  <w:b/>
                                  <w:bCs/>
                                  <w:color w:val="000000" w:themeColor="text1"/>
                                  <w:sz w:val="22"/>
                                  <w:szCs w:val="21"/>
                                  <w:lang w:val="en-US" w:eastAsia="zh-CN"/>
                                  <w14:textFill>
                                    <w14:solidFill>
                                      <w14:schemeClr w14:val="tx1"/>
                                    </w14:solidFill>
                                  </w14:textFill>
                                </w:rPr>
                                <w:t>生活污水、施工废水、建筑垃圾</w:t>
                              </w:r>
                            </w:p>
                          </w:txbxContent>
                        </v:textbox>
                      </v:rect>
                      <v:rect id="矩形 52" o:spid="_x0000_s1026" o:spt="1" style="position:absolute;left:2785745;top:279400;height:341630;width:2006600;v-text-anchor:middle;" fillcolor="#B9CDE5 [1300]" filled="t" stroked="t" coordsize="21600,21600" o:gfxdata="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eHU+nNcA&#10;AAAFAQAADwAAAAAAAAABACAAAAAiAAAAZHJzL2Rvd25yZXYueG1sUEsBAhQAFAAAAAgAh07iQIdH&#10;rGSSAgAALgUAAA4AAAAAAAAAAQAgAAAAJgEAAGRycy9lMm9Eb2MueG1sUEsFBgAAAAAGAAYAWQEA&#10;ACoGAAAAAA==&#10;">
                        <v:fill on="t" focussize="0,0"/>
                        <v:stroke weight="2.25pt" color="#000000 [3213]" joinstyle="round"/>
                        <v:imagedata o:title=""/>
                        <o:lock v:ext="edit" aspectratio="f"/>
                        <v:textbox>
                          <w:txbxContent>
                            <w:p w14:paraId="4CDB08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bCs/>
                                  <w:color w:val="000000" w:themeColor="text1"/>
                                  <w:sz w:val="22"/>
                                  <w:szCs w:val="21"/>
                                  <w:lang w:val="en-US" w:eastAsia="zh-CN"/>
                                  <w14:textFill>
                                    <w14:solidFill>
                                      <w14:schemeClr w14:val="tx1"/>
                                    </w14:solidFill>
                                  </w14:textFill>
                                </w:rPr>
                              </w:pPr>
                              <w:r>
                                <w:rPr>
                                  <w:rFonts w:hint="eastAsia"/>
                                  <w:b/>
                                  <w:bCs/>
                                  <w:color w:val="000000" w:themeColor="text1"/>
                                  <w:sz w:val="22"/>
                                  <w:szCs w:val="21"/>
                                  <w:lang w:val="en-US" w:eastAsia="zh-CN"/>
                                  <w14:textFill>
                                    <w14:solidFill>
                                      <w14:schemeClr w14:val="tx1"/>
                                    </w14:solidFill>
                                  </w14:textFill>
                                </w:rPr>
                                <w:t>噪声、辐射、臭氧及氮氧化物</w:t>
                              </w:r>
                            </w:p>
                          </w:txbxContent>
                        </v:textbox>
                      </v:rect>
                      <v:rect id="矩形 1" o:spid="_x0000_s1026" o:spt="1" style="position:absolute;left:283210;top:0;height:2086610;width:4679315;v-text-anchor:middle;" filled="f" stroked="t" coordsize="21600,21600" o:gfxdata="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IJrcW3XAAAABQEAAA8AAAAAAAAAAQAgAAAAIgAAAGRycy9kb3ducmV2LnhtbFBLAQIUABQA&#10;AAAIAIdO4kAO4nl3YwIAALsEAAAOAAAAAAAAAAEAIAAAACYBAABkcnMvZTJvRG9jLnhtbFBLBQYA&#10;AAAABgAGAFkBAAD7BQAAAAA=&#10;">
                        <v:fill on="f" focussize="0,0"/>
                        <v:stroke weight="2pt" color="#000000 [3213]" joinstyle="round"/>
                        <v:imagedata o:title=""/>
                        <o:lock v:ext="edit" aspectratio="f"/>
                      </v:rect>
                      <w10:wrap type="none"/>
                      <w10:anchorlock/>
                    </v:group>
                  </w:pict>
                </mc:Fallback>
              </mc:AlternateContent>
            </w:r>
          </w:p>
          <w:p w14:paraId="688981E5">
            <w:pPr>
              <w:numPr>
                <w:ilvl w:val="0"/>
                <w:numId w:val="15"/>
              </w:numPr>
              <w:ind w:left="425" w:leftChars="0" w:hanging="425" w:firstLineChars="0"/>
              <w:jc w:val="center"/>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施工期影响示意图</w:t>
            </w:r>
          </w:p>
          <w:p w14:paraId="6BF09656">
            <w:pPr>
              <w:pStyle w:val="32"/>
              <w:snapToGrid w:val="0"/>
              <w:spacing w:line="360" w:lineRule="auto"/>
              <w:ind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防护工程和表面装修：</w:t>
            </w:r>
          </w:p>
          <w:p w14:paraId="422984AE">
            <w:pPr>
              <w:pStyle w:val="32"/>
              <w:snapToGrid w:val="0"/>
              <w:spacing w:line="360" w:lineRule="auto"/>
              <w:ind w:firstLine="480" w:firstLineChars="200"/>
              <w:rPr>
                <w:rFonts w:hint="default"/>
                <w:color w:val="auto"/>
                <w:highlight w:val="none"/>
                <w:lang w:val="en-US" w:eastAsia="zh-CN"/>
              </w:rPr>
            </w:pPr>
            <w:r>
              <w:rPr>
                <w:rFonts w:hint="default" w:ascii="Times New Roman" w:hAnsi="Times New Roman" w:eastAsia="宋体" w:cs="Times New Roman"/>
                <w:b/>
                <w:bCs/>
                <w:color w:val="auto"/>
                <w:kern w:val="2"/>
                <w:sz w:val="24"/>
                <w:szCs w:val="24"/>
                <w:highlight w:val="none"/>
                <w:lang w:val="en-US" w:eastAsia="zh-CN" w:bidi="ar-SA"/>
              </w:rPr>
              <w:t>四周墙体：</w:t>
            </w:r>
            <w:r>
              <w:rPr>
                <w:rFonts w:hint="eastAsia" w:ascii="Times New Roman" w:hAnsi="Times New Roman" w:eastAsia="宋体" w:cs="Times New Roman"/>
                <w:color w:val="auto"/>
                <w:kern w:val="2"/>
                <w:sz w:val="24"/>
                <w:szCs w:val="24"/>
                <w:highlight w:val="none"/>
                <w:lang w:val="en-US" w:eastAsia="zh-CN" w:bidi="ar-SA"/>
              </w:rPr>
              <w:t>DSA介入室</w:t>
            </w:r>
            <w:r>
              <w:rPr>
                <w:rFonts w:hint="default" w:ascii="Times New Roman" w:hAnsi="Times New Roman" w:eastAsia="宋体" w:cs="Times New Roman"/>
                <w:color w:val="auto"/>
                <w:kern w:val="2"/>
                <w:sz w:val="24"/>
                <w:szCs w:val="24"/>
                <w:highlight w:val="none"/>
                <w:lang w:val="en-US" w:eastAsia="zh-CN" w:bidi="ar-SA"/>
              </w:rPr>
              <w:t>墙体建筑楼板为</w:t>
            </w:r>
            <w:r>
              <w:rPr>
                <w:rFonts w:hint="eastAsia" w:ascii="Times New Roman" w:hAnsi="Times New Roman" w:cs="Times New Roman"/>
                <w:color w:val="auto"/>
                <w:kern w:val="2"/>
                <w:sz w:val="24"/>
                <w:szCs w:val="24"/>
                <w:highlight w:val="none"/>
                <w:lang w:val="en-US" w:eastAsia="zh-CN" w:bidi="ar-SA"/>
              </w:rPr>
              <w:t>200</w:t>
            </w:r>
            <w:r>
              <w:rPr>
                <w:rFonts w:hint="default" w:ascii="Times New Roman" w:hAnsi="Times New Roman" w:eastAsia="宋体" w:cs="Times New Roman"/>
                <w:color w:val="auto"/>
                <w:kern w:val="2"/>
                <w:sz w:val="24"/>
                <w:szCs w:val="24"/>
                <w:highlight w:val="none"/>
                <w:lang w:val="en-US" w:eastAsia="zh-CN" w:bidi="ar-SA"/>
              </w:rPr>
              <w:t>mm实心砖墙体，在墙体两面安装钢架龙骨，龙骨采用40*40*2镀锌矩管主龙骨，40*40*12镀锌矩管次龙骨，主龙骨间距450mm，次龙骨间距900mm。墙壁两面龙骨上安装12mm石膏板；在DSA介入室一面石膏板上采用螺钉固定安装22mm厚复合射线防护板，防护板尺寸为1000mm×3000mm，接缝处采用50mm宽同铅当量铅板覆盖。最后使用6mm医疗洁净板装饰。</w:t>
            </w:r>
          </w:p>
          <w:p w14:paraId="13205B82">
            <w:pPr>
              <w:pStyle w:val="32"/>
              <w:snapToGrid w:val="0"/>
              <w:spacing w:line="360" w:lineRule="auto"/>
              <w:ind w:firstLine="500" w:firstLineChars="200"/>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b/>
                <w:bCs/>
                <w:color w:val="auto"/>
                <w:spacing w:val="5"/>
                <w:highlight w:val="none"/>
                <w:shd w:val="clear" w:color="auto" w:fill="FFFFFF"/>
                <w:lang w:val="en-US" w:eastAsia="zh-CN"/>
              </w:rPr>
              <w:t>地面结构：</w:t>
            </w:r>
            <w:r>
              <w:rPr>
                <w:rFonts w:hint="eastAsia" w:ascii="Times New Roman" w:hAnsi="Times New Roman" w:cs="Times New Roman"/>
                <w:b w:val="0"/>
                <w:bCs w:val="0"/>
                <w:i w:val="0"/>
                <w:iCs w:val="0"/>
                <w:color w:val="auto"/>
                <w:sz w:val="24"/>
                <w:szCs w:val="24"/>
                <w:highlight w:val="none"/>
                <w:shd w:val="clear"/>
                <w:vertAlign w:val="baseline"/>
                <w:lang w:val="en-US" w:eastAsia="zh-CN"/>
              </w:rPr>
              <w:t>DSA介入室</w:t>
            </w:r>
            <w:r>
              <w:rPr>
                <w:rFonts w:hint="default" w:ascii="Times New Roman" w:hAnsi="Times New Roman" w:cs="Times New Roman"/>
                <w:b w:val="0"/>
                <w:bCs w:val="0"/>
                <w:i w:val="0"/>
                <w:iCs w:val="0"/>
                <w:color w:val="auto"/>
                <w:sz w:val="24"/>
                <w:szCs w:val="24"/>
                <w:highlight w:val="none"/>
                <w:shd w:val="clear"/>
                <w:vertAlign w:val="baseline"/>
                <w:lang w:val="en-US" w:eastAsia="zh-CN"/>
              </w:rPr>
              <w:t>地面原</w:t>
            </w:r>
            <w:r>
              <w:rPr>
                <w:rFonts w:hint="default" w:ascii="Times New Roman" w:hAnsi="Times New Roman" w:eastAsia="宋体" w:cs="Times New Roman"/>
                <w:b w:val="0"/>
                <w:bCs w:val="0"/>
                <w:i w:val="0"/>
                <w:iCs w:val="0"/>
                <w:color w:val="auto"/>
                <w:sz w:val="24"/>
                <w:szCs w:val="24"/>
                <w:highlight w:val="none"/>
                <w:shd w:val="clear"/>
                <w:vertAlign w:val="baseline"/>
                <w:lang w:val="en-US" w:eastAsia="zh-CN"/>
              </w:rPr>
              <w:t>土建楼板为</w:t>
            </w:r>
            <w:r>
              <w:rPr>
                <w:rFonts w:hint="eastAsia" w:ascii="Times New Roman" w:hAnsi="Times New Roman" w:eastAsia="宋体" w:cs="Times New Roman"/>
                <w:b w:val="0"/>
                <w:bCs w:val="0"/>
                <w:i w:val="0"/>
                <w:iCs w:val="0"/>
                <w:color w:val="auto"/>
                <w:sz w:val="24"/>
                <w:szCs w:val="24"/>
                <w:highlight w:val="none"/>
                <w:shd w:val="clear"/>
                <w:vertAlign w:val="baseline"/>
                <w:lang w:val="en-US" w:eastAsia="zh-CN"/>
              </w:rPr>
              <w:t>15</w:t>
            </w:r>
            <w:r>
              <w:rPr>
                <w:rFonts w:hint="default" w:ascii="Times New Roman" w:hAnsi="Times New Roman" w:eastAsia="宋体" w:cs="Times New Roman"/>
                <w:b w:val="0"/>
                <w:bCs w:val="0"/>
                <w:i w:val="0"/>
                <w:iCs w:val="0"/>
                <w:color w:val="auto"/>
                <w:sz w:val="24"/>
                <w:szCs w:val="24"/>
                <w:highlight w:val="none"/>
                <w:shd w:val="clear"/>
                <w:vertAlign w:val="baseline"/>
                <w:lang w:val="en-US" w:eastAsia="zh-CN"/>
              </w:rPr>
              <w:t>0mm混凝土，</w:t>
            </w:r>
            <w:r>
              <w:rPr>
                <w:rFonts w:hint="eastAsia" w:ascii="Times New Roman" w:hAnsi="Times New Roman" w:eastAsia="宋体" w:cs="Times New Roman"/>
                <w:b w:val="0"/>
                <w:bCs w:val="0"/>
                <w:i w:val="0"/>
                <w:iCs w:val="0"/>
                <w:color w:val="auto"/>
                <w:sz w:val="24"/>
                <w:szCs w:val="24"/>
                <w:highlight w:val="none"/>
                <w:shd w:val="clear"/>
                <w:vertAlign w:val="baseline"/>
                <w:lang w:val="en-US" w:eastAsia="zh-CN"/>
              </w:rPr>
              <w:t>在楼板上方刷45mm厚硫酸钡水泥，硫酸钡水泥上方采用水泥砂浆自流平，最后采用2mmPVC地面做地面装饰。</w:t>
            </w:r>
          </w:p>
          <w:p w14:paraId="06EE24C1">
            <w:pPr>
              <w:pStyle w:val="32"/>
              <w:snapToGrid w:val="0"/>
              <w:spacing w:line="360" w:lineRule="auto"/>
              <w:ind w:firstLine="480" w:firstLineChars="200"/>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墙地防护结构图见下图。</w:t>
            </w:r>
          </w:p>
          <w:p w14:paraId="131EC4DB">
            <w:pPr>
              <w:rPr>
                <w:rFonts w:hint="eastAsia"/>
                <w:color w:val="auto"/>
                <w:highlight w:val="none"/>
                <w:lang w:val="en-US" w:eastAsia="zh-CN"/>
              </w:rPr>
            </w:pPr>
          </w:p>
          <w:p w14:paraId="32146592">
            <w:pPr>
              <w:rPr>
                <w:rFonts w:hint="eastAsia"/>
                <w:color w:val="auto"/>
                <w:highlight w:val="none"/>
                <w:lang w:val="en-US" w:eastAsia="zh-CN"/>
              </w:rPr>
            </w:pPr>
          </w:p>
          <w:p w14:paraId="748D5C32">
            <w:pPr>
              <w:pStyle w:val="19"/>
              <w:keepNext w:val="0"/>
              <w:keepLines w:val="0"/>
              <w:widowControl/>
              <w:suppressLineNumbers w:val="0"/>
              <w:jc w:val="center"/>
              <w:rPr>
                <w:color w:val="auto"/>
                <w:highlight w:val="none"/>
              </w:rPr>
            </w:pPr>
            <w:r>
              <w:rPr>
                <w:color w:val="auto"/>
                <w:highlight w:val="none"/>
              </w:rPr>
              <w:drawing>
                <wp:anchor distT="0" distB="0" distL="114300" distR="114300" simplePos="0" relativeHeight="251675648" behindDoc="0" locked="0" layoutInCell="1" allowOverlap="1">
                  <wp:simplePos x="0" y="0"/>
                  <wp:positionH relativeFrom="column">
                    <wp:posOffset>872490</wp:posOffset>
                  </wp:positionH>
                  <wp:positionV relativeFrom="paragraph">
                    <wp:posOffset>328930</wp:posOffset>
                  </wp:positionV>
                  <wp:extent cx="3472815" cy="2778760"/>
                  <wp:effectExtent l="9525" t="9525" r="22860" b="12065"/>
                  <wp:wrapSquare wrapText="bothSides"/>
                  <wp:docPr id="3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 descr="IMG_256"/>
                          <pic:cNvPicPr>
                            <a:picLocks noChangeAspect="1"/>
                          </pic:cNvPicPr>
                        </pic:nvPicPr>
                        <pic:blipFill>
                          <a:blip r:embed="rId19"/>
                          <a:stretch>
                            <a:fillRect/>
                          </a:stretch>
                        </pic:blipFill>
                        <pic:spPr>
                          <a:xfrm>
                            <a:off x="0" y="0"/>
                            <a:ext cx="3472815" cy="2778760"/>
                          </a:xfrm>
                          <a:prstGeom prst="rect">
                            <a:avLst/>
                          </a:prstGeom>
                          <a:noFill/>
                          <a:ln w="9525">
                            <a:solidFill>
                              <a:schemeClr val="tx1"/>
                            </a:solidFill>
                          </a:ln>
                        </pic:spPr>
                      </pic:pic>
                    </a:graphicData>
                  </a:graphic>
                </wp:anchor>
              </w:drawing>
            </w:r>
          </w:p>
          <w:p w14:paraId="201683D4">
            <w:pPr>
              <w:pStyle w:val="19"/>
              <w:keepNext w:val="0"/>
              <w:keepLines w:val="0"/>
              <w:widowControl/>
              <w:suppressLineNumbers w:val="0"/>
              <w:jc w:val="center"/>
              <w:rPr>
                <w:color w:val="auto"/>
                <w:highlight w:val="none"/>
              </w:rPr>
            </w:pPr>
          </w:p>
          <w:p w14:paraId="3C9E89E1">
            <w:pPr>
              <w:pStyle w:val="19"/>
              <w:keepNext w:val="0"/>
              <w:keepLines w:val="0"/>
              <w:widowControl/>
              <w:suppressLineNumbers w:val="0"/>
              <w:jc w:val="center"/>
              <w:rPr>
                <w:color w:val="auto"/>
                <w:highlight w:val="none"/>
              </w:rPr>
            </w:pPr>
          </w:p>
          <w:p w14:paraId="2638C646">
            <w:pPr>
              <w:pStyle w:val="19"/>
              <w:keepNext w:val="0"/>
              <w:keepLines w:val="0"/>
              <w:widowControl/>
              <w:suppressLineNumbers w:val="0"/>
              <w:jc w:val="center"/>
              <w:rPr>
                <w:color w:val="auto"/>
                <w:highlight w:val="none"/>
              </w:rPr>
            </w:pPr>
          </w:p>
          <w:p w14:paraId="4C9ACAA7">
            <w:pPr>
              <w:pStyle w:val="19"/>
              <w:keepNext w:val="0"/>
              <w:keepLines w:val="0"/>
              <w:widowControl/>
              <w:suppressLineNumbers w:val="0"/>
              <w:jc w:val="center"/>
              <w:rPr>
                <w:color w:val="auto"/>
                <w:highlight w:val="none"/>
              </w:rPr>
            </w:pPr>
          </w:p>
          <w:p w14:paraId="1F23B257">
            <w:pPr>
              <w:pStyle w:val="19"/>
              <w:keepNext w:val="0"/>
              <w:keepLines w:val="0"/>
              <w:widowControl/>
              <w:suppressLineNumbers w:val="0"/>
              <w:jc w:val="center"/>
              <w:rPr>
                <w:color w:val="auto"/>
                <w:highlight w:val="none"/>
              </w:rPr>
            </w:pPr>
          </w:p>
          <w:p w14:paraId="325EF192">
            <w:pPr>
              <w:pStyle w:val="19"/>
              <w:keepNext w:val="0"/>
              <w:keepLines w:val="0"/>
              <w:widowControl/>
              <w:suppressLineNumbers w:val="0"/>
              <w:jc w:val="center"/>
              <w:rPr>
                <w:color w:val="auto"/>
                <w:highlight w:val="none"/>
              </w:rPr>
            </w:pPr>
          </w:p>
          <w:p w14:paraId="0BBEDF87">
            <w:pPr>
              <w:pStyle w:val="19"/>
              <w:keepNext w:val="0"/>
              <w:keepLines w:val="0"/>
              <w:widowControl/>
              <w:suppressLineNumbers w:val="0"/>
              <w:jc w:val="center"/>
              <w:rPr>
                <w:color w:val="auto"/>
                <w:highlight w:val="none"/>
              </w:rPr>
            </w:pPr>
          </w:p>
          <w:p w14:paraId="5DC6A8FE">
            <w:pPr>
              <w:numPr>
                <w:ilvl w:val="0"/>
                <w:numId w:val="15"/>
              </w:numPr>
              <w:ind w:left="425" w:leftChars="0" w:hanging="425" w:firstLineChars="0"/>
              <w:jc w:val="center"/>
              <w:rPr>
                <w:rFonts w:hint="default" w:ascii="Times New Roman" w:hAnsi="Times New Roman" w:cs="Times New Roman"/>
                <w:b w:val="0"/>
                <w:bCs w:val="0"/>
                <w:color w:val="auto"/>
                <w:sz w:val="18"/>
                <w:szCs w:val="18"/>
                <w:highlight w:val="none"/>
                <w:lang w:val="en-US" w:eastAsia="zh-CN"/>
              </w:rPr>
            </w:pPr>
            <w:r>
              <w:rPr>
                <w:rFonts w:hint="default" w:ascii="Times New Roman" w:hAnsi="Times New Roman" w:cs="Times New Roman"/>
                <w:b w:val="0"/>
                <w:bCs w:val="0"/>
                <w:color w:val="auto"/>
                <w:sz w:val="18"/>
                <w:szCs w:val="18"/>
                <w:highlight w:val="none"/>
                <w:lang w:val="en-US" w:eastAsia="zh-CN"/>
              </w:rPr>
              <w:t>墙地防护结构图</w:t>
            </w:r>
          </w:p>
          <w:p w14:paraId="0BA8898A">
            <w:pPr>
              <w:pStyle w:val="32"/>
              <w:snapToGrid w:val="0"/>
              <w:spacing w:line="360" w:lineRule="auto"/>
              <w:ind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顶部：在DSA介入室顶部建筑楼板安装吊杆，吊杆上架设轻钢龙骨，在龙骨上安装22mm厚复合射线防护板，防护板尺寸为1000mm×3000mm，接缝处采用50mm宽同铅当量铅板覆盖。复合射线防护板下方加设9.5mm石膏板，最后采用6mm医疗洁净板作为顶部装饰。</w:t>
            </w:r>
          </w:p>
          <w:p w14:paraId="611E5ADC">
            <w:pPr>
              <w:pStyle w:val="34"/>
              <w:rPr>
                <w:rFonts w:hint="default"/>
                <w:color w:val="auto"/>
                <w:highlight w:val="none"/>
                <w:lang w:val="en-US" w:eastAsia="zh-CN"/>
              </w:rPr>
            </w:pPr>
            <w:r>
              <w:rPr>
                <w:color w:val="auto"/>
                <w:highlight w:val="none"/>
              </w:rPr>
              <w:drawing>
                <wp:anchor distT="0" distB="0" distL="114300" distR="114300" simplePos="0" relativeHeight="251674624" behindDoc="0" locked="0" layoutInCell="1" allowOverlap="1">
                  <wp:simplePos x="0" y="0"/>
                  <wp:positionH relativeFrom="column">
                    <wp:posOffset>969645</wp:posOffset>
                  </wp:positionH>
                  <wp:positionV relativeFrom="paragraph">
                    <wp:posOffset>157480</wp:posOffset>
                  </wp:positionV>
                  <wp:extent cx="3413760" cy="2731770"/>
                  <wp:effectExtent l="9525" t="9525" r="24765" b="20955"/>
                  <wp:wrapSquare wrapText="bothSides"/>
                  <wp:docPr id="35"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 descr="IMG_256"/>
                          <pic:cNvPicPr>
                            <a:picLocks noChangeAspect="1"/>
                          </pic:cNvPicPr>
                        </pic:nvPicPr>
                        <pic:blipFill>
                          <a:blip r:embed="rId20"/>
                          <a:stretch>
                            <a:fillRect/>
                          </a:stretch>
                        </pic:blipFill>
                        <pic:spPr>
                          <a:xfrm>
                            <a:off x="0" y="0"/>
                            <a:ext cx="3413760" cy="2731770"/>
                          </a:xfrm>
                          <a:prstGeom prst="rect">
                            <a:avLst/>
                          </a:prstGeom>
                          <a:noFill/>
                          <a:ln w="9525">
                            <a:solidFill>
                              <a:schemeClr val="tx1"/>
                            </a:solidFill>
                          </a:ln>
                        </pic:spPr>
                      </pic:pic>
                    </a:graphicData>
                  </a:graphic>
                </wp:anchor>
              </w:drawing>
            </w:r>
          </w:p>
          <w:p w14:paraId="259DDC6C">
            <w:pPr>
              <w:pStyle w:val="34"/>
              <w:rPr>
                <w:rFonts w:hint="default" w:ascii="Times New Roman" w:hAnsi="Times New Roman" w:eastAsia="宋体" w:cs="Times New Roman"/>
                <w:color w:val="auto"/>
                <w:kern w:val="2"/>
                <w:sz w:val="24"/>
                <w:szCs w:val="24"/>
                <w:highlight w:val="none"/>
                <w:lang w:val="en-US" w:eastAsia="zh-CN" w:bidi="ar-SA"/>
              </w:rPr>
            </w:pPr>
          </w:p>
          <w:p w14:paraId="258D2B6A">
            <w:pPr>
              <w:pStyle w:val="34"/>
              <w:rPr>
                <w:rFonts w:hint="default" w:ascii="Times New Roman" w:hAnsi="Times New Roman" w:eastAsia="宋体" w:cs="Times New Roman"/>
                <w:color w:val="auto"/>
                <w:kern w:val="2"/>
                <w:sz w:val="24"/>
                <w:szCs w:val="24"/>
                <w:highlight w:val="none"/>
                <w:lang w:val="en-US" w:eastAsia="zh-CN" w:bidi="ar-SA"/>
              </w:rPr>
            </w:pPr>
          </w:p>
          <w:p w14:paraId="50447020">
            <w:pPr>
              <w:pStyle w:val="34"/>
              <w:rPr>
                <w:rFonts w:hint="default" w:ascii="Times New Roman" w:hAnsi="Times New Roman" w:eastAsia="宋体" w:cs="Times New Roman"/>
                <w:color w:val="auto"/>
                <w:kern w:val="2"/>
                <w:sz w:val="24"/>
                <w:szCs w:val="24"/>
                <w:highlight w:val="none"/>
                <w:lang w:val="en-US" w:eastAsia="zh-CN" w:bidi="ar-SA"/>
              </w:rPr>
            </w:pPr>
          </w:p>
          <w:p w14:paraId="1B43940D">
            <w:pPr>
              <w:pStyle w:val="34"/>
              <w:rPr>
                <w:rFonts w:hint="default" w:ascii="Times New Roman" w:hAnsi="Times New Roman" w:eastAsia="宋体" w:cs="Times New Roman"/>
                <w:color w:val="auto"/>
                <w:kern w:val="2"/>
                <w:sz w:val="24"/>
                <w:szCs w:val="24"/>
                <w:highlight w:val="none"/>
                <w:lang w:val="en-US" w:eastAsia="zh-CN" w:bidi="ar-SA"/>
              </w:rPr>
            </w:pPr>
          </w:p>
          <w:p w14:paraId="63A627F7">
            <w:pPr>
              <w:rPr>
                <w:rFonts w:hint="default" w:ascii="Times New Roman" w:hAnsi="Times New Roman" w:eastAsia="宋体" w:cs="Times New Roman"/>
                <w:color w:val="auto"/>
                <w:kern w:val="2"/>
                <w:sz w:val="24"/>
                <w:szCs w:val="24"/>
                <w:highlight w:val="none"/>
                <w:lang w:val="en-US" w:eastAsia="zh-CN" w:bidi="ar-SA"/>
              </w:rPr>
            </w:pPr>
          </w:p>
          <w:p w14:paraId="576FA670">
            <w:pPr>
              <w:rPr>
                <w:rFonts w:hint="default" w:ascii="Times New Roman" w:hAnsi="Times New Roman" w:eastAsia="宋体" w:cs="Times New Roman"/>
                <w:color w:val="auto"/>
                <w:kern w:val="2"/>
                <w:sz w:val="24"/>
                <w:szCs w:val="24"/>
                <w:highlight w:val="none"/>
                <w:lang w:val="en-US" w:eastAsia="zh-CN" w:bidi="ar-SA"/>
              </w:rPr>
            </w:pPr>
          </w:p>
          <w:p w14:paraId="15F2BE44">
            <w:pPr>
              <w:rPr>
                <w:rFonts w:hint="default" w:ascii="Times New Roman" w:hAnsi="Times New Roman" w:eastAsia="宋体" w:cs="Times New Roman"/>
                <w:color w:val="auto"/>
                <w:kern w:val="2"/>
                <w:sz w:val="24"/>
                <w:szCs w:val="24"/>
                <w:highlight w:val="none"/>
                <w:lang w:val="en-US" w:eastAsia="zh-CN" w:bidi="ar-SA"/>
              </w:rPr>
            </w:pPr>
          </w:p>
          <w:p w14:paraId="77ABD5D3">
            <w:pPr>
              <w:rPr>
                <w:rFonts w:hint="default" w:ascii="Times New Roman" w:hAnsi="Times New Roman" w:eastAsia="宋体" w:cs="Times New Roman"/>
                <w:color w:val="auto"/>
                <w:kern w:val="2"/>
                <w:sz w:val="24"/>
                <w:szCs w:val="24"/>
                <w:highlight w:val="none"/>
                <w:lang w:val="en-US" w:eastAsia="zh-CN" w:bidi="ar-SA"/>
              </w:rPr>
            </w:pPr>
          </w:p>
          <w:p w14:paraId="3C8AD8CE">
            <w:pPr>
              <w:rPr>
                <w:rFonts w:hint="default" w:ascii="Times New Roman" w:hAnsi="Times New Roman" w:eastAsia="宋体" w:cs="Times New Roman"/>
                <w:color w:val="auto"/>
                <w:kern w:val="2"/>
                <w:sz w:val="24"/>
                <w:szCs w:val="24"/>
                <w:highlight w:val="none"/>
                <w:lang w:val="en-US" w:eastAsia="zh-CN" w:bidi="ar-SA"/>
              </w:rPr>
            </w:pPr>
          </w:p>
          <w:p w14:paraId="4AFE7FF4">
            <w:pPr>
              <w:rPr>
                <w:rFonts w:hint="default" w:ascii="Times New Roman" w:hAnsi="Times New Roman" w:eastAsia="宋体" w:cs="Times New Roman"/>
                <w:color w:val="auto"/>
                <w:kern w:val="2"/>
                <w:sz w:val="24"/>
                <w:szCs w:val="24"/>
                <w:highlight w:val="none"/>
                <w:lang w:val="en-US" w:eastAsia="zh-CN" w:bidi="ar-SA"/>
              </w:rPr>
            </w:pPr>
          </w:p>
          <w:p w14:paraId="183E0D22">
            <w:pPr>
              <w:pStyle w:val="19"/>
              <w:keepNext w:val="0"/>
              <w:keepLines w:val="0"/>
              <w:widowControl/>
              <w:suppressLineNumbers w:val="0"/>
              <w:jc w:val="center"/>
              <w:rPr>
                <w:color w:val="auto"/>
                <w:highlight w:val="none"/>
              </w:rPr>
            </w:pPr>
          </w:p>
          <w:p w14:paraId="210AAA71">
            <w:pPr>
              <w:numPr>
                <w:ilvl w:val="0"/>
                <w:numId w:val="15"/>
              </w:numPr>
              <w:ind w:left="425" w:leftChars="0" w:hanging="425" w:firstLineChars="0"/>
              <w:jc w:val="center"/>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顶部结构防护图</w:t>
            </w:r>
          </w:p>
          <w:p w14:paraId="2BB739A7">
            <w:pPr>
              <w:pStyle w:val="34"/>
              <w:ind w:firstLine="240" w:firstLineChars="100"/>
              <w:rPr>
                <w:rFonts w:hint="default" w:ascii="Times New Roman" w:hAnsi="Times New Roman" w:eastAsia="宋体" w:cs="Times New Roman"/>
                <w:bCs w:val="0"/>
                <w:color w:val="auto"/>
                <w:kern w:val="2"/>
                <w:sz w:val="24"/>
                <w:szCs w:val="24"/>
                <w:highlight w:val="none"/>
                <w:lang w:val="en-US" w:eastAsia="zh-CN" w:bidi="ar-SA"/>
              </w:rPr>
            </w:pPr>
            <w:r>
              <w:rPr>
                <w:rFonts w:hint="eastAsia" w:ascii="Times New Roman" w:hAnsi="Times New Roman" w:eastAsia="宋体" w:cs="Times New Roman"/>
                <w:bCs w:val="0"/>
                <w:color w:val="auto"/>
                <w:kern w:val="2"/>
                <w:sz w:val="24"/>
                <w:szCs w:val="24"/>
                <w:highlight w:val="none"/>
                <w:lang w:val="en-US" w:eastAsia="zh-CN" w:bidi="ar-SA"/>
              </w:rPr>
              <w:t>电缆线沟和通排风系统穿墙：</w:t>
            </w:r>
          </w:p>
          <w:p w14:paraId="75B87D31">
            <w:pPr>
              <w:numPr>
                <w:ilvl w:val="0"/>
                <w:numId w:val="0"/>
              </w:numPr>
              <w:spacing w:after="0" w:line="360" w:lineRule="auto"/>
              <w:ind w:leftChars="0" w:firstLine="480" w:firstLineChars="200"/>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电缆线穿孔位置采用U型穿孔，并在穿墙口采用铅橡胶套进行封堵并加盖不锈钢盖板，避免漏射产生。为防止射线泄漏，DSA介入室通排风管道穿墙处采用3mm铅当量的铅板包裹。</w:t>
            </w:r>
          </w:p>
          <w:p w14:paraId="0E503942">
            <w:pPr>
              <w:numPr>
                <w:ilvl w:val="0"/>
                <w:numId w:val="0"/>
              </w:numPr>
              <w:spacing w:after="0" w:line="360" w:lineRule="auto"/>
              <w:ind w:leftChars="0" w:firstLine="480" w:firstLineChars="200"/>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电缆沟、通排风管道防护设计大样图见图9-</w:t>
            </w:r>
            <w:r>
              <w:rPr>
                <w:rFonts w:hint="eastAsia" w:ascii="Times New Roman" w:hAnsi="Times New Roman" w:cs="Times New Roman"/>
                <w:color w:val="auto"/>
                <w:kern w:val="2"/>
                <w:sz w:val="24"/>
                <w:szCs w:val="24"/>
                <w:highlight w:val="none"/>
                <w:lang w:val="en-US" w:eastAsia="zh-CN" w:bidi="ar-SA"/>
              </w:rPr>
              <w:t>4</w:t>
            </w:r>
            <w:r>
              <w:rPr>
                <w:rFonts w:hint="eastAsia" w:ascii="Times New Roman" w:hAnsi="Times New Roman" w:eastAsia="宋体" w:cs="Times New Roman"/>
                <w:color w:val="auto"/>
                <w:kern w:val="2"/>
                <w:sz w:val="24"/>
                <w:szCs w:val="24"/>
                <w:highlight w:val="none"/>
                <w:lang w:val="en-US" w:eastAsia="zh-CN" w:bidi="ar-SA"/>
              </w:rPr>
              <w:t>。</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72"/>
              <w:gridCol w:w="4122"/>
            </w:tblGrid>
            <w:tr w14:paraId="071B0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6" w:hRule="atLeast"/>
              </w:trPr>
              <w:tc>
                <w:tcPr>
                  <w:tcW w:w="4172" w:type="dxa"/>
                  <w:vAlign w:val="top"/>
                </w:tcPr>
                <w:p w14:paraId="1344D65E">
                  <w:pPr>
                    <w:pStyle w:val="21"/>
                    <w:keepNext w:val="0"/>
                    <w:keepLines w:val="0"/>
                    <w:pageBreakBefore w:val="0"/>
                    <w:widowControl w:val="0"/>
                    <w:kinsoku/>
                    <w:wordWrap/>
                    <w:overflowPunct/>
                    <w:topLinePunct w:val="0"/>
                    <w:autoSpaceDE/>
                    <w:autoSpaceDN/>
                    <w:bidi w:val="0"/>
                    <w:adjustRightInd/>
                    <w:snapToGrid/>
                    <w:spacing w:line="240" w:lineRule="auto"/>
                    <w:ind w:firstLine="0"/>
                    <w:textAlignment w:val="auto"/>
                    <w:rPr>
                      <w:color w:val="auto"/>
                      <w:highlight w:val="none"/>
                    </w:rPr>
                  </w:pPr>
                  <w:r>
                    <w:rPr>
                      <w:color w:val="auto"/>
                      <w:highlight w:val="none"/>
                    </w:rPr>
                    <w:drawing>
                      <wp:inline distT="0" distB="0" distL="114300" distR="114300">
                        <wp:extent cx="2484755" cy="1894205"/>
                        <wp:effectExtent l="0" t="0" r="10795"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1"/>
                                <a:stretch>
                                  <a:fillRect/>
                                </a:stretch>
                              </pic:blipFill>
                              <pic:spPr>
                                <a:xfrm>
                                  <a:off x="0" y="0"/>
                                  <a:ext cx="2484755" cy="1894205"/>
                                </a:xfrm>
                                <a:prstGeom prst="rect">
                                  <a:avLst/>
                                </a:prstGeom>
                                <a:noFill/>
                                <a:ln>
                                  <a:noFill/>
                                </a:ln>
                              </pic:spPr>
                            </pic:pic>
                          </a:graphicData>
                        </a:graphic>
                      </wp:inline>
                    </w:drawing>
                  </w:r>
                </w:p>
                <w:p w14:paraId="68D82B44">
                  <w:pPr>
                    <w:pStyle w:val="21"/>
                    <w:spacing w:line="240" w:lineRule="auto"/>
                    <w:jc w:val="center"/>
                    <w:rPr>
                      <w:rFonts w:hint="default" w:eastAsia="宋体"/>
                      <w:color w:val="auto"/>
                      <w:highlight w:val="none"/>
                      <w:lang w:val="en-US" w:eastAsia="zh-CN"/>
                    </w:rPr>
                  </w:pPr>
                  <w:r>
                    <w:rPr>
                      <w:rFonts w:hint="eastAsia"/>
                      <w:color w:val="auto"/>
                      <w:sz w:val="18"/>
                      <w:szCs w:val="18"/>
                      <w:highlight w:val="none"/>
                      <w:lang w:val="en-US" w:eastAsia="zh-CN"/>
                    </w:rPr>
                    <w:t>通排风管道大样图</w:t>
                  </w:r>
                </w:p>
              </w:tc>
              <w:tc>
                <w:tcPr>
                  <w:tcW w:w="4122" w:type="dxa"/>
                  <w:vAlign w:val="top"/>
                </w:tcPr>
                <w:p w14:paraId="243C7532">
                  <w:pPr>
                    <w:pStyle w:val="21"/>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color w:val="auto"/>
                      <w:highlight w:val="none"/>
                    </w:rPr>
                  </w:pPr>
                  <w:r>
                    <w:rPr>
                      <w:color w:val="auto"/>
                      <w:highlight w:val="none"/>
                    </w:rPr>
                    <w:drawing>
                      <wp:inline distT="0" distB="0" distL="114300" distR="114300">
                        <wp:extent cx="2485390" cy="1829435"/>
                        <wp:effectExtent l="0" t="0" r="10160" b="18415"/>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22"/>
                                <a:stretch>
                                  <a:fillRect/>
                                </a:stretch>
                              </pic:blipFill>
                              <pic:spPr>
                                <a:xfrm>
                                  <a:off x="0" y="0"/>
                                  <a:ext cx="2485390" cy="1829435"/>
                                </a:xfrm>
                                <a:prstGeom prst="rect">
                                  <a:avLst/>
                                </a:prstGeom>
                                <a:noFill/>
                                <a:ln>
                                  <a:noFill/>
                                </a:ln>
                              </pic:spPr>
                            </pic:pic>
                          </a:graphicData>
                        </a:graphic>
                      </wp:inline>
                    </w:drawing>
                  </w:r>
                </w:p>
                <w:p w14:paraId="360CE8C8">
                  <w:pPr>
                    <w:pStyle w:val="21"/>
                    <w:spacing w:line="240" w:lineRule="auto"/>
                    <w:jc w:val="center"/>
                    <w:rPr>
                      <w:rFonts w:hint="default" w:eastAsia="宋体"/>
                      <w:color w:val="auto"/>
                      <w:highlight w:val="none"/>
                      <w:lang w:val="en-US" w:eastAsia="zh-CN"/>
                    </w:rPr>
                  </w:pPr>
                  <w:r>
                    <w:rPr>
                      <w:rFonts w:hint="eastAsia"/>
                      <w:color w:val="auto"/>
                      <w:sz w:val="18"/>
                      <w:szCs w:val="18"/>
                      <w:highlight w:val="none"/>
                      <w:lang w:val="en-US" w:eastAsia="zh-CN"/>
                    </w:rPr>
                    <w:t>电缆沟设计大样图</w:t>
                  </w:r>
                </w:p>
              </w:tc>
            </w:tr>
          </w:tbl>
          <w:p w14:paraId="303E53C7">
            <w:pPr>
              <w:numPr>
                <w:ilvl w:val="0"/>
                <w:numId w:val="15"/>
              </w:numPr>
              <w:ind w:left="425" w:leftChars="0" w:hanging="425" w:firstLineChars="0"/>
              <w:jc w:val="center"/>
              <w:rPr>
                <w:rFonts w:hint="eastAsia" w:ascii="Times New Roman" w:hAnsi="Times New Roman" w:eastAsia="宋体" w:cs="Times New Roman"/>
                <w:b w:val="0"/>
                <w:bCs w:val="0"/>
                <w:color w:val="auto"/>
                <w:sz w:val="18"/>
                <w:szCs w:val="18"/>
                <w:highlight w:val="none"/>
                <w:lang w:val="en-US" w:eastAsia="zh-CN"/>
              </w:rPr>
            </w:pPr>
            <w:bookmarkStart w:id="51" w:name="_Toc9407"/>
            <w:r>
              <w:rPr>
                <w:rFonts w:hint="default" w:ascii="Times New Roman" w:hAnsi="Times New Roman" w:eastAsia="宋体" w:cs="Times New Roman"/>
                <w:b w:val="0"/>
                <w:bCs w:val="0"/>
                <w:color w:val="auto"/>
                <w:sz w:val="18"/>
                <w:szCs w:val="18"/>
                <w:highlight w:val="none"/>
                <w:lang w:val="en-US" w:eastAsia="zh-CN"/>
              </w:rPr>
              <w:t>本项目</w:t>
            </w:r>
            <w:r>
              <w:rPr>
                <w:rFonts w:hint="eastAsia" w:ascii="Times New Roman" w:hAnsi="Times New Roman" w:eastAsia="宋体" w:cs="Times New Roman"/>
                <w:b w:val="0"/>
                <w:bCs w:val="0"/>
                <w:color w:val="auto"/>
                <w:sz w:val="18"/>
                <w:szCs w:val="18"/>
                <w:highlight w:val="none"/>
                <w:lang w:val="en-US" w:eastAsia="zh-CN"/>
              </w:rPr>
              <w:t>风管穿墙和电缆沟</w:t>
            </w:r>
            <w:r>
              <w:rPr>
                <w:rFonts w:hint="default" w:ascii="Times New Roman" w:hAnsi="Times New Roman" w:eastAsia="宋体" w:cs="Times New Roman"/>
                <w:b w:val="0"/>
                <w:bCs w:val="0"/>
                <w:color w:val="auto"/>
                <w:sz w:val="18"/>
                <w:szCs w:val="18"/>
                <w:highlight w:val="none"/>
                <w:lang w:val="en-US" w:eastAsia="zh-CN"/>
              </w:rPr>
              <w:t>示意图</w:t>
            </w:r>
            <w:bookmarkEnd w:id="51"/>
          </w:p>
          <w:p w14:paraId="283EAB55">
            <w:pPr>
              <w:pStyle w:val="32"/>
              <w:snapToGrid w:val="0"/>
              <w:spacing w:line="360" w:lineRule="auto"/>
              <w:ind w:firstLine="480" w:firstLineChars="200"/>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铅玻璃观察窗采用15mm厚铅防辐射玻璃，铅当量3mm，尺寸为1500mm×900mm，窗洞尺寸1420mm×820mm</w:t>
            </w:r>
            <w:r>
              <w:rPr>
                <w:rFonts w:hint="eastAsia" w:ascii="Times New Roman" w:hAnsi="Times New Roman"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其防护大样图见下图。</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22"/>
              <w:gridCol w:w="4272"/>
            </w:tblGrid>
            <w:tr w14:paraId="5CF0C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2" w:type="dxa"/>
                </w:tcPr>
                <w:p w14:paraId="3216545F">
                  <w:pPr>
                    <w:jc w:val="center"/>
                    <w:rPr>
                      <w:rFonts w:hint="eastAsia" w:ascii="Times New Roman" w:hAnsi="Times New Roman" w:eastAsia="宋体" w:cs="Times New Roman"/>
                      <w:color w:val="auto"/>
                      <w:kern w:val="2"/>
                      <w:sz w:val="24"/>
                      <w:szCs w:val="24"/>
                      <w:highlight w:val="none"/>
                      <w:vertAlign w:val="baseline"/>
                      <w:lang w:val="en-US" w:eastAsia="zh-CN" w:bidi="ar-SA"/>
                    </w:rPr>
                  </w:pPr>
                  <w:r>
                    <w:rPr>
                      <w:color w:val="auto"/>
                      <w:highlight w:val="none"/>
                    </w:rPr>
                    <w:drawing>
                      <wp:inline distT="0" distB="0" distL="114300" distR="114300">
                        <wp:extent cx="2110105" cy="2628900"/>
                        <wp:effectExtent l="0" t="0" r="0" b="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23"/>
                                <a:srcRect l="23726" r="18473"/>
                                <a:stretch>
                                  <a:fillRect/>
                                </a:stretch>
                              </pic:blipFill>
                              <pic:spPr>
                                <a:xfrm>
                                  <a:off x="0" y="0"/>
                                  <a:ext cx="2110105" cy="2628900"/>
                                </a:xfrm>
                                <a:prstGeom prst="rect">
                                  <a:avLst/>
                                </a:prstGeom>
                                <a:noFill/>
                                <a:ln>
                                  <a:noFill/>
                                </a:ln>
                              </pic:spPr>
                            </pic:pic>
                          </a:graphicData>
                        </a:graphic>
                      </wp:inline>
                    </w:drawing>
                  </w:r>
                </w:p>
                <w:p w14:paraId="3A918560">
                  <w:pPr>
                    <w:jc w:val="both"/>
                    <w:rPr>
                      <w:rFonts w:hint="default" w:ascii="Times New Roman" w:hAnsi="Times New Roman" w:eastAsia="宋体" w:cs="Times New Roman"/>
                      <w:color w:val="auto"/>
                      <w:kern w:val="2"/>
                      <w:sz w:val="24"/>
                      <w:szCs w:val="24"/>
                      <w:highlight w:val="none"/>
                      <w:vertAlign w:val="baseline"/>
                      <w:lang w:val="en-US" w:eastAsia="zh-CN" w:bidi="ar-SA"/>
                    </w:rPr>
                  </w:pPr>
                  <w:r>
                    <w:rPr>
                      <w:rFonts w:hint="eastAsia" w:ascii="Times New Roman" w:hAnsi="Times New Roman" w:cs="Times New Roman"/>
                      <w:color w:val="auto"/>
                      <w:kern w:val="2"/>
                      <w:sz w:val="24"/>
                      <w:szCs w:val="24"/>
                      <w:highlight w:val="none"/>
                      <w:vertAlign w:val="baseline"/>
                      <w:lang w:val="en-US" w:eastAsia="zh-CN" w:bidi="ar-SA"/>
                    </w:rPr>
                    <w:t>铅玻璃观察窗大样图</w:t>
                  </w:r>
                </w:p>
              </w:tc>
              <w:tc>
                <w:tcPr>
                  <w:tcW w:w="4272" w:type="dxa"/>
                </w:tcPr>
                <w:p w14:paraId="0906D380">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p>
                <w:p w14:paraId="3B6ED4C9">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p>
                <w:p w14:paraId="74C86E69">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r>
                    <w:rPr>
                      <w:color w:val="auto"/>
                      <w:highlight w:val="none"/>
                    </w:rPr>
                    <w:drawing>
                      <wp:inline distT="0" distB="0" distL="114300" distR="114300">
                        <wp:extent cx="2532380" cy="1842135"/>
                        <wp:effectExtent l="0" t="0" r="1270" b="5715"/>
                        <wp:docPr id="2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
                                <pic:cNvPicPr>
                                  <a:picLocks noChangeAspect="1"/>
                                </pic:cNvPicPr>
                              </pic:nvPicPr>
                              <pic:blipFill>
                                <a:blip r:embed="rId24"/>
                                <a:stretch>
                                  <a:fillRect/>
                                </a:stretch>
                              </pic:blipFill>
                              <pic:spPr>
                                <a:xfrm>
                                  <a:off x="0" y="0"/>
                                  <a:ext cx="2532380" cy="1842135"/>
                                </a:xfrm>
                                <a:prstGeom prst="rect">
                                  <a:avLst/>
                                </a:prstGeom>
                                <a:noFill/>
                                <a:ln>
                                  <a:noFill/>
                                </a:ln>
                              </pic:spPr>
                            </pic:pic>
                          </a:graphicData>
                        </a:graphic>
                      </wp:inline>
                    </w:drawing>
                  </w:r>
                </w:p>
                <w:p w14:paraId="0CA53F5A">
                  <w:pPr>
                    <w:jc w:val="center"/>
                    <w:rPr>
                      <w:rFonts w:hint="default"/>
                      <w:color w:val="auto"/>
                      <w:highlight w:val="none"/>
                      <w:lang w:val="en-US" w:eastAsia="zh-CN"/>
                    </w:rPr>
                  </w:pPr>
                  <w:r>
                    <w:rPr>
                      <w:rFonts w:hint="eastAsia"/>
                      <w:color w:val="auto"/>
                      <w:highlight w:val="none"/>
                      <w:lang w:val="en-US" w:eastAsia="zh-CN"/>
                    </w:rPr>
                    <w:t>铅玻璃观察窗示意图</w:t>
                  </w:r>
                </w:p>
              </w:tc>
            </w:tr>
          </w:tbl>
          <w:p w14:paraId="118D6862">
            <w:pPr>
              <w:numPr>
                <w:ilvl w:val="0"/>
                <w:numId w:val="15"/>
              </w:numPr>
              <w:ind w:left="425" w:leftChars="0" w:hanging="425" w:firstLine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铅玻璃观察窗大样图</w:t>
            </w:r>
          </w:p>
          <w:p w14:paraId="2C864E52">
            <w:pPr>
              <w:pStyle w:val="32"/>
              <w:snapToGrid w:val="0"/>
              <w:spacing w:line="360" w:lineRule="auto"/>
              <w:ind w:firstLine="480" w:firstLineChars="200"/>
              <w:rPr>
                <w:rFonts w:hint="eastAsia" w:ascii="Times New Roman" w:hAnsi="Times New Roman" w:cs="Times New Roman"/>
                <w:b/>
                <w:color w:val="auto"/>
                <w:kern w:val="0"/>
                <w:szCs w:val="24"/>
                <w:highlight w:val="none"/>
                <w:lang w:val="en-US" w:eastAsia="zh-CN" w:bidi="ar"/>
              </w:rPr>
            </w:pPr>
            <w:r>
              <w:rPr>
                <w:rFonts w:hint="eastAsia" w:ascii="Times New Roman" w:hAnsi="Times New Roman" w:cs="Times New Roman"/>
                <w:color w:val="auto"/>
                <w:kern w:val="2"/>
                <w:sz w:val="24"/>
                <w:szCs w:val="24"/>
                <w:highlight w:val="none"/>
                <w:lang w:val="en-US" w:eastAsia="zh-CN" w:bidi="ar-SA"/>
              </w:rPr>
              <w:t>1</w:t>
            </w:r>
            <w:r>
              <w:rPr>
                <w:rFonts w:hint="eastAsia" w:ascii="Times New Roman" w:hAnsi="Times New Roman" w:eastAsia="宋体" w:cs="Times New Roman"/>
                <w:color w:val="auto"/>
                <w:kern w:val="2"/>
                <w:sz w:val="24"/>
                <w:szCs w:val="24"/>
                <w:highlight w:val="none"/>
                <w:lang w:val="en-US" w:eastAsia="zh-CN" w:bidi="ar-SA"/>
              </w:rPr>
              <w:t>扇</w:t>
            </w:r>
            <w:r>
              <w:rPr>
                <w:rFonts w:hint="eastAsia" w:ascii="Times New Roman" w:hAnsi="Times New Roman" w:cs="Times New Roman"/>
                <w:color w:val="auto"/>
                <w:kern w:val="2"/>
                <w:sz w:val="24"/>
                <w:szCs w:val="24"/>
                <w:highlight w:val="none"/>
                <w:lang w:val="en-US" w:eastAsia="zh-CN" w:bidi="ar-SA"/>
              </w:rPr>
              <w:t>双开</w:t>
            </w:r>
            <w:r>
              <w:rPr>
                <w:rFonts w:hint="eastAsia" w:ascii="Times New Roman" w:hAnsi="Times New Roman" w:eastAsia="宋体" w:cs="Times New Roman"/>
                <w:color w:val="auto"/>
                <w:kern w:val="2"/>
                <w:sz w:val="24"/>
                <w:szCs w:val="24"/>
                <w:highlight w:val="none"/>
                <w:lang w:val="en-US" w:eastAsia="zh-CN" w:bidi="ar-SA"/>
              </w:rPr>
              <w:t>平开门</w:t>
            </w:r>
            <w:r>
              <w:rPr>
                <w:rFonts w:hint="eastAsia" w:ascii="Times New Roman" w:hAnsi="Times New Roman" w:cs="Times New Roman"/>
                <w:color w:val="auto"/>
                <w:kern w:val="2"/>
                <w:sz w:val="24"/>
                <w:szCs w:val="24"/>
                <w:highlight w:val="none"/>
                <w:lang w:val="en-US" w:eastAsia="zh-CN" w:bidi="ar-SA"/>
              </w:rPr>
              <w:t>（设备间防护门）</w:t>
            </w:r>
            <w:r>
              <w:rPr>
                <w:rFonts w:hint="eastAsia" w:ascii="Times New Roman" w:hAnsi="Times New Roman" w:eastAsia="宋体" w:cs="Times New Roman"/>
                <w:color w:val="auto"/>
                <w:kern w:val="2"/>
                <w:sz w:val="24"/>
                <w:szCs w:val="24"/>
                <w:highlight w:val="none"/>
                <w:lang w:val="en-US" w:eastAsia="zh-CN" w:bidi="ar-SA"/>
              </w:rPr>
              <w:t>尺寸为1100mm×2100mm，门洞尺寸为1000mm×</w:t>
            </w:r>
            <w:r>
              <w:rPr>
                <w:rFonts w:hint="eastAsia" w:ascii="Times New Roman" w:hAnsi="Times New Roman" w:cs="Times New Roman"/>
                <w:color w:val="auto"/>
                <w:kern w:val="2"/>
                <w:sz w:val="24"/>
                <w:szCs w:val="24"/>
                <w:highlight w:val="none"/>
                <w:lang w:val="en-US" w:eastAsia="zh-CN" w:bidi="ar-SA"/>
              </w:rPr>
              <w:t>195</w:t>
            </w:r>
            <w:r>
              <w:rPr>
                <w:rFonts w:hint="eastAsia" w:ascii="Times New Roman" w:hAnsi="Times New Roman" w:eastAsia="宋体" w:cs="Times New Roman"/>
                <w:color w:val="auto"/>
                <w:kern w:val="2"/>
                <w:sz w:val="24"/>
                <w:szCs w:val="24"/>
                <w:highlight w:val="none"/>
                <w:lang w:val="en-US" w:eastAsia="zh-CN" w:bidi="ar-SA"/>
              </w:rPr>
              <w:t>0mm</w:t>
            </w:r>
            <w:r>
              <w:rPr>
                <w:rFonts w:hint="eastAsia" w:ascii="Times New Roman" w:hAnsi="Times New Roman" w:cs="Times New Roman"/>
                <w:color w:val="auto"/>
                <w:kern w:val="2"/>
                <w:sz w:val="24"/>
                <w:szCs w:val="24"/>
                <w:highlight w:val="none"/>
                <w:lang w:val="en-US" w:eastAsia="zh-CN" w:bidi="ar-SA"/>
              </w:rPr>
              <w:t>。钢制平开门，内衬3mm铅板，两扇门搭接处采用阶梯状搭接。门把手采用防辐射专用门把手。门框采用一体成型钢板喷塑门套包边，内衬3mm铅板和12mm厚阻燃板。</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7"/>
              <w:gridCol w:w="4147"/>
            </w:tblGrid>
            <w:tr w14:paraId="6782D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7" w:type="dxa"/>
                </w:tcPr>
                <w:p w14:paraId="6742B438">
                  <w:pPr>
                    <w:pStyle w:val="70"/>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ascii="Times New Roman" w:hAnsi="Times New Roman" w:cs="Times New Roman"/>
                      <w:b/>
                      <w:color w:val="auto"/>
                      <w:kern w:val="0"/>
                      <w:szCs w:val="24"/>
                      <w:highlight w:val="none"/>
                      <w:vertAlign w:val="baseline"/>
                      <w:lang w:val="en-US" w:eastAsia="zh-CN" w:bidi="ar"/>
                    </w:rPr>
                  </w:pPr>
                  <w:r>
                    <w:rPr>
                      <w:color w:val="auto"/>
                      <w:highlight w:val="none"/>
                    </w:rPr>
                    <w:drawing>
                      <wp:inline distT="0" distB="0" distL="114300" distR="114300">
                        <wp:extent cx="2491105" cy="1789430"/>
                        <wp:effectExtent l="0" t="0" r="4445" b="1270"/>
                        <wp:docPr id="2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7"/>
                                <pic:cNvPicPr>
                                  <a:picLocks noChangeAspect="1"/>
                                </pic:cNvPicPr>
                              </pic:nvPicPr>
                              <pic:blipFill>
                                <a:blip r:embed="rId25"/>
                                <a:stretch>
                                  <a:fillRect/>
                                </a:stretch>
                              </pic:blipFill>
                              <pic:spPr>
                                <a:xfrm>
                                  <a:off x="0" y="0"/>
                                  <a:ext cx="2491105" cy="1789430"/>
                                </a:xfrm>
                                <a:prstGeom prst="rect">
                                  <a:avLst/>
                                </a:prstGeom>
                                <a:noFill/>
                                <a:ln>
                                  <a:noFill/>
                                </a:ln>
                              </pic:spPr>
                            </pic:pic>
                          </a:graphicData>
                        </a:graphic>
                      </wp:inline>
                    </w:drawing>
                  </w:r>
                </w:p>
              </w:tc>
              <w:tc>
                <w:tcPr>
                  <w:tcW w:w="4147" w:type="dxa"/>
                </w:tcPr>
                <w:p w14:paraId="08B7C4A5">
                  <w:pPr>
                    <w:pStyle w:val="70"/>
                    <w:rPr>
                      <w:rFonts w:hint="eastAsia" w:ascii="Times New Roman" w:hAnsi="Times New Roman" w:cs="Times New Roman"/>
                      <w:b/>
                      <w:color w:val="auto"/>
                      <w:kern w:val="0"/>
                      <w:szCs w:val="24"/>
                      <w:highlight w:val="none"/>
                      <w:vertAlign w:val="baseline"/>
                      <w:lang w:val="en-US" w:eastAsia="zh-CN" w:bidi="ar"/>
                    </w:rPr>
                  </w:pPr>
                </w:p>
                <w:p w14:paraId="648B7AD4">
                  <w:pPr>
                    <w:pStyle w:val="70"/>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ascii="Times New Roman" w:hAnsi="Times New Roman" w:cs="Times New Roman"/>
                      <w:b/>
                      <w:color w:val="auto"/>
                      <w:kern w:val="0"/>
                      <w:szCs w:val="24"/>
                      <w:highlight w:val="none"/>
                      <w:vertAlign w:val="baseline"/>
                      <w:lang w:val="en-US" w:eastAsia="zh-CN" w:bidi="ar"/>
                    </w:rPr>
                  </w:pPr>
                  <w:r>
                    <w:rPr>
                      <w:color w:val="auto"/>
                      <w:highlight w:val="none"/>
                    </w:rPr>
                    <w:drawing>
                      <wp:inline distT="0" distB="0" distL="114300" distR="114300">
                        <wp:extent cx="2487295" cy="1637665"/>
                        <wp:effectExtent l="0" t="0" r="8255" b="635"/>
                        <wp:docPr id="3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8"/>
                                <pic:cNvPicPr>
                                  <a:picLocks noChangeAspect="1"/>
                                </pic:cNvPicPr>
                              </pic:nvPicPr>
                              <pic:blipFill>
                                <a:blip r:embed="rId26"/>
                                <a:stretch>
                                  <a:fillRect/>
                                </a:stretch>
                              </pic:blipFill>
                              <pic:spPr>
                                <a:xfrm>
                                  <a:off x="0" y="0"/>
                                  <a:ext cx="2487295" cy="1637665"/>
                                </a:xfrm>
                                <a:prstGeom prst="rect">
                                  <a:avLst/>
                                </a:prstGeom>
                                <a:noFill/>
                                <a:ln>
                                  <a:noFill/>
                                </a:ln>
                              </pic:spPr>
                            </pic:pic>
                          </a:graphicData>
                        </a:graphic>
                      </wp:inline>
                    </w:drawing>
                  </w:r>
                </w:p>
              </w:tc>
            </w:tr>
          </w:tbl>
          <w:p w14:paraId="09518A65">
            <w:pPr>
              <w:numPr>
                <w:ilvl w:val="0"/>
                <w:numId w:val="15"/>
              </w:numPr>
              <w:ind w:left="425" w:leftChars="0" w:hanging="425" w:firstLine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双开门大样图</w:t>
            </w:r>
          </w:p>
          <w:p w14:paraId="29384FC6">
            <w:pPr>
              <w:pStyle w:val="32"/>
              <w:snapToGrid w:val="0"/>
              <w:spacing w:line="360" w:lineRule="auto"/>
              <w:ind w:firstLine="480" w:firstLineChars="200"/>
              <w:rPr>
                <w:rFonts w:hint="default" w:ascii="Times New Roman" w:hAnsi="Times New Roman" w:cs="Times New Roman"/>
                <w:b/>
                <w:color w:val="auto"/>
                <w:kern w:val="0"/>
                <w:szCs w:val="24"/>
                <w:highlight w:val="none"/>
                <w:lang w:val="en-US" w:eastAsia="zh-CN" w:bidi="ar"/>
              </w:rPr>
            </w:pPr>
            <w:r>
              <w:rPr>
                <w:rFonts w:hint="eastAsia" w:ascii="Times New Roman" w:hAnsi="Times New Roman" w:cs="Times New Roman"/>
                <w:color w:val="auto"/>
                <w:kern w:val="2"/>
                <w:sz w:val="24"/>
                <w:szCs w:val="24"/>
                <w:highlight w:val="none"/>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t>扇平开门</w:t>
            </w:r>
            <w:r>
              <w:rPr>
                <w:rFonts w:hint="eastAsia" w:ascii="Times New Roman" w:hAnsi="Times New Roman" w:cs="Times New Roman"/>
                <w:color w:val="auto"/>
                <w:kern w:val="2"/>
                <w:sz w:val="24"/>
                <w:szCs w:val="24"/>
                <w:highlight w:val="none"/>
                <w:lang w:val="en-US" w:eastAsia="zh-CN" w:bidi="ar-SA"/>
              </w:rPr>
              <w:t>（污物间防护门、控制室防护门、高值耗材存放处防护门）</w:t>
            </w:r>
            <w:r>
              <w:rPr>
                <w:rFonts w:hint="eastAsia" w:ascii="Times New Roman" w:hAnsi="Times New Roman" w:eastAsia="宋体" w:cs="Times New Roman"/>
                <w:color w:val="auto"/>
                <w:kern w:val="2"/>
                <w:sz w:val="24"/>
                <w:szCs w:val="24"/>
                <w:highlight w:val="none"/>
                <w:lang w:val="en-US" w:eastAsia="zh-CN" w:bidi="ar-SA"/>
              </w:rPr>
              <w:t>尺寸为1100mm×2100mm，门洞尺寸为1000mm×</w:t>
            </w:r>
            <w:r>
              <w:rPr>
                <w:rFonts w:hint="eastAsia" w:ascii="Times New Roman" w:hAnsi="Times New Roman" w:cs="Times New Roman"/>
                <w:color w:val="auto"/>
                <w:kern w:val="2"/>
                <w:sz w:val="24"/>
                <w:szCs w:val="24"/>
                <w:highlight w:val="none"/>
                <w:lang w:val="en-US" w:eastAsia="zh-CN" w:bidi="ar-SA"/>
              </w:rPr>
              <w:t>195</w:t>
            </w:r>
            <w:r>
              <w:rPr>
                <w:rFonts w:hint="eastAsia" w:ascii="Times New Roman" w:hAnsi="Times New Roman" w:eastAsia="宋体" w:cs="Times New Roman"/>
                <w:color w:val="auto"/>
                <w:kern w:val="2"/>
                <w:sz w:val="24"/>
                <w:szCs w:val="24"/>
                <w:highlight w:val="none"/>
                <w:lang w:val="en-US" w:eastAsia="zh-CN" w:bidi="ar-SA"/>
              </w:rPr>
              <w:t>0mm</w:t>
            </w:r>
            <w:r>
              <w:rPr>
                <w:rFonts w:hint="eastAsia" w:ascii="Times New Roman" w:hAnsi="Times New Roman" w:cs="Times New Roman"/>
                <w:color w:val="auto"/>
                <w:kern w:val="2"/>
                <w:sz w:val="24"/>
                <w:szCs w:val="24"/>
                <w:highlight w:val="none"/>
                <w:lang w:val="en-US" w:eastAsia="zh-CN" w:bidi="ar-SA"/>
              </w:rPr>
              <w:t>。钢制平开门，内衬3mm铅板，门把手采用防辐射专用门把手。门框采用一体成型钢板喷塑门套包边，内衬3mm铅板和12mm厚阻燃板。</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7"/>
              <w:gridCol w:w="4147"/>
            </w:tblGrid>
            <w:tr w14:paraId="02BD3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7" w:type="dxa"/>
                </w:tcPr>
                <w:p w14:paraId="414F14F9">
                  <w:pPr>
                    <w:pStyle w:val="70"/>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ascii="Times New Roman" w:hAnsi="Times New Roman" w:cs="Times New Roman"/>
                      <w:b/>
                      <w:color w:val="auto"/>
                      <w:kern w:val="0"/>
                      <w:szCs w:val="24"/>
                      <w:highlight w:val="none"/>
                      <w:vertAlign w:val="baseline"/>
                      <w:lang w:val="en-US" w:eastAsia="zh-CN" w:bidi="ar"/>
                    </w:rPr>
                  </w:pPr>
                  <w:r>
                    <w:rPr>
                      <w:color w:val="auto"/>
                      <w:highlight w:val="none"/>
                    </w:rPr>
                    <w:drawing>
                      <wp:inline distT="0" distB="0" distL="114300" distR="114300">
                        <wp:extent cx="2493010" cy="1812290"/>
                        <wp:effectExtent l="0" t="0" r="2540" b="16510"/>
                        <wp:docPr id="3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9"/>
                                <pic:cNvPicPr>
                                  <a:picLocks noChangeAspect="1"/>
                                </pic:cNvPicPr>
                              </pic:nvPicPr>
                              <pic:blipFill>
                                <a:blip r:embed="rId27"/>
                                <a:stretch>
                                  <a:fillRect/>
                                </a:stretch>
                              </pic:blipFill>
                              <pic:spPr>
                                <a:xfrm>
                                  <a:off x="0" y="0"/>
                                  <a:ext cx="2493010" cy="1812290"/>
                                </a:xfrm>
                                <a:prstGeom prst="rect">
                                  <a:avLst/>
                                </a:prstGeom>
                                <a:noFill/>
                                <a:ln>
                                  <a:noFill/>
                                </a:ln>
                              </pic:spPr>
                            </pic:pic>
                          </a:graphicData>
                        </a:graphic>
                      </wp:inline>
                    </w:drawing>
                  </w:r>
                </w:p>
              </w:tc>
              <w:tc>
                <w:tcPr>
                  <w:tcW w:w="4147" w:type="dxa"/>
                </w:tcPr>
                <w:p w14:paraId="7B65D141">
                  <w:pPr>
                    <w:pStyle w:val="70"/>
                    <w:rPr>
                      <w:rFonts w:hint="eastAsia" w:ascii="Times New Roman" w:hAnsi="Times New Roman" w:cs="Times New Roman"/>
                      <w:b/>
                      <w:color w:val="auto"/>
                      <w:kern w:val="0"/>
                      <w:szCs w:val="24"/>
                      <w:highlight w:val="none"/>
                      <w:vertAlign w:val="baseline"/>
                      <w:lang w:val="en-US" w:eastAsia="zh-CN" w:bidi="ar"/>
                    </w:rPr>
                  </w:pPr>
                </w:p>
                <w:p w14:paraId="2F75CA39">
                  <w:pPr>
                    <w:pStyle w:val="70"/>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ascii="Times New Roman" w:hAnsi="Times New Roman" w:cs="Times New Roman"/>
                      <w:b/>
                      <w:color w:val="auto"/>
                      <w:kern w:val="0"/>
                      <w:szCs w:val="24"/>
                      <w:highlight w:val="none"/>
                      <w:vertAlign w:val="baseline"/>
                      <w:lang w:val="en-US" w:eastAsia="zh-CN" w:bidi="ar"/>
                    </w:rPr>
                  </w:pPr>
                  <w:r>
                    <w:rPr>
                      <w:color w:val="auto"/>
                      <w:highlight w:val="none"/>
                    </w:rPr>
                    <w:drawing>
                      <wp:inline distT="0" distB="0" distL="114300" distR="114300">
                        <wp:extent cx="2491740" cy="1583690"/>
                        <wp:effectExtent l="0" t="0" r="3810" b="16510"/>
                        <wp:docPr id="3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0"/>
                                <pic:cNvPicPr>
                                  <a:picLocks noChangeAspect="1"/>
                                </pic:cNvPicPr>
                              </pic:nvPicPr>
                              <pic:blipFill>
                                <a:blip r:embed="rId28"/>
                                <a:stretch>
                                  <a:fillRect/>
                                </a:stretch>
                              </pic:blipFill>
                              <pic:spPr>
                                <a:xfrm>
                                  <a:off x="0" y="0"/>
                                  <a:ext cx="2491740" cy="1583690"/>
                                </a:xfrm>
                                <a:prstGeom prst="rect">
                                  <a:avLst/>
                                </a:prstGeom>
                                <a:noFill/>
                                <a:ln>
                                  <a:noFill/>
                                </a:ln>
                              </pic:spPr>
                            </pic:pic>
                          </a:graphicData>
                        </a:graphic>
                      </wp:inline>
                    </w:drawing>
                  </w:r>
                </w:p>
              </w:tc>
            </w:tr>
          </w:tbl>
          <w:p w14:paraId="0FF95958">
            <w:pPr>
              <w:numPr>
                <w:ilvl w:val="0"/>
                <w:numId w:val="15"/>
              </w:numPr>
              <w:ind w:left="425" w:leftChars="0" w:hanging="425" w:firstLine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单扇平开门大样图</w:t>
            </w:r>
          </w:p>
          <w:p w14:paraId="7968CB7E">
            <w:pPr>
              <w:pStyle w:val="32"/>
              <w:snapToGrid w:val="0"/>
              <w:spacing w:line="360" w:lineRule="auto"/>
              <w:ind w:firstLine="480" w:firstLineChars="200"/>
              <w:rPr>
                <w:rFonts w:hint="default" w:ascii="Times New Roman" w:hAnsi="Times New Roman" w:cs="Times New Roman"/>
                <w:b/>
                <w:color w:val="auto"/>
                <w:kern w:val="0"/>
                <w:szCs w:val="24"/>
                <w:highlight w:val="none"/>
                <w:lang w:val="en-US" w:eastAsia="zh-CN" w:bidi="ar"/>
              </w:rPr>
            </w:pPr>
            <w:r>
              <w:rPr>
                <w:rFonts w:hint="eastAsia" w:ascii="Times New Roman" w:hAnsi="Times New Roman" w:cs="Times New Roman"/>
                <w:color w:val="auto"/>
                <w:kern w:val="2"/>
                <w:sz w:val="24"/>
                <w:szCs w:val="24"/>
                <w:highlight w:val="none"/>
                <w:lang w:val="en-US" w:eastAsia="zh-CN" w:bidi="ar-SA"/>
              </w:rPr>
              <w:t>1</w:t>
            </w:r>
            <w:r>
              <w:rPr>
                <w:rFonts w:hint="eastAsia" w:ascii="Times New Roman" w:hAnsi="Times New Roman" w:eastAsia="宋体" w:cs="Times New Roman"/>
                <w:color w:val="auto"/>
                <w:kern w:val="2"/>
                <w:sz w:val="24"/>
                <w:szCs w:val="24"/>
                <w:highlight w:val="none"/>
                <w:lang w:val="en-US" w:eastAsia="zh-CN" w:bidi="ar-SA"/>
              </w:rPr>
              <w:t>扇</w:t>
            </w:r>
            <w:r>
              <w:rPr>
                <w:rFonts w:hint="eastAsia" w:ascii="Times New Roman" w:hAnsi="Times New Roman" w:cs="Times New Roman"/>
                <w:color w:val="auto"/>
                <w:kern w:val="2"/>
                <w:sz w:val="24"/>
                <w:szCs w:val="24"/>
                <w:highlight w:val="none"/>
                <w:lang w:val="en-US" w:eastAsia="zh-CN" w:bidi="ar-SA"/>
              </w:rPr>
              <w:t>平移推拉</w:t>
            </w:r>
            <w:r>
              <w:rPr>
                <w:rFonts w:hint="eastAsia" w:ascii="Times New Roman" w:hAnsi="Times New Roman" w:eastAsia="宋体" w:cs="Times New Roman"/>
                <w:color w:val="auto"/>
                <w:kern w:val="2"/>
                <w:sz w:val="24"/>
                <w:szCs w:val="24"/>
                <w:highlight w:val="none"/>
                <w:lang w:val="en-US" w:eastAsia="zh-CN" w:bidi="ar-SA"/>
              </w:rPr>
              <w:t>门</w:t>
            </w:r>
            <w:r>
              <w:rPr>
                <w:rFonts w:hint="eastAsia" w:ascii="Times New Roman" w:hAnsi="Times New Roman" w:cs="Times New Roman"/>
                <w:color w:val="auto"/>
                <w:kern w:val="2"/>
                <w:sz w:val="24"/>
                <w:szCs w:val="24"/>
                <w:highlight w:val="none"/>
                <w:lang w:val="en-US" w:eastAsia="zh-CN" w:bidi="ar-SA"/>
              </w:rPr>
              <w:t>（患者缓冲区防护门）</w:t>
            </w:r>
            <w:r>
              <w:rPr>
                <w:rFonts w:hint="eastAsia" w:ascii="Times New Roman" w:hAnsi="Times New Roman" w:eastAsia="宋体" w:cs="Times New Roman"/>
                <w:color w:val="auto"/>
                <w:kern w:val="2"/>
                <w:sz w:val="24"/>
                <w:szCs w:val="24"/>
                <w:highlight w:val="none"/>
                <w:lang w:val="en-US" w:eastAsia="zh-CN" w:bidi="ar-SA"/>
              </w:rPr>
              <w:t>尺寸为1</w:t>
            </w:r>
            <w:r>
              <w:rPr>
                <w:rFonts w:hint="eastAsia" w:ascii="Times New Roman" w:hAnsi="Times New Roman" w:cs="Times New Roman"/>
                <w:color w:val="auto"/>
                <w:kern w:val="2"/>
                <w:sz w:val="24"/>
                <w:szCs w:val="24"/>
                <w:highlight w:val="none"/>
                <w:lang w:val="en-US" w:eastAsia="zh-CN" w:bidi="ar-SA"/>
              </w:rPr>
              <w:t>8</w:t>
            </w:r>
            <w:r>
              <w:rPr>
                <w:rFonts w:hint="eastAsia" w:ascii="Times New Roman" w:hAnsi="Times New Roman" w:eastAsia="宋体" w:cs="Times New Roman"/>
                <w:color w:val="auto"/>
                <w:kern w:val="2"/>
                <w:sz w:val="24"/>
                <w:szCs w:val="24"/>
                <w:highlight w:val="none"/>
                <w:lang w:val="en-US" w:eastAsia="zh-CN" w:bidi="ar-SA"/>
              </w:rPr>
              <w:t>00mm×2</w:t>
            </w:r>
            <w:r>
              <w:rPr>
                <w:rFonts w:hint="eastAsia" w:ascii="Times New Roman" w:hAnsi="Times New Roman" w:cs="Times New Roman"/>
                <w:color w:val="auto"/>
                <w:kern w:val="2"/>
                <w:sz w:val="24"/>
                <w:szCs w:val="24"/>
                <w:highlight w:val="none"/>
                <w:lang w:val="en-US" w:eastAsia="zh-CN" w:bidi="ar-SA"/>
              </w:rPr>
              <w:t>25</w:t>
            </w:r>
            <w:r>
              <w:rPr>
                <w:rFonts w:hint="eastAsia" w:ascii="Times New Roman" w:hAnsi="Times New Roman" w:eastAsia="宋体" w:cs="Times New Roman"/>
                <w:color w:val="auto"/>
                <w:kern w:val="2"/>
                <w:sz w:val="24"/>
                <w:szCs w:val="24"/>
                <w:highlight w:val="none"/>
                <w:lang w:val="en-US" w:eastAsia="zh-CN" w:bidi="ar-SA"/>
              </w:rPr>
              <w:t>0mm，门洞尺寸为1</w:t>
            </w:r>
            <w:r>
              <w:rPr>
                <w:rFonts w:hint="eastAsia" w:ascii="Times New Roman" w:hAnsi="Times New Roman" w:cs="Times New Roman"/>
                <w:color w:val="auto"/>
                <w:kern w:val="2"/>
                <w:sz w:val="24"/>
                <w:szCs w:val="24"/>
                <w:highlight w:val="none"/>
                <w:lang w:val="en-US" w:eastAsia="zh-CN" w:bidi="ar-SA"/>
              </w:rPr>
              <w:t>4</w:t>
            </w:r>
            <w:r>
              <w:rPr>
                <w:rFonts w:hint="eastAsia" w:ascii="Times New Roman" w:hAnsi="Times New Roman" w:eastAsia="宋体" w:cs="Times New Roman"/>
                <w:color w:val="auto"/>
                <w:kern w:val="2"/>
                <w:sz w:val="24"/>
                <w:szCs w:val="24"/>
                <w:highlight w:val="none"/>
                <w:lang w:val="en-US" w:eastAsia="zh-CN" w:bidi="ar-SA"/>
              </w:rPr>
              <w:t>00mm×</w:t>
            </w:r>
            <w:r>
              <w:rPr>
                <w:rFonts w:hint="eastAsia" w:ascii="Times New Roman" w:hAnsi="Times New Roman" w:cs="Times New Roman"/>
                <w:color w:val="auto"/>
                <w:kern w:val="2"/>
                <w:sz w:val="24"/>
                <w:szCs w:val="24"/>
                <w:highlight w:val="none"/>
                <w:lang w:val="en-US" w:eastAsia="zh-CN" w:bidi="ar-SA"/>
              </w:rPr>
              <w:t>210</w:t>
            </w:r>
            <w:r>
              <w:rPr>
                <w:rFonts w:hint="eastAsia" w:ascii="Times New Roman" w:hAnsi="Times New Roman" w:eastAsia="宋体" w:cs="Times New Roman"/>
                <w:color w:val="auto"/>
                <w:kern w:val="2"/>
                <w:sz w:val="24"/>
                <w:szCs w:val="24"/>
                <w:highlight w:val="none"/>
                <w:lang w:val="en-US" w:eastAsia="zh-CN" w:bidi="ar-SA"/>
              </w:rPr>
              <w:t>0mm</w:t>
            </w:r>
            <w:r>
              <w:rPr>
                <w:rFonts w:hint="eastAsia" w:ascii="Times New Roman" w:hAnsi="Times New Roman" w:cs="Times New Roman"/>
                <w:color w:val="auto"/>
                <w:kern w:val="2"/>
                <w:sz w:val="24"/>
                <w:szCs w:val="24"/>
                <w:highlight w:val="none"/>
                <w:lang w:val="en-US" w:eastAsia="zh-CN" w:bidi="ar-SA"/>
              </w:rPr>
              <w:t>。为钢板喷塑平移推拉门，内衬3mm铅板，门框采用一体成型钢板喷塑门套包边，内衬3mm铅板和12mm厚阻燃板。</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7"/>
              <w:gridCol w:w="4147"/>
            </w:tblGrid>
            <w:tr w14:paraId="43088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147" w:type="dxa"/>
                </w:tcPr>
                <w:p w14:paraId="231AFBE0">
                  <w:pPr>
                    <w:pStyle w:val="70"/>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ascii="Times New Roman" w:hAnsi="Times New Roman" w:cs="Times New Roman"/>
                      <w:b/>
                      <w:color w:val="auto"/>
                      <w:kern w:val="0"/>
                      <w:szCs w:val="24"/>
                      <w:highlight w:val="none"/>
                      <w:vertAlign w:val="baseline"/>
                      <w:lang w:val="en-US" w:eastAsia="zh-CN" w:bidi="ar"/>
                    </w:rPr>
                  </w:pPr>
                  <w:r>
                    <w:rPr>
                      <w:color w:val="auto"/>
                      <w:highlight w:val="none"/>
                    </w:rPr>
                    <w:drawing>
                      <wp:inline distT="0" distB="0" distL="114300" distR="114300">
                        <wp:extent cx="2489200" cy="1431925"/>
                        <wp:effectExtent l="0" t="0" r="6350" b="15875"/>
                        <wp:docPr id="4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1"/>
                                <pic:cNvPicPr>
                                  <a:picLocks noChangeAspect="1"/>
                                </pic:cNvPicPr>
                              </pic:nvPicPr>
                              <pic:blipFill>
                                <a:blip r:embed="rId29"/>
                                <a:stretch>
                                  <a:fillRect/>
                                </a:stretch>
                              </pic:blipFill>
                              <pic:spPr>
                                <a:xfrm>
                                  <a:off x="0" y="0"/>
                                  <a:ext cx="2489200" cy="1431925"/>
                                </a:xfrm>
                                <a:prstGeom prst="rect">
                                  <a:avLst/>
                                </a:prstGeom>
                                <a:noFill/>
                                <a:ln>
                                  <a:noFill/>
                                </a:ln>
                              </pic:spPr>
                            </pic:pic>
                          </a:graphicData>
                        </a:graphic>
                      </wp:inline>
                    </w:drawing>
                  </w:r>
                </w:p>
              </w:tc>
              <w:tc>
                <w:tcPr>
                  <w:tcW w:w="4147" w:type="dxa"/>
                </w:tcPr>
                <w:p w14:paraId="0B695111">
                  <w:pPr>
                    <w:pStyle w:val="70"/>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ascii="Times New Roman" w:hAnsi="Times New Roman" w:cs="Times New Roman"/>
                      <w:b/>
                      <w:color w:val="auto"/>
                      <w:kern w:val="0"/>
                      <w:szCs w:val="24"/>
                      <w:highlight w:val="none"/>
                      <w:vertAlign w:val="baseline"/>
                      <w:lang w:val="en-US" w:eastAsia="zh-CN" w:bidi="ar"/>
                    </w:rPr>
                  </w:pPr>
                  <w:r>
                    <w:rPr>
                      <w:color w:val="auto"/>
                      <w:highlight w:val="none"/>
                    </w:rPr>
                    <w:drawing>
                      <wp:inline distT="0" distB="0" distL="114300" distR="114300">
                        <wp:extent cx="2489200" cy="1677035"/>
                        <wp:effectExtent l="0" t="0" r="6350" b="18415"/>
                        <wp:docPr id="4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2"/>
                                <pic:cNvPicPr>
                                  <a:picLocks noChangeAspect="1"/>
                                </pic:cNvPicPr>
                              </pic:nvPicPr>
                              <pic:blipFill>
                                <a:blip r:embed="rId30"/>
                                <a:stretch>
                                  <a:fillRect/>
                                </a:stretch>
                              </pic:blipFill>
                              <pic:spPr>
                                <a:xfrm>
                                  <a:off x="0" y="0"/>
                                  <a:ext cx="2489200" cy="1677035"/>
                                </a:xfrm>
                                <a:prstGeom prst="rect">
                                  <a:avLst/>
                                </a:prstGeom>
                                <a:noFill/>
                                <a:ln>
                                  <a:noFill/>
                                </a:ln>
                              </pic:spPr>
                            </pic:pic>
                          </a:graphicData>
                        </a:graphic>
                      </wp:inline>
                    </w:drawing>
                  </w:r>
                </w:p>
              </w:tc>
            </w:tr>
          </w:tbl>
          <w:p w14:paraId="4216C93C">
            <w:pPr>
              <w:numPr>
                <w:ilvl w:val="0"/>
                <w:numId w:val="15"/>
              </w:numPr>
              <w:ind w:left="425" w:leftChars="0" w:hanging="425" w:firstLine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推拉门大样图</w:t>
            </w:r>
          </w:p>
          <w:p w14:paraId="143DC373">
            <w:pPr>
              <w:pStyle w:val="70"/>
              <w:ind w:firstLine="482"/>
              <w:rPr>
                <w:rFonts w:hint="eastAsia" w:ascii="Times New Roman" w:hAnsi="Times New Roman" w:cs="Times New Roman"/>
                <w:b/>
                <w:color w:val="auto"/>
                <w:kern w:val="0"/>
                <w:szCs w:val="24"/>
                <w:highlight w:val="none"/>
                <w:lang w:val="en-US" w:eastAsia="zh-CN" w:bidi="ar"/>
              </w:rPr>
            </w:pPr>
          </w:p>
          <w:p w14:paraId="7D914A72">
            <w:pPr>
              <w:pStyle w:val="70"/>
              <w:ind w:firstLine="482"/>
              <w:rPr>
                <w:rFonts w:hint="default" w:ascii="Times New Roman" w:hAnsi="Times New Roman" w:cs="Times New Roman"/>
                <w:b/>
                <w:color w:val="auto"/>
                <w:kern w:val="0"/>
                <w:szCs w:val="24"/>
                <w:highlight w:val="none"/>
                <w:lang w:bidi="ar"/>
              </w:rPr>
            </w:pPr>
            <w:r>
              <w:rPr>
                <w:rFonts w:hint="eastAsia" w:ascii="Times New Roman" w:hAnsi="Times New Roman" w:cs="Times New Roman"/>
                <w:b/>
                <w:color w:val="auto"/>
                <w:kern w:val="0"/>
                <w:szCs w:val="24"/>
                <w:highlight w:val="none"/>
                <w:lang w:val="en-US" w:eastAsia="zh-CN" w:bidi="ar"/>
              </w:rPr>
              <w:t>建设</w:t>
            </w:r>
            <w:r>
              <w:rPr>
                <w:rFonts w:hint="default" w:ascii="Times New Roman" w:hAnsi="Times New Roman" w:cs="Times New Roman"/>
                <w:b/>
                <w:color w:val="auto"/>
                <w:kern w:val="0"/>
                <w:szCs w:val="24"/>
                <w:highlight w:val="none"/>
                <w:lang w:bidi="ar"/>
              </w:rPr>
              <w:t>期间的环境影响分析：</w:t>
            </w:r>
          </w:p>
          <w:p w14:paraId="55C4E794">
            <w:pPr>
              <w:pStyle w:val="70"/>
              <w:ind w:firstLine="482"/>
              <w:rPr>
                <w:rFonts w:hint="default" w:ascii="Times New Roman" w:hAnsi="Times New Roman" w:cs="Times New Roman"/>
                <w:bCs w:val="0"/>
                <w:color w:val="auto"/>
                <w:highlight w:val="none"/>
              </w:rPr>
            </w:pPr>
            <w:r>
              <w:rPr>
                <w:rFonts w:hint="default" w:ascii="Times New Roman" w:hAnsi="Times New Roman" w:cs="Times New Roman"/>
                <w:bCs w:val="0"/>
                <w:color w:val="auto"/>
                <w:kern w:val="0"/>
                <w:szCs w:val="24"/>
                <w:highlight w:val="none"/>
                <w:lang w:bidi="ar"/>
              </w:rPr>
              <w:t>四川省人民政府办公厅印发《四川省2025—2026年秋冬季大气污染防治攻坚行动方案》（以下简称《方案》）。《方案》明确，今年秋冬季节攻坚的重点是降低细颗粒物（PM2.5）浓度，基本消除重污染天气</w:t>
            </w:r>
            <w:r>
              <w:rPr>
                <w:rFonts w:hint="default" w:ascii="Times New Roman" w:hAnsi="Times New Roman" w:cs="Times New Roman"/>
                <w:bCs w:val="0"/>
                <w:color w:val="auto"/>
                <w:kern w:val="0"/>
                <w:szCs w:val="24"/>
                <w:highlight w:val="none"/>
                <w:lang w:eastAsia="zh-CN" w:bidi="ar"/>
              </w:rPr>
              <w:t>。</w:t>
            </w:r>
            <w:r>
              <w:rPr>
                <w:rFonts w:hint="default" w:ascii="Times New Roman" w:hAnsi="Times New Roman" w:cs="Times New Roman"/>
                <w:bCs w:val="0"/>
                <w:color w:val="auto"/>
                <w:kern w:val="0"/>
                <w:szCs w:val="24"/>
                <w:highlight w:val="none"/>
                <w:lang w:bidi="ar"/>
              </w:rPr>
              <w:t>本项目利用</w:t>
            </w:r>
            <w:r>
              <w:rPr>
                <w:rFonts w:hint="default" w:ascii="Times New Roman" w:hAnsi="Times New Roman" w:cs="Times New Roman"/>
                <w:bCs w:val="0"/>
                <w:color w:val="auto"/>
                <w:highlight w:val="none"/>
              </w:rPr>
              <w:t>建成的建筑物内进行</w:t>
            </w:r>
            <w:r>
              <w:rPr>
                <w:rFonts w:hint="eastAsia" w:ascii="Times New Roman" w:hAnsi="Times New Roman" w:cs="Times New Roman"/>
                <w:bCs w:val="0"/>
                <w:color w:val="auto"/>
                <w:highlight w:val="none"/>
                <w:lang w:val="en-US" w:eastAsia="zh-CN"/>
              </w:rPr>
              <w:t>建设</w:t>
            </w:r>
            <w:r>
              <w:rPr>
                <w:rFonts w:hint="default" w:ascii="Times New Roman" w:hAnsi="Times New Roman" w:cs="Times New Roman"/>
                <w:bCs w:val="0"/>
                <w:color w:val="auto"/>
                <w:highlight w:val="none"/>
              </w:rPr>
              <w:t>，</w:t>
            </w:r>
            <w:r>
              <w:rPr>
                <w:rFonts w:hint="eastAsia" w:ascii="Times New Roman" w:hAnsi="Times New Roman" w:cs="Times New Roman"/>
                <w:bCs w:val="0"/>
                <w:color w:val="auto"/>
                <w:highlight w:val="none"/>
                <w:lang w:val="en-US" w:eastAsia="zh-CN"/>
              </w:rPr>
              <w:t>建设期内容包括</w:t>
            </w:r>
            <w:r>
              <w:rPr>
                <w:rFonts w:hint="default" w:ascii="Times New Roman" w:hAnsi="Times New Roman" w:cs="Times New Roman"/>
                <w:bCs w:val="0"/>
                <w:color w:val="auto"/>
                <w:spacing w:val="-10"/>
                <w:szCs w:val="24"/>
                <w:highlight w:val="none"/>
              </w:rPr>
              <w:t>通风系统及电缆沟、防护工程、表面装修，</w:t>
            </w:r>
            <w:r>
              <w:rPr>
                <w:rFonts w:hint="default" w:ascii="Times New Roman" w:hAnsi="Times New Roman" w:cs="Times New Roman"/>
                <w:bCs w:val="0"/>
                <w:color w:val="auto"/>
                <w:highlight w:val="none"/>
              </w:rPr>
              <w:t>主要污染源为室内改造、装修期间的噪声、扬尘、建筑垃圾及废水，</w:t>
            </w:r>
            <w:r>
              <w:rPr>
                <w:rFonts w:hint="default" w:ascii="Times New Roman" w:hAnsi="Times New Roman" w:cs="Times New Roman"/>
                <w:bCs w:val="0"/>
                <w:color w:val="auto"/>
                <w:highlight w:val="none"/>
                <w:lang w:val="en-US" w:eastAsia="zh-CN"/>
              </w:rPr>
              <w:t>且施工时间短暂，对环境影响较小</w:t>
            </w:r>
            <w:r>
              <w:rPr>
                <w:rFonts w:hint="default" w:ascii="Times New Roman" w:hAnsi="Times New Roman" w:cs="Times New Roman"/>
                <w:bCs w:val="0"/>
                <w:color w:val="auto"/>
                <w:highlight w:val="none"/>
              </w:rPr>
              <w:t>。本项目施工过程中应注意：装修产生的建筑垃圾不得露天堆放，要及时清运。装修产生的扬尘要及时洒水降尘，降低施工期对周边环境的影响。此外，虽然装修是在室内进行，但严禁夜间施工，避免对周边环境的影响。</w:t>
            </w:r>
          </w:p>
          <w:p w14:paraId="6532606C">
            <w:pPr>
              <w:pageBreakBefore w:val="0"/>
              <w:widowControl/>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bCs w:val="0"/>
                <w:color w:val="auto"/>
                <w:highlight w:val="none"/>
                <w:lang w:eastAsia="zh-CN"/>
              </w:rPr>
            </w:pPr>
            <w:r>
              <w:rPr>
                <w:rFonts w:hint="default" w:ascii="Times New Roman" w:hAnsi="Times New Roman" w:cs="Times New Roman"/>
                <w:b/>
                <w:bCs/>
                <w:color w:val="auto"/>
                <w:sz w:val="24"/>
                <w:szCs w:val="24"/>
                <w:highlight w:val="none"/>
              </w:rPr>
              <w:t>环评要求：在DSA手术室装修时，应注意施工方式，保证各屏蔽体有效衔接，各屏蔽体应有足够的超边量，门与墙的重叠宽度应至少为空隙的10倍</w:t>
            </w:r>
            <w:r>
              <w:rPr>
                <w:rFonts w:hint="default" w:ascii="Times New Roman" w:hAnsi="Times New Roman" w:cs="Times New Roman"/>
                <w:b/>
                <w:bCs/>
                <w:color w:val="auto"/>
                <w:sz w:val="24"/>
                <w:szCs w:val="24"/>
                <w:highlight w:val="none"/>
                <w:lang w:eastAsia="zh-CN"/>
              </w:rPr>
              <w:t>。</w:t>
            </w:r>
          </w:p>
          <w:p w14:paraId="1D8D5286">
            <w:pPr>
              <w:widowControl/>
              <w:adjustRightInd w:val="0"/>
              <w:snapToGrid w:val="0"/>
              <w:spacing w:line="360" w:lineRule="auto"/>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kern w:val="0"/>
                <w:sz w:val="24"/>
                <w:highlight w:val="none"/>
                <w:lang w:bidi="ar"/>
              </w:rPr>
              <w:t>（二）设备安装调试期间的环境影响分析</w:t>
            </w:r>
          </w:p>
          <w:p w14:paraId="4E4E5EC6">
            <w:pPr>
              <w:widowControl/>
              <w:adjustRightInd w:val="0"/>
              <w:snapToGrid w:val="0"/>
              <w:spacing w:line="360" w:lineRule="auto"/>
              <w:ind w:firstLine="480" w:firstLineChars="200"/>
              <w:jc w:val="left"/>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kern w:val="0"/>
                <w:sz w:val="24"/>
                <w:highlight w:val="none"/>
                <w:lang w:bidi="ar"/>
              </w:rPr>
              <w:t>本项目设备安装、调试由设备厂家专业人员操作，同时建设单位须加强辐射防护管理，严格限制无关人员靠近，防止辐射事故发生。由于设备的安装和调试均在DSA机房内进行，经过墙体的屏蔽和距离衰减后对环境的影响是可接受的。设备安装完成后，建设单位需及时回收包装材料及其它固体废物并作为一般固体废物进行处置，不得随意丢弃。</w:t>
            </w:r>
          </w:p>
          <w:p w14:paraId="2BDEA43F">
            <w:pPr>
              <w:adjustRightInd w:val="0"/>
              <w:snapToGrid w:val="0"/>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二、营运期污染源项分析</w:t>
            </w:r>
          </w:p>
          <w:p w14:paraId="4BA8B073">
            <w:pPr>
              <w:autoSpaceDE w:val="0"/>
              <w:autoSpaceDN w:val="0"/>
              <w:adjustRightInd w:val="0"/>
              <w:snapToGrid w:val="0"/>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（一）设备组成</w:t>
            </w:r>
          </w:p>
          <w:p w14:paraId="6AAF73A5">
            <w:pPr>
              <w:pStyle w:val="34"/>
              <w:adjustRightInd w:val="0"/>
              <w:snapToGrid w:val="0"/>
              <w:spacing w:line="360" w:lineRule="auto"/>
              <w:ind w:left="0" w:firstLine="480" w:firstLineChars="200"/>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DSA因其整体结构像大写的“C”，因此也称作C型臂X光机，DSA由X线发生装置（包括X射线球管及其附件、高压发生器、X射线控制器等）和图像检测系统（包括光栅、影像增强管、光学系统、线束支架、检查床、输出系统等）组成。</w:t>
            </w:r>
          </w:p>
          <w:p w14:paraId="16C046D5">
            <w:pPr>
              <w:pStyle w:val="34"/>
              <w:adjustRightInd w:val="0"/>
              <w:snapToGrid w:val="0"/>
              <w:spacing w:line="360" w:lineRule="auto"/>
              <w:ind w:left="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（二）工作原理</w:t>
            </w:r>
          </w:p>
          <w:p w14:paraId="02C392D0">
            <w:pPr>
              <w:pStyle w:val="34"/>
              <w:adjustRightInd w:val="0"/>
              <w:snapToGrid w:val="0"/>
              <w:spacing w:line="360" w:lineRule="auto"/>
              <w:ind w:left="0" w:firstLine="480" w:firstLineChars="200"/>
              <w:rPr>
                <w:rFonts w:hint="default"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b w:val="0"/>
                <w:bCs w:val="0"/>
                <w:color w:val="auto"/>
                <w:sz w:val="24"/>
                <w:szCs w:val="24"/>
                <w:highlight w:val="none"/>
              </w:rPr>
              <w:t>数字减影血管造影技术</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lang w:val="en-US" w:eastAsia="zh-CN"/>
              </w:rPr>
              <w:t>Digital Subtraction Angiography</w:t>
            </w:r>
            <w:r>
              <w:rPr>
                <w:rFonts w:hint="eastAsia" w:ascii="Times New Roman" w:hAnsi="Times New Roman" w:eastAsia="宋体" w:cs="Times New Roman"/>
                <w:b w:val="0"/>
                <w:bCs w:val="0"/>
                <w:color w:val="auto"/>
                <w:sz w:val="24"/>
                <w:szCs w:val="24"/>
                <w:highlight w:val="none"/>
                <w:lang w:val="en-US" w:eastAsia="zh-CN"/>
              </w:rPr>
              <w:t>，简称DSA</w:t>
            </w:r>
            <w:r>
              <w:rPr>
                <w:rFonts w:hint="default" w:ascii="Times New Roman" w:hAnsi="Times New Roman" w:eastAsia="宋体" w:cs="Times New Roman"/>
                <w:b w:val="0"/>
                <w:bCs w:val="0"/>
                <w:color w:val="auto"/>
                <w:sz w:val="24"/>
                <w:szCs w:val="24"/>
                <w:highlight w:val="none"/>
                <w:lang w:eastAsia="zh-CN"/>
              </w:rPr>
              <w:t>）</w:t>
            </w:r>
            <w:r>
              <w:rPr>
                <w:rFonts w:hint="eastAsia" w:ascii="Times New Roman" w:hAnsi="Times New Roman" w:eastAsia="宋体" w:cs="Times New Roman"/>
                <w:b w:val="0"/>
                <w:bCs w:val="0"/>
                <w:color w:val="auto"/>
                <w:sz w:val="24"/>
                <w:szCs w:val="24"/>
                <w:highlight w:val="none"/>
              </w:rPr>
              <w:t>是常规血管造影术和电子计算机图像处理技术相结合的产物。</w:t>
            </w:r>
            <w:r>
              <w:rPr>
                <w:rFonts w:hint="default" w:ascii="Times New Roman" w:hAnsi="Times New Roman" w:eastAsia="宋体" w:cs="Times New Roman"/>
                <w:b w:val="0"/>
                <w:bCs w:val="0"/>
                <w:color w:val="auto"/>
                <w:sz w:val="24"/>
                <w:szCs w:val="24"/>
                <w:highlight w:val="none"/>
              </w:rPr>
              <w:t>DSA</w:t>
            </w:r>
            <w:r>
              <w:rPr>
                <w:rFonts w:hint="eastAsia" w:ascii="Times New Roman" w:hAnsi="Times New Roman" w:eastAsia="宋体" w:cs="Times New Roman"/>
                <w:b w:val="0"/>
                <w:bCs w:val="0"/>
                <w:color w:val="auto"/>
                <w:sz w:val="24"/>
                <w:szCs w:val="24"/>
                <w:highlight w:val="none"/>
              </w:rPr>
              <w:t>的成像基本原理为：将受检部位没有注入</w:t>
            </w:r>
            <w:r>
              <w:rPr>
                <w:rFonts w:hint="eastAsia" w:ascii="Times New Roman" w:hAnsi="Times New Roman" w:eastAsia="宋体" w:cs="Times New Roman"/>
                <w:b w:val="0"/>
                <w:bCs w:val="0"/>
                <w:color w:val="auto"/>
                <w:sz w:val="24"/>
                <w:szCs w:val="24"/>
                <w:highlight w:val="none"/>
                <w:lang w:eastAsia="zh-CN"/>
              </w:rPr>
              <w:t>透明的</w:t>
            </w:r>
            <w:r>
              <w:rPr>
                <w:rFonts w:hint="eastAsia" w:ascii="Times New Roman" w:hAnsi="Times New Roman" w:eastAsia="宋体" w:cs="Times New Roman"/>
                <w:b w:val="0"/>
                <w:bCs w:val="0"/>
                <w:color w:val="auto"/>
                <w:sz w:val="24"/>
                <w:szCs w:val="24"/>
                <w:highlight w:val="none"/>
              </w:rPr>
              <w:t>造影剂和注入</w:t>
            </w:r>
            <w:r>
              <w:rPr>
                <w:rFonts w:hint="eastAsia" w:ascii="Times New Roman" w:hAnsi="Times New Roman" w:eastAsia="宋体" w:cs="Times New Roman"/>
                <w:b w:val="0"/>
                <w:bCs w:val="0"/>
                <w:color w:val="auto"/>
                <w:sz w:val="24"/>
                <w:szCs w:val="24"/>
                <w:highlight w:val="none"/>
                <w:lang w:eastAsia="zh-CN"/>
              </w:rPr>
              <w:t>透明的</w:t>
            </w:r>
            <w:r>
              <w:rPr>
                <w:rFonts w:hint="eastAsia" w:ascii="Times New Roman" w:hAnsi="Times New Roman" w:eastAsia="宋体" w:cs="Times New Roman"/>
                <w:b w:val="0"/>
                <w:bCs w:val="0"/>
                <w:color w:val="auto"/>
                <w:sz w:val="24"/>
                <w:szCs w:val="24"/>
                <w:highlight w:val="none"/>
              </w:rPr>
              <w:t>造影剂</w:t>
            </w:r>
            <w:r>
              <w:rPr>
                <w:rFonts w:hint="eastAsia" w:ascii="Times New Roman" w:hAnsi="Times New Roman" w:eastAsia="宋体" w:cs="Times New Roman"/>
                <w:b w:val="0"/>
                <w:bCs w:val="0"/>
                <w:color w:val="auto"/>
                <w:sz w:val="24"/>
                <w:szCs w:val="24"/>
                <w:highlight w:val="none"/>
                <w:lang w:eastAsia="zh-CN"/>
              </w:rPr>
              <w:t>（含有有机化合物，在</w:t>
            </w:r>
            <w:r>
              <w:rPr>
                <w:rFonts w:hint="default" w:ascii="Times New Roman" w:hAnsi="Times New Roman" w:eastAsia="宋体" w:cs="Times New Roman"/>
                <w:b w:val="0"/>
                <w:bCs w:val="0"/>
                <w:color w:val="auto"/>
                <w:sz w:val="24"/>
                <w:szCs w:val="24"/>
                <w:highlight w:val="none"/>
                <w:lang w:val="en-US" w:eastAsia="zh-CN"/>
              </w:rPr>
              <w:t>X</w:t>
            </w:r>
            <w:r>
              <w:rPr>
                <w:rFonts w:hint="eastAsia" w:ascii="Times New Roman" w:hAnsi="Times New Roman" w:eastAsia="宋体" w:cs="Times New Roman"/>
                <w:b w:val="0"/>
                <w:bCs w:val="0"/>
                <w:color w:val="auto"/>
                <w:sz w:val="24"/>
                <w:szCs w:val="24"/>
                <w:highlight w:val="none"/>
                <w:lang w:val="en-US" w:eastAsia="zh-CN"/>
              </w:rPr>
              <w:t>射线照射下会显影</w:t>
            </w:r>
            <w:r>
              <w:rPr>
                <w:rFonts w:hint="eastAsia" w:ascii="Times New Roman" w:hAnsi="Times New Roman" w:eastAsia="宋体" w:cs="Times New Roman"/>
                <w:b w:val="0"/>
                <w:bCs w:val="0"/>
                <w:color w:val="auto"/>
                <w:sz w:val="24"/>
                <w:szCs w:val="24"/>
                <w:highlight w:val="none"/>
                <w:lang w:eastAsia="zh-CN"/>
              </w:rPr>
              <w:t>）</w:t>
            </w:r>
            <w:r>
              <w:rPr>
                <w:rFonts w:hint="eastAsia" w:ascii="Times New Roman" w:hAnsi="Times New Roman" w:eastAsia="宋体" w:cs="Times New Roman"/>
                <w:b w:val="0"/>
                <w:bCs w:val="0"/>
                <w:color w:val="auto"/>
                <w:sz w:val="24"/>
                <w:szCs w:val="24"/>
                <w:highlight w:val="none"/>
              </w:rPr>
              <w:t>后的血管造影</w:t>
            </w:r>
            <w:r>
              <w:rPr>
                <w:rFonts w:hint="default" w:ascii="Times New Roman" w:hAnsi="Times New Roman" w:eastAsia="宋体" w:cs="Times New Roman"/>
                <w:b w:val="0"/>
                <w:bCs w:val="0"/>
                <w:color w:val="auto"/>
                <w:sz w:val="24"/>
                <w:szCs w:val="24"/>
                <w:highlight w:val="none"/>
              </w:rPr>
              <w:t>X</w:t>
            </w:r>
            <w:r>
              <w:rPr>
                <w:rFonts w:hint="eastAsia" w:ascii="Times New Roman" w:hAnsi="Times New Roman" w:eastAsia="宋体" w:cs="Times New Roman"/>
                <w:b w:val="0"/>
                <w:bCs w:val="0"/>
                <w:color w:val="auto"/>
                <w:sz w:val="24"/>
                <w:szCs w:val="24"/>
                <w:highlight w:val="none"/>
              </w:rPr>
              <w:t>射线荧光图像，分别经影像增强器增益后，再用高分辨率的电视摄像管扫描，将图像分割成许多的小方格，做成矩阵化，形成由小方格中的像素所组成的视频图像，经对数增幅和模/数转换为不同数值的数字，形成数字图像并分别存储起来，然后输入电子计算机处理并将两幅图像的数字信息相减，获得的不同数值的差值信号，再经对比度增强和数/模转换成普通的模拟信号，获得了去除骨骼、肌肉和其他软组织，只留下单纯血管影像的减影图像，通过显示器显示出来。通过</w:t>
            </w:r>
            <w:r>
              <w:rPr>
                <w:rFonts w:hint="default" w:ascii="Times New Roman" w:hAnsi="Times New Roman" w:eastAsia="宋体" w:cs="Times New Roman"/>
                <w:b w:val="0"/>
                <w:bCs w:val="0"/>
                <w:color w:val="auto"/>
                <w:sz w:val="24"/>
                <w:szCs w:val="24"/>
                <w:highlight w:val="none"/>
              </w:rPr>
              <w:t>DSA</w:t>
            </w:r>
            <w:r>
              <w:rPr>
                <w:rFonts w:hint="eastAsia" w:ascii="Times New Roman" w:hAnsi="Times New Roman" w:eastAsia="宋体" w:cs="Times New Roman"/>
                <w:b w:val="0"/>
                <w:bCs w:val="0"/>
                <w:color w:val="auto"/>
                <w:sz w:val="24"/>
                <w:szCs w:val="24"/>
                <w:highlight w:val="none"/>
              </w:rPr>
              <w:t>处理的图像，</w:t>
            </w:r>
            <w:r>
              <w:rPr>
                <w:rFonts w:hint="eastAsia" w:ascii="Times New Roman" w:hAnsi="Times New Roman" w:eastAsia="宋体" w:cs="Times New Roman"/>
                <w:b w:val="0"/>
                <w:bCs w:val="0"/>
                <w:color w:val="auto"/>
                <w:sz w:val="24"/>
                <w:szCs w:val="24"/>
                <w:highlight w:val="none"/>
                <w:lang w:eastAsia="zh-CN"/>
              </w:rPr>
              <w:t>可以看到含有造影剂的血液流动顺序以及血管充盈情况，从而了解血管的生理和解剖的变化，并以造影剂排出的路径及快慢推断有无异常通道和血液动力学的改变，因此</w:t>
            </w:r>
            <w:r>
              <w:rPr>
                <w:rFonts w:hint="eastAsia" w:ascii="Times New Roman" w:hAnsi="Times New Roman" w:eastAsia="宋体" w:cs="Times New Roman"/>
                <w:b w:val="0"/>
                <w:bCs w:val="0"/>
                <w:color w:val="auto"/>
                <w:sz w:val="24"/>
                <w:szCs w:val="24"/>
                <w:highlight w:val="none"/>
              </w:rPr>
              <w:t>进行介入手术时更为安全。数字</w:t>
            </w:r>
            <w:r>
              <w:rPr>
                <w:rFonts w:hint="default" w:ascii="Times New Roman" w:hAnsi="Times New Roman" w:eastAsia="宋体" w:cs="Times New Roman"/>
                <w:b w:val="0"/>
                <w:bCs w:val="0"/>
                <w:color w:val="auto"/>
                <w:sz w:val="24"/>
                <w:szCs w:val="24"/>
                <w:highlight w:val="none"/>
                <w:lang w:val="en-US" w:eastAsia="zh-CN"/>
              </w:rPr>
              <w:t>X</w:t>
            </w:r>
            <w:r>
              <w:rPr>
                <w:rFonts w:hint="eastAsia" w:ascii="Times New Roman" w:hAnsi="Times New Roman" w:eastAsia="宋体" w:cs="Times New Roman"/>
                <w:b w:val="0"/>
                <w:bCs w:val="0"/>
                <w:color w:val="auto"/>
                <w:sz w:val="24"/>
                <w:szCs w:val="24"/>
                <w:highlight w:val="none"/>
                <w:lang w:val="en-US" w:eastAsia="zh-CN"/>
              </w:rPr>
              <w:t>射线系统原</w:t>
            </w:r>
            <w:r>
              <w:rPr>
                <w:rFonts w:hint="default" w:ascii="Times New Roman" w:hAnsi="Times New Roman" w:eastAsia="宋体" w:cs="Times New Roman"/>
                <w:b w:val="0"/>
                <w:bCs w:val="0"/>
                <w:color w:val="auto"/>
                <w:sz w:val="24"/>
                <w:szCs w:val="24"/>
                <w:highlight w:val="none"/>
                <w:lang w:val="en-US" w:eastAsia="zh-CN"/>
              </w:rPr>
              <w:t>理图</w:t>
            </w:r>
            <w:r>
              <w:rPr>
                <w:rFonts w:hint="default" w:ascii="Times New Roman" w:hAnsi="Times New Roman" w:eastAsia="宋体" w:cs="Times New Roman"/>
                <w:b w:val="0"/>
                <w:bCs w:val="0"/>
                <w:color w:val="auto"/>
                <w:sz w:val="24"/>
                <w:szCs w:val="24"/>
                <w:highlight w:val="none"/>
              </w:rPr>
              <w:t>见图9-</w:t>
            </w:r>
            <w:r>
              <w:rPr>
                <w:rFonts w:hint="eastAsia" w:ascii="Times New Roman" w:hAnsi="Times New Roman" w:eastAsia="宋体" w:cs="Times New Roman"/>
                <w:b w:val="0"/>
                <w:bCs w:val="0"/>
                <w:color w:val="auto"/>
                <w:sz w:val="24"/>
                <w:szCs w:val="24"/>
                <w:highlight w:val="none"/>
                <w:lang w:val="en-US" w:eastAsia="zh-CN"/>
              </w:rPr>
              <w:t>3</w:t>
            </w:r>
            <w:r>
              <w:rPr>
                <w:rFonts w:hint="default" w:ascii="Times New Roman" w:hAnsi="Times New Roman" w:eastAsia="宋体" w:cs="Times New Roman"/>
                <w:b w:val="0"/>
                <w:bCs w:val="0"/>
                <w:color w:val="auto"/>
                <w:sz w:val="24"/>
                <w:szCs w:val="24"/>
                <w:highlight w:val="none"/>
              </w:rPr>
              <w:t>。</w:t>
            </w:r>
          </w:p>
          <w:p w14:paraId="3A2E3B9A">
            <w:pPr>
              <w:pStyle w:val="32"/>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drawing>
                <wp:inline distT="0" distB="0" distL="114300" distR="114300">
                  <wp:extent cx="4247515" cy="2517775"/>
                  <wp:effectExtent l="9525" t="9525" r="10160" b="25400"/>
                  <wp:docPr id="261" name="Picture 26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Picture 26480"/>
                          <pic:cNvPicPr>
                            <a:picLocks noChangeAspect="1"/>
                          </pic:cNvPicPr>
                        </pic:nvPicPr>
                        <pic:blipFill>
                          <a:blip r:embed="rId31">
                            <a:lum contrast="42000"/>
                          </a:blip>
                          <a:stretch>
                            <a:fillRect/>
                          </a:stretch>
                        </pic:blipFill>
                        <pic:spPr>
                          <a:xfrm>
                            <a:off x="0" y="0"/>
                            <a:ext cx="4247515" cy="2517775"/>
                          </a:xfrm>
                          <a:prstGeom prst="rect">
                            <a:avLst/>
                          </a:prstGeom>
                          <a:noFill/>
                          <a:ln w="9525">
                            <a:solidFill>
                              <a:schemeClr val="tx1"/>
                            </a:solidFill>
                          </a:ln>
                        </pic:spPr>
                      </pic:pic>
                    </a:graphicData>
                  </a:graphic>
                </wp:inline>
              </w:drawing>
            </w:r>
          </w:p>
          <w:p w14:paraId="29ED275E">
            <w:pPr>
              <w:numPr>
                <w:ilvl w:val="0"/>
                <w:numId w:val="15"/>
              </w:numPr>
              <w:ind w:left="425" w:leftChars="0" w:hanging="425" w:firstLineChars="0"/>
              <w:jc w:val="center"/>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数字X射线系统原理图</w:t>
            </w:r>
          </w:p>
          <w:p w14:paraId="0A7193BE">
            <w:pPr>
              <w:autoSpaceDE w:val="0"/>
              <w:autoSpaceDN w:val="0"/>
              <w:adjustRightInd w:val="0"/>
              <w:snapToGrid w:val="0"/>
              <w:spacing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（三）结构</w:t>
            </w:r>
          </w:p>
          <w:p w14:paraId="26440C67">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DSA因其整体结构像大写的“C”，因此也称作</w:t>
            </w:r>
            <w:r>
              <w:rPr>
                <w:rFonts w:hint="default" w:ascii="Times New Roman" w:hAnsi="Times New Roman" w:cs="Times New Roman"/>
                <w:color w:val="auto"/>
                <w:sz w:val="24"/>
                <w:szCs w:val="28"/>
                <w:highlight w:val="none"/>
              </w:rPr>
              <w:t>C型臂</w:t>
            </w:r>
            <w:r>
              <w:rPr>
                <w:rFonts w:hint="default" w:ascii="Times New Roman" w:hAnsi="Times New Roman" w:cs="Times New Roman"/>
                <w:color w:val="auto"/>
                <w:sz w:val="24"/>
                <w:highlight w:val="none"/>
              </w:rPr>
              <w:t>。成像系统按功能和结构划分，主要由五部分构成：X线发生系统、影像检测和显示系统、影像处理和系统控制部分、机架系统和导管床、影像存储和传输系统。</w:t>
            </w:r>
          </w:p>
          <w:p w14:paraId="0B4552BA">
            <w:pPr>
              <w:tabs>
                <w:tab w:val="left" w:pos="740"/>
              </w:tabs>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（1）X线发射装置主要包括X线球管、高压发生器和X线遮光器。</w:t>
            </w:r>
          </w:p>
          <w:p w14:paraId="2DB1EE8A">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介入治疗需要连续发射X射线，要求有较高的球管热容量和散射率，因此</w:t>
            </w:r>
            <w:r>
              <w:rPr>
                <w:rFonts w:hint="default" w:ascii="Times New Roman" w:hAnsi="Times New Roman" w:cs="Times New Roman"/>
                <w:color w:val="auto"/>
                <w:sz w:val="24"/>
                <w:szCs w:val="28"/>
                <w:highlight w:val="none"/>
              </w:rPr>
              <w:t>C型臂</w:t>
            </w:r>
            <w:r>
              <w:rPr>
                <w:rFonts w:hint="default" w:ascii="Times New Roman" w:hAnsi="Times New Roman" w:cs="Times New Roman"/>
                <w:color w:val="auto"/>
                <w:sz w:val="24"/>
                <w:highlight w:val="none"/>
              </w:rPr>
              <w:t>必须具有阳极热容量在1MHU以上、具有大小焦点的X线球管。此外，还需具有一个能产生高千伏、短脉冲和恒定输出的高压发生器、X线遮光器用来限制X线照射视野，避免患者接受不必要的辐射。</w:t>
            </w:r>
          </w:p>
          <w:p w14:paraId="7F445457">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（2）影像检测和显示系统，用于将X线信息影像转换成可见影像。</w:t>
            </w:r>
          </w:p>
          <w:p w14:paraId="3715E30C">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平板探测器分为间接转换平板探测器和直接转换平板探测器。间接转换平板探测器由碘化铯等闪烁体晶体涂层与非晶硅薄膜晶体管TFT构成。间接转换平板探测器的工作过程一般分为两步：闪烁晶体涂层将X射线的能量转换为可见光，其次非晶体硅TFT将可见光转换为电信号。直接转换平板探测器主要由非晶硒TFT构成：入射的X射线是硒层产生电子空穴对，在外加偏压电场作用下，电子和空穴向相反的方向移动形成电流，电流在薄膜晶体管中形成电信号。现代大型DSA设备普遍使用平板探测器，其转换环节少，减少了噪声，使X线光子信号的损失降到了最低限度，大大提高了光电转换效率。不但保证了优质的图像质量，而且降低了射线剂量。</w:t>
            </w:r>
          </w:p>
          <w:p w14:paraId="7D9468F3">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（3）影像处理和系统控制。</w:t>
            </w:r>
          </w:p>
          <w:p w14:paraId="740899FB">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影像被数字化后，则需进行各种算术逻辑运算，并对减影的图像进行各种后处理。计算机系统是</w:t>
            </w:r>
            <w:r>
              <w:rPr>
                <w:rFonts w:hint="default" w:ascii="Times New Roman" w:hAnsi="Times New Roman" w:cs="Times New Roman"/>
                <w:color w:val="auto"/>
                <w:sz w:val="24"/>
                <w:szCs w:val="28"/>
                <w:highlight w:val="none"/>
              </w:rPr>
              <w:t>C型臂</w:t>
            </w:r>
            <w:r>
              <w:rPr>
                <w:rFonts w:hint="default" w:ascii="Times New Roman" w:hAnsi="Times New Roman" w:cs="Times New Roman"/>
                <w:color w:val="auto"/>
                <w:sz w:val="24"/>
                <w:highlight w:val="none"/>
              </w:rPr>
              <w:t>的关键部件，具有快速处理能力，主要对数字影像进行对数变换处理、时间滤波处理和对比度增强处理。系统控制部分具有多种接口，用于协调X线机、机架、计算机处理器和外设联动等。</w:t>
            </w:r>
          </w:p>
          <w:p w14:paraId="2F88D3AB">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机架系统和导管床机架有悬吊式和落地式两种，各有利弊，可根据工作特点和DSA机房情况选择。导管检查床具有手术床和透视诊断床两种功能，多采用高强度、低衰减系统的碳素纤维床面，减少对X线的吸收。</w:t>
            </w:r>
          </w:p>
          <w:p w14:paraId="436B11F2">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（5）影像存储和传输系统（PACS），采用在线存储和近线存储两种存储方式，充分利用网络技术实现影像资料的共享，方便随时调阅，更加高效的交流和管理</w:t>
            </w:r>
            <w:r>
              <w:rPr>
                <w:rFonts w:hint="default" w:ascii="Times New Roman" w:hAnsi="Times New Roman" w:cs="Times New Roman"/>
                <w:color w:val="auto"/>
                <w:sz w:val="24"/>
                <w:szCs w:val="28"/>
                <w:highlight w:val="none"/>
              </w:rPr>
              <w:t>C型臂</w:t>
            </w:r>
            <w:r>
              <w:rPr>
                <w:rFonts w:hint="default" w:ascii="Times New Roman" w:hAnsi="Times New Roman" w:cs="Times New Roman"/>
                <w:color w:val="auto"/>
                <w:sz w:val="24"/>
                <w:highlight w:val="none"/>
              </w:rPr>
              <w:t>影像信息。</w:t>
            </w:r>
          </w:p>
          <w:p w14:paraId="416805B0">
            <w:pPr>
              <w:adjustRightInd w:val="0"/>
              <w:snapToGrid w:val="0"/>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四</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介入治疗</w:t>
            </w:r>
          </w:p>
          <w:p w14:paraId="3DBE44E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cs="Times New Roman"/>
                <w:color w:val="auto"/>
                <w:sz w:val="24"/>
                <w:highlight w:val="none"/>
                <w:lang w:val="en-US" w:eastAsia="zh-CN"/>
              </w:rPr>
            </w:pPr>
            <w:r>
              <w:rPr>
                <w:rFonts w:hint="eastAsia" w:ascii="宋体" w:hAnsi="宋体" w:eastAsia="宋体" w:cs="宋体"/>
                <w:bCs/>
                <w:color w:val="auto"/>
                <w:sz w:val="24"/>
                <w:szCs w:val="24"/>
                <w:highlight w:val="none"/>
              </w:rPr>
              <w:t>介入治疗是在医学影像设备的引导下，通过置入体内的各种导管（约</w:t>
            </w:r>
            <w:r>
              <w:rPr>
                <w:rFonts w:hint="default" w:ascii="Times New Roman" w:hAnsi="Times New Roman" w:eastAsia="宋体" w:cs="Times New Roman"/>
                <w:bCs/>
                <w:color w:val="auto"/>
                <w:sz w:val="24"/>
                <w:szCs w:val="24"/>
                <w:highlight w:val="none"/>
              </w:rPr>
              <w:t>1.5-2</w:t>
            </w:r>
            <w:r>
              <w:rPr>
                <w:rFonts w:hint="eastAsia" w:ascii="宋体" w:hAnsi="宋体" w:eastAsia="宋体" w:cs="宋体"/>
                <w:bCs/>
                <w:color w:val="auto"/>
                <w:sz w:val="24"/>
                <w:szCs w:val="24"/>
                <w:highlight w:val="none"/>
              </w:rPr>
              <w:t>毫米粗）的体外操作和独特的处理方法，对体内病变进行治疗。介入治疗具有不开刀、创伤小、恢复快、效果好的特点，目前，基于数字血管造影系统指导的介入治疗医生已能把导管或其他器械，介入到人体几乎所有的血管分支和其他管腔结构（消化道、胆道、气管、鼻管、心脏等），以及某些特定部位，对许多疾病实施局限性治疗。</w:t>
            </w:r>
          </w:p>
          <w:p w14:paraId="51418E17">
            <w:pPr>
              <w:autoSpaceDE w:val="0"/>
              <w:autoSpaceDN w:val="0"/>
              <w:adjustRightInd w:val="0"/>
              <w:snapToGrid w:val="0"/>
              <w:spacing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w:t>
            </w:r>
            <w:r>
              <w:rPr>
                <w:rFonts w:hint="eastAsia" w:ascii="Times New Roman" w:hAnsi="Times New Roman" w:cs="Times New Roman"/>
                <w:b/>
                <w:bCs/>
                <w:color w:val="auto"/>
                <w:sz w:val="24"/>
                <w:highlight w:val="none"/>
                <w:lang w:val="en-US" w:eastAsia="zh-CN"/>
              </w:rPr>
              <w:t>五</w:t>
            </w:r>
            <w:r>
              <w:rPr>
                <w:rFonts w:hint="default" w:ascii="Times New Roman" w:hAnsi="Times New Roman" w:cs="Times New Roman"/>
                <w:b/>
                <w:bCs/>
                <w:color w:val="auto"/>
                <w:sz w:val="24"/>
                <w:highlight w:val="none"/>
              </w:rPr>
              <w:t>）操作流程</w:t>
            </w:r>
          </w:p>
          <w:bookmarkEnd w:id="48"/>
          <w:bookmarkEnd w:id="49"/>
          <w:p w14:paraId="6C277A8D">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本项目介入诊疗流程如下所示：</w:t>
            </w:r>
          </w:p>
          <w:p w14:paraId="23FBBBC8">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（1）病人候诊、准备、检查：由主管医生写介入诊疗申请单；介入接诊医师检查是否有介入诊疗的适应症，在排除禁忌症后完善术前检查和预约诊疗时间。</w:t>
            </w:r>
          </w:p>
          <w:p w14:paraId="7C240027">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（2）向病人告知可能受到的辐射危害：介入主管医生向病人或其家属详细介绍介入诊疗的方法、途径、可能出现的并发症、可预期的效果、术中所用的介入材料及其费用等。</w:t>
            </w:r>
          </w:p>
          <w:p w14:paraId="57343975">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（3）设置参数，病人进入机房、摆位：根据不同手术及检查方案，设置DSA系统的相关技术参数，以及其他监护仪器的设定；引导病人进入机房并进行摆位。</w:t>
            </w:r>
          </w:p>
          <w:p w14:paraId="7413FCD6">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（4）根据不同的治疗方案，医师及</w:t>
            </w:r>
            <w:r>
              <w:rPr>
                <w:rFonts w:hint="default" w:ascii="Times New Roman" w:hAnsi="Times New Roman" w:cs="Times New Roman"/>
                <w:color w:val="auto"/>
                <w:sz w:val="24"/>
                <w:highlight w:val="none"/>
                <w:lang w:val="en-US" w:eastAsia="zh-CN"/>
              </w:rPr>
              <w:t>技师</w:t>
            </w:r>
            <w:r>
              <w:rPr>
                <w:rFonts w:hint="default" w:ascii="Times New Roman" w:hAnsi="Times New Roman" w:cs="Times New Roman"/>
                <w:color w:val="auto"/>
                <w:sz w:val="24"/>
                <w:highlight w:val="none"/>
              </w:rPr>
              <w:t>密切配合，完成介入手术或检查；</w:t>
            </w:r>
          </w:p>
          <w:p w14:paraId="10E5F3EC">
            <w:pPr>
              <w:pStyle w:val="32"/>
              <w:snapToGrid w:val="0"/>
              <w:spacing w:line="360" w:lineRule="auto"/>
              <w:ind w:firstLine="480" w:firstLineChars="200"/>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产污：X射线、臭氧、氮氧化物。</w:t>
            </w:r>
          </w:p>
          <w:p w14:paraId="7248206D">
            <w:pPr>
              <w:numPr>
                <w:ilvl w:val="0"/>
                <w:numId w:val="16"/>
              </w:num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治疗完毕关机：手术医师应及时书写手术记录，技师应及时处理图像、刻录光盘或照片，</w:t>
            </w:r>
            <w:r>
              <w:rPr>
                <w:rFonts w:hint="default" w:ascii="Times New Roman" w:hAnsi="Times New Roman" w:cs="Times New Roman"/>
                <w:color w:val="auto"/>
                <w:sz w:val="24"/>
                <w:highlight w:val="none"/>
                <w:lang w:val="en-US" w:eastAsia="zh-CN"/>
              </w:rPr>
              <w:t>对于</w:t>
            </w:r>
            <w:r>
              <w:rPr>
                <w:rFonts w:hint="default" w:ascii="Times New Roman" w:hAnsi="Times New Roman" w:cs="Times New Roman"/>
                <w:color w:val="auto"/>
                <w:sz w:val="24"/>
                <w:highlight w:val="none"/>
              </w:rPr>
              <w:t>急症病人应尽快将</w:t>
            </w:r>
            <w:r>
              <w:rPr>
                <w:rFonts w:hint="default" w:ascii="Times New Roman" w:hAnsi="Times New Roman" w:cs="Times New Roman"/>
                <w:color w:val="auto"/>
                <w:sz w:val="24"/>
                <w:highlight w:val="none"/>
                <w:lang w:val="en-US" w:eastAsia="zh-CN"/>
              </w:rPr>
              <w:t>结果告知医生和</w:t>
            </w:r>
            <w:r>
              <w:rPr>
                <w:rFonts w:hint="default" w:ascii="Times New Roman" w:hAnsi="Times New Roman" w:cs="Times New Roman"/>
                <w:color w:val="auto"/>
                <w:sz w:val="24"/>
                <w:highlight w:val="none"/>
              </w:rPr>
              <w:t>病人；对单纯接受介入造影检查的病人，手术医师应在24小时内将诊断报告写出由病人家属取回交病房病历保管。</w:t>
            </w:r>
          </w:p>
          <w:p w14:paraId="2992BB9A">
            <w:pPr>
              <w:pStyle w:val="32"/>
              <w:snapToGrid w:val="0"/>
              <w:spacing w:line="360" w:lineRule="auto"/>
              <w:ind w:firstLine="480" w:firstLineChars="200"/>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产污：手术过程中的耗材将转化为医疗废物。</w:t>
            </w:r>
          </w:p>
          <w:p w14:paraId="6BFD456F">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w:t>
            </w:r>
            <w:r>
              <w:rPr>
                <w:rFonts w:hint="default" w:ascii="Times New Roman" w:hAnsi="Times New Roman" w:cs="Times New Roman"/>
                <w:bCs/>
                <w:color w:val="auto"/>
                <w:sz w:val="24"/>
                <w:highlight w:val="none"/>
              </w:rPr>
              <w:t>DSA</w:t>
            </w:r>
            <w:r>
              <w:rPr>
                <w:rFonts w:hint="default" w:ascii="Times New Roman" w:hAnsi="Times New Roman" w:cs="Times New Roman"/>
                <w:color w:val="auto"/>
                <w:sz w:val="24"/>
                <w:highlight w:val="none"/>
              </w:rPr>
              <w:t>工作流程及产污环节如</w:t>
            </w:r>
            <w:r>
              <w:rPr>
                <w:rFonts w:hint="default" w:ascii="Times New Roman" w:hAnsi="Times New Roman" w:cs="Times New Roman"/>
                <w:color w:val="auto"/>
                <w:sz w:val="24"/>
                <w:highlight w:val="none"/>
                <w:lang w:val="en-US" w:eastAsia="zh-CN"/>
              </w:rPr>
              <w:t>下图</w:t>
            </w:r>
            <w:r>
              <w:rPr>
                <w:rFonts w:hint="default" w:ascii="Times New Roman" w:hAnsi="Times New Roman" w:cs="Times New Roman"/>
                <w:color w:val="auto"/>
                <w:sz w:val="24"/>
                <w:highlight w:val="none"/>
              </w:rPr>
              <w:t>：</w:t>
            </w:r>
          </w:p>
          <w:p w14:paraId="6CB2E66C">
            <w:pPr>
              <w:adjustRightInd w:val="0"/>
              <w:snapToGrid w:val="0"/>
              <w:jc w:val="center"/>
              <w:rPr>
                <w:rFonts w:hint="default" w:ascii="Times New Roman" w:hAnsi="Times New Roman" w:cs="Times New Roman"/>
                <w:color w:val="auto"/>
                <w:sz w:val="24"/>
                <w:highlight w:val="none"/>
              </w:rPr>
            </w:pPr>
            <w:r>
              <w:rPr>
                <w:rFonts w:hint="eastAsia" w:ascii="Times New Roman" w:hAnsi="Times New Roman" w:eastAsia="宋体"/>
                <w:bCs/>
                <w:color w:val="auto"/>
                <w:kern w:val="0"/>
                <w:sz w:val="24"/>
                <w:szCs w:val="24"/>
                <w:highlight w:val="none"/>
                <w:lang w:eastAsia="zh-CN"/>
              </w:rPr>
              <w:drawing>
                <wp:inline distT="0" distB="0" distL="114300" distR="114300">
                  <wp:extent cx="5216525" cy="3628390"/>
                  <wp:effectExtent l="9525" t="9525" r="12700" b="19685"/>
                  <wp:docPr id="41" name="F360BE8B-6686-4F3D-AEAF-501FE73E4058-1" descr="C:/Users/JSRY/AppData/Local/Temp/绘图1(1).png绘图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F360BE8B-6686-4F3D-AEAF-501FE73E4058-1" descr="C:/Users/JSRY/AppData/Local/Temp/绘图1(1).png绘图1(1)"/>
                          <pic:cNvPicPr>
                            <a:picLocks noChangeAspect="1"/>
                          </pic:cNvPicPr>
                        </pic:nvPicPr>
                        <pic:blipFill>
                          <a:blip r:embed="rId32"/>
                          <a:stretch>
                            <a:fillRect/>
                          </a:stretch>
                        </pic:blipFill>
                        <pic:spPr>
                          <a:xfrm>
                            <a:off x="0" y="0"/>
                            <a:ext cx="5216525" cy="3628390"/>
                          </a:xfrm>
                          <a:prstGeom prst="rect">
                            <a:avLst/>
                          </a:prstGeom>
                          <a:ln>
                            <a:solidFill>
                              <a:schemeClr val="tx1"/>
                            </a:solidFill>
                          </a:ln>
                        </pic:spPr>
                      </pic:pic>
                    </a:graphicData>
                  </a:graphic>
                </wp:inline>
              </w:drawing>
            </w:r>
          </w:p>
          <w:p w14:paraId="4EDFCCF7">
            <w:pPr>
              <w:numPr>
                <w:ilvl w:val="0"/>
                <w:numId w:val="15"/>
              </w:numPr>
              <w:ind w:left="425" w:leftChars="0" w:hanging="425"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本项目DSA工作流程及产污环节示意图</w:t>
            </w:r>
          </w:p>
          <w:p w14:paraId="2D711A37">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其中DSA具体操作流程为：诊疗时，患者仰卧并进行无菌消毒，局部麻醉后，经皮穿刺，送入引导钢丝及扩张管与外鞘，退出钢丝及扩张管将外鞘保留于动脉内，经鞘插入导管，推送导管，在X线透视下将导管送达目标部位，进行介入诊断，留X线片记录，探查结束，撤出导管，穿刺部位止血包扎。在手术过程中，操作人员必须在床旁并在X线导视下进行。</w:t>
            </w:r>
          </w:p>
          <w:p w14:paraId="31C4D86D">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DSA在进行曝光时分两种情况：</w:t>
            </w:r>
          </w:p>
          <w:p w14:paraId="5CE02C60">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第一种情况（拍片）：技师采取隔室操作的方式（即技师在操作间内对病人进行曝光），医生通过铅玻璃观察窗观察机房内病人情况，并通过对讲系统与病人交流。</w:t>
            </w:r>
          </w:p>
          <w:p w14:paraId="5505C124">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二种情况（透视）：医生需要进行手术治疗时，为更清楚地了解病人情况时会有连续曝光，并采取连续脉冲透视，此时操作医师位于铅屏风或铅帘后身着铅服、戴铅眼镜等在曝光室内对病人进行直接的手术操作。</w:t>
            </w:r>
          </w:p>
          <w:p w14:paraId="4EE1BD98">
            <w:pPr>
              <w:autoSpaceDE w:val="0"/>
              <w:autoSpaceDN w:val="0"/>
              <w:adjustRightInd w:val="0"/>
              <w:snapToGrid w:val="0"/>
              <w:spacing w:line="360" w:lineRule="auto"/>
              <w:ind w:firstLine="480"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w:t>
            </w:r>
            <w:r>
              <w:rPr>
                <w:rFonts w:hint="eastAsia" w:ascii="Times New Roman" w:hAnsi="Times New Roman" w:cs="Times New Roman"/>
                <w:b/>
                <w:bCs/>
                <w:color w:val="auto"/>
                <w:sz w:val="24"/>
                <w:highlight w:val="none"/>
                <w:lang w:val="en-US" w:eastAsia="zh-CN"/>
              </w:rPr>
              <w:t>六</w:t>
            </w:r>
            <w:r>
              <w:rPr>
                <w:rFonts w:hint="default" w:ascii="Times New Roman" w:hAnsi="Times New Roman" w:cs="Times New Roman"/>
                <w:b/>
                <w:bCs/>
                <w:color w:val="auto"/>
                <w:sz w:val="24"/>
                <w:highlight w:val="none"/>
              </w:rPr>
              <w:t>）人流、物流路径</w:t>
            </w:r>
          </w:p>
          <w:p w14:paraId="2F5B287E">
            <w:pPr>
              <w:pStyle w:val="7"/>
              <w:adjustRightInd w:val="0"/>
              <w:snapToGrid w:val="0"/>
              <w:spacing w:line="360" w:lineRule="auto"/>
              <w:ind w:firstLine="480"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人流：</w:t>
            </w:r>
          </w:p>
          <w:p w14:paraId="0ED69DDC">
            <w:pPr>
              <w:keepNext/>
              <w:keepLines/>
              <w:adjustRightInd w:val="0"/>
              <w:snapToGrid w:val="0"/>
              <w:spacing w:line="360" w:lineRule="auto"/>
              <w:ind w:firstLine="480" w:firstLineChars="20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医务人员：</w:t>
            </w:r>
          </w:p>
          <w:p w14:paraId="4DA64F3F">
            <w:pPr>
              <w:keepNext/>
              <w:keepLines/>
              <w:adjustRightInd w:val="0"/>
              <w:snapToGrid w:val="0"/>
              <w:spacing w:line="360" w:lineRule="auto"/>
              <w:ind w:firstLine="480" w:firstLineChars="200"/>
              <w:jc w:val="lef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highlight w:val="none"/>
              </w:rPr>
              <w:t>每日手术开始前，医务人员由</w:t>
            </w:r>
            <w:r>
              <w:rPr>
                <w:rFonts w:hint="default" w:ascii="Times New Roman" w:hAnsi="Times New Roman" w:cs="Times New Roman"/>
                <w:color w:val="auto"/>
                <w:sz w:val="24"/>
                <w:highlight w:val="none"/>
                <w:lang w:val="en-US" w:eastAsia="zh-CN"/>
              </w:rPr>
              <w:t>辅助用房</w:t>
            </w:r>
            <w:r>
              <w:rPr>
                <w:rFonts w:hint="eastAsia" w:ascii="Times New Roman" w:hAnsi="Times New Roman" w:cs="Times New Roman"/>
                <w:color w:val="auto"/>
                <w:sz w:val="24"/>
                <w:highlight w:val="none"/>
                <w:lang w:val="en-US" w:eastAsia="zh-CN"/>
              </w:rPr>
              <w:t>南侧</w:t>
            </w:r>
            <w:r>
              <w:rPr>
                <w:rFonts w:hint="default" w:ascii="Times New Roman" w:hAnsi="Times New Roman" w:cs="Times New Roman"/>
                <w:color w:val="auto"/>
                <w:sz w:val="24"/>
                <w:highlight w:val="none"/>
                <w:lang w:val="en-US" w:eastAsia="zh-CN"/>
              </w:rPr>
              <w:t>入口进入</w:t>
            </w:r>
            <w:r>
              <w:rPr>
                <w:rFonts w:hint="eastAsia" w:ascii="Times New Roman" w:hAnsi="Times New Roman" w:cs="Times New Roman"/>
                <w:color w:val="auto"/>
                <w:sz w:val="24"/>
                <w:highlight w:val="none"/>
                <w:lang w:val="en-US" w:eastAsia="zh-CN"/>
              </w:rPr>
              <w:t>医护人员通道，经消毒、洗漱后，经控制室进入介入手术室。</w:t>
            </w:r>
            <w:r>
              <w:rPr>
                <w:rFonts w:hint="default" w:ascii="Times New Roman" w:hAnsi="Times New Roman" w:cs="Times New Roman"/>
                <w:color w:val="auto"/>
                <w:sz w:val="24"/>
                <w:highlight w:val="none"/>
                <w:lang w:val="en-US" w:eastAsia="zh-CN"/>
              </w:rPr>
              <w:t>医务人员待每场手术结束后，病人优先离开DSA机房，病人离开后，医务人员原路返回。</w:t>
            </w:r>
          </w:p>
          <w:p w14:paraId="1CD05514">
            <w:pPr>
              <w:keepNext/>
              <w:keepLines/>
              <w:adjustRightInd w:val="0"/>
              <w:snapToGrid w:val="0"/>
              <w:spacing w:line="360" w:lineRule="auto"/>
              <w:ind w:firstLine="480" w:firstLineChars="20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患者：</w:t>
            </w:r>
          </w:p>
          <w:p w14:paraId="065636C0">
            <w:pPr>
              <w:keepNext/>
              <w:keepLines/>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患者根据其手术预约时间到达介入治疗区，</w:t>
            </w:r>
            <w:r>
              <w:rPr>
                <w:rFonts w:hint="default" w:ascii="Times New Roman" w:hAnsi="Times New Roman" w:cs="Times New Roman"/>
                <w:color w:val="auto"/>
                <w:sz w:val="24"/>
                <w:highlight w:val="none"/>
                <w:lang w:val="en-US" w:eastAsia="zh-CN"/>
              </w:rPr>
              <w:t>经缓冲间进入DSA</w:t>
            </w:r>
            <w:r>
              <w:rPr>
                <w:rFonts w:hint="eastAsia" w:ascii="Times New Roman" w:hAnsi="Times New Roman" w:cs="Times New Roman"/>
                <w:color w:val="auto"/>
                <w:sz w:val="24"/>
                <w:highlight w:val="none"/>
                <w:lang w:val="en-US" w:eastAsia="zh-CN"/>
              </w:rPr>
              <w:t>介入手术室</w:t>
            </w:r>
            <w:r>
              <w:rPr>
                <w:rFonts w:hint="default" w:ascii="Times New Roman" w:hAnsi="Times New Roman" w:cs="Times New Roman"/>
                <w:color w:val="auto"/>
                <w:sz w:val="24"/>
                <w:highlight w:val="none"/>
              </w:rPr>
              <w:t>。每场手术结束后，患者原路返回。</w:t>
            </w:r>
          </w:p>
          <w:p w14:paraId="15CD48EF">
            <w:pPr>
              <w:keepNext/>
              <w:keepLines/>
              <w:adjustRightInd w:val="0"/>
              <w:snapToGrid w:val="0"/>
              <w:spacing w:line="360" w:lineRule="auto"/>
              <w:ind w:firstLine="480" w:firstLineChars="20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物流：</w:t>
            </w:r>
          </w:p>
          <w:p w14:paraId="5F1EA655">
            <w:pPr>
              <w:keepNext/>
              <w:keepLines/>
              <w:adjustRightInd w:val="0"/>
              <w:snapToGrid w:val="0"/>
              <w:spacing w:line="360" w:lineRule="auto"/>
              <w:ind w:firstLine="480" w:firstLineChars="200"/>
              <w:jc w:val="left"/>
              <w:rPr>
                <w:rFonts w:hint="default" w:ascii="Times New Roman" w:hAnsi="Times New Roman" w:cs="Times New Roman"/>
                <w:color w:val="auto"/>
                <w:highlight w:val="none"/>
              </w:rPr>
            </w:pPr>
            <w:r>
              <w:rPr>
                <w:rFonts w:hint="default" w:ascii="Times New Roman" w:hAnsi="Times New Roman" w:cs="Times New Roman"/>
                <w:color w:val="auto"/>
                <w:sz w:val="24"/>
                <w:highlight w:val="none"/>
              </w:rPr>
              <w:t>每场手术结束后，医疗废物由</w:t>
            </w:r>
            <w:r>
              <w:rPr>
                <w:rFonts w:hint="default" w:ascii="Times New Roman" w:hAnsi="Times New Roman" w:cs="Times New Roman"/>
                <w:color w:val="auto"/>
                <w:sz w:val="24"/>
                <w:highlight w:val="none"/>
                <w:lang w:val="en-US" w:eastAsia="zh-CN"/>
              </w:rPr>
              <w:t>专门的清洁人员送入污染物暂存间，污染物暂存间</w:t>
            </w:r>
            <w:r>
              <w:rPr>
                <w:rFonts w:hint="eastAsia" w:ascii="Times New Roman" w:hAnsi="Times New Roman" w:cs="Times New Roman"/>
                <w:color w:val="auto"/>
                <w:sz w:val="24"/>
                <w:highlight w:val="none"/>
                <w:lang w:val="en-US" w:eastAsia="zh-CN"/>
              </w:rPr>
              <w:t>经专用的污物通道运出辅助用房。</w:t>
            </w:r>
            <w:r>
              <w:rPr>
                <w:rFonts w:hint="default" w:ascii="Times New Roman" w:hAnsi="Times New Roman" w:cs="Times New Roman"/>
                <w:color w:val="auto"/>
                <w:sz w:val="24"/>
                <w:highlight w:val="none"/>
                <w:lang w:val="en-US" w:eastAsia="zh-CN"/>
              </w:rPr>
              <w:t>并委托有资质单位处置。</w:t>
            </w:r>
          </w:p>
          <w:p w14:paraId="317F8576">
            <w:pPr>
              <w:pStyle w:val="7"/>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本项目人流、物流路径合理，路径图见</w:t>
            </w:r>
            <w:r>
              <w:rPr>
                <w:rFonts w:hint="default" w:ascii="Times New Roman" w:hAnsi="Times New Roman" w:cs="Times New Roman"/>
                <w:color w:val="auto"/>
                <w:sz w:val="24"/>
                <w:highlight w:val="none"/>
                <w:lang w:val="en-US" w:eastAsia="zh-CN"/>
              </w:rPr>
              <w:t>下图</w:t>
            </w:r>
            <w:r>
              <w:rPr>
                <w:rFonts w:hint="default" w:ascii="Times New Roman" w:hAnsi="Times New Roman" w:cs="Times New Roman"/>
                <w:color w:val="auto"/>
                <w:sz w:val="24"/>
                <w:highlight w:val="none"/>
              </w:rPr>
              <w:t>。</w:t>
            </w:r>
          </w:p>
          <w:p w14:paraId="1AF2609C">
            <w:pPr>
              <w:pStyle w:val="7"/>
              <w:adjustRightInd w:val="0"/>
              <w:snapToGrid w:val="0"/>
              <w:spacing w:line="360" w:lineRule="auto"/>
              <w:ind w:firstLine="480" w:firstLineChars="200"/>
              <w:rPr>
                <w:rFonts w:hint="default" w:ascii="Times New Roman" w:hAnsi="Times New Roman" w:cs="Times New Roman"/>
                <w:color w:val="auto"/>
                <w:sz w:val="24"/>
                <w:highlight w:val="none"/>
              </w:rPr>
            </w:pPr>
          </w:p>
          <w:p w14:paraId="01EE8BD6">
            <w:pPr>
              <w:pStyle w:val="7"/>
              <w:adjustRightInd w:val="0"/>
              <w:snapToGrid w:val="0"/>
              <w:spacing w:line="360" w:lineRule="auto"/>
              <w:ind w:firstLine="480" w:firstLineChars="200"/>
              <w:rPr>
                <w:rFonts w:hint="default" w:ascii="Times New Roman" w:hAnsi="Times New Roman" w:cs="Times New Roman"/>
                <w:color w:val="auto"/>
                <w:sz w:val="24"/>
                <w:highlight w:val="none"/>
              </w:rPr>
            </w:pPr>
          </w:p>
          <w:p w14:paraId="297F6CC9">
            <w:pPr>
              <w:pStyle w:val="7"/>
              <w:adjustRightInd w:val="0"/>
              <w:snapToGrid w:val="0"/>
              <w:spacing w:line="360" w:lineRule="auto"/>
              <w:ind w:firstLine="480" w:firstLineChars="200"/>
              <w:rPr>
                <w:rFonts w:hint="default" w:ascii="Times New Roman" w:hAnsi="Times New Roman" w:cs="Times New Roman"/>
                <w:color w:val="auto"/>
                <w:sz w:val="24"/>
                <w:highlight w:val="none"/>
              </w:rPr>
            </w:pPr>
          </w:p>
          <w:p w14:paraId="5F067837">
            <w:pPr>
              <w:pStyle w:val="7"/>
              <w:adjustRightInd w:val="0"/>
              <w:snapToGrid w:val="0"/>
              <w:spacing w:line="360" w:lineRule="auto"/>
              <w:ind w:firstLine="480" w:firstLineChars="200"/>
              <w:rPr>
                <w:rFonts w:hint="default" w:ascii="Times New Roman" w:hAnsi="Times New Roman" w:cs="Times New Roman"/>
                <w:color w:val="auto"/>
                <w:sz w:val="24"/>
                <w:highlight w:val="none"/>
              </w:rPr>
            </w:pPr>
          </w:p>
          <w:p w14:paraId="51E17044">
            <w:pPr>
              <w:pStyle w:val="7"/>
              <w:adjustRightInd w:val="0"/>
              <w:snapToGrid w:val="0"/>
              <w:spacing w:line="360" w:lineRule="auto"/>
              <w:ind w:firstLine="480" w:firstLineChars="200"/>
              <w:rPr>
                <w:rFonts w:hint="default" w:ascii="Times New Roman" w:hAnsi="Times New Roman" w:cs="Times New Roman"/>
                <w:color w:val="auto"/>
                <w:sz w:val="24"/>
                <w:highlight w:val="none"/>
              </w:rPr>
            </w:pPr>
          </w:p>
          <w:p w14:paraId="2BB9731F">
            <w:pPr>
              <w:pStyle w:val="7"/>
              <w:adjustRightInd w:val="0"/>
              <w:snapToGrid w:val="0"/>
              <w:spacing w:line="360" w:lineRule="auto"/>
              <w:ind w:firstLine="480" w:firstLineChars="200"/>
              <w:rPr>
                <w:rFonts w:hint="default" w:ascii="Times New Roman" w:hAnsi="Times New Roman" w:cs="Times New Roman"/>
                <w:color w:val="auto"/>
                <w:sz w:val="24"/>
                <w:highlight w:val="none"/>
              </w:rPr>
            </w:pPr>
          </w:p>
          <w:p w14:paraId="0FC1A388">
            <w:pPr>
              <w:pStyle w:val="7"/>
              <w:adjustRightInd w:val="0"/>
              <w:snapToGrid w:val="0"/>
              <w:spacing w:line="360" w:lineRule="auto"/>
              <w:ind w:firstLine="480" w:firstLineChars="200"/>
              <w:rPr>
                <w:rFonts w:hint="default" w:ascii="Times New Roman" w:hAnsi="Times New Roman" w:cs="Times New Roman"/>
                <w:color w:val="auto"/>
                <w:sz w:val="24"/>
                <w:highlight w:val="none"/>
              </w:rPr>
            </w:pPr>
          </w:p>
          <w:p w14:paraId="5334F2EB">
            <w:pPr>
              <w:pStyle w:val="7"/>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eastAsia="zh-CN"/>
              </w:rPr>
              <w:drawing>
                <wp:inline distT="0" distB="0" distL="114300" distR="114300">
                  <wp:extent cx="5260975" cy="3315970"/>
                  <wp:effectExtent l="0" t="0" r="0" b="0"/>
                  <wp:docPr id="42" name="图片 42" descr="附图6 人流物流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附图6 人流物流图_01"/>
                          <pic:cNvPicPr>
                            <a:picLocks noChangeAspect="1"/>
                          </pic:cNvPicPr>
                        </pic:nvPicPr>
                        <pic:blipFill>
                          <a:blip r:embed="rId33"/>
                          <a:srcRect b="10811"/>
                          <a:stretch>
                            <a:fillRect/>
                          </a:stretch>
                        </pic:blipFill>
                        <pic:spPr>
                          <a:xfrm>
                            <a:off x="0" y="0"/>
                            <a:ext cx="5260975" cy="3315970"/>
                          </a:xfrm>
                          <a:prstGeom prst="rect">
                            <a:avLst/>
                          </a:prstGeom>
                        </pic:spPr>
                      </pic:pic>
                    </a:graphicData>
                  </a:graphic>
                </wp:inline>
              </w:drawing>
            </w:r>
          </w:p>
          <w:p w14:paraId="4ED200A4">
            <w:pPr>
              <w:numPr>
                <w:ilvl w:val="0"/>
                <w:numId w:val="15"/>
              </w:numPr>
              <w:ind w:left="425" w:leftChars="0" w:hanging="425"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本项目人流物流示意图</w:t>
            </w:r>
          </w:p>
          <w:p w14:paraId="49D32901">
            <w:pPr>
              <w:keepNext/>
              <w:keepLines/>
              <w:adjustRightInd w:val="0"/>
              <w:snapToGrid w:val="0"/>
              <w:spacing w:line="360" w:lineRule="auto"/>
              <w:ind w:firstLine="480" w:firstLineChars="200"/>
              <w:jc w:val="left"/>
              <w:rPr>
                <w:rFonts w:hint="default" w:ascii="Times New Roman" w:hAnsi="Times New Roman" w:cs="Times New Roman"/>
                <w:b/>
                <w:color w:val="auto"/>
                <w:kern w:val="0"/>
                <w:sz w:val="24"/>
                <w:highlight w:val="none"/>
              </w:rPr>
            </w:pPr>
            <w:r>
              <w:rPr>
                <w:rFonts w:hint="default" w:ascii="Times New Roman" w:hAnsi="Times New Roman" w:cs="Times New Roman"/>
                <w:b/>
                <w:color w:val="auto"/>
                <w:kern w:val="0"/>
                <w:sz w:val="24"/>
                <w:highlight w:val="none"/>
              </w:rPr>
              <w:t>（五）原有工艺不足和改进情况：</w:t>
            </w:r>
          </w:p>
          <w:p w14:paraId="07E37AA0">
            <w:pPr>
              <w:pStyle w:val="32"/>
              <w:snapToGrid w:val="0"/>
              <w:spacing w:line="360" w:lineRule="auto"/>
              <w:ind w:firstLine="480" w:firstLineChars="200"/>
              <w:rPr>
                <w:rFonts w:hint="eastAsia" w:ascii="Times New Roman" w:hAnsi="Times New Roman" w:cs="Times New Roman"/>
                <w:color w:val="auto"/>
                <w:spacing w:val="5"/>
                <w:highlight w:val="none"/>
                <w:shd w:val="clear" w:color="auto" w:fill="FFFFFF"/>
                <w:lang w:val="en-US" w:eastAsia="zh-CN"/>
              </w:rPr>
            </w:pPr>
            <w:r>
              <w:rPr>
                <w:rFonts w:hint="default" w:ascii="Times New Roman" w:hAnsi="Times New Roman" w:cs="Times New Roman"/>
                <w:color w:val="auto"/>
                <w:sz w:val="24"/>
                <w:highlight w:val="none"/>
              </w:rPr>
              <w:t>医院已获得</w:t>
            </w:r>
            <w:r>
              <w:rPr>
                <w:rFonts w:hint="eastAsia" w:ascii="Times New Roman" w:hAnsi="Times New Roman" w:cs="Times New Roman"/>
                <w:color w:val="auto"/>
                <w:sz w:val="24"/>
                <w:highlight w:val="none"/>
                <w:lang w:val="en-US" w:eastAsia="zh-CN"/>
              </w:rPr>
              <w:t>巴中</w:t>
            </w:r>
            <w:r>
              <w:rPr>
                <w:rFonts w:hint="default" w:ascii="Times New Roman" w:hAnsi="Times New Roman" w:cs="Times New Roman"/>
                <w:color w:val="auto"/>
                <w:sz w:val="24"/>
                <w:highlight w:val="none"/>
                <w:lang w:val="en-US" w:eastAsia="zh-CN"/>
              </w:rPr>
              <w:t>市生态环境局颁发</w:t>
            </w:r>
            <w:r>
              <w:rPr>
                <w:rFonts w:hint="default" w:ascii="Times New Roman" w:hAnsi="Times New Roman" w:cs="Times New Roman"/>
                <w:color w:val="auto"/>
                <w:sz w:val="24"/>
                <w:highlight w:val="none"/>
              </w:rPr>
              <w:t>的《辐射安全许可证》（</w:t>
            </w:r>
            <w:r>
              <w:rPr>
                <w:rFonts w:hint="default" w:ascii="Times New Roman" w:hAnsi="Times New Roman" w:cs="Times New Roman"/>
                <w:color w:val="auto"/>
                <w:spacing w:val="5"/>
                <w:kern w:val="0"/>
                <w:sz w:val="24"/>
                <w:highlight w:val="none"/>
                <w:shd w:val="clear" w:color="auto" w:fill="FFFFFF"/>
                <w:lang w:bidi="ar"/>
              </w:rPr>
              <w:t>川环辐证[</w:t>
            </w:r>
            <w:r>
              <w:rPr>
                <w:rFonts w:hint="eastAsia" w:ascii="Times New Roman" w:hAnsi="Times New Roman" w:cs="Times New Roman"/>
                <w:color w:val="auto"/>
                <w:spacing w:val="5"/>
                <w:kern w:val="0"/>
                <w:sz w:val="24"/>
                <w:highlight w:val="none"/>
                <w:shd w:val="clear" w:color="auto" w:fill="FFFFFF"/>
                <w:lang w:val="en-US" w:eastAsia="zh-CN" w:bidi="ar"/>
              </w:rPr>
              <w:t>17051</w:t>
            </w:r>
            <w:r>
              <w:rPr>
                <w:rFonts w:hint="default" w:ascii="Times New Roman" w:hAnsi="Times New Roman" w:cs="Times New Roman"/>
                <w:color w:val="auto"/>
                <w:spacing w:val="5"/>
                <w:kern w:val="0"/>
                <w:sz w:val="24"/>
                <w:highlight w:val="none"/>
                <w:shd w:val="clear" w:color="auto" w:fill="FFFFFF"/>
                <w:lang w:bidi="ar"/>
              </w:rPr>
              <w:t>]</w:t>
            </w:r>
            <w:r>
              <w:rPr>
                <w:rFonts w:hint="default" w:ascii="Times New Roman" w:hAnsi="Times New Roman" w:cs="Times New Roman"/>
                <w:color w:val="auto"/>
                <w:sz w:val="24"/>
                <w:highlight w:val="none"/>
              </w:rPr>
              <w:t>），许可种类和范围为：使用Ⅲ类射线装置，</w:t>
            </w:r>
            <w:r>
              <w:rPr>
                <w:rFonts w:hint="default" w:ascii="Times New Roman" w:hAnsi="Times New Roman" w:cs="Times New Roman"/>
                <w:color w:val="auto"/>
                <w:spacing w:val="5"/>
                <w:kern w:val="0"/>
                <w:sz w:val="24"/>
                <w:highlight w:val="none"/>
                <w:shd w:val="clear" w:color="auto" w:fill="FFFFFF"/>
                <w:lang w:bidi="ar"/>
              </w:rPr>
              <w:t>有效期至2028年</w:t>
            </w:r>
            <w:r>
              <w:rPr>
                <w:rFonts w:hint="default" w:ascii="Times New Roman" w:hAnsi="Times New Roman" w:cs="Times New Roman"/>
                <w:color w:val="auto"/>
                <w:spacing w:val="5"/>
                <w:kern w:val="0"/>
                <w:sz w:val="24"/>
                <w:highlight w:val="none"/>
                <w:shd w:val="clear" w:color="auto" w:fill="FFFFFF"/>
                <w:lang w:val="en-US" w:eastAsia="zh-CN" w:bidi="ar"/>
              </w:rPr>
              <w:t>06</w:t>
            </w:r>
            <w:r>
              <w:rPr>
                <w:rFonts w:hint="default" w:ascii="Times New Roman" w:hAnsi="Times New Roman" w:cs="Times New Roman"/>
                <w:color w:val="auto"/>
                <w:spacing w:val="5"/>
                <w:kern w:val="0"/>
                <w:sz w:val="24"/>
                <w:highlight w:val="none"/>
                <w:shd w:val="clear" w:color="auto" w:fill="FFFFFF"/>
                <w:lang w:bidi="ar"/>
              </w:rPr>
              <w:t>月</w:t>
            </w:r>
            <w:r>
              <w:rPr>
                <w:rFonts w:hint="eastAsia" w:ascii="Times New Roman" w:hAnsi="Times New Roman" w:cs="Times New Roman"/>
                <w:color w:val="auto"/>
                <w:spacing w:val="5"/>
                <w:kern w:val="0"/>
                <w:sz w:val="24"/>
                <w:highlight w:val="none"/>
                <w:shd w:val="clear" w:color="auto" w:fill="FFFFFF"/>
                <w:lang w:val="en-US" w:eastAsia="zh-CN" w:bidi="ar"/>
              </w:rPr>
              <w:t>24</w:t>
            </w:r>
            <w:r>
              <w:rPr>
                <w:rFonts w:hint="default" w:ascii="Times New Roman" w:hAnsi="Times New Roman" w:cs="Times New Roman"/>
                <w:color w:val="auto"/>
                <w:spacing w:val="5"/>
                <w:kern w:val="0"/>
                <w:sz w:val="24"/>
                <w:highlight w:val="none"/>
                <w:shd w:val="clear" w:color="auto" w:fill="FFFFFF"/>
                <w:lang w:bidi="ar"/>
              </w:rPr>
              <w:t>日</w:t>
            </w:r>
            <w:r>
              <w:rPr>
                <w:rFonts w:hint="eastAsia" w:ascii="Times New Roman" w:hAnsi="Times New Roman" w:cs="Times New Roman"/>
                <w:color w:val="auto"/>
                <w:spacing w:val="5"/>
                <w:kern w:val="0"/>
                <w:sz w:val="24"/>
                <w:highlight w:val="none"/>
                <w:shd w:val="clear" w:color="auto" w:fill="FFFFFF"/>
                <w:lang w:eastAsia="zh-CN" w:bidi="ar"/>
              </w:rPr>
              <w:t>，</w:t>
            </w:r>
            <w:r>
              <w:rPr>
                <w:rFonts w:hint="eastAsia" w:ascii="Times New Roman" w:hAnsi="Times New Roman" w:cs="Times New Roman"/>
                <w:color w:val="auto"/>
                <w:spacing w:val="5"/>
                <w:kern w:val="0"/>
                <w:sz w:val="24"/>
                <w:highlight w:val="none"/>
                <w:shd w:val="clear" w:color="auto" w:fill="FFFFFF"/>
                <w:lang w:val="en-US" w:eastAsia="zh-CN" w:bidi="ar"/>
              </w:rPr>
              <w:t>辐射安全许可证详见附件3。</w:t>
            </w:r>
          </w:p>
          <w:p w14:paraId="19B748BE">
            <w:pPr>
              <w:pStyle w:val="32"/>
              <w:snapToGrid w:val="0"/>
              <w:spacing w:line="360" w:lineRule="auto"/>
              <w:ind w:firstLine="500" w:firstLineChars="200"/>
              <w:rPr>
                <w:rFonts w:hint="default" w:ascii="Times New Roman" w:hAnsi="Times New Roman" w:cs="Times New Roman"/>
                <w:color w:val="auto"/>
                <w:sz w:val="24"/>
                <w:highlight w:val="none"/>
              </w:rPr>
            </w:pPr>
            <w:r>
              <w:rPr>
                <w:rFonts w:hint="eastAsia" w:ascii="Times New Roman" w:hAnsi="Times New Roman" w:cs="Times New Roman"/>
                <w:color w:val="auto"/>
                <w:spacing w:val="5"/>
                <w:highlight w:val="none"/>
                <w:shd w:val="clear" w:color="auto" w:fill="FFFFFF"/>
                <w:lang w:val="en-US" w:eastAsia="zh-CN"/>
              </w:rPr>
              <w:t>平昌县第二人民医院</w:t>
            </w:r>
            <w:r>
              <w:rPr>
                <w:rFonts w:hint="default" w:ascii="Times New Roman" w:hAnsi="Times New Roman" w:cs="Times New Roman"/>
                <w:color w:val="auto"/>
                <w:highlight w:val="none"/>
              </w:rPr>
              <w:t>目前登记在册的辐射工作人员共有</w:t>
            </w:r>
            <w:r>
              <w:rPr>
                <w:rFonts w:hint="eastAsia" w:ascii="Times New Roman" w:hAnsi="Times New Roman" w:cs="Times New Roman"/>
                <w:color w:val="auto"/>
                <w:highlight w:val="none"/>
                <w:lang w:val="en-US" w:eastAsia="zh-CN"/>
              </w:rPr>
              <w:t>26</w:t>
            </w:r>
            <w:r>
              <w:rPr>
                <w:rFonts w:hint="default" w:ascii="Times New Roman" w:hAnsi="Times New Roman" w:cs="Times New Roman"/>
                <w:color w:val="auto"/>
                <w:highlight w:val="none"/>
              </w:rPr>
              <w:t>名。根据最新的4个季度监测报告可知，每个季度个人剂量监测最大为0.</w:t>
            </w:r>
            <w:r>
              <w:rPr>
                <w:rFonts w:hint="eastAsia" w:ascii="Times New Roman" w:hAnsi="Times New Roman" w:cs="Times New Roman"/>
                <w:color w:val="auto"/>
                <w:highlight w:val="none"/>
                <w:lang w:val="en-US" w:eastAsia="zh-CN"/>
              </w:rPr>
              <w:t>2</w:t>
            </w:r>
            <w:r>
              <w:rPr>
                <w:rFonts w:hint="default" w:ascii="Times New Roman" w:hAnsi="Times New Roman" w:cs="Times New Roman"/>
                <w:color w:val="auto"/>
                <w:highlight w:val="none"/>
              </w:rPr>
              <w:t>mSv，全年合计个人剂量监测结果最大为</w:t>
            </w:r>
            <w:r>
              <w:rPr>
                <w:rFonts w:hint="eastAsia" w:ascii="Times New Roman" w:hAnsi="Times New Roman" w:cs="Times New Roman"/>
                <w:color w:val="auto"/>
                <w:highlight w:val="none"/>
                <w:lang w:val="en-US" w:eastAsia="zh-CN"/>
              </w:rPr>
              <w:t>0.38</w:t>
            </w:r>
            <w:r>
              <w:rPr>
                <w:rFonts w:hint="default" w:ascii="Times New Roman" w:hAnsi="Times New Roman" w:cs="Times New Roman"/>
                <w:color w:val="auto"/>
                <w:highlight w:val="none"/>
              </w:rPr>
              <w:t>mSv，所有辐射工作人员单季度的个人剂量监测结果</w:t>
            </w:r>
            <w:r>
              <w:rPr>
                <w:rFonts w:hint="default" w:ascii="Times New Roman" w:hAnsi="Times New Roman" w:cs="Times New Roman"/>
                <w:color w:val="auto"/>
                <w:highlight w:val="none"/>
                <w:lang w:val="en-US" w:eastAsia="zh-CN"/>
              </w:rPr>
              <w:t>无</w:t>
            </w:r>
            <w:r>
              <w:rPr>
                <w:rFonts w:hint="default" w:ascii="Times New Roman" w:hAnsi="Times New Roman" w:cs="Times New Roman"/>
                <w:color w:val="auto"/>
                <w:highlight w:val="none"/>
              </w:rPr>
              <w:t>超过《</w:t>
            </w:r>
            <w:r>
              <w:rPr>
                <w:rFonts w:hint="default" w:ascii="Times New Roman" w:hAnsi="Times New Roman" w:cs="Times New Roman"/>
                <w:color w:val="auto"/>
                <w:szCs w:val="21"/>
                <w:highlight w:val="none"/>
              </w:rPr>
              <w:t>电离辐射防护与辐射源安全基本标准》（GB 18871-2002）中剂量限值</w:t>
            </w:r>
            <w:r>
              <w:rPr>
                <w:rFonts w:hint="default" w:ascii="Times New Roman" w:hAnsi="Times New Roman" w:cs="Times New Roman"/>
                <w:color w:val="auto"/>
                <w:highlight w:val="none"/>
              </w:rPr>
              <w:t>情况。根据2020年3月生态环境部发布的《关于进一步优化辐射安全考核的公告》（生态环境部2021年第9号公告），针对该</w:t>
            </w:r>
            <w:r>
              <w:rPr>
                <w:rFonts w:hint="eastAsia" w:ascii="Times New Roman" w:hAnsi="Times New Roman" w:cs="Times New Roman"/>
                <w:color w:val="auto"/>
                <w:highlight w:val="none"/>
                <w:lang w:val="en-US" w:eastAsia="zh-CN"/>
              </w:rPr>
              <w:t>26</w:t>
            </w:r>
            <w:r>
              <w:rPr>
                <w:rFonts w:hint="default" w:ascii="Times New Roman" w:hAnsi="Times New Roman" w:cs="Times New Roman"/>
                <w:color w:val="auto"/>
                <w:highlight w:val="none"/>
              </w:rPr>
              <w:t>名辐射工作人员，医院已组织人员集中学习相关课件与视频课程，并从国家核技术利用辐射安全与防护培训平台题库中抽取对应科目考题编写试卷，组织未持证人员进行闭卷考核，考核合格后方能允许上岗工作，医院已对操作Ⅲ类射线装置的辐射工作人员的考核结果存档。</w:t>
            </w:r>
            <w:r>
              <w:rPr>
                <w:rFonts w:hint="eastAsia" w:ascii="Times New Roman" w:hAnsi="Times New Roman" w:cs="Times New Roman"/>
                <w:color w:val="auto"/>
                <w:highlight w:val="none"/>
                <w:lang w:val="en-US" w:eastAsia="zh-CN"/>
              </w:rPr>
              <w:t>个人剂量监测结果和人员培训证明见附件5。</w:t>
            </w:r>
          </w:p>
          <w:p w14:paraId="71AB9ECA">
            <w:pPr>
              <w:pStyle w:val="7"/>
              <w:adjustRightInd w:val="0"/>
              <w:snapToGrid w:val="0"/>
              <w:spacing w:line="360" w:lineRule="auto"/>
              <w:ind w:firstLine="500" w:firstLineChars="200"/>
              <w:jc w:val="both"/>
              <w:rPr>
                <w:rFonts w:hint="default" w:ascii="Times New Roman" w:hAnsi="Times New Roman" w:cs="Times New Roman"/>
                <w:color w:val="auto"/>
                <w:highlight w:val="none"/>
              </w:rPr>
            </w:pPr>
            <w:r>
              <w:rPr>
                <w:rFonts w:hint="eastAsia" w:ascii="Times New Roman" w:hAnsi="Times New Roman" w:cs="Times New Roman"/>
                <w:color w:val="auto"/>
                <w:spacing w:val="5"/>
                <w:sz w:val="24"/>
                <w:szCs w:val="24"/>
                <w:highlight w:val="none"/>
                <w:shd w:val="clear" w:color="auto" w:fill="FFFFFF"/>
                <w:lang w:val="en-US" w:eastAsia="zh-CN"/>
              </w:rPr>
              <w:t>平昌县第二人民医院</w:t>
            </w:r>
            <w:r>
              <w:rPr>
                <w:rFonts w:hint="default" w:ascii="Times New Roman" w:hAnsi="Times New Roman" w:cs="Times New Roman"/>
                <w:color w:val="auto"/>
                <w:spacing w:val="5"/>
                <w:sz w:val="24"/>
                <w:szCs w:val="24"/>
                <w:highlight w:val="none"/>
                <w:shd w:val="clear" w:color="auto" w:fill="FFFFFF"/>
              </w:rPr>
              <w:t>已许可</w:t>
            </w:r>
            <w:r>
              <w:rPr>
                <w:rFonts w:hint="eastAsia" w:ascii="Times New Roman" w:hAnsi="Times New Roman" w:cs="Times New Roman"/>
                <w:color w:val="auto"/>
                <w:spacing w:val="5"/>
                <w:sz w:val="24"/>
                <w:szCs w:val="24"/>
                <w:highlight w:val="none"/>
                <w:shd w:val="clear" w:color="auto" w:fill="FFFFFF"/>
                <w:lang w:val="en-US" w:eastAsia="zh-CN"/>
              </w:rPr>
              <w:t>7</w:t>
            </w:r>
            <w:r>
              <w:rPr>
                <w:rFonts w:hint="default" w:ascii="Times New Roman" w:hAnsi="Times New Roman" w:cs="Times New Roman"/>
                <w:color w:val="auto"/>
                <w:spacing w:val="5"/>
                <w:sz w:val="24"/>
                <w:szCs w:val="24"/>
                <w:highlight w:val="none"/>
                <w:shd w:val="clear" w:color="auto" w:fill="FFFFFF"/>
              </w:rPr>
              <w:t>台</w:t>
            </w:r>
            <w:r>
              <w:rPr>
                <w:rFonts w:hint="default" w:ascii="Times New Roman" w:hAnsi="Times New Roman" w:cs="Times New Roman"/>
                <w:color w:val="auto"/>
                <w:sz w:val="24"/>
                <w:szCs w:val="24"/>
                <w:highlight w:val="none"/>
              </w:rPr>
              <w:t>Ⅲ类射线装置，根据调查：</w:t>
            </w:r>
            <w:r>
              <w:rPr>
                <w:rFonts w:hint="eastAsia" w:ascii="Times New Roman" w:hAnsi="Times New Roman" w:cs="Times New Roman"/>
                <w:color w:val="auto"/>
                <w:sz w:val="24"/>
                <w:szCs w:val="24"/>
                <w:highlight w:val="none"/>
                <w:lang w:val="en-US" w:eastAsia="zh-CN"/>
              </w:rPr>
              <w:t>平昌县第二人民医院</w:t>
            </w:r>
            <w:r>
              <w:rPr>
                <w:rFonts w:hint="default" w:ascii="Times New Roman" w:hAnsi="Times New Roman" w:cs="Times New Roman"/>
                <w:color w:val="auto"/>
                <w:sz w:val="24"/>
                <w:szCs w:val="24"/>
                <w:highlight w:val="none"/>
              </w:rPr>
              <w:t>已委托</w:t>
            </w:r>
            <w:r>
              <w:rPr>
                <w:rFonts w:hint="eastAsia" w:ascii="Times New Roman" w:hAnsi="Times New Roman" w:cs="Times New Roman"/>
                <w:color w:val="auto"/>
                <w:sz w:val="24"/>
                <w:szCs w:val="24"/>
                <w:highlight w:val="none"/>
                <w:lang w:val="en-US" w:eastAsia="zh-CN"/>
              </w:rPr>
              <w:t>四川世阳卫生技术服务有限公司</w:t>
            </w:r>
            <w:r>
              <w:rPr>
                <w:rFonts w:hint="default" w:ascii="Times New Roman" w:hAnsi="Times New Roman" w:cs="Times New Roman"/>
                <w:color w:val="auto"/>
                <w:sz w:val="24"/>
                <w:szCs w:val="24"/>
                <w:highlight w:val="none"/>
              </w:rPr>
              <w:t>开展了辐射工作场所环境现状监测和质量控制检测，根据监测报告可知，</w:t>
            </w:r>
            <w:r>
              <w:rPr>
                <w:rFonts w:hint="eastAsia" w:ascii="Times New Roman" w:hAnsi="Times New Roman" w:cs="Times New Roman"/>
                <w:color w:val="auto"/>
                <w:sz w:val="24"/>
                <w:szCs w:val="24"/>
                <w:highlight w:val="none"/>
                <w:lang w:val="en-US" w:eastAsia="zh-CN"/>
              </w:rPr>
              <w:t>医院原有辐射场所环境监测</w:t>
            </w:r>
            <w:r>
              <w:rPr>
                <w:rFonts w:hint="default" w:ascii="Times New Roman" w:hAnsi="Times New Roman" w:eastAsia="宋体" w:cs="Times New Roman"/>
                <w:color w:val="auto"/>
                <w:kern w:val="0"/>
                <w:sz w:val="24"/>
                <w:szCs w:val="24"/>
                <w:highlight w:val="none"/>
                <w:lang w:val="en-US" w:eastAsia="zh-CN" w:bidi="ar"/>
              </w:rPr>
              <w:t>满足《放射诊断放射防护要求》GBZ130-2020)中的要求。</w:t>
            </w:r>
            <w:r>
              <w:rPr>
                <w:rFonts w:hint="eastAsia" w:ascii="Times New Roman" w:hAnsi="Times New Roman" w:cs="Times New Roman"/>
                <w:color w:val="auto"/>
                <w:kern w:val="0"/>
                <w:sz w:val="24"/>
                <w:szCs w:val="24"/>
                <w:highlight w:val="none"/>
                <w:lang w:val="en-US" w:eastAsia="zh-CN" w:bidi="ar"/>
              </w:rPr>
              <w:t>监测报告见附件6。</w:t>
            </w:r>
          </w:p>
          <w:p w14:paraId="5BAF7A53">
            <w:pPr>
              <w:pStyle w:val="32"/>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建设单位已按照《职业性外照射个人监测规范》（GBZ128-2019）和《放射性同位素与射线装置安全和防护管理办法》（原环境保护部令18号）要求建立个人剂量档案。由专人负责个人剂量检测管理工作。</w:t>
            </w:r>
          </w:p>
          <w:p w14:paraId="1DE99128">
            <w:pPr>
              <w:pStyle w:val="51"/>
              <w:adjustRightInd w:val="0"/>
              <w:snapToGrid w:val="0"/>
              <w:spacing w:line="360" w:lineRule="auto"/>
              <w:ind w:firstLine="480" w:firstLineChars="200"/>
              <w:jc w:val="both"/>
              <w:rPr>
                <w:rFonts w:hint="default" w:ascii="Times New Roman" w:hAnsi="Times New Roman" w:cs="Times New Roman"/>
                <w:bCs/>
                <w:color w:val="auto"/>
                <w:kern w:val="0"/>
                <w:sz w:val="24"/>
                <w:highlight w:val="none"/>
              </w:rPr>
            </w:pPr>
            <w:r>
              <w:rPr>
                <w:rFonts w:hint="default" w:ascii="Times New Roman" w:hAnsi="Times New Roman" w:cs="Times New Roman"/>
                <w:b/>
                <w:bCs w:val="0"/>
                <w:color w:val="auto"/>
                <w:kern w:val="0"/>
                <w:sz w:val="24"/>
                <w:highlight w:val="none"/>
              </w:rPr>
              <w:t>综上所述，医院原有工艺不存在不足和需改进情况</w:t>
            </w:r>
            <w:r>
              <w:rPr>
                <w:rFonts w:hint="default" w:ascii="Times New Roman" w:hAnsi="Times New Roman" w:cs="Times New Roman"/>
                <w:b/>
                <w:bCs w:val="0"/>
                <w:color w:val="auto"/>
                <w:kern w:val="0"/>
                <w:sz w:val="24"/>
                <w:highlight w:val="none"/>
                <w:lang w:eastAsia="zh-CN"/>
              </w:rPr>
              <w:t>。</w:t>
            </w:r>
          </w:p>
        </w:tc>
      </w:tr>
      <w:tr w14:paraId="64AF2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5000" w:type="pct"/>
            <w:tcBorders>
              <w:bottom w:val="single" w:color="auto" w:sz="6" w:space="0"/>
            </w:tcBorders>
          </w:tcPr>
          <w:p w14:paraId="5FE4209F">
            <w:pPr>
              <w:adjustRightInd w:val="0"/>
              <w:snapToGrid w:val="0"/>
              <w:spacing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污染源项描述</w:t>
            </w:r>
          </w:p>
          <w:p w14:paraId="57A42C58">
            <w:pPr>
              <w:adjustRightInd w:val="0"/>
              <w:snapToGrid w:val="0"/>
              <w:spacing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一、施工期污染源分析</w:t>
            </w:r>
          </w:p>
          <w:p w14:paraId="05867065">
            <w:pPr>
              <w:adjustRightInd w:val="0"/>
              <w:snapToGrid w:val="0"/>
              <w:spacing w:line="360" w:lineRule="auto"/>
              <w:ind w:firstLine="480"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（一）废水</w:t>
            </w:r>
          </w:p>
          <w:p w14:paraId="4063B884">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施工期废水主要为建筑施工产生的生产废水及施工人员生活污水。</w:t>
            </w:r>
          </w:p>
          <w:p w14:paraId="45E360D0">
            <w:pPr>
              <w:adjustRightInd w:val="0"/>
              <w:snapToGrid w:val="0"/>
              <w:spacing w:line="360" w:lineRule="auto"/>
              <w:ind w:firstLine="480"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（二）废气</w:t>
            </w:r>
          </w:p>
          <w:p w14:paraId="02B4A23A">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施工期的废气主要产生在装修过程中，在装修时喷涂等工序产生的废气和装修材料中释放的废气。</w:t>
            </w:r>
          </w:p>
          <w:p w14:paraId="0BCF5FF9">
            <w:pPr>
              <w:adjustRightInd w:val="0"/>
              <w:snapToGrid w:val="0"/>
              <w:spacing w:line="360" w:lineRule="auto"/>
              <w:ind w:firstLine="480"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（三）噪声</w:t>
            </w:r>
          </w:p>
          <w:p w14:paraId="64F05682">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施工期的噪声主要来源于施工现场的各类机械设备噪声。</w:t>
            </w:r>
          </w:p>
          <w:p w14:paraId="561AB156">
            <w:pPr>
              <w:adjustRightInd w:val="0"/>
              <w:snapToGrid w:val="0"/>
              <w:spacing w:line="360" w:lineRule="auto"/>
              <w:ind w:firstLine="480"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（四）固体废物</w:t>
            </w:r>
          </w:p>
          <w:p w14:paraId="0DDB9C77">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施工期产生的固体废弃物主要为施工人员的生活垃圾及废弃的各种建筑装饰材料等建筑垃圾。</w:t>
            </w:r>
          </w:p>
          <w:p w14:paraId="0048894A">
            <w:pPr>
              <w:adjustRightInd w:val="0"/>
              <w:snapToGrid w:val="0"/>
              <w:spacing w:line="360" w:lineRule="auto"/>
              <w:ind w:firstLine="480"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（五）扬尘</w:t>
            </w:r>
          </w:p>
          <w:p w14:paraId="6B179FB2">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施工产生的扬尘主要来自土建运输车辆装卸材料和行驶时产生的扬尘；建筑材料的现场搬运及堆放扬尘；施工垃圾的清理及堆放扬尘；人来车往造成的现场道路扬尘。</w:t>
            </w:r>
          </w:p>
          <w:p w14:paraId="59B42250">
            <w:pPr>
              <w:adjustRightInd w:val="0"/>
              <w:snapToGrid w:val="0"/>
              <w:spacing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二、运营期污染源分析</w:t>
            </w:r>
          </w:p>
          <w:p w14:paraId="1463F04B">
            <w:pPr>
              <w:pStyle w:val="64"/>
              <w:adjustRightInd w:val="0"/>
              <w:snapToGrid w:val="0"/>
              <w:spacing w:line="360" w:lineRule="auto"/>
              <w:ind w:firstLine="482"/>
              <w:rPr>
                <w:rFonts w:hint="default" w:ascii="Times New Roman" w:hAnsi="Times New Roman" w:eastAsia="宋体" w:cs="Times New Roman"/>
                <w:b/>
                <w:bCs/>
                <w:color w:val="auto"/>
                <w:sz w:val="24"/>
                <w:highlight w:val="none"/>
                <w:lang w:val="en-US" w:eastAsia="zh-CN"/>
              </w:rPr>
            </w:pPr>
            <w:r>
              <w:rPr>
                <w:rFonts w:hint="default" w:ascii="Times New Roman" w:hAnsi="Times New Roman" w:cs="Times New Roman"/>
                <w:b/>
                <w:bCs/>
                <w:color w:val="auto"/>
                <w:sz w:val="24"/>
                <w:highlight w:val="none"/>
              </w:rPr>
              <w:t>（一）</w:t>
            </w:r>
            <w:r>
              <w:rPr>
                <w:rFonts w:hint="eastAsia" w:ascii="Times New Roman" w:hAnsi="Times New Roman" w:cs="Times New Roman"/>
                <w:b/>
                <w:bCs/>
                <w:color w:val="auto"/>
                <w:sz w:val="24"/>
                <w:highlight w:val="none"/>
                <w:lang w:val="en-US" w:eastAsia="zh-CN"/>
              </w:rPr>
              <w:t>辐射污染源分析</w:t>
            </w:r>
          </w:p>
          <w:p w14:paraId="0858EFD2">
            <w:pPr>
              <w:adjustRightInd w:val="0"/>
              <w:snapToGrid w:val="0"/>
              <w:spacing w:line="360" w:lineRule="auto"/>
              <w:ind w:firstLine="480" w:firstLineChars="200"/>
              <w:rPr>
                <w:rFonts w:hint="default" w:ascii="Times New Roman" w:hAnsi="Times New Roman" w:cs="Times New Roman"/>
                <w:b w:val="0"/>
                <w:bCs w:val="0"/>
                <w:color w:val="auto"/>
                <w:sz w:val="24"/>
                <w:highlight w:val="none"/>
              </w:rPr>
            </w:pPr>
            <w:r>
              <w:rPr>
                <w:rFonts w:hint="default" w:ascii="Times New Roman" w:hAnsi="Times New Roman" w:cs="Times New Roman"/>
                <w:color w:val="auto"/>
                <w:sz w:val="24"/>
                <w:highlight w:val="none"/>
              </w:rPr>
              <w:t>由DSA工作原理可知，DSA只有在开机并处于出束状态时才会发出X射线。因此，DSA在开机期间，X射线是项目主要污染物。利用X射线束对病人进行诊断和手术的同时，射线装置产生的主射线、泄漏射线及散射射线也可能会穿透DSA机房的屏蔽墙、观察窗、防护门等对DSA机房外的职业人员产生辐射影响。一次血管造影检查需要时间很短，因此血管造影检查的辐射影响较小；而介入手术则需要长时间的透视和大量的摄片，对病人和医务人员有一定的附加辐射剂量。</w:t>
            </w:r>
          </w:p>
          <w:p w14:paraId="6CCB9396">
            <w:pPr>
              <w:pStyle w:val="32"/>
              <w:snapToGrid w:val="0"/>
              <w:spacing w:line="360" w:lineRule="auto"/>
              <w:ind w:firstLine="480" w:firstLineChars="200"/>
              <w:textAlignment w:val="auto"/>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介入放射学主要辐射危害因素可分为两个类别初级辐射和次级辐射。次级辐射为两项：散射辐射和泄漏辐射。初级辐射是从X射线管遮光器出射的，是在与受检者、床和影像接收器作用前的辐射，受检者及影像接收器对初级辐射有很大衰减。典型的入射到受检者体表剂量到mGy数量级，及到达影像接收器的剂量为μGy数量级。同时，根据IAEA官网在“Radiation protection of medical staff in interventional fluoroscopy”（介入荧光透视领域医护人员的辐射防护）环节的介绍，入射到病人的射线只有1%~5%会穿出人体。散射辐射取决于受检者受照范围、初级辐射能量和受照角度。电子作用于靶向各方向发射X射线，泄漏辐射是从含有铅屏蔽防护的管套透射出的射线。</w:t>
            </w:r>
          </w:p>
          <w:p w14:paraId="1B50366F">
            <w:pPr>
              <w:pStyle w:val="32"/>
              <w:snapToGrid w:val="0"/>
              <w:spacing w:line="360" w:lineRule="auto"/>
              <w:ind w:firstLine="480" w:firstLineChars="200"/>
              <w:textAlignment w:val="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有用线束源强：</w:t>
            </w:r>
          </w:p>
          <w:p w14:paraId="2E111CF5">
            <w:pPr>
              <w:pStyle w:val="32"/>
              <w:numPr>
                <w:ilvl w:val="0"/>
                <w:numId w:val="17"/>
              </w:numPr>
              <w:snapToGrid w:val="0"/>
              <w:ind w:left="425" w:leftChars="0" w:hanging="425"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本项目DSA评价工况一览表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1652"/>
              <w:gridCol w:w="889"/>
              <w:gridCol w:w="1753"/>
              <w:gridCol w:w="1279"/>
              <w:gridCol w:w="1920"/>
            </w:tblGrid>
            <w:tr w14:paraId="55E47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vAlign w:val="center"/>
                </w:tcPr>
                <w:p w14:paraId="0B2192DD">
                  <w:pPr>
                    <w:pStyle w:val="19"/>
                    <w:keepNext/>
                    <w:keepLines/>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评估工况</w:t>
                  </w:r>
                </w:p>
              </w:tc>
            </w:tr>
            <w:tr w14:paraId="75FD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3" w:type="pct"/>
                  <w:vMerge w:val="restart"/>
                  <w:vAlign w:val="center"/>
                </w:tcPr>
                <w:p w14:paraId="010AF294">
                  <w:pPr>
                    <w:pStyle w:val="19"/>
                    <w:keepNext/>
                    <w:keepLines/>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模式</w:t>
                  </w:r>
                </w:p>
              </w:tc>
              <w:tc>
                <w:tcPr>
                  <w:tcW w:w="996" w:type="pct"/>
                  <w:vAlign w:val="center"/>
                </w:tcPr>
                <w:p w14:paraId="71B4220B">
                  <w:pPr>
                    <w:pStyle w:val="19"/>
                    <w:keepNext/>
                    <w:keepLines/>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透视</w:t>
                  </w:r>
                </w:p>
              </w:tc>
              <w:tc>
                <w:tcPr>
                  <w:tcW w:w="536" w:type="pct"/>
                  <w:vMerge w:val="restart"/>
                  <w:vAlign w:val="center"/>
                </w:tcPr>
                <w:p w14:paraId="78821A01">
                  <w:pPr>
                    <w:pStyle w:val="19"/>
                    <w:widowControl/>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管电压</w:t>
                  </w:r>
                </w:p>
              </w:tc>
              <w:tc>
                <w:tcPr>
                  <w:tcW w:w="1057" w:type="pct"/>
                  <w:vAlign w:val="center"/>
                </w:tcPr>
                <w:p w14:paraId="7042FE97">
                  <w:pPr>
                    <w:pStyle w:val="19"/>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9</w:t>
                  </w:r>
                  <w:r>
                    <w:rPr>
                      <w:rFonts w:hint="default" w:ascii="Times New Roman" w:hAnsi="Times New Roman" w:cs="Times New Roman"/>
                      <w:color w:val="auto"/>
                      <w:sz w:val="21"/>
                      <w:szCs w:val="21"/>
                      <w:highlight w:val="none"/>
                    </w:rPr>
                    <w:t>0kV</w:t>
                  </w:r>
                </w:p>
              </w:tc>
              <w:tc>
                <w:tcPr>
                  <w:tcW w:w="771" w:type="pct"/>
                  <w:vMerge w:val="restart"/>
                  <w:vAlign w:val="center"/>
                </w:tcPr>
                <w:p w14:paraId="135AF94D">
                  <w:pPr>
                    <w:pStyle w:val="19"/>
                    <w:widowControl/>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管电流</w:t>
                  </w:r>
                </w:p>
              </w:tc>
              <w:tc>
                <w:tcPr>
                  <w:tcW w:w="1155" w:type="pct"/>
                  <w:vAlign w:val="center"/>
                </w:tcPr>
                <w:p w14:paraId="1B6A0AF1">
                  <w:pPr>
                    <w:pStyle w:val="19"/>
                    <w:widowControl/>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20</w:t>
                  </w:r>
                  <w:r>
                    <w:rPr>
                      <w:rFonts w:hint="default" w:ascii="Times New Roman" w:hAnsi="Times New Roman" w:cs="Times New Roman"/>
                      <w:color w:val="auto"/>
                      <w:sz w:val="21"/>
                      <w:szCs w:val="21"/>
                      <w:highlight w:val="none"/>
                    </w:rPr>
                    <w:t>mA</w:t>
                  </w:r>
                </w:p>
              </w:tc>
            </w:tr>
            <w:tr w14:paraId="6329C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83" w:type="pct"/>
                  <w:vMerge w:val="continue"/>
                  <w:vAlign w:val="center"/>
                </w:tcPr>
                <w:p w14:paraId="6C12E539">
                  <w:pPr>
                    <w:pStyle w:val="19"/>
                    <w:keepNext/>
                    <w:keepLines/>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tc>
              <w:tc>
                <w:tcPr>
                  <w:tcW w:w="996" w:type="pct"/>
                  <w:vAlign w:val="center"/>
                </w:tcPr>
                <w:p w14:paraId="4067A1D1">
                  <w:pPr>
                    <w:pStyle w:val="19"/>
                    <w:keepNext/>
                    <w:keepLines/>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拍片</w:t>
                  </w:r>
                </w:p>
              </w:tc>
              <w:tc>
                <w:tcPr>
                  <w:tcW w:w="536" w:type="pct"/>
                  <w:vMerge w:val="continue"/>
                  <w:vAlign w:val="center"/>
                </w:tcPr>
                <w:p w14:paraId="5836E90D">
                  <w:pPr>
                    <w:pStyle w:val="19"/>
                    <w:widowControl/>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tc>
              <w:tc>
                <w:tcPr>
                  <w:tcW w:w="1057" w:type="pct"/>
                  <w:vAlign w:val="center"/>
                </w:tcPr>
                <w:p w14:paraId="1905F447">
                  <w:pPr>
                    <w:pStyle w:val="19"/>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100kV</w:t>
                  </w:r>
                </w:p>
              </w:tc>
              <w:tc>
                <w:tcPr>
                  <w:tcW w:w="771" w:type="pct"/>
                  <w:vMerge w:val="continue"/>
                  <w:vAlign w:val="center"/>
                </w:tcPr>
                <w:p w14:paraId="78380B0F">
                  <w:pPr>
                    <w:pStyle w:val="19"/>
                    <w:widowControl/>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tc>
              <w:tc>
                <w:tcPr>
                  <w:tcW w:w="1155" w:type="pct"/>
                  <w:vAlign w:val="center"/>
                </w:tcPr>
                <w:p w14:paraId="074ECD5A">
                  <w:pPr>
                    <w:pStyle w:val="19"/>
                    <w:widowControl/>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500mA</w:t>
                  </w:r>
                </w:p>
              </w:tc>
            </w:tr>
          </w:tbl>
          <w:p w14:paraId="19DC31C4">
            <w:pPr>
              <w:pStyle w:val="32"/>
              <w:snapToGrid w:val="0"/>
              <w:spacing w:line="360" w:lineRule="auto"/>
              <w:ind w:firstLine="480" w:firstLineChars="200"/>
              <w:textAlignment w:val="auto"/>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本项目数字减影血管造影机</w:t>
            </w:r>
            <w:r>
              <w:rPr>
                <w:rFonts w:hint="default" w:ascii="Times New Roman" w:hAnsi="Times New Roman" w:eastAsia="宋体" w:cs="Times New Roman"/>
                <w:b w:val="0"/>
                <w:bCs w:val="0"/>
                <w:color w:val="auto"/>
                <w:highlight w:val="none"/>
                <w:lang w:val="en-US" w:eastAsia="zh-CN"/>
              </w:rPr>
              <w:t>（DSA）最大</w:t>
            </w:r>
            <w:r>
              <w:rPr>
                <w:rFonts w:hint="eastAsia" w:ascii="Times New Roman" w:hAnsi="Times New Roman" w:eastAsia="宋体" w:cs="Times New Roman"/>
                <w:b w:val="0"/>
                <w:bCs w:val="0"/>
                <w:color w:val="auto"/>
                <w:highlight w:val="none"/>
                <w:lang w:val="en-US" w:eastAsia="zh-CN"/>
              </w:rPr>
              <w:t>管电压125kV，最大管电流均为1000mA，选取常用工况区间的最大值作为本项目评价工况，即：透视电压90kV、电流20mA；拍片电压100kV、电流500mA。</w:t>
            </w:r>
            <w:r>
              <w:rPr>
                <w:rFonts w:hint="default" w:ascii="Times New Roman" w:hAnsi="Times New Roman" w:eastAsia="宋体" w:cs="Times New Roman"/>
                <w:b w:val="0"/>
                <w:bCs w:val="0"/>
                <w:color w:val="auto"/>
                <w:highlight w:val="none"/>
                <w:lang w:eastAsia="zh-CN"/>
              </w:rPr>
              <w:t>根据《放射诊断放射防护要求》（</w:t>
            </w:r>
            <w:r>
              <w:rPr>
                <w:rFonts w:hint="default" w:ascii="Times New Roman" w:hAnsi="Times New Roman" w:eastAsia="宋体" w:cs="Times New Roman"/>
                <w:b w:val="0"/>
                <w:bCs w:val="0"/>
                <w:color w:val="auto"/>
                <w:highlight w:val="none"/>
                <w:lang w:val="en-US" w:eastAsia="zh-CN"/>
              </w:rPr>
              <w:t>GBZ130-2020）“5.1一般要求c)除牙科摄影和乳腺摄影用X射线设备外，X射线有用线束中的所有物质形成的等效总滤过，应不小于2.5mmAl”</w:t>
            </w:r>
            <w:r>
              <w:rPr>
                <w:rFonts w:hint="eastAsia" w:ascii="Times New Roman" w:hAnsi="Times New Roman" w:cs="Times New Roman"/>
                <w:b w:val="0"/>
                <w:bCs w:val="0"/>
                <w:color w:val="auto"/>
                <w:highlight w:val="none"/>
                <w:lang w:val="en-US" w:eastAsia="zh-CN"/>
              </w:rPr>
              <w:t>。</w:t>
            </w:r>
            <w:r>
              <w:rPr>
                <w:rFonts w:hint="eastAsia" w:ascii="Times New Roman" w:hAnsi="Times New Roman" w:eastAsia="宋体" w:cs="Times New Roman"/>
                <w:b w:val="0"/>
                <w:bCs w:val="0"/>
                <w:color w:val="auto"/>
                <w:highlight w:val="none"/>
                <w:lang w:val="en-US" w:eastAsia="zh-CN"/>
              </w:rPr>
              <w:t>根据设备说明书，设备</w:t>
            </w:r>
            <w:r>
              <w:rPr>
                <w:rFonts w:hint="default" w:ascii="Times New Roman" w:hAnsi="Times New Roman" w:eastAsia="宋体" w:cs="Times New Roman"/>
                <w:b w:val="0"/>
                <w:bCs w:val="0"/>
                <w:color w:val="auto"/>
                <w:highlight w:val="none"/>
                <w:lang w:eastAsia="zh-CN"/>
              </w:rPr>
              <w:t>X射线</w:t>
            </w:r>
            <w:r>
              <w:rPr>
                <w:rFonts w:hint="eastAsia" w:ascii="Times New Roman" w:hAnsi="Times New Roman" w:eastAsia="宋体" w:cs="Times New Roman"/>
                <w:b w:val="0"/>
                <w:bCs w:val="0"/>
                <w:color w:val="auto"/>
                <w:highlight w:val="none"/>
                <w:lang w:val="en-US" w:eastAsia="zh-CN"/>
              </w:rPr>
              <w:t>球管组件最低固有滤过当量为2.5mmAl，附加过滤为0.1mmCu+1.0mmAl、0.4mmCu+1.0mmAl、0.9mmCu+1.0mmAl，</w:t>
            </w:r>
            <w:r>
              <w:rPr>
                <w:rFonts w:hint="eastAsia" w:ascii="Times New Roman" w:hAnsi="Times New Roman" w:cs="Times New Roman"/>
                <w:b w:val="0"/>
                <w:bCs w:val="0"/>
                <w:color w:val="auto"/>
                <w:highlight w:val="none"/>
                <w:lang w:val="en-US" w:eastAsia="zh-CN"/>
              </w:rPr>
              <w:t>附加过滤可选择档位进行调解，</w:t>
            </w:r>
            <w:r>
              <w:rPr>
                <w:rFonts w:hint="default" w:ascii="Times New Roman" w:hAnsi="Times New Roman" w:eastAsia="宋体" w:cs="Times New Roman"/>
                <w:b w:val="0"/>
                <w:bCs w:val="0"/>
                <w:color w:val="auto"/>
                <w:highlight w:val="none"/>
              </w:rPr>
              <w:t>为进行保守预计，本项目按照过滤材料为</w:t>
            </w:r>
            <w:r>
              <w:rPr>
                <w:rFonts w:hint="default" w:ascii="Times New Roman" w:hAnsi="Times New Roman" w:eastAsia="宋体" w:cs="Times New Roman"/>
                <w:b w:val="0"/>
                <w:bCs w:val="0"/>
                <w:color w:val="auto"/>
                <w:highlight w:val="none"/>
                <w:lang w:val="en-US" w:eastAsia="zh-CN"/>
              </w:rPr>
              <w:t>2.5</w:t>
            </w:r>
            <w:r>
              <w:rPr>
                <w:rFonts w:hint="default" w:ascii="Times New Roman" w:hAnsi="Times New Roman" w:eastAsia="宋体" w:cs="Times New Roman"/>
                <w:b w:val="0"/>
                <w:bCs w:val="0"/>
                <w:color w:val="auto"/>
                <w:highlight w:val="none"/>
              </w:rPr>
              <w:t>mm</w:t>
            </w:r>
            <w:r>
              <w:rPr>
                <w:rFonts w:hint="default" w:ascii="Times New Roman" w:hAnsi="Times New Roman" w:eastAsia="宋体" w:cs="Times New Roman"/>
                <w:b w:val="0"/>
                <w:bCs w:val="0"/>
                <w:color w:val="auto"/>
                <w:highlight w:val="none"/>
                <w:lang w:val="en-US" w:eastAsia="zh-CN"/>
              </w:rPr>
              <w:t>Al</w:t>
            </w:r>
            <w:r>
              <w:rPr>
                <w:rFonts w:hint="default" w:ascii="Times New Roman" w:hAnsi="Times New Roman" w:eastAsia="宋体" w:cs="Times New Roman"/>
                <w:b w:val="0"/>
                <w:bCs w:val="0"/>
                <w:color w:val="auto"/>
                <w:highlight w:val="none"/>
              </w:rPr>
              <w:t>进行计量估算</w:t>
            </w:r>
            <w:r>
              <w:rPr>
                <w:rFonts w:hint="eastAsia" w:ascii="Times New Roman" w:hAnsi="Times New Roman" w:eastAsia="宋体" w:cs="Times New Roman"/>
                <w:b w:val="0"/>
                <w:bCs w:val="0"/>
                <w:color w:val="auto"/>
                <w:highlight w:val="none"/>
                <w:lang w:val="en-US" w:eastAsia="zh-CN"/>
              </w:rPr>
              <w:t>。</w:t>
            </w:r>
          </w:p>
          <w:p w14:paraId="25295B5D">
            <w:pPr>
              <w:pStyle w:val="32"/>
              <w:snapToGrid w:val="0"/>
              <w:spacing w:line="360" w:lineRule="auto"/>
              <w:ind w:firstLine="480" w:firstLineChars="200"/>
              <w:textAlignment w:val="auto"/>
              <w:rPr>
                <w:rFonts w:hint="default" w:ascii="Times New Roman" w:hAnsi="Times New Roman"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由I</w:t>
            </w:r>
            <w:r>
              <w:rPr>
                <w:rFonts w:hint="default" w:ascii="Times New Roman" w:hAnsi="Times New Roman" w:eastAsia="宋体" w:cs="Times New Roman"/>
                <w:b w:val="0"/>
                <w:bCs w:val="0"/>
                <w:color w:val="auto"/>
                <w:highlight w:val="none"/>
                <w:lang w:val="en-US" w:eastAsia="zh-CN"/>
              </w:rPr>
              <w:t>CRP33号报告P32图2，</w:t>
            </w:r>
            <w:r>
              <w:rPr>
                <w:rFonts w:hint="eastAsia" w:ascii="Times New Roman" w:hAnsi="Times New Roman" w:eastAsia="宋体" w:cs="Times New Roman"/>
                <w:b w:val="0"/>
                <w:bCs w:val="0"/>
                <w:color w:val="auto"/>
                <w:highlight w:val="none"/>
                <w:lang w:val="en-US" w:eastAsia="zh-CN"/>
              </w:rPr>
              <w:t>得出透视</w:t>
            </w:r>
            <w:r>
              <w:rPr>
                <w:rFonts w:hint="eastAsia" w:ascii="Times New Roman" w:hAnsi="Times New Roman" w:cs="Times New Roman"/>
                <w:b w:val="0"/>
                <w:bCs w:val="0"/>
                <w:color w:val="auto"/>
                <w:highlight w:val="none"/>
                <w:lang w:val="en-US" w:eastAsia="zh-CN"/>
              </w:rPr>
              <w:t>工况下距靶1m处的发射率为6.5</w:t>
            </w:r>
            <w:r>
              <w:rPr>
                <w:rFonts w:hint="default" w:ascii="Times New Roman" w:hAnsi="Times New Roman" w:eastAsia="宋体" w:cs="Times New Roman"/>
                <w:b w:val="0"/>
                <w:bCs w:val="0"/>
                <w:color w:val="auto"/>
                <w:highlight w:val="none"/>
                <w:lang w:val="en-US" w:eastAsia="zh-CN"/>
              </w:rPr>
              <w:t>mGy/mA·min</w:t>
            </w:r>
            <w:r>
              <w:rPr>
                <w:rFonts w:hint="eastAsia" w:ascii="Times New Roman" w:hAnsi="Times New Roman" w:eastAsia="宋体" w:cs="Times New Roman"/>
                <w:b w:val="0"/>
                <w:bCs w:val="0"/>
                <w:color w:val="auto"/>
                <w:highlight w:val="none"/>
                <w:lang w:val="en-US" w:eastAsia="zh-CN"/>
              </w:rPr>
              <w:t>，</w:t>
            </w:r>
            <w:r>
              <w:rPr>
                <w:rFonts w:hint="eastAsia" w:ascii="Times New Roman" w:hAnsi="Times New Roman" w:cs="Times New Roman"/>
                <w:b w:val="0"/>
                <w:bCs w:val="0"/>
                <w:color w:val="auto"/>
                <w:highlight w:val="none"/>
                <w:lang w:val="en-US" w:eastAsia="zh-CN"/>
              </w:rPr>
              <w:t>拍片工况下距靶1m处的发射率为7.5</w:t>
            </w:r>
            <w:r>
              <w:rPr>
                <w:rFonts w:hint="default" w:ascii="Times New Roman" w:hAnsi="Times New Roman" w:eastAsia="宋体" w:cs="Times New Roman"/>
                <w:b w:val="0"/>
                <w:bCs w:val="0"/>
                <w:color w:val="auto"/>
                <w:highlight w:val="none"/>
                <w:lang w:val="en-US" w:eastAsia="zh-CN"/>
              </w:rPr>
              <w:t>mGy/mA·min</w:t>
            </w:r>
            <w:r>
              <w:rPr>
                <w:rFonts w:hint="eastAsia" w:ascii="Times New Roman" w:hAnsi="Times New Roman" w:cs="Times New Roman"/>
                <w:b w:val="0"/>
                <w:bCs w:val="0"/>
                <w:color w:val="auto"/>
                <w:highlight w:val="none"/>
                <w:lang w:val="en-US" w:eastAsia="zh-CN"/>
              </w:rPr>
              <w:t>。结合</w:t>
            </w:r>
            <w:r>
              <w:rPr>
                <w:rFonts w:hint="default" w:ascii="Times New Roman" w:hAnsi="Times New Roman" w:cs="Times New Roman"/>
                <w:color w:val="auto"/>
                <w:sz w:val="24"/>
                <w:szCs w:val="28"/>
                <w:highlight w:val="none"/>
                <w:lang w:val="en-US" w:eastAsia="zh-CN"/>
              </w:rPr>
              <w:t>结合评估工况</w:t>
            </w:r>
            <w:r>
              <w:rPr>
                <w:rFonts w:hint="eastAsia" w:ascii="Times New Roman" w:cs="Times New Roman"/>
                <w:color w:val="auto"/>
                <w:sz w:val="24"/>
                <w:szCs w:val="28"/>
                <w:highlight w:val="none"/>
                <w:lang w:val="en-US" w:eastAsia="zh-CN"/>
              </w:rPr>
              <w:t>中</w:t>
            </w:r>
            <w:r>
              <w:rPr>
                <w:rFonts w:hint="default" w:ascii="Times New Roman" w:hAnsi="Times New Roman" w:cs="Times New Roman"/>
                <w:color w:val="auto"/>
                <w:sz w:val="24"/>
                <w:szCs w:val="28"/>
                <w:highlight w:val="none"/>
                <w:lang w:val="en-US" w:eastAsia="zh-CN"/>
              </w:rPr>
              <w:t>的电流参数，从而可知数字减影血管造影机（DSA）透视时距离机头1m处空气比释动能率为</w:t>
            </w:r>
            <w:r>
              <w:rPr>
                <w:rFonts w:hint="eastAsia" w:ascii="Times New Roman" w:cs="Times New Roman"/>
                <w:color w:val="auto"/>
                <w:sz w:val="24"/>
                <w:szCs w:val="28"/>
                <w:highlight w:val="none"/>
                <w:lang w:val="en-US" w:eastAsia="zh-CN"/>
              </w:rPr>
              <w:t>7.80E+06</w:t>
            </w:r>
            <w:r>
              <w:rPr>
                <w:rFonts w:hint="default" w:ascii="Times New Roman" w:hAnsi="Times New Roman" w:cs="Times New Roman"/>
                <w:color w:val="auto"/>
                <w:sz w:val="24"/>
                <w:szCs w:val="28"/>
                <w:highlight w:val="none"/>
                <w:lang w:val="en-US" w:eastAsia="zh-CN"/>
              </w:rPr>
              <w:t>μGy/h，拍片时距离机头1m处空气比释动能率为</w:t>
            </w:r>
            <w:r>
              <w:rPr>
                <w:rFonts w:hint="eastAsia" w:ascii="Times New Roman" w:cs="Times New Roman"/>
                <w:color w:val="auto"/>
                <w:sz w:val="24"/>
                <w:szCs w:val="28"/>
                <w:highlight w:val="none"/>
                <w:lang w:val="en-US" w:eastAsia="zh-CN"/>
              </w:rPr>
              <w:t>2.25</w:t>
            </w:r>
            <w:r>
              <w:rPr>
                <w:rFonts w:hint="default" w:ascii="Times New Roman" w:hAnsi="Times New Roman" w:cs="Times New Roman"/>
                <w:color w:val="auto"/>
                <w:sz w:val="24"/>
                <w:szCs w:val="28"/>
                <w:highlight w:val="none"/>
                <w:lang w:val="en-US" w:eastAsia="zh-CN"/>
              </w:rPr>
              <w:t>E+08μGy/h</w:t>
            </w:r>
            <w:r>
              <w:rPr>
                <w:rFonts w:hint="eastAsia" w:ascii="Times New Roman" w:cs="Times New Roman"/>
                <w:color w:val="auto"/>
                <w:sz w:val="24"/>
                <w:szCs w:val="28"/>
                <w:highlight w:val="none"/>
                <w:lang w:val="en-US" w:eastAsia="zh-CN"/>
              </w:rPr>
              <w:t>。</w:t>
            </w:r>
          </w:p>
          <w:p w14:paraId="5DB4901D">
            <w:pPr>
              <w:pStyle w:val="32"/>
              <w:snapToGrid w:val="0"/>
              <w:spacing w:line="360" w:lineRule="auto"/>
              <w:ind w:firstLine="480" w:firstLineChars="200"/>
              <w:textAlignment w:val="auto"/>
              <w:rPr>
                <w:rFonts w:hint="default"/>
                <w:color w:val="auto"/>
                <w:highlight w:val="none"/>
              </w:rPr>
            </w:pPr>
            <w:r>
              <w:rPr>
                <w:rFonts w:hint="eastAsia" w:ascii="Times New Roman" w:hAnsi="Times New Roman" w:eastAsia="宋体" w:cs="Times New Roman"/>
                <w:b/>
                <w:bCs/>
                <w:color w:val="auto"/>
                <w:highlight w:val="none"/>
                <w:lang w:val="en-US" w:eastAsia="zh-CN"/>
              </w:rPr>
              <w:t>泄露射线源强：</w:t>
            </w:r>
          </w:p>
          <w:p w14:paraId="5053936D">
            <w:pPr>
              <w:pStyle w:val="32"/>
              <w:keepNext w:val="0"/>
              <w:keepLines w:val="0"/>
              <w:pageBreakBefore w:val="0"/>
              <w:widowControl w:val="0"/>
              <w:kinsoku/>
              <w:wordWrap/>
              <w:overflowPunct/>
              <w:topLinePunct w:val="0"/>
              <w:bidi w:val="0"/>
              <w:snapToGrid w:val="0"/>
              <w:spacing w:line="360" w:lineRule="auto"/>
              <w:ind w:firstLine="480"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根据《医用电气设备 第1-3部分：基本安全和基本性能的通用要求 并列标准：诊断X射线设备的辐射防护》（GB 9706.103-2020）中“X射线管组件和X射线源组件在加载状态下的泄漏辐射，当其在相当于基准加载条件下以标称X射线管电压运行时，距焦点1m处，1小时内在任一100cm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区域（主要线性尺寸不大于20cm）的空气比释动能不应超过1.0mGy。专用标准可对不同X射线设备的泄漏辐射规定不同的限值”。因此综合考虑，本项目射线装置在1m处泄漏射线的空气比释动能率保守取1.00E+03μGy/h。</w:t>
            </w:r>
          </w:p>
          <w:p w14:paraId="7C006811">
            <w:pPr>
              <w:pStyle w:val="32"/>
              <w:keepNext w:val="0"/>
              <w:keepLines w:val="0"/>
              <w:pageBreakBefore w:val="0"/>
              <w:widowControl w:val="0"/>
              <w:kinsoku/>
              <w:wordWrap/>
              <w:overflowPunct/>
              <w:topLinePunct w:val="0"/>
              <w:bidi w:val="0"/>
              <w:snapToGrid w:val="0"/>
              <w:spacing w:line="360" w:lineRule="auto"/>
              <w:ind w:firstLine="480" w:firstLineChars="20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综上本项目辐射源强如下：</w:t>
            </w:r>
          </w:p>
          <w:p w14:paraId="58AE7E97">
            <w:pPr>
              <w:pStyle w:val="32"/>
              <w:numPr>
                <w:ilvl w:val="0"/>
                <w:numId w:val="17"/>
              </w:numPr>
              <w:snapToGrid w:val="0"/>
              <w:ind w:left="425" w:leftChars="0" w:hanging="425" w:firstLineChars="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本项目DSA辐射源强</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3"/>
              <w:gridCol w:w="1962"/>
              <w:gridCol w:w="776"/>
              <w:gridCol w:w="760"/>
              <w:gridCol w:w="1484"/>
              <w:gridCol w:w="1616"/>
            </w:tblGrid>
            <w:tr w14:paraId="61C18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021" w:type="pct"/>
                  <w:vMerge w:val="restart"/>
                  <w:vAlign w:val="center"/>
                </w:tcPr>
                <w:p w14:paraId="1D92F246">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射线装置</w:t>
                  </w:r>
                </w:p>
              </w:tc>
              <w:tc>
                <w:tcPr>
                  <w:tcW w:w="3003" w:type="pct"/>
                  <w:gridSpan w:val="4"/>
                  <w:vAlign w:val="center"/>
                </w:tcPr>
                <w:p w14:paraId="09679CF8">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主射线、散射线</w:t>
                  </w:r>
                </w:p>
              </w:tc>
              <w:tc>
                <w:tcPr>
                  <w:tcW w:w="974" w:type="pct"/>
                  <w:vAlign w:val="center"/>
                </w:tcPr>
                <w:p w14:paraId="10AA6B4A">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泄漏射线</w:t>
                  </w:r>
                </w:p>
              </w:tc>
            </w:tr>
            <w:tr w14:paraId="7811B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021" w:type="pct"/>
                  <w:vMerge w:val="continue"/>
                  <w:vAlign w:val="center"/>
                </w:tcPr>
                <w:p w14:paraId="7C6BA0D5">
                  <w:pPr>
                    <w:pStyle w:val="32"/>
                    <w:snapToGrid w:val="0"/>
                    <w:jc w:val="center"/>
                    <w:rPr>
                      <w:rFonts w:hint="default" w:ascii="Times New Roman" w:hAnsi="Times New Roman" w:cs="Times New Roman"/>
                      <w:color w:val="auto"/>
                      <w:sz w:val="21"/>
                      <w:szCs w:val="21"/>
                      <w:highlight w:val="none"/>
                    </w:rPr>
                  </w:pPr>
                </w:p>
              </w:tc>
              <w:tc>
                <w:tcPr>
                  <w:tcW w:w="1183" w:type="pct"/>
                  <w:vAlign w:val="center"/>
                </w:tcPr>
                <w:p w14:paraId="45809F25">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距靶1m处的发射率（mGy/mA·min）</w:t>
                  </w:r>
                </w:p>
              </w:tc>
              <w:tc>
                <w:tcPr>
                  <w:tcW w:w="926" w:type="pct"/>
                  <w:gridSpan w:val="2"/>
                  <w:vAlign w:val="center"/>
                </w:tcPr>
                <w:p w14:paraId="0CEFA889">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评价电流（mA）</w:t>
                  </w:r>
                </w:p>
              </w:tc>
              <w:tc>
                <w:tcPr>
                  <w:tcW w:w="894" w:type="pct"/>
                  <w:vAlign w:val="center"/>
                </w:tcPr>
                <w:p w14:paraId="32BA6A72">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空气比释动能率(μGy/h)</w:t>
                  </w:r>
                </w:p>
              </w:tc>
              <w:tc>
                <w:tcPr>
                  <w:tcW w:w="974" w:type="pct"/>
                  <w:vAlign w:val="center"/>
                </w:tcPr>
                <w:p w14:paraId="0E0E8FE0">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空气比释动能率(μGy/h)</w:t>
                  </w:r>
                </w:p>
              </w:tc>
            </w:tr>
            <w:tr w14:paraId="04F23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1021" w:type="pct"/>
                  <w:vMerge w:val="restart"/>
                  <w:vAlign w:val="center"/>
                </w:tcPr>
                <w:p w14:paraId="4E566CFC">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数字减影血管造影机（DSA）</w:t>
                  </w:r>
                </w:p>
              </w:tc>
              <w:tc>
                <w:tcPr>
                  <w:tcW w:w="1963" w:type="dxa"/>
                  <w:vAlign w:val="center"/>
                </w:tcPr>
                <w:p w14:paraId="7DA1054D">
                  <w:pPr>
                    <w:widowControl/>
                    <w:jc w:val="center"/>
                    <w:textAlignment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6.5</w:t>
                  </w:r>
                </w:p>
              </w:tc>
              <w:tc>
                <w:tcPr>
                  <w:tcW w:w="468" w:type="pct"/>
                  <w:vAlign w:val="center"/>
                </w:tcPr>
                <w:p w14:paraId="0E0E83D5">
                  <w:pPr>
                    <w:pStyle w:val="19"/>
                    <w:keepNext/>
                    <w:keepLines/>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透视</w:t>
                  </w:r>
                </w:p>
              </w:tc>
              <w:tc>
                <w:tcPr>
                  <w:tcW w:w="457" w:type="pct"/>
                  <w:vAlign w:val="center"/>
                </w:tcPr>
                <w:p w14:paraId="46CED1ED">
                  <w:pPr>
                    <w:pStyle w:val="32"/>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20</w:t>
                  </w:r>
                </w:p>
              </w:tc>
              <w:tc>
                <w:tcPr>
                  <w:tcW w:w="1482" w:type="dxa"/>
                  <w:vAlign w:val="center"/>
                </w:tcPr>
                <w:p w14:paraId="7448379F">
                  <w:pPr>
                    <w:widowControl/>
                    <w:jc w:val="center"/>
                    <w:textAlignment w:val="center"/>
                    <w:rPr>
                      <w:rFonts w:hint="default" w:ascii="Times New Roman" w:hAnsi="Times New Roman" w:eastAsia="宋体" w:cs="Times New Roman"/>
                      <w:color w:val="auto"/>
                      <w:szCs w:val="21"/>
                      <w:highlight w:val="none"/>
                      <w:lang w:eastAsia="zh-CN"/>
                    </w:rPr>
                  </w:pPr>
                  <w:r>
                    <w:rPr>
                      <w:rFonts w:hint="eastAsia" w:ascii="Times New Roman" w:hAnsi="Times New Roman" w:cs="Times New Roman"/>
                      <w:i w:val="0"/>
                      <w:iCs w:val="0"/>
                      <w:color w:val="auto"/>
                      <w:kern w:val="0"/>
                      <w:sz w:val="21"/>
                      <w:szCs w:val="21"/>
                      <w:highlight w:val="none"/>
                      <w:u w:val="none"/>
                      <w:lang w:val="en-US" w:eastAsia="zh-CN" w:bidi="ar"/>
                    </w:rPr>
                    <w:t>7.80</w:t>
                  </w:r>
                  <w:r>
                    <w:rPr>
                      <w:rFonts w:hint="default" w:ascii="Times New Roman" w:hAnsi="Times New Roman" w:eastAsia="宋体" w:cs="Times New Roman"/>
                      <w:i w:val="0"/>
                      <w:iCs w:val="0"/>
                      <w:color w:val="auto"/>
                      <w:kern w:val="0"/>
                      <w:sz w:val="21"/>
                      <w:szCs w:val="21"/>
                      <w:highlight w:val="none"/>
                      <w:u w:val="none"/>
                      <w:lang w:val="en-US" w:eastAsia="zh-CN" w:bidi="ar"/>
                    </w:rPr>
                    <w:t>E+0</w:t>
                  </w:r>
                  <w:r>
                    <w:rPr>
                      <w:rFonts w:hint="eastAsia" w:ascii="Times New Roman" w:hAnsi="Times New Roman" w:cs="Times New Roman"/>
                      <w:i w:val="0"/>
                      <w:iCs w:val="0"/>
                      <w:color w:val="auto"/>
                      <w:kern w:val="0"/>
                      <w:sz w:val="21"/>
                      <w:szCs w:val="21"/>
                      <w:highlight w:val="none"/>
                      <w:u w:val="none"/>
                      <w:lang w:val="en-US" w:eastAsia="zh-CN" w:bidi="ar"/>
                    </w:rPr>
                    <w:t>6</w:t>
                  </w:r>
                </w:p>
              </w:tc>
              <w:tc>
                <w:tcPr>
                  <w:tcW w:w="974" w:type="pct"/>
                  <w:vMerge w:val="restart"/>
                  <w:vAlign w:val="center"/>
                </w:tcPr>
                <w:p w14:paraId="529AF15C">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1000</w:t>
                  </w:r>
                </w:p>
              </w:tc>
            </w:tr>
            <w:tr w14:paraId="5BDA3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21" w:type="pct"/>
                  <w:vMerge w:val="continue"/>
                  <w:vAlign w:val="center"/>
                </w:tcPr>
                <w:p w14:paraId="6F025C5A">
                  <w:pPr>
                    <w:pStyle w:val="32"/>
                    <w:snapToGrid w:val="0"/>
                    <w:jc w:val="center"/>
                    <w:rPr>
                      <w:rFonts w:hint="default" w:ascii="Times New Roman" w:hAnsi="Times New Roman" w:cs="Times New Roman"/>
                      <w:color w:val="auto"/>
                      <w:sz w:val="21"/>
                      <w:szCs w:val="21"/>
                      <w:highlight w:val="none"/>
                    </w:rPr>
                  </w:pPr>
                </w:p>
              </w:tc>
              <w:tc>
                <w:tcPr>
                  <w:tcW w:w="1963" w:type="dxa"/>
                  <w:vAlign w:val="center"/>
                </w:tcPr>
                <w:p w14:paraId="10C2F846">
                  <w:pPr>
                    <w:widowControl/>
                    <w:jc w:val="center"/>
                    <w:textAlignment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7.5</w:t>
                  </w:r>
                </w:p>
              </w:tc>
              <w:tc>
                <w:tcPr>
                  <w:tcW w:w="468" w:type="pct"/>
                  <w:vAlign w:val="center"/>
                </w:tcPr>
                <w:p w14:paraId="5E24EA6D">
                  <w:pPr>
                    <w:pStyle w:val="19"/>
                    <w:keepNext/>
                    <w:keepLines/>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拍片</w:t>
                  </w:r>
                </w:p>
              </w:tc>
              <w:tc>
                <w:tcPr>
                  <w:tcW w:w="457" w:type="pct"/>
                  <w:vAlign w:val="center"/>
                </w:tcPr>
                <w:p w14:paraId="289ECA09">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500</w:t>
                  </w:r>
                </w:p>
              </w:tc>
              <w:tc>
                <w:tcPr>
                  <w:tcW w:w="1482" w:type="dxa"/>
                  <w:vAlign w:val="center"/>
                </w:tcPr>
                <w:p w14:paraId="01407B4C">
                  <w:pPr>
                    <w:widowControl/>
                    <w:jc w:val="center"/>
                    <w:textAlignment w:val="center"/>
                    <w:rPr>
                      <w:rFonts w:hint="default" w:ascii="Times New Roman" w:hAnsi="Times New Roman" w:eastAsia="宋体" w:cs="Times New Roman"/>
                      <w:color w:val="auto"/>
                      <w:szCs w:val="21"/>
                      <w:highlight w:val="none"/>
                      <w:lang w:eastAsia="zh-CN"/>
                    </w:rPr>
                  </w:pPr>
                  <w:r>
                    <w:rPr>
                      <w:rFonts w:hint="eastAsia" w:ascii="Times New Roman" w:hAnsi="Times New Roman" w:cs="Times New Roman"/>
                      <w:color w:val="auto"/>
                      <w:kern w:val="0"/>
                      <w:szCs w:val="21"/>
                      <w:highlight w:val="none"/>
                      <w:lang w:val="en-US" w:eastAsia="zh-CN" w:bidi="ar"/>
                    </w:rPr>
                    <w:t>2.25</w:t>
                  </w:r>
                  <w:r>
                    <w:rPr>
                      <w:rFonts w:hint="default" w:ascii="Times New Roman" w:hAnsi="Times New Roman" w:cs="Times New Roman"/>
                      <w:color w:val="auto"/>
                      <w:kern w:val="0"/>
                      <w:szCs w:val="21"/>
                      <w:highlight w:val="none"/>
                      <w:lang w:bidi="ar"/>
                    </w:rPr>
                    <w:t>E+0</w:t>
                  </w:r>
                  <w:r>
                    <w:rPr>
                      <w:rFonts w:hint="eastAsia" w:ascii="Times New Roman" w:hAnsi="Times New Roman" w:cs="Times New Roman"/>
                      <w:color w:val="auto"/>
                      <w:kern w:val="0"/>
                      <w:szCs w:val="21"/>
                      <w:highlight w:val="none"/>
                      <w:lang w:val="en-US" w:eastAsia="zh-CN" w:bidi="ar"/>
                    </w:rPr>
                    <w:t>8</w:t>
                  </w:r>
                </w:p>
              </w:tc>
              <w:tc>
                <w:tcPr>
                  <w:tcW w:w="974" w:type="pct"/>
                  <w:vMerge w:val="continue"/>
                  <w:vAlign w:val="center"/>
                </w:tcPr>
                <w:p w14:paraId="41D023D1">
                  <w:pPr>
                    <w:widowControl/>
                    <w:jc w:val="center"/>
                    <w:textAlignment w:val="center"/>
                    <w:rPr>
                      <w:rFonts w:hint="default" w:ascii="Times New Roman" w:hAnsi="Times New Roman" w:cs="Times New Roman"/>
                      <w:color w:val="auto"/>
                      <w:kern w:val="0"/>
                      <w:szCs w:val="21"/>
                      <w:highlight w:val="none"/>
                      <w:lang w:bidi="ar"/>
                    </w:rPr>
                  </w:pPr>
                </w:p>
              </w:tc>
            </w:tr>
          </w:tbl>
          <w:p w14:paraId="2AAC1A9D">
            <w:pPr>
              <w:pStyle w:val="64"/>
              <w:adjustRightInd w:val="0"/>
              <w:snapToGrid w:val="0"/>
              <w:spacing w:line="360" w:lineRule="auto"/>
              <w:ind w:firstLine="482"/>
              <w:rPr>
                <w:rFonts w:hint="default" w:ascii="Times New Roman" w:hAnsi="Times New Roman" w:eastAsia="宋体" w:cs="Times New Roman"/>
                <w:b/>
                <w:bCs/>
                <w:color w:val="auto"/>
                <w:sz w:val="24"/>
                <w:highlight w:val="none"/>
                <w:lang w:val="en-US" w:eastAsia="zh-CN"/>
              </w:rPr>
            </w:pPr>
            <w:r>
              <w:rPr>
                <w:rFonts w:hint="default" w:ascii="Times New Roman" w:hAnsi="Times New Roman" w:cs="Times New Roman"/>
                <w:b/>
                <w:bCs/>
                <w:color w:val="auto"/>
                <w:sz w:val="24"/>
                <w:highlight w:val="none"/>
              </w:rPr>
              <w:t>（二）</w:t>
            </w:r>
            <w:r>
              <w:rPr>
                <w:rFonts w:hint="eastAsia" w:ascii="Times New Roman" w:hAnsi="Times New Roman" w:cs="Times New Roman"/>
                <w:b/>
                <w:bCs/>
                <w:color w:val="auto"/>
                <w:sz w:val="24"/>
                <w:highlight w:val="none"/>
                <w:lang w:val="en-US" w:eastAsia="zh-CN"/>
              </w:rPr>
              <w:t>非辐射污染源分析</w:t>
            </w:r>
          </w:p>
          <w:p w14:paraId="3897790B">
            <w:pPr>
              <w:pStyle w:val="64"/>
              <w:adjustRightInd w:val="0"/>
              <w:snapToGrid w:val="0"/>
              <w:spacing w:line="360" w:lineRule="auto"/>
              <w:ind w:firstLine="482"/>
              <w:rPr>
                <w:rFonts w:hint="default" w:ascii="Times New Roman" w:hAnsi="Times New Roman" w:cs="Times New Roman"/>
                <w:b/>
                <w:bCs/>
                <w:color w:val="auto"/>
                <w:sz w:val="24"/>
                <w:highlight w:val="none"/>
              </w:rPr>
            </w:pPr>
            <w:r>
              <w:rPr>
                <w:rFonts w:hint="eastAsia" w:ascii="Times New Roman" w:hAnsi="Times New Roman" w:cs="Times New Roman"/>
                <w:b/>
                <w:bCs/>
                <w:color w:val="auto"/>
                <w:sz w:val="24"/>
                <w:highlight w:val="none"/>
                <w:lang w:val="en-US" w:eastAsia="zh-CN"/>
              </w:rPr>
              <w:t>1、</w:t>
            </w:r>
            <w:r>
              <w:rPr>
                <w:rFonts w:hint="default" w:ascii="Times New Roman" w:hAnsi="Times New Roman" w:cs="Times New Roman"/>
                <w:b/>
                <w:bCs/>
                <w:color w:val="auto"/>
                <w:sz w:val="24"/>
                <w:highlight w:val="none"/>
              </w:rPr>
              <w:t>废水</w:t>
            </w:r>
          </w:p>
          <w:p w14:paraId="366F1B2D">
            <w:pPr>
              <w:pStyle w:val="64"/>
              <w:adjustRightInd w:val="0"/>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本项目不产生放射性废水，但运营期辐射工作人员及患者会产生少量生活污水及医疗废水。</w:t>
            </w:r>
          </w:p>
          <w:p w14:paraId="2C450E96">
            <w:pPr>
              <w:pStyle w:val="64"/>
              <w:adjustRightInd w:val="0"/>
              <w:snapToGrid w:val="0"/>
              <w:spacing w:line="360" w:lineRule="auto"/>
              <w:ind w:firstLine="482"/>
              <w:rPr>
                <w:rFonts w:hint="default" w:ascii="Times New Roman" w:hAnsi="Times New Roman" w:cs="Times New Roman"/>
                <w:b/>
                <w:bCs/>
                <w:color w:val="auto"/>
                <w:sz w:val="24"/>
                <w:highlight w:val="none"/>
              </w:rPr>
            </w:pPr>
            <w:r>
              <w:rPr>
                <w:rFonts w:hint="eastAsia" w:ascii="Times New Roman" w:hAnsi="Times New Roman" w:cs="Times New Roman"/>
                <w:b/>
                <w:bCs/>
                <w:color w:val="auto"/>
                <w:sz w:val="24"/>
                <w:highlight w:val="none"/>
                <w:lang w:val="en-US" w:eastAsia="zh-CN"/>
              </w:rPr>
              <w:t>2、</w:t>
            </w:r>
            <w:r>
              <w:rPr>
                <w:rFonts w:hint="default" w:ascii="Times New Roman" w:hAnsi="Times New Roman" w:cs="Times New Roman"/>
                <w:b/>
                <w:bCs/>
                <w:color w:val="auto"/>
                <w:sz w:val="24"/>
                <w:highlight w:val="none"/>
              </w:rPr>
              <w:t>废气</w:t>
            </w:r>
          </w:p>
          <w:p w14:paraId="27F83541">
            <w:pPr>
              <w:pStyle w:val="64"/>
              <w:adjustRightInd w:val="0"/>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本项目不产生放射性废气，但DSA设备开机出束过程中，DSA机房内的空气在电离辐射作用下产生臭氧及氮氧化物等有害气体。</w:t>
            </w:r>
          </w:p>
          <w:p w14:paraId="59166D2A">
            <w:pPr>
              <w:pStyle w:val="64"/>
              <w:adjustRightInd w:val="0"/>
              <w:snapToGrid w:val="0"/>
              <w:spacing w:line="360" w:lineRule="auto"/>
              <w:ind w:firstLine="482"/>
              <w:rPr>
                <w:rFonts w:hint="default" w:ascii="Times New Roman" w:hAnsi="Times New Roman" w:cs="Times New Roman"/>
                <w:b/>
                <w:bCs/>
                <w:color w:val="auto"/>
                <w:sz w:val="24"/>
                <w:highlight w:val="none"/>
              </w:rPr>
            </w:pPr>
            <w:r>
              <w:rPr>
                <w:rFonts w:hint="eastAsia" w:ascii="Times New Roman" w:hAnsi="Times New Roman" w:cs="Times New Roman"/>
                <w:b/>
                <w:bCs/>
                <w:color w:val="auto"/>
                <w:sz w:val="24"/>
                <w:highlight w:val="none"/>
                <w:lang w:val="en-US" w:eastAsia="zh-CN"/>
              </w:rPr>
              <w:t>3、</w:t>
            </w:r>
            <w:r>
              <w:rPr>
                <w:rFonts w:hint="default" w:ascii="Times New Roman" w:hAnsi="Times New Roman" w:cs="Times New Roman"/>
                <w:b/>
                <w:bCs/>
                <w:color w:val="auto"/>
                <w:sz w:val="24"/>
                <w:highlight w:val="none"/>
              </w:rPr>
              <w:t>废物</w:t>
            </w:r>
          </w:p>
          <w:p w14:paraId="44A0BE32">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本项目DSA不产生放射性固废，DSA采用数字成像，不打印胶片，因此不会有废胶片产生。但手术过程中将产生一定量的医疗废物，工作人员办公过程中将产生一定量的生活垃圾和办公垃圾。</w:t>
            </w:r>
          </w:p>
          <w:p w14:paraId="69D4AD81">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医疗废物：</w:t>
            </w:r>
            <w:r>
              <w:rPr>
                <w:rFonts w:hint="default" w:ascii="Times New Roman" w:hAnsi="Times New Roman" w:cs="Times New Roman"/>
                <w:color w:val="auto"/>
                <w:sz w:val="24"/>
                <w:highlight w:val="none"/>
              </w:rPr>
              <w:t>手术时产生一定量的医用器具和药棉、纱布、手套、废造影剂、废造影剂瓶等医用辅料及手术垃圾，按每台手术产生约2kg的医疗废物，每年固体废物产生量约为</w:t>
            </w:r>
            <w:r>
              <w:rPr>
                <w:rFonts w:hint="default" w:ascii="Times New Roman" w:hAnsi="Times New Roman" w:cs="Times New Roman"/>
                <w:color w:val="auto"/>
                <w:sz w:val="24"/>
                <w:highlight w:val="none"/>
                <w:lang w:val="en-US" w:eastAsia="zh-CN"/>
              </w:rPr>
              <w:t>0.7t</w:t>
            </w:r>
            <w:r>
              <w:rPr>
                <w:rFonts w:hint="default" w:ascii="Times New Roman" w:hAnsi="Times New Roman" w:cs="Times New Roman"/>
                <w:color w:val="auto"/>
                <w:sz w:val="24"/>
                <w:highlight w:val="none"/>
              </w:rPr>
              <w:t>/a（约</w:t>
            </w:r>
            <w:r>
              <w:rPr>
                <w:rFonts w:hint="default" w:ascii="Times New Roman" w:hAnsi="Times New Roman" w:cs="Times New Roman"/>
                <w:color w:val="auto"/>
                <w:sz w:val="24"/>
                <w:highlight w:val="none"/>
                <w:lang w:val="en-US" w:eastAsia="zh-CN"/>
              </w:rPr>
              <w:t>1.9</w:t>
            </w:r>
            <w:r>
              <w:rPr>
                <w:rFonts w:hint="default" w:ascii="Times New Roman" w:hAnsi="Times New Roman" w:cs="Times New Roman"/>
                <w:color w:val="auto"/>
                <w:sz w:val="24"/>
                <w:highlight w:val="none"/>
              </w:rPr>
              <w:t>kg/d）。</w:t>
            </w:r>
          </w:p>
          <w:p w14:paraId="787875D1">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生活垃圾：</w:t>
            </w:r>
            <w:r>
              <w:rPr>
                <w:rFonts w:hint="default" w:ascii="Times New Roman" w:hAnsi="Times New Roman" w:cs="Times New Roman"/>
                <w:color w:val="auto"/>
                <w:sz w:val="24"/>
                <w:highlight w:val="none"/>
              </w:rPr>
              <w:t>工作人员产生的生活垃圾和办公垃圾不属于医疗废物，按每名工作人员每天产生0.42kg计，年产量约为</w:t>
            </w:r>
            <w:r>
              <w:rPr>
                <w:rFonts w:hint="default" w:ascii="Times New Roman" w:hAnsi="Times New Roman" w:cs="Times New Roman"/>
                <w:color w:val="auto"/>
                <w:sz w:val="24"/>
                <w:highlight w:val="none"/>
                <w:lang w:val="en-US" w:eastAsia="zh-CN"/>
              </w:rPr>
              <w:t>1.07</w:t>
            </w:r>
            <w:r>
              <w:rPr>
                <w:rFonts w:hint="default" w:ascii="Times New Roman" w:hAnsi="Times New Roman" w:cs="Times New Roman"/>
                <w:color w:val="auto"/>
                <w:sz w:val="24"/>
                <w:highlight w:val="none"/>
              </w:rPr>
              <w:t>t/a（约</w:t>
            </w:r>
            <w:r>
              <w:rPr>
                <w:rFonts w:hint="default" w:ascii="Times New Roman" w:hAnsi="Times New Roman" w:cs="Times New Roman"/>
                <w:color w:val="auto"/>
                <w:sz w:val="24"/>
                <w:highlight w:val="none"/>
                <w:lang w:val="en-US" w:eastAsia="zh-CN"/>
              </w:rPr>
              <w:t>2.94</w:t>
            </w:r>
            <w:r>
              <w:rPr>
                <w:rFonts w:hint="default" w:ascii="Times New Roman" w:hAnsi="Times New Roman" w:cs="Times New Roman"/>
                <w:color w:val="auto"/>
                <w:sz w:val="24"/>
                <w:highlight w:val="none"/>
              </w:rPr>
              <w:t>kg/d）。</w:t>
            </w:r>
          </w:p>
          <w:p w14:paraId="798421D4">
            <w:pPr>
              <w:pStyle w:val="64"/>
              <w:adjustRightInd w:val="0"/>
              <w:snapToGrid w:val="0"/>
              <w:spacing w:line="360" w:lineRule="auto"/>
              <w:ind w:firstLine="482"/>
              <w:rPr>
                <w:rFonts w:hint="default" w:ascii="Times New Roman" w:hAnsi="Times New Roman" w:cs="Times New Roman"/>
                <w:b/>
                <w:bCs/>
                <w:color w:val="auto"/>
                <w:sz w:val="24"/>
                <w:highlight w:val="none"/>
              </w:rPr>
            </w:pPr>
            <w:r>
              <w:rPr>
                <w:rFonts w:hint="eastAsia" w:ascii="Times New Roman" w:hAnsi="Times New Roman" w:cs="Times New Roman"/>
                <w:b/>
                <w:bCs/>
                <w:color w:val="auto"/>
                <w:sz w:val="24"/>
                <w:highlight w:val="none"/>
                <w:lang w:val="en-US" w:eastAsia="zh-CN"/>
              </w:rPr>
              <w:t>4、</w:t>
            </w:r>
            <w:r>
              <w:rPr>
                <w:rFonts w:hint="default" w:ascii="Times New Roman" w:hAnsi="Times New Roman" w:cs="Times New Roman"/>
                <w:b/>
                <w:bCs/>
                <w:color w:val="auto"/>
                <w:sz w:val="24"/>
                <w:highlight w:val="none"/>
              </w:rPr>
              <w:t>噪声</w:t>
            </w:r>
          </w:p>
          <w:p w14:paraId="364DAAE7">
            <w:pPr>
              <w:pStyle w:val="64"/>
              <w:adjustRightInd w:val="0"/>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产噪设备主要为通排风系统、空调系统，建设单位拟采用低噪音风机，噪声源强不大于65dB（A）且均处于室内，通过建筑墙体隔声及距离衰减后，对周围环境噪声的贡献很小，对项目所在区域声环境影响很小。</w:t>
            </w:r>
          </w:p>
          <w:p w14:paraId="001A87AB">
            <w:pPr>
              <w:adjustRightInd w:val="0"/>
              <w:snapToGrid w:val="0"/>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5</w:t>
            </w:r>
            <w:r>
              <w:rPr>
                <w:rFonts w:hint="eastAsia" w:ascii="Times New Roman" w:hAnsi="Times New Roman" w:cs="Times New Roman"/>
                <w:b/>
                <w:bCs/>
                <w:color w:val="auto"/>
                <w:sz w:val="24"/>
                <w:highlight w:val="none"/>
                <w:lang w:val="en-US" w:eastAsia="zh-CN"/>
              </w:rPr>
              <w:t>、造影剂的存储、泄露风险：</w:t>
            </w:r>
          </w:p>
          <w:p w14:paraId="2CC41CA7">
            <w:pPr>
              <w:pStyle w:val="64"/>
              <w:adjustRightInd w:val="0"/>
              <w:snapToGrid w:val="0"/>
              <w:spacing w:line="360" w:lineRule="auto"/>
              <w:ind w:firstLine="482"/>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造影剂是</w:t>
            </w:r>
            <w:r>
              <w:rPr>
                <w:rFonts w:hint="eastAsia" w:ascii="Times New Roman" w:hAnsi="Times New Roman" w:eastAsia="宋体" w:cs="Times New Roman"/>
                <w:b w:val="0"/>
                <w:bCs w:val="0"/>
                <w:color w:val="auto"/>
                <w:sz w:val="24"/>
                <w:highlight w:val="none"/>
                <w:lang w:val="en-US" w:eastAsia="zh-CN"/>
              </w:rPr>
              <w:fldChar w:fldCharType="begin"/>
            </w:r>
            <w:r>
              <w:rPr>
                <w:rFonts w:hint="eastAsia" w:ascii="Times New Roman" w:hAnsi="Times New Roman" w:eastAsia="宋体" w:cs="Times New Roman"/>
                <w:b w:val="0"/>
                <w:bCs w:val="0"/>
                <w:color w:val="auto"/>
                <w:sz w:val="24"/>
                <w:highlight w:val="none"/>
                <w:lang w:val="en-US" w:eastAsia="zh-CN"/>
              </w:rPr>
              <w:instrText xml:space="preserve"> HYPERLINK "https://baike.baidu.com/item/%E4%BB%8B%E5%85%A5%E6%94%BE%E5%B0%84%E5%AD%A6" \t "https://baike.baidu.com/item/%E9%80%A0%E5%BD%B1%E5%89%82/_blank" </w:instrText>
            </w:r>
            <w:r>
              <w:rPr>
                <w:rFonts w:hint="eastAsia" w:ascii="Times New Roman" w:hAnsi="Times New Roman" w:eastAsia="宋体" w:cs="Times New Roman"/>
                <w:b w:val="0"/>
                <w:bCs w:val="0"/>
                <w:color w:val="auto"/>
                <w:sz w:val="24"/>
                <w:highlight w:val="none"/>
                <w:lang w:val="en-US" w:eastAsia="zh-CN"/>
              </w:rPr>
              <w:fldChar w:fldCharType="separate"/>
            </w:r>
            <w:r>
              <w:rPr>
                <w:rFonts w:hint="eastAsia" w:ascii="Times New Roman" w:hAnsi="Times New Roman" w:eastAsia="宋体" w:cs="Times New Roman"/>
                <w:b w:val="0"/>
                <w:bCs w:val="0"/>
                <w:color w:val="auto"/>
                <w:sz w:val="24"/>
                <w:highlight w:val="none"/>
                <w:lang w:val="en-US" w:eastAsia="zh-CN"/>
              </w:rPr>
              <w:t>介入治</w:t>
            </w:r>
            <w:r>
              <w:rPr>
                <w:rFonts w:hint="eastAsia" w:ascii="Times New Roman" w:hAnsi="Times New Roman" w:eastAsia="宋体" w:cs="Times New Roman"/>
                <w:b w:val="0"/>
                <w:bCs w:val="0"/>
                <w:color w:val="auto"/>
                <w:sz w:val="24"/>
                <w:highlight w:val="none"/>
                <w:lang w:val="en-US" w:eastAsia="zh-CN"/>
              </w:rPr>
              <w:fldChar w:fldCharType="end"/>
            </w:r>
            <w:r>
              <w:rPr>
                <w:rFonts w:hint="eastAsia" w:ascii="Times New Roman" w:hAnsi="Times New Roman" w:eastAsia="宋体" w:cs="Times New Roman"/>
                <w:b w:val="0"/>
                <w:bCs w:val="0"/>
                <w:color w:val="auto"/>
                <w:sz w:val="24"/>
                <w:highlight w:val="none"/>
                <w:lang w:val="en-US" w:eastAsia="zh-CN"/>
              </w:rPr>
              <w:t>疗手术操作中最常使用的药物之一，医院将外购造影剂采用不锈钢药品柜作为普通药品单独密封保存；未使用完和过期的造影剂均作为医疗废物处理；在进行介入手术时，使用带托盘的不锈钢推车进行运送。在使用造影剂前由药剂师进行剂量核算后护士取药，医生用高压注射器按照血液流速注入病人血管内，在X射线的照射下达到血管造影的目的，最后由泌尿系统排出体外。医院未使用完和过期的造影剂作为医疗废物进行处理。造影剂不属于重金属和其他持久性有机物，不存在泄漏风险。</w:t>
            </w:r>
          </w:p>
          <w:p w14:paraId="0B0F376B">
            <w:pPr>
              <w:pStyle w:val="7"/>
              <w:adjustRightInd w:val="0"/>
              <w:snapToGrid w:val="0"/>
              <w:spacing w:line="360" w:lineRule="auto"/>
              <w:rPr>
                <w:rFonts w:hint="default" w:ascii="Times New Roman" w:hAnsi="Times New Roman" w:cs="Times New Roman"/>
                <w:color w:val="auto"/>
                <w:sz w:val="24"/>
                <w:highlight w:val="none"/>
              </w:rPr>
            </w:pPr>
          </w:p>
          <w:p w14:paraId="78D30389">
            <w:pPr>
              <w:pStyle w:val="7"/>
              <w:adjustRightInd w:val="0"/>
              <w:snapToGrid w:val="0"/>
              <w:spacing w:line="360" w:lineRule="auto"/>
              <w:rPr>
                <w:rFonts w:hint="default" w:ascii="Times New Roman" w:hAnsi="Times New Roman" w:cs="Times New Roman"/>
                <w:color w:val="auto"/>
                <w:sz w:val="24"/>
                <w:highlight w:val="none"/>
              </w:rPr>
            </w:pPr>
          </w:p>
          <w:p w14:paraId="089451A8">
            <w:pPr>
              <w:pStyle w:val="7"/>
              <w:adjustRightInd w:val="0"/>
              <w:snapToGrid w:val="0"/>
              <w:spacing w:line="360" w:lineRule="auto"/>
              <w:rPr>
                <w:rFonts w:hint="default" w:ascii="Times New Roman" w:hAnsi="Times New Roman" w:cs="Times New Roman"/>
                <w:color w:val="auto"/>
                <w:sz w:val="24"/>
                <w:highlight w:val="none"/>
              </w:rPr>
            </w:pPr>
          </w:p>
          <w:p w14:paraId="21BAF076">
            <w:pPr>
              <w:pStyle w:val="7"/>
              <w:adjustRightInd w:val="0"/>
              <w:snapToGrid w:val="0"/>
              <w:spacing w:line="360" w:lineRule="auto"/>
              <w:rPr>
                <w:rFonts w:hint="default" w:ascii="Times New Roman" w:hAnsi="Times New Roman" w:cs="Times New Roman"/>
                <w:color w:val="auto"/>
                <w:sz w:val="24"/>
                <w:highlight w:val="none"/>
              </w:rPr>
            </w:pPr>
          </w:p>
          <w:p w14:paraId="2AE84A4D">
            <w:pPr>
              <w:pStyle w:val="7"/>
              <w:adjustRightInd w:val="0"/>
              <w:snapToGrid w:val="0"/>
              <w:spacing w:line="360" w:lineRule="auto"/>
              <w:rPr>
                <w:rFonts w:hint="default" w:ascii="Times New Roman" w:hAnsi="Times New Roman" w:cs="Times New Roman"/>
                <w:color w:val="auto"/>
                <w:sz w:val="24"/>
                <w:highlight w:val="none"/>
              </w:rPr>
            </w:pPr>
          </w:p>
          <w:p w14:paraId="3AB00AAB">
            <w:pPr>
              <w:pStyle w:val="7"/>
              <w:adjustRightInd w:val="0"/>
              <w:snapToGrid w:val="0"/>
              <w:spacing w:line="360" w:lineRule="auto"/>
              <w:rPr>
                <w:rFonts w:hint="default" w:ascii="Times New Roman" w:hAnsi="Times New Roman" w:cs="Times New Roman"/>
                <w:color w:val="auto"/>
                <w:sz w:val="24"/>
                <w:highlight w:val="none"/>
              </w:rPr>
            </w:pPr>
          </w:p>
          <w:p w14:paraId="250B5EE3">
            <w:pPr>
              <w:pStyle w:val="7"/>
              <w:adjustRightInd w:val="0"/>
              <w:snapToGrid w:val="0"/>
              <w:spacing w:line="360" w:lineRule="auto"/>
              <w:rPr>
                <w:rFonts w:hint="default" w:ascii="Times New Roman" w:hAnsi="Times New Roman" w:cs="Times New Roman"/>
                <w:color w:val="auto"/>
                <w:sz w:val="24"/>
                <w:highlight w:val="none"/>
              </w:rPr>
            </w:pPr>
          </w:p>
          <w:p w14:paraId="36D54E53">
            <w:pPr>
              <w:pStyle w:val="7"/>
              <w:adjustRightInd w:val="0"/>
              <w:snapToGrid w:val="0"/>
              <w:spacing w:line="360" w:lineRule="auto"/>
              <w:rPr>
                <w:rFonts w:hint="default" w:ascii="Times New Roman" w:hAnsi="Times New Roman" w:cs="Times New Roman"/>
                <w:color w:val="auto"/>
                <w:sz w:val="24"/>
                <w:highlight w:val="none"/>
              </w:rPr>
            </w:pPr>
          </w:p>
          <w:p w14:paraId="5A7D407A">
            <w:pPr>
              <w:pStyle w:val="7"/>
              <w:adjustRightInd w:val="0"/>
              <w:snapToGrid w:val="0"/>
              <w:spacing w:line="360" w:lineRule="auto"/>
              <w:rPr>
                <w:rFonts w:hint="default" w:ascii="Times New Roman" w:hAnsi="Times New Roman" w:cs="Times New Roman"/>
                <w:color w:val="auto"/>
                <w:sz w:val="24"/>
                <w:highlight w:val="none"/>
              </w:rPr>
            </w:pPr>
          </w:p>
          <w:p w14:paraId="0B6D532D">
            <w:pPr>
              <w:pStyle w:val="7"/>
              <w:adjustRightInd w:val="0"/>
              <w:snapToGrid w:val="0"/>
              <w:spacing w:line="360" w:lineRule="auto"/>
              <w:rPr>
                <w:rFonts w:hint="default" w:ascii="Times New Roman" w:hAnsi="Times New Roman" w:cs="Times New Roman"/>
                <w:color w:val="auto"/>
                <w:sz w:val="24"/>
                <w:highlight w:val="none"/>
              </w:rPr>
            </w:pPr>
          </w:p>
          <w:p w14:paraId="3362C92A">
            <w:pPr>
              <w:pStyle w:val="7"/>
              <w:adjustRightInd w:val="0"/>
              <w:snapToGrid w:val="0"/>
              <w:spacing w:line="360" w:lineRule="auto"/>
              <w:rPr>
                <w:rFonts w:hint="default" w:ascii="Times New Roman" w:hAnsi="Times New Roman" w:cs="Times New Roman"/>
                <w:color w:val="auto"/>
                <w:sz w:val="24"/>
                <w:highlight w:val="none"/>
              </w:rPr>
            </w:pPr>
          </w:p>
          <w:p w14:paraId="4F98AB78">
            <w:pPr>
              <w:pStyle w:val="7"/>
              <w:adjustRightInd w:val="0"/>
              <w:snapToGrid w:val="0"/>
              <w:spacing w:line="360" w:lineRule="auto"/>
              <w:rPr>
                <w:rFonts w:hint="default" w:ascii="Times New Roman" w:hAnsi="Times New Roman" w:cs="Times New Roman"/>
                <w:color w:val="auto"/>
                <w:sz w:val="24"/>
                <w:highlight w:val="none"/>
              </w:rPr>
            </w:pPr>
          </w:p>
          <w:p w14:paraId="759EE7F6">
            <w:pPr>
              <w:pStyle w:val="7"/>
              <w:adjustRightInd w:val="0"/>
              <w:snapToGrid w:val="0"/>
              <w:spacing w:line="360" w:lineRule="auto"/>
              <w:rPr>
                <w:rFonts w:hint="default" w:ascii="Times New Roman" w:hAnsi="Times New Roman" w:cs="Times New Roman"/>
                <w:color w:val="auto"/>
                <w:sz w:val="24"/>
                <w:highlight w:val="none"/>
              </w:rPr>
            </w:pPr>
          </w:p>
          <w:p w14:paraId="768BDA50">
            <w:pPr>
              <w:pStyle w:val="7"/>
              <w:adjustRightInd w:val="0"/>
              <w:snapToGrid w:val="0"/>
              <w:spacing w:line="360" w:lineRule="auto"/>
              <w:rPr>
                <w:rFonts w:hint="default" w:ascii="Times New Roman" w:hAnsi="Times New Roman" w:cs="Times New Roman"/>
                <w:color w:val="auto"/>
                <w:sz w:val="24"/>
                <w:highlight w:val="none"/>
              </w:rPr>
            </w:pPr>
          </w:p>
          <w:p w14:paraId="0308F42E">
            <w:pPr>
              <w:pStyle w:val="7"/>
              <w:adjustRightInd w:val="0"/>
              <w:snapToGrid w:val="0"/>
              <w:spacing w:line="360" w:lineRule="auto"/>
              <w:rPr>
                <w:rFonts w:hint="default" w:ascii="Times New Roman" w:hAnsi="Times New Roman" w:cs="Times New Roman"/>
                <w:color w:val="auto"/>
                <w:sz w:val="24"/>
                <w:highlight w:val="none"/>
              </w:rPr>
            </w:pPr>
          </w:p>
          <w:p w14:paraId="562A84EC">
            <w:pPr>
              <w:pStyle w:val="7"/>
              <w:adjustRightInd w:val="0"/>
              <w:snapToGrid w:val="0"/>
              <w:spacing w:line="360" w:lineRule="auto"/>
              <w:rPr>
                <w:rFonts w:hint="default" w:ascii="Times New Roman" w:hAnsi="Times New Roman" w:cs="Times New Roman"/>
                <w:color w:val="auto"/>
                <w:sz w:val="24"/>
                <w:highlight w:val="none"/>
              </w:rPr>
            </w:pPr>
          </w:p>
          <w:p w14:paraId="16F01106">
            <w:pPr>
              <w:pStyle w:val="7"/>
              <w:adjustRightInd w:val="0"/>
              <w:snapToGrid w:val="0"/>
              <w:spacing w:line="360" w:lineRule="auto"/>
              <w:rPr>
                <w:rFonts w:hint="default" w:ascii="Times New Roman" w:hAnsi="Times New Roman" w:cs="Times New Roman"/>
                <w:color w:val="auto"/>
                <w:sz w:val="24"/>
                <w:highlight w:val="none"/>
              </w:rPr>
            </w:pPr>
          </w:p>
          <w:p w14:paraId="10150A5C">
            <w:pPr>
              <w:pStyle w:val="7"/>
              <w:adjustRightInd w:val="0"/>
              <w:snapToGrid w:val="0"/>
              <w:spacing w:line="360" w:lineRule="auto"/>
              <w:rPr>
                <w:rFonts w:hint="default" w:ascii="Times New Roman" w:hAnsi="Times New Roman" w:cs="Times New Roman"/>
                <w:color w:val="auto"/>
                <w:sz w:val="24"/>
                <w:highlight w:val="none"/>
              </w:rPr>
            </w:pPr>
          </w:p>
          <w:p w14:paraId="4DB4FD7D">
            <w:pPr>
              <w:pStyle w:val="7"/>
              <w:adjustRightInd w:val="0"/>
              <w:snapToGrid w:val="0"/>
              <w:spacing w:line="360" w:lineRule="auto"/>
              <w:rPr>
                <w:rFonts w:hint="default" w:ascii="Times New Roman" w:hAnsi="Times New Roman" w:cs="Times New Roman"/>
                <w:color w:val="auto"/>
                <w:sz w:val="24"/>
                <w:highlight w:val="none"/>
              </w:rPr>
            </w:pPr>
          </w:p>
          <w:p w14:paraId="3C8F4C3E">
            <w:pPr>
              <w:pStyle w:val="7"/>
              <w:adjustRightInd w:val="0"/>
              <w:snapToGrid w:val="0"/>
              <w:spacing w:line="360" w:lineRule="auto"/>
              <w:rPr>
                <w:rFonts w:hint="default" w:ascii="Times New Roman" w:hAnsi="Times New Roman" w:cs="Times New Roman"/>
                <w:color w:val="auto"/>
                <w:sz w:val="24"/>
                <w:highlight w:val="none"/>
              </w:rPr>
            </w:pPr>
          </w:p>
          <w:p w14:paraId="5E234DC8">
            <w:pPr>
              <w:pStyle w:val="7"/>
              <w:adjustRightInd w:val="0"/>
              <w:snapToGrid w:val="0"/>
              <w:spacing w:line="360" w:lineRule="auto"/>
              <w:rPr>
                <w:rFonts w:hint="default" w:ascii="Times New Roman" w:hAnsi="Times New Roman" w:cs="Times New Roman"/>
                <w:color w:val="auto"/>
                <w:sz w:val="24"/>
                <w:highlight w:val="none"/>
              </w:rPr>
            </w:pPr>
          </w:p>
          <w:p w14:paraId="75865BA1">
            <w:pPr>
              <w:pStyle w:val="7"/>
              <w:adjustRightInd w:val="0"/>
              <w:snapToGrid w:val="0"/>
              <w:spacing w:line="360" w:lineRule="auto"/>
              <w:rPr>
                <w:rFonts w:hint="default" w:ascii="Times New Roman" w:hAnsi="Times New Roman" w:cs="Times New Roman"/>
                <w:color w:val="auto"/>
                <w:sz w:val="24"/>
                <w:highlight w:val="none"/>
              </w:rPr>
            </w:pPr>
          </w:p>
          <w:p w14:paraId="57399E3D">
            <w:pPr>
              <w:pStyle w:val="7"/>
              <w:adjustRightInd w:val="0"/>
              <w:snapToGrid w:val="0"/>
              <w:spacing w:line="360" w:lineRule="auto"/>
              <w:rPr>
                <w:rFonts w:hint="default" w:ascii="Times New Roman" w:hAnsi="Times New Roman" w:cs="Times New Roman"/>
                <w:color w:val="auto"/>
                <w:sz w:val="24"/>
                <w:highlight w:val="none"/>
              </w:rPr>
            </w:pPr>
          </w:p>
        </w:tc>
      </w:tr>
    </w:tbl>
    <w:p w14:paraId="44F4CD54">
      <w:pPr>
        <w:pStyle w:val="2"/>
        <w:adjustRightInd w:val="0"/>
        <w:snapToGrid w:val="0"/>
        <w:spacing w:before="0" w:after="0"/>
        <w:jc w:val="center"/>
        <w:rPr>
          <w:rFonts w:hint="default" w:ascii="Times New Roman" w:hAnsi="Times New Roman" w:cs="Times New Roman"/>
          <w:color w:val="auto"/>
          <w:highlight w:val="none"/>
          <w:lang w:val="en-GB"/>
        </w:rPr>
      </w:pPr>
      <w:r>
        <w:rPr>
          <w:rFonts w:hint="default" w:ascii="Times New Roman" w:hAnsi="Times New Roman" w:cs="Times New Roman"/>
          <w:color w:val="auto"/>
          <w:highlight w:val="none"/>
          <w:lang w:val="en-GB"/>
        </w:rPr>
        <w:br w:type="page"/>
      </w:r>
      <w:bookmarkStart w:id="52" w:name="_Toc21403"/>
      <w:bookmarkStart w:id="53" w:name="_Toc13176"/>
      <w:bookmarkStart w:id="54" w:name="_Toc4488"/>
      <w:bookmarkStart w:id="55" w:name="_Toc21500"/>
      <w:bookmarkStart w:id="56" w:name="_Toc30322"/>
      <w:r>
        <w:rPr>
          <w:rFonts w:hint="default" w:ascii="Times New Roman" w:hAnsi="Times New Roman" w:cs="Times New Roman"/>
          <w:b w:val="0"/>
          <w:bCs/>
          <w:color w:val="auto"/>
          <w:sz w:val="30"/>
          <w:szCs w:val="30"/>
          <w:highlight w:val="none"/>
          <w:lang w:val="en-GB"/>
        </w:rPr>
        <w:t>表10 辐射安全与防护</w:t>
      </w:r>
      <w:bookmarkEnd w:id="50"/>
      <w:bookmarkEnd w:id="52"/>
      <w:bookmarkEnd w:id="53"/>
      <w:bookmarkEnd w:id="54"/>
      <w:bookmarkEnd w:id="55"/>
      <w:bookmarkEnd w:id="56"/>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0"/>
      </w:tblGrid>
      <w:tr w14:paraId="52A80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Pr>
          <w:p w14:paraId="0F811441">
            <w:pPr>
              <w:adjustRightInd w:val="0"/>
              <w:snapToGrid w:val="0"/>
              <w:spacing w:line="360" w:lineRule="auto"/>
              <w:jc w:val="left"/>
              <w:rPr>
                <w:rFonts w:hint="default" w:ascii="Times New Roman" w:hAnsi="Times New Roman" w:cs="Times New Roman"/>
                <w:b/>
                <w:bCs/>
                <w:color w:val="auto"/>
                <w:kern w:val="0"/>
                <w:sz w:val="24"/>
                <w:highlight w:val="none"/>
              </w:rPr>
            </w:pPr>
            <w:bookmarkStart w:id="57" w:name="_Toc448838922"/>
            <w:r>
              <w:rPr>
                <w:rFonts w:hint="default" w:ascii="Times New Roman" w:hAnsi="Times New Roman" w:cs="Times New Roman"/>
                <w:b/>
                <w:bCs/>
                <w:color w:val="auto"/>
                <w:kern w:val="0"/>
                <w:sz w:val="24"/>
                <w:highlight w:val="none"/>
              </w:rPr>
              <w:t>项目安全措施</w:t>
            </w:r>
          </w:p>
          <w:p w14:paraId="6F3FEB90">
            <w:pPr>
              <w:numPr>
                <w:ilvl w:val="0"/>
                <w:numId w:val="18"/>
              </w:numPr>
              <w:adjustRightInd w:val="0"/>
              <w:snapToGrid w:val="0"/>
              <w:spacing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工作场所布置及布局合理性分析</w:t>
            </w:r>
          </w:p>
          <w:p w14:paraId="443B3D9C">
            <w:pPr>
              <w:pStyle w:val="32"/>
              <w:snapToGrid w:val="0"/>
              <w:spacing w:line="360" w:lineRule="auto"/>
              <w:ind w:firstLine="480" w:firstLineChars="200"/>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（一）工作场所布置</w:t>
            </w:r>
          </w:p>
          <w:p w14:paraId="41F8586C">
            <w:pPr>
              <w:pStyle w:val="51"/>
              <w:adjustRightInd w:val="0"/>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lang w:val="en-US" w:eastAsia="zh-CN"/>
              </w:rPr>
              <w:t>DSA机房净空面积为</w:t>
            </w:r>
            <w:r>
              <w:rPr>
                <w:rFonts w:hint="eastAsia" w:ascii="Times New Roman" w:hAnsi="Times New Roman" w:cs="Times New Roman"/>
                <w:bCs/>
                <w:color w:val="auto"/>
                <w:sz w:val="24"/>
                <w:highlight w:val="none"/>
                <w:lang w:val="en-US" w:eastAsia="zh-CN"/>
              </w:rPr>
              <w:t>47.2</w:t>
            </w:r>
            <w:r>
              <w:rPr>
                <w:rFonts w:hint="default" w:ascii="Times New Roman" w:hAnsi="Times New Roman" w:cs="Times New Roman"/>
                <w:bCs/>
                <w:color w:val="auto"/>
                <w:sz w:val="24"/>
                <w:highlight w:val="none"/>
                <w:lang w:val="en-US" w:eastAsia="zh-CN"/>
              </w:rPr>
              <w:t>m</w:t>
            </w:r>
            <w:r>
              <w:rPr>
                <w:rFonts w:hint="default" w:ascii="Times New Roman" w:hAnsi="Times New Roman" w:cs="Times New Roman"/>
                <w:bCs/>
                <w:color w:val="auto"/>
                <w:sz w:val="24"/>
                <w:highlight w:val="none"/>
                <w:vertAlign w:val="superscript"/>
                <w:lang w:val="en-US" w:eastAsia="zh-CN"/>
              </w:rPr>
              <w:t>2</w:t>
            </w:r>
            <w:r>
              <w:rPr>
                <w:rFonts w:hint="default" w:ascii="Times New Roman" w:hAnsi="Times New Roman" w:cs="Times New Roman"/>
                <w:bCs/>
                <w:color w:val="auto"/>
                <w:sz w:val="24"/>
                <w:highlight w:val="none"/>
                <w:lang w:val="en-US" w:eastAsia="zh-CN"/>
              </w:rPr>
              <w:t>（净空尺寸长</w:t>
            </w:r>
            <w:r>
              <w:rPr>
                <w:rFonts w:hint="eastAsia" w:ascii="Times New Roman" w:hAnsi="Times New Roman" w:cs="Times New Roman"/>
                <w:bCs/>
                <w:color w:val="auto"/>
                <w:sz w:val="24"/>
                <w:highlight w:val="none"/>
                <w:lang w:val="en-US" w:eastAsia="zh-CN"/>
              </w:rPr>
              <w:t>8.2</w:t>
            </w:r>
            <w:r>
              <w:rPr>
                <w:rFonts w:hint="default" w:ascii="Times New Roman" w:hAnsi="Times New Roman" w:cs="Times New Roman"/>
                <w:bCs/>
                <w:color w:val="auto"/>
                <w:sz w:val="24"/>
                <w:highlight w:val="none"/>
                <w:lang w:val="en-US" w:eastAsia="zh-CN"/>
              </w:rPr>
              <w:t>m×宽5.</w:t>
            </w:r>
            <w:r>
              <w:rPr>
                <w:rFonts w:hint="eastAsia" w:ascii="Times New Roman" w:hAnsi="Times New Roman" w:cs="Times New Roman"/>
                <w:bCs/>
                <w:color w:val="auto"/>
                <w:sz w:val="24"/>
                <w:highlight w:val="none"/>
                <w:lang w:val="en-US" w:eastAsia="zh-CN"/>
              </w:rPr>
              <w:t>7</w:t>
            </w:r>
            <w:r>
              <w:rPr>
                <w:rFonts w:hint="default" w:ascii="Times New Roman" w:hAnsi="Times New Roman" w:cs="Times New Roman"/>
                <w:bCs/>
                <w:color w:val="auto"/>
                <w:sz w:val="24"/>
                <w:highlight w:val="none"/>
                <w:lang w:val="en-US" w:eastAsia="zh-CN"/>
              </w:rPr>
              <w:t>m×高</w:t>
            </w:r>
            <w:r>
              <w:rPr>
                <w:rFonts w:hint="eastAsia" w:ascii="Times New Roman" w:hAnsi="Times New Roman" w:cs="Times New Roman"/>
                <w:bCs/>
                <w:color w:val="auto"/>
                <w:sz w:val="24"/>
                <w:highlight w:val="none"/>
                <w:lang w:val="en-US" w:eastAsia="zh-CN"/>
              </w:rPr>
              <w:t>4.45</w:t>
            </w:r>
            <w:r>
              <w:rPr>
                <w:rFonts w:hint="default" w:ascii="Times New Roman" w:hAnsi="Times New Roman" w:cs="Times New Roman"/>
                <w:bCs/>
                <w:color w:val="auto"/>
                <w:sz w:val="24"/>
                <w:highlight w:val="none"/>
                <w:lang w:val="en-US" w:eastAsia="zh-CN"/>
              </w:rPr>
              <w:t>m，吊顶高度：3m）。</w:t>
            </w:r>
            <w:r>
              <w:rPr>
                <w:rFonts w:hint="eastAsia" w:ascii="Times New Roman" w:hAnsi="Times New Roman" w:cs="Times New Roman"/>
                <w:bCs/>
                <w:color w:val="auto"/>
                <w:sz w:val="24"/>
                <w:highlight w:val="none"/>
                <w:lang w:val="en-US" w:eastAsia="zh-CN"/>
              </w:rPr>
              <w:t>DSA介入手术室东侧为设备间和污物间，污物间连接污物通道。手术室南侧为控制室、医护通道、高值耗材存放处等，西侧为患者缓冲区和患者卫生间。</w:t>
            </w:r>
          </w:p>
          <w:p w14:paraId="7E6B9245">
            <w:pPr>
              <w:adjustRightInd w:val="0"/>
              <w:snapToGrid w:val="0"/>
              <w:spacing w:line="360" w:lineRule="auto"/>
              <w:ind w:firstLine="480"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（二）平面布置合理性分析</w:t>
            </w:r>
          </w:p>
          <w:p w14:paraId="48ABEF58">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rPr>
              <w:t>本项目</w:t>
            </w:r>
            <w:r>
              <w:rPr>
                <w:rFonts w:hint="eastAsia" w:ascii="Times New Roman" w:hAnsi="Times New Roman" w:cs="Times New Roman"/>
                <w:color w:val="auto"/>
                <w:sz w:val="24"/>
                <w:highlight w:val="none"/>
                <w:lang w:eastAsia="zh-CN"/>
              </w:rPr>
              <w:t>的</w:t>
            </w:r>
            <w:r>
              <w:rPr>
                <w:rFonts w:hint="eastAsia" w:ascii="Times New Roman" w:hAnsi="Times New Roman" w:cs="Times New Roman"/>
                <w:color w:val="auto"/>
                <w:sz w:val="24"/>
                <w:highlight w:val="none"/>
                <w:lang w:val="en-US" w:eastAsia="zh-CN"/>
              </w:rPr>
              <w:t>布置</w:t>
            </w:r>
            <w:r>
              <w:rPr>
                <w:rFonts w:hint="default" w:ascii="Times New Roman" w:hAnsi="Times New Roman" w:cs="Times New Roman"/>
                <w:color w:val="auto"/>
                <w:sz w:val="24"/>
                <w:highlight w:val="none"/>
              </w:rPr>
              <w:t>基本考虑了医生和病人的需求；病人通道、医护人员通道分开布置，不存在交叉影响的情况；</w:t>
            </w:r>
          </w:p>
          <w:p w14:paraId="27F0655D">
            <w:pPr>
              <w:adjustRightInd w:val="0"/>
              <w:snapToGrid w:val="0"/>
              <w:spacing w:line="360" w:lineRule="auto"/>
              <w:ind w:firstLine="480" w:firstLineChars="200"/>
              <w:jc w:val="left"/>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rPr>
              <w:t>治疗过程或手术过程中产生的医疗废物采用专门的收集容器集中</w:t>
            </w:r>
            <w:r>
              <w:rPr>
                <w:rFonts w:hint="default" w:ascii="Times New Roman" w:hAnsi="Times New Roman" w:cs="Times New Roman"/>
                <w:color w:val="auto"/>
                <w:sz w:val="24"/>
                <w:highlight w:val="none"/>
                <w:lang w:val="en-US" w:eastAsia="zh-CN"/>
              </w:rPr>
              <w:t>收集</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医疗废物待缓冲间无病人时方可转运。</w:t>
            </w:r>
            <w:r>
              <w:rPr>
                <w:rFonts w:hint="eastAsia" w:ascii="Times New Roman" w:hAnsi="Times New Roman" w:cs="Times New Roman"/>
                <w:color w:val="auto"/>
                <w:sz w:val="24"/>
                <w:highlight w:val="none"/>
                <w:lang w:val="en-US" w:eastAsia="zh-CN"/>
              </w:rPr>
              <w:t>污物间经专门的污物通道运出。</w:t>
            </w:r>
          </w:p>
          <w:p w14:paraId="468252BE">
            <w:pPr>
              <w:adjustRightInd w:val="0"/>
              <w:snapToGrid w:val="0"/>
              <w:spacing w:line="360" w:lineRule="auto"/>
              <w:ind w:firstLine="480" w:firstLineChars="200"/>
              <w:jc w:val="left"/>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3、医护人员经医护通道进入卫浴间、控制室，最终进入介入手术室。患者经患者缓冲区进入手术室。患者缓冲区和医护人员有各自专门的卫生间。</w:t>
            </w:r>
          </w:p>
          <w:p w14:paraId="540A9615">
            <w:pPr>
              <w:adjustRightInd w:val="0"/>
              <w:snapToGrid w:val="0"/>
              <w:spacing w:line="360" w:lineRule="auto"/>
              <w:ind w:firstLine="480" w:firstLineChars="200"/>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4、手术室楼上为裙房屋面，楼下为医生办公室，以及四周紧邻区域没有病房等人员常驻区域，没有紧邻产科、新生儿科等特殊区域。</w:t>
            </w:r>
          </w:p>
          <w:p w14:paraId="058BDF59">
            <w:pPr>
              <w:adjustRightInd w:val="0"/>
              <w:snapToGrid w:val="0"/>
              <w:spacing w:line="360" w:lineRule="auto"/>
              <w:ind w:firstLine="480" w:firstLineChars="200"/>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5、根据平面布置，本项目不占用消防设施等任何安全设施。</w:t>
            </w:r>
          </w:p>
          <w:p w14:paraId="449EDB4D">
            <w:pPr>
              <w:adjustRightInd w:val="0"/>
              <w:snapToGrid w:val="0"/>
              <w:spacing w:line="360" w:lineRule="auto"/>
              <w:ind w:firstLine="480" w:firstLineChars="200"/>
              <w:jc w:val="left"/>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6、DSA介入室设置有控制室防护门、患者通道防护门、污物通道防护门，且污物通道和患者通道为独立2条走廊，互不影响，实现人员与污物路线的分流，人流和物流在时间上也严格错开。</w:t>
            </w:r>
          </w:p>
          <w:p w14:paraId="36F52DB6">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综上所述，本项目各组成部分功能区明确，所在位置既方便就诊、满足诊疗需要，也能够降低人员受到意外照射的可能性，所以其平面布置是合理的。</w:t>
            </w:r>
          </w:p>
          <w:p w14:paraId="36A5A153">
            <w:pPr>
              <w:adjustRightInd w:val="0"/>
              <w:snapToGrid w:val="0"/>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二、工作区域管理</w:t>
            </w:r>
          </w:p>
          <w:p w14:paraId="7EC3F2FD">
            <w:pPr>
              <w:adjustRightInd w:val="0"/>
              <w:snapToGrid w:val="0"/>
              <w:spacing w:line="360" w:lineRule="auto"/>
              <w:ind w:firstLine="480"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（一）两区划分</w:t>
            </w:r>
          </w:p>
          <w:p w14:paraId="12D48B08">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w:t>
            </w:r>
            <w:r>
              <w:rPr>
                <w:rFonts w:hint="default" w:ascii="Times New Roman" w:hAnsi="Times New Roman" w:cs="Times New Roman"/>
                <w:color w:val="auto"/>
                <w:kern w:val="0"/>
                <w:sz w:val="24"/>
                <w:highlight w:val="none"/>
              </w:rPr>
              <w:t>《电离辐射防护与辐射源安全基本标准》（GB18871-2002）</w:t>
            </w:r>
            <w:r>
              <w:rPr>
                <w:rFonts w:hint="default" w:ascii="Times New Roman" w:hAnsi="Times New Roman" w:cs="Times New Roman"/>
                <w:color w:val="auto"/>
                <w:sz w:val="24"/>
                <w:highlight w:val="none"/>
              </w:rPr>
              <w:t>中辐射工作场所的分区原则：应把需要和可能需要专门防护手段或安全措施的区域定为</w:t>
            </w:r>
            <w:r>
              <w:rPr>
                <w:rFonts w:hint="default" w:ascii="Times New Roman" w:hAnsi="Times New Roman" w:cs="Times New Roman"/>
                <w:b/>
                <w:bCs/>
                <w:color w:val="auto"/>
                <w:sz w:val="24"/>
                <w:highlight w:val="none"/>
              </w:rPr>
              <w:t>控制区</w:t>
            </w:r>
            <w:r>
              <w:rPr>
                <w:rFonts w:hint="default" w:ascii="Times New Roman" w:hAnsi="Times New Roman" w:cs="Times New Roman"/>
                <w:color w:val="auto"/>
                <w:sz w:val="24"/>
                <w:highlight w:val="none"/>
              </w:rPr>
              <w:t>；将未被定为控制区，在其中通常不需要专门的防护手段或安全措施，但需要经常对职业照射条件进行监督和评价的区域定为</w:t>
            </w:r>
            <w:r>
              <w:rPr>
                <w:rFonts w:hint="default" w:ascii="Times New Roman" w:hAnsi="Times New Roman" w:cs="Times New Roman"/>
                <w:b/>
                <w:bCs/>
                <w:color w:val="auto"/>
                <w:sz w:val="24"/>
                <w:highlight w:val="none"/>
              </w:rPr>
              <w:t>监督区</w:t>
            </w:r>
            <w:r>
              <w:rPr>
                <w:rFonts w:hint="default" w:ascii="Times New Roman" w:hAnsi="Times New Roman" w:cs="Times New Roman"/>
                <w:color w:val="auto"/>
                <w:sz w:val="24"/>
                <w:highlight w:val="none"/>
              </w:rPr>
              <w:t>。</w:t>
            </w:r>
          </w:p>
          <w:p w14:paraId="4946441A">
            <w:pPr>
              <w:adjustRightInd w:val="0"/>
              <w:snapToGrid w:val="0"/>
              <w:spacing w:line="360" w:lineRule="auto"/>
              <w:ind w:firstLine="480" w:firstLineChars="200"/>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本项目</w:t>
            </w:r>
            <w:r>
              <w:rPr>
                <w:rFonts w:hint="default" w:ascii="Times New Roman" w:hAnsi="Times New Roman" w:cs="Times New Roman"/>
                <w:color w:val="auto"/>
                <w:sz w:val="24"/>
                <w:highlight w:val="none"/>
              </w:rPr>
              <w:t>DSA机房</w:t>
            </w:r>
            <w:r>
              <w:rPr>
                <w:rFonts w:hint="default" w:ascii="Times New Roman" w:hAnsi="Times New Roman" w:cs="Times New Roman"/>
                <w:color w:val="auto"/>
                <w:kern w:val="0"/>
                <w:sz w:val="24"/>
                <w:highlight w:val="none"/>
              </w:rPr>
              <w:t>为本项目介入治疗区的控制区，出束时X射线管球管发射的射线被</w:t>
            </w:r>
            <w:r>
              <w:rPr>
                <w:rFonts w:hint="default" w:ascii="Times New Roman" w:hAnsi="Times New Roman" w:cs="Times New Roman"/>
                <w:color w:val="auto"/>
                <w:sz w:val="24"/>
                <w:highlight w:val="none"/>
              </w:rPr>
              <w:t>DSA机房</w:t>
            </w:r>
            <w:r>
              <w:rPr>
                <w:rFonts w:hint="default" w:ascii="Times New Roman" w:hAnsi="Times New Roman" w:cs="Times New Roman"/>
                <w:color w:val="auto"/>
                <w:kern w:val="0"/>
                <w:sz w:val="24"/>
                <w:highlight w:val="none"/>
              </w:rPr>
              <w:t>屏蔽体屏蔽，</w:t>
            </w:r>
            <w:r>
              <w:rPr>
                <w:rFonts w:hint="default" w:ascii="Times New Roman" w:hAnsi="Times New Roman" w:cs="Times New Roman"/>
                <w:color w:val="auto"/>
                <w:sz w:val="24"/>
                <w:highlight w:val="none"/>
              </w:rPr>
              <w:t>DSA机房</w:t>
            </w:r>
            <w:r>
              <w:rPr>
                <w:rFonts w:hint="default" w:ascii="Times New Roman" w:hAnsi="Times New Roman" w:cs="Times New Roman"/>
                <w:color w:val="auto"/>
                <w:kern w:val="0"/>
                <w:sz w:val="24"/>
                <w:highlight w:val="none"/>
              </w:rPr>
              <w:t>属《电离辐射防护与辐射源安全基本标准》（GB18871-2002）定义的</w:t>
            </w:r>
            <w:r>
              <w:rPr>
                <w:rFonts w:hint="default" w:ascii="Times New Roman" w:hAnsi="Times New Roman" w:cs="Times New Roman"/>
                <w:b/>
                <w:bCs/>
                <w:color w:val="auto"/>
                <w:kern w:val="0"/>
                <w:sz w:val="24"/>
                <w:highlight w:val="none"/>
              </w:rPr>
              <w:t>控制区</w:t>
            </w:r>
            <w:r>
              <w:rPr>
                <w:rFonts w:hint="default" w:ascii="Times New Roman" w:hAnsi="Times New Roman" w:cs="Times New Roman"/>
                <w:color w:val="auto"/>
                <w:kern w:val="0"/>
                <w:sz w:val="24"/>
                <w:highlight w:val="none"/>
              </w:rPr>
              <w:t>；而</w:t>
            </w:r>
            <w:bookmarkStart w:id="58" w:name="_Hlk185971387"/>
            <w:r>
              <w:rPr>
                <w:rFonts w:hint="default" w:ascii="Times New Roman" w:hAnsi="Times New Roman" w:cs="Times New Roman"/>
                <w:color w:val="auto"/>
                <w:kern w:val="0"/>
                <w:sz w:val="24"/>
                <w:highlight w:val="none"/>
                <w:lang w:val="en-US" w:eastAsia="zh-CN"/>
              </w:rPr>
              <w:t>控制室</w:t>
            </w:r>
            <w:r>
              <w:rPr>
                <w:rFonts w:hint="default" w:ascii="Times New Roman" w:hAnsi="Times New Roman" w:cs="Times New Roman"/>
                <w:color w:val="auto"/>
                <w:kern w:val="0"/>
                <w:sz w:val="24"/>
                <w:highlight w:val="none"/>
              </w:rPr>
              <w:t>、设备间、污物</w:t>
            </w:r>
            <w:bookmarkEnd w:id="58"/>
            <w:r>
              <w:rPr>
                <w:rFonts w:hint="eastAsia" w:ascii="Times New Roman" w:hAnsi="Times New Roman" w:cs="Times New Roman"/>
                <w:color w:val="auto"/>
                <w:kern w:val="0"/>
                <w:sz w:val="24"/>
                <w:highlight w:val="none"/>
                <w:lang w:val="en-US" w:eastAsia="zh-CN"/>
              </w:rPr>
              <w:t>间、高值耗材存放间、患者恢复间、患者卫生间、患者缓冲区</w:t>
            </w:r>
            <w:r>
              <w:rPr>
                <w:rFonts w:hint="default" w:ascii="Times New Roman" w:hAnsi="Times New Roman" w:cs="Times New Roman"/>
                <w:color w:val="auto"/>
                <w:sz w:val="24"/>
                <w:highlight w:val="none"/>
              </w:rPr>
              <w:t>均</w:t>
            </w:r>
            <w:r>
              <w:rPr>
                <w:rFonts w:hint="default" w:ascii="Times New Roman" w:hAnsi="Times New Roman" w:cs="Times New Roman"/>
                <w:color w:val="auto"/>
                <w:kern w:val="0"/>
                <w:sz w:val="24"/>
                <w:highlight w:val="none"/>
              </w:rPr>
              <w:t>有辐射工作人员停留的可能性，均属《电离辐射防护与辐射源安全基本标准》（GB18871-2002）定义的</w:t>
            </w:r>
            <w:r>
              <w:rPr>
                <w:rFonts w:hint="default" w:ascii="Times New Roman" w:hAnsi="Times New Roman" w:cs="Times New Roman"/>
                <w:b/>
                <w:bCs/>
                <w:color w:val="auto"/>
                <w:kern w:val="0"/>
                <w:sz w:val="24"/>
                <w:highlight w:val="none"/>
              </w:rPr>
              <w:t>监督区</w:t>
            </w:r>
            <w:r>
              <w:rPr>
                <w:rFonts w:hint="default" w:ascii="Times New Roman" w:hAnsi="Times New Roman" w:cs="Times New Roman"/>
                <w:color w:val="auto"/>
                <w:kern w:val="0"/>
                <w:sz w:val="24"/>
                <w:highlight w:val="none"/>
              </w:rPr>
              <w:t>。</w:t>
            </w:r>
          </w:p>
          <w:p w14:paraId="5A7F1701">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rPr>
              <w:t>本项目辐射防护分区的划分符合《电离辐射防护与辐射源安全基本标准》（GB18871-2002）中关于辐射工作场所的分区规定。具体控制区和监督区划分表和示意图见表10-1和图</w:t>
            </w:r>
            <w:r>
              <w:rPr>
                <w:rFonts w:hint="eastAsia" w:ascii="Times New Roman" w:hAnsi="Times New Roman" w:cs="Times New Roman"/>
                <w:color w:val="auto"/>
                <w:kern w:val="0"/>
                <w:sz w:val="24"/>
                <w:highlight w:val="none"/>
                <w:lang w:val="en-US" w:eastAsia="zh-CN"/>
              </w:rPr>
              <w:t>10-1</w:t>
            </w:r>
            <w:r>
              <w:rPr>
                <w:rFonts w:hint="default" w:ascii="Times New Roman" w:hAnsi="Times New Roman" w:cs="Times New Roman"/>
                <w:color w:val="auto"/>
                <w:kern w:val="0"/>
                <w:sz w:val="24"/>
                <w:highlight w:val="none"/>
              </w:rPr>
              <w:t>。</w:t>
            </w:r>
          </w:p>
          <w:p w14:paraId="0E7C21E8">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表10-1 </w:t>
            </w:r>
            <w:r>
              <w:rPr>
                <w:rFonts w:hint="eastAsia" w:ascii="Times New Roman" w:hAnsi="Times New Roman" w:cs="Times New Roman"/>
                <w:color w:val="auto"/>
                <w:sz w:val="24"/>
                <w:highlight w:val="none"/>
                <w:lang w:val="en-US" w:eastAsia="zh-CN"/>
              </w:rPr>
              <w:t xml:space="preserve"> </w:t>
            </w:r>
            <w:r>
              <w:rPr>
                <w:rFonts w:hint="default" w:ascii="Times New Roman" w:hAnsi="Times New Roman" w:cs="Times New Roman"/>
                <w:color w:val="auto"/>
                <w:sz w:val="24"/>
                <w:highlight w:val="none"/>
              </w:rPr>
              <w:t>本项目“两区”划分一览表</w:t>
            </w:r>
          </w:p>
          <w:tbl>
            <w:tblPr>
              <w:tblStyle w:val="22"/>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28" w:type="dxa"/>
                <w:left w:w="0" w:type="dxa"/>
                <w:bottom w:w="28" w:type="dxa"/>
                <w:right w:w="0" w:type="dxa"/>
              </w:tblCellMar>
            </w:tblPr>
            <w:tblGrid>
              <w:gridCol w:w="1347"/>
              <w:gridCol w:w="1106"/>
              <w:gridCol w:w="2316"/>
              <w:gridCol w:w="3502"/>
            </w:tblGrid>
            <w:tr w14:paraId="00B60B6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0" w:type="dxa"/>
                  <w:bottom w:w="28" w:type="dxa"/>
                  <w:right w:w="0" w:type="dxa"/>
                </w:tblCellMar>
              </w:tblPrEx>
              <w:trPr>
                <w:trHeight w:val="20" w:hRule="atLeast"/>
                <w:jc w:val="center"/>
              </w:trPr>
              <w:tc>
                <w:tcPr>
                  <w:tcW w:w="1347" w:type="dxa"/>
                  <w:vAlign w:val="center"/>
                </w:tcPr>
                <w:p w14:paraId="4B308283">
                  <w:pPr>
                    <w:pStyle w:val="59"/>
                    <w:adjustRightInd w:val="0"/>
                    <w:snapToGrid w:val="0"/>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工作场所</w:t>
                  </w:r>
                </w:p>
              </w:tc>
              <w:tc>
                <w:tcPr>
                  <w:tcW w:w="1106" w:type="dxa"/>
                  <w:vAlign w:val="center"/>
                </w:tcPr>
                <w:p w14:paraId="431D3AB2">
                  <w:pPr>
                    <w:pStyle w:val="59"/>
                    <w:adjustRightInd w:val="0"/>
                    <w:snapToGrid w:val="0"/>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控制区</w:t>
                  </w:r>
                </w:p>
              </w:tc>
              <w:tc>
                <w:tcPr>
                  <w:tcW w:w="2316" w:type="dxa"/>
                  <w:vAlign w:val="center"/>
                </w:tcPr>
                <w:p w14:paraId="72D927C7">
                  <w:pPr>
                    <w:pStyle w:val="59"/>
                    <w:adjustRightInd w:val="0"/>
                    <w:snapToGrid w:val="0"/>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监督区</w:t>
                  </w:r>
                </w:p>
              </w:tc>
              <w:tc>
                <w:tcPr>
                  <w:tcW w:w="3502" w:type="dxa"/>
                  <w:vAlign w:val="center"/>
                </w:tcPr>
                <w:p w14:paraId="675D5410">
                  <w:pPr>
                    <w:pStyle w:val="59"/>
                    <w:adjustRightInd w:val="0"/>
                    <w:snapToGrid w:val="0"/>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备注</w:t>
                  </w:r>
                </w:p>
              </w:tc>
            </w:tr>
            <w:tr w14:paraId="1A06712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0" w:type="dxa"/>
                  <w:bottom w:w="28" w:type="dxa"/>
                  <w:right w:w="0" w:type="dxa"/>
                </w:tblCellMar>
              </w:tblPrEx>
              <w:trPr>
                <w:trHeight w:val="20" w:hRule="atLeast"/>
                <w:jc w:val="center"/>
              </w:trPr>
              <w:tc>
                <w:tcPr>
                  <w:tcW w:w="1347" w:type="dxa"/>
                  <w:vAlign w:val="center"/>
                </w:tcPr>
                <w:p w14:paraId="2CFEEC7A">
                  <w:pPr>
                    <w:pStyle w:val="59"/>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介入治疗区</w:t>
                  </w:r>
                </w:p>
              </w:tc>
              <w:tc>
                <w:tcPr>
                  <w:tcW w:w="1106" w:type="dxa"/>
                  <w:vAlign w:val="center"/>
                </w:tcPr>
                <w:p w14:paraId="2D296E37">
                  <w:pPr>
                    <w:pStyle w:val="59"/>
                    <w:adjustRightInd w:val="0"/>
                    <w:snapToGrid w:val="0"/>
                    <w:rPr>
                      <w:rFonts w:hint="eastAsia"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DSA</w:t>
                  </w:r>
                  <w:r>
                    <w:rPr>
                      <w:rFonts w:hint="eastAsia" w:cs="Times New Roman"/>
                      <w:color w:val="auto"/>
                      <w:szCs w:val="21"/>
                      <w:highlight w:val="none"/>
                      <w:lang w:val="en-US" w:eastAsia="zh-CN"/>
                    </w:rPr>
                    <w:t>介入室</w:t>
                  </w:r>
                </w:p>
              </w:tc>
              <w:tc>
                <w:tcPr>
                  <w:tcW w:w="2316" w:type="dxa"/>
                  <w:vAlign w:val="center"/>
                </w:tcPr>
                <w:p w14:paraId="6A939E50">
                  <w:pPr>
                    <w:pStyle w:val="59"/>
                    <w:adjustRightInd w:val="0"/>
                    <w:snapToGrid w:val="0"/>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高值耗材存放处、控制室、污物间、设备间、患者缓冲区、患者卫生间、患者恢复间。</w:t>
                  </w:r>
                </w:p>
              </w:tc>
              <w:tc>
                <w:tcPr>
                  <w:tcW w:w="3502" w:type="dxa"/>
                  <w:vAlign w:val="center"/>
                </w:tcPr>
                <w:p w14:paraId="0DCA466F">
                  <w:pPr>
                    <w:pStyle w:val="59"/>
                    <w:adjustRightInd w:val="0"/>
                    <w:snapToGrid w:val="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控制区内禁止辐射工作人员和病人以外的外来人员进入，职业工作人员在拍片时尽量不要在控制区内停留，以减少不必要的照射。</w:t>
                  </w:r>
                </w:p>
                <w:p w14:paraId="0EE671B9">
                  <w:pPr>
                    <w:pStyle w:val="59"/>
                    <w:adjustRightInd w:val="0"/>
                    <w:snapToGrid w:val="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监督区范围内应限制辐射工作人员和病人以外的外来人员进入。</w:t>
                  </w:r>
                </w:p>
              </w:tc>
            </w:tr>
          </w:tbl>
          <w:p w14:paraId="53F9BDA2">
            <w:pPr>
              <w:adjustRightInd w:val="0"/>
              <w:snapToGrid w:val="0"/>
              <w:jc w:val="center"/>
              <w:rPr>
                <w:rFonts w:hint="default" w:ascii="Times New Roman" w:hAnsi="Times New Roman" w:eastAsia="宋体" w:cs="Times New Roman"/>
                <w:color w:val="auto"/>
                <w:sz w:val="24"/>
                <w:highlight w:val="none"/>
                <w:lang w:eastAsia="zh-CN"/>
              </w:rPr>
            </w:pPr>
          </w:p>
          <w:p w14:paraId="30015226">
            <w:pPr>
              <w:adjustRightInd w:val="0"/>
              <w:snapToGrid w:val="0"/>
              <w:jc w:val="center"/>
              <w:rPr>
                <w:rFonts w:hint="default" w:ascii="Times New Roman" w:hAnsi="Times New Roman" w:eastAsia="宋体" w:cs="Times New Roman"/>
                <w:color w:val="auto"/>
                <w:sz w:val="24"/>
                <w:highlight w:val="none"/>
                <w:lang w:eastAsia="zh-CN"/>
              </w:rPr>
            </w:pPr>
            <w:r>
              <w:rPr>
                <w:color w:val="auto"/>
                <w:highlight w:val="none"/>
              </w:rPr>
              <w:drawing>
                <wp:inline distT="0" distB="0" distL="114300" distR="114300">
                  <wp:extent cx="5272405" cy="3795395"/>
                  <wp:effectExtent l="9525" t="9525" r="13970" b="24130"/>
                  <wp:docPr id="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
                          <pic:cNvPicPr>
                            <a:picLocks noChangeAspect="1"/>
                          </pic:cNvPicPr>
                        </pic:nvPicPr>
                        <pic:blipFill>
                          <a:blip r:embed="rId34"/>
                          <a:stretch>
                            <a:fillRect/>
                          </a:stretch>
                        </pic:blipFill>
                        <pic:spPr>
                          <a:xfrm>
                            <a:off x="0" y="0"/>
                            <a:ext cx="5272405" cy="3795395"/>
                          </a:xfrm>
                          <a:prstGeom prst="rect">
                            <a:avLst/>
                          </a:prstGeom>
                          <a:noFill/>
                          <a:ln>
                            <a:solidFill>
                              <a:schemeClr val="tx1"/>
                            </a:solidFill>
                          </a:ln>
                        </pic:spPr>
                      </pic:pic>
                    </a:graphicData>
                  </a:graphic>
                </wp:inline>
              </w:drawing>
            </w:r>
          </w:p>
          <w:p w14:paraId="4E7488D8">
            <w:pPr>
              <w:pStyle w:val="32"/>
              <w:spacing w:line="36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图10-1 本项目控制区</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监督区示意图</w:t>
            </w:r>
          </w:p>
          <w:p w14:paraId="0F989E21">
            <w:pPr>
              <w:pStyle w:val="34"/>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bCs w:val="0"/>
                <w:color w:val="auto"/>
                <w:kern w:val="2"/>
                <w:sz w:val="24"/>
                <w:szCs w:val="24"/>
                <w:highlight w:val="none"/>
                <w:lang w:val="en-US" w:eastAsia="zh-CN" w:bidi="ar-SA"/>
              </w:rPr>
              <w:t>控制区：</w:t>
            </w:r>
            <w:r>
              <w:rPr>
                <w:rFonts w:hint="eastAsia" w:ascii="Times New Roman" w:hAnsi="Times New Roman" w:eastAsia="宋体" w:cs="Times New Roman"/>
                <w:b w:val="0"/>
                <w:bCs/>
                <w:color w:val="auto"/>
                <w:kern w:val="2"/>
                <w:sz w:val="24"/>
                <w:szCs w:val="24"/>
                <w:highlight w:val="none"/>
                <w:lang w:val="en-US" w:eastAsia="zh-CN" w:bidi="ar-SA"/>
              </w:rPr>
              <w:t>在控制区的进出口及其他适当位置处张贴电离辐射警告标志（所有防护门朝向DSA介入室室外的一面）。</w:t>
            </w:r>
          </w:p>
          <w:p w14:paraId="1C125FCF">
            <w:pPr>
              <w:pStyle w:val="32"/>
              <w:keepNext w:val="0"/>
              <w:keepLines w:val="0"/>
              <w:pageBreakBefore w:val="0"/>
              <w:widowControl w:val="0"/>
              <w:kinsoku/>
              <w:wordWrap/>
              <w:overflowPunct/>
              <w:topLinePunct w:val="0"/>
              <w:bidi w:val="0"/>
              <w:adjustRightInd w:val="0"/>
              <w:snapToGrid w:val="0"/>
              <w:spacing w:line="360" w:lineRule="auto"/>
              <w:ind w:firstLine="480" w:firstLineChars="200"/>
              <w:rPr>
                <w:rFonts w:ascii="Times New Roman" w:cs="Times New Roman"/>
                <w:color w:val="auto"/>
                <w:sz w:val="24"/>
                <w:szCs w:val="24"/>
                <w:highlight w:val="none"/>
              </w:rPr>
            </w:pPr>
            <w:r>
              <w:rPr>
                <w:rFonts w:ascii="Times New Roman" w:cs="Times New Roman"/>
                <w:b/>
                <w:bCs/>
                <w:color w:val="auto"/>
                <w:sz w:val="24"/>
                <w:szCs w:val="24"/>
                <w:highlight w:val="none"/>
              </w:rPr>
              <w:t>监督区</w:t>
            </w:r>
            <w:r>
              <w:rPr>
                <w:rFonts w:ascii="Times New Roman" w:cs="Times New Roman"/>
                <w:color w:val="auto"/>
                <w:sz w:val="24"/>
                <w:szCs w:val="24"/>
                <w:highlight w:val="none"/>
              </w:rPr>
              <w:t>：在监督区入口处的合适位置悬挂监督区标牌；并定期检查工作状况，确认是否需要防护措施和安全条件，或是否需要更改监督区的边界。</w:t>
            </w:r>
          </w:p>
          <w:p w14:paraId="5A81F611">
            <w:pPr>
              <w:keepNext w:val="0"/>
              <w:keepLines w:val="0"/>
              <w:pageBreakBefore w:val="0"/>
              <w:widowControl w:val="0"/>
              <w:kinsoku/>
              <w:wordWrap/>
              <w:overflowPunct/>
              <w:topLinePunct w:val="0"/>
              <w:bidi w:val="0"/>
              <w:adjustRightInd w:val="0"/>
              <w:snapToGrid w:val="0"/>
              <w:spacing w:line="360" w:lineRule="auto"/>
              <w:ind w:firstLine="480" w:firstLineChars="200"/>
              <w:rPr>
                <w:rFonts w:hint="default" w:ascii="Times New Roman" w:hAnsi="Times New Roman" w:cs="Times New Roman"/>
                <w:b/>
                <w:color w:val="auto"/>
                <w:sz w:val="24"/>
                <w:szCs w:val="24"/>
                <w:highlight w:val="none"/>
              </w:rPr>
            </w:pPr>
            <w:r>
              <w:rPr>
                <w:rFonts w:hint="eastAsia" w:ascii="Times New Roman" w:cs="Times New Roman"/>
                <w:color w:val="auto"/>
                <w:sz w:val="24"/>
                <w:szCs w:val="24"/>
                <w:highlight w:val="none"/>
              </w:rPr>
              <w:t>本项目控制区和监督区的辐射工作人员应严格遵守医院所制定的《辐射工作场所安全管理要求》和《辐射工作人员岗位职责》制度，工作前应做好个人防护，正确佩戴个人剂量计和防护用品，正确履行职责内的工作，操作时严格按照设备操作规程使用射线装置，树牢辐射安全意识。</w:t>
            </w:r>
          </w:p>
          <w:p w14:paraId="5D550060">
            <w:pPr>
              <w:adjustRightInd w:val="0"/>
              <w:snapToGrid w:val="0"/>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三、辐射安全及防护措施</w:t>
            </w:r>
          </w:p>
          <w:p w14:paraId="0F1B1857">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本项目射线装置主要辐射为X射线，对X射线的基本防护原则是减少照射时间、远离射线源及加以必要的屏蔽。本项目对X射线外照射的防护措施主要有以下几方面。</w:t>
            </w:r>
          </w:p>
          <w:p w14:paraId="22047BEF">
            <w:pPr>
              <w:adjustRightInd w:val="0"/>
              <w:snapToGrid w:val="0"/>
              <w:spacing w:line="360" w:lineRule="auto"/>
              <w:ind w:firstLine="480"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cs="Times New Roman"/>
                <w:b/>
                <w:bCs/>
                <w:color w:val="auto"/>
                <w:sz w:val="24"/>
                <w:highlight w:val="none"/>
              </w:rPr>
              <w:t>（一）设备固有</w:t>
            </w:r>
            <w:r>
              <w:rPr>
                <w:rFonts w:hint="eastAsia" w:ascii="Times New Roman" w:hAnsi="Times New Roman" w:cs="Times New Roman"/>
                <w:b/>
                <w:bCs/>
                <w:color w:val="auto"/>
                <w:sz w:val="24"/>
                <w:highlight w:val="none"/>
                <w:lang w:val="en-US" w:eastAsia="zh-CN"/>
              </w:rPr>
              <w:t>安全防护措施</w:t>
            </w:r>
          </w:p>
          <w:p w14:paraId="3D814898">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本项目DSA拟购买</w:t>
            </w:r>
            <w:r>
              <w:rPr>
                <w:rFonts w:hint="eastAsia" w:ascii="Times New Roman" w:hAnsi="Times New Roman" w:cs="Times New Roman"/>
                <w:color w:val="auto"/>
                <w:sz w:val="24"/>
                <w:highlight w:val="none"/>
                <w:lang w:val="en-US" w:eastAsia="zh-CN"/>
              </w:rPr>
              <w:t>飞利浦</w:t>
            </w:r>
            <w:r>
              <w:rPr>
                <w:rFonts w:hint="default" w:ascii="Times New Roman" w:hAnsi="Times New Roman" w:cs="Times New Roman"/>
                <w:color w:val="auto"/>
                <w:sz w:val="24"/>
                <w:highlight w:val="none"/>
              </w:rPr>
              <w:t>厂家</w:t>
            </w:r>
            <w:r>
              <w:rPr>
                <w:rFonts w:hint="eastAsia" w:ascii="Times New Roman" w:hAnsi="Times New Roman" w:cs="Times New Roman"/>
                <w:color w:val="auto"/>
                <w:sz w:val="24"/>
                <w:highlight w:val="none"/>
                <w:lang w:val="en-US" w:eastAsia="zh-CN"/>
              </w:rPr>
              <w:t>设备</w:t>
            </w:r>
            <w:r>
              <w:rPr>
                <w:rFonts w:hint="default" w:ascii="Times New Roman" w:hAnsi="Times New Roman" w:cs="Times New Roman"/>
                <w:color w:val="auto"/>
                <w:sz w:val="24"/>
                <w:highlight w:val="none"/>
              </w:rPr>
              <w:t>，满足国家质检要求，仪器本身采取了多种安全防护措施：</w:t>
            </w:r>
          </w:p>
          <w:p w14:paraId="35581E83">
            <w:pPr>
              <w:adjustRightInd w:val="0"/>
              <w:snapToGrid w:val="0"/>
              <w:spacing w:line="360" w:lineRule="auto"/>
              <w:ind w:firstLine="39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①采用栅控技术：在每次脉冲曝光间隔向旋转阳极加一负电压，抵消曝光脉冲的启辉与余辉，起到消除软X射线、提高有用射线品质并减小脉冲宽度作用。</w:t>
            </w:r>
          </w:p>
          <w:p w14:paraId="02805C01">
            <w:pPr>
              <w:adjustRightInd w:val="0"/>
              <w:snapToGrid w:val="0"/>
              <w:spacing w:line="360" w:lineRule="auto"/>
              <w:ind w:firstLine="39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②采用光谱过滤技术：在X射线管头或影像增强器的窗口处放置合适过滤板，以消除软X射线以及减少二次散射，优化有用X射线谱。设备提供适应DSA不同应用时所可以选用的各种形状与规格的准直器隔板和过滤板。</w:t>
            </w:r>
          </w:p>
          <w:p w14:paraId="026272EB">
            <w:pPr>
              <w:adjustRightInd w:val="0"/>
              <w:snapToGrid w:val="0"/>
              <w:spacing w:line="360" w:lineRule="auto"/>
              <w:ind w:firstLine="39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③采用脉冲透视技术：在透视图像数字化基础上实现脉冲透视，改善图像清晰度；并能明显地减少透视剂量。</w:t>
            </w:r>
          </w:p>
          <w:p w14:paraId="03324A15">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④采用图像冻结技术：每次透视的最后一帧图像被暂存并保留于监视器上显示，利用此方法可以明显缩短总透视时间，以减少不必要的照射。</w:t>
            </w:r>
          </w:p>
          <w:p w14:paraId="1D172E33">
            <w:pPr>
              <w:pStyle w:val="32"/>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⑤表征剂量的指示装置：能在线监测表征输出剂量的指示装置，例如剂量面积乘积（DAP）仪等。</w:t>
            </w:r>
          </w:p>
          <w:p w14:paraId="77EDFC4C">
            <w:pPr>
              <w:pStyle w:val="32"/>
              <w:snapToGrid w:val="0"/>
              <w:spacing w:line="360" w:lineRule="auto"/>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⑥配备辅助防护设施：</w:t>
            </w:r>
            <w:r>
              <w:rPr>
                <w:rFonts w:hint="default" w:ascii="Times New Roman" w:hAnsi="Times New Roman" w:cs="Times New Roman"/>
                <w:color w:val="auto"/>
                <w:highlight w:val="none"/>
                <w:lang w:val="en-US" w:eastAsia="zh-CN"/>
              </w:rPr>
              <w:t>厂家DSA</w:t>
            </w:r>
            <w:r>
              <w:rPr>
                <w:rFonts w:hint="default" w:ascii="Times New Roman" w:hAnsi="Times New Roman" w:cs="Times New Roman"/>
                <w:color w:val="auto"/>
                <w:highlight w:val="none"/>
              </w:rPr>
              <w:t>配备床下铅帘（0.5mmPb）和悬吊铅帘(0.5mmPb)、铅屏风等辅助防护用品与设施，则在设备运行中可用于加强对有关人员采取放射防护与安全措施。</w:t>
            </w:r>
          </w:p>
          <w:p w14:paraId="1C2702F6">
            <w:pPr>
              <w:keepNext w:val="0"/>
              <w:keepLines w:val="0"/>
              <w:pageBreakBefore w:val="0"/>
              <w:widowControl w:val="0"/>
              <w:kinsoku/>
              <w:wordWrap/>
              <w:overflowPunct/>
              <w:topLinePunct w:val="0"/>
              <w:bidi w:val="0"/>
              <w:adjustRightInd w:val="0"/>
              <w:snapToGrid w:val="0"/>
              <w:spacing w:line="360" w:lineRule="auto"/>
              <w:ind w:firstLine="420" w:firstLineChars="200"/>
              <w:rPr>
                <w:rFonts w:hint="default" w:ascii="Times New Roman" w:hAnsi="Times New Roman" w:cs="Times New Roman"/>
                <w:color w:val="auto"/>
                <w:sz w:val="24"/>
                <w:highlight w:val="none"/>
              </w:rPr>
            </w:pPr>
            <w:r>
              <w:rPr>
                <w:rFonts w:hint="default" w:ascii="Times New Roman" w:hAnsi="Times New Roman" w:cs="Times New Roman"/>
                <w:color w:val="auto"/>
                <w:highlight w:val="none"/>
              </w:rPr>
              <w:t>⑦</w:t>
            </w:r>
            <w:r>
              <w:rPr>
                <w:rFonts w:hint="default" w:ascii="Times New Roman" w:hAnsi="Times New Roman" w:cs="Times New Roman"/>
                <w:color w:val="auto"/>
                <w:sz w:val="24"/>
                <w:highlight w:val="none"/>
              </w:rPr>
              <w:t>正常情况下，必须按规定程序并经控制台确认验证设置无误时，才能由"启动"键启动照射；同时在操作台和床体上均设置有“急停按钮”按钮，一旦发现异常情况，工作人员可立即按下此按钮来停止照射。</w:t>
            </w:r>
          </w:p>
          <w:p w14:paraId="588FA97C">
            <w:pPr>
              <w:pStyle w:val="32"/>
              <w:keepNext w:val="0"/>
              <w:keepLines w:val="0"/>
              <w:pageBreakBefore w:val="0"/>
              <w:widowControl w:val="0"/>
              <w:kinsoku/>
              <w:wordWrap/>
              <w:overflowPunct/>
              <w:topLinePunct w:val="0"/>
              <w:bidi w:val="0"/>
              <w:adjustRightInd w:val="0"/>
              <w:snapToGrid w:val="0"/>
              <w:spacing w:line="360" w:lineRule="auto"/>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（二）对医生、患者的辐射防护措施</w:t>
            </w:r>
          </w:p>
          <w:p w14:paraId="776D9EBD">
            <w:pPr>
              <w:keepNext w:val="0"/>
              <w:keepLines w:val="0"/>
              <w:pageBreakBefore w:val="0"/>
              <w:widowControl w:val="0"/>
              <w:kinsoku/>
              <w:wordWrap/>
              <w:overflowPunct/>
              <w:topLinePunct w:val="0"/>
              <w:bidi w:val="0"/>
              <w:adjustRightInd w:val="0"/>
              <w:snapToGrid w:val="0"/>
              <w:spacing w:line="360" w:lineRule="auto"/>
              <w:ind w:left="0" w:leftChars="0" w:firstLine="420" w:firstLineChars="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在实施诊治之前，应事先告知患者或被检查者辐射对健康的潜在影响；应注意对陪护者的防护，使其在陪护患者的全程诊治中，所受的辐射剂量做到最小化。</w:t>
            </w:r>
          </w:p>
          <w:p w14:paraId="2EB53B51">
            <w:pPr>
              <w:keepNext w:val="0"/>
              <w:keepLines w:val="0"/>
              <w:pageBreakBefore w:val="0"/>
              <w:widowControl w:val="0"/>
              <w:kinsoku/>
              <w:wordWrap/>
              <w:overflowPunct/>
              <w:topLinePunct w:val="0"/>
              <w:bidi w:val="0"/>
              <w:adjustRightInd w:val="0"/>
              <w:snapToGrid w:val="0"/>
              <w:spacing w:line="360" w:lineRule="auto"/>
              <w:ind w:left="0" w:leftChars="0" w:firstLine="420" w:firstLineChars="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在介入诊疗中，手术医生必须认真做好自身的防护工作。具体要求是：</w:t>
            </w:r>
          </w:p>
          <w:p w14:paraId="539D93BD">
            <w:pPr>
              <w:keepNext w:val="0"/>
              <w:keepLines w:val="0"/>
              <w:pageBreakBefore w:val="0"/>
              <w:widowControl w:val="0"/>
              <w:kinsoku/>
              <w:wordWrap/>
              <w:overflowPunct/>
              <w:topLinePunct w:val="0"/>
              <w:bidi w:val="0"/>
              <w:adjustRightInd w:val="0"/>
              <w:snapToGrid w:val="0"/>
              <w:spacing w:line="360" w:lineRule="auto"/>
              <w:ind w:left="0" w:leftChars="0" w:firstLine="420" w:firstLineChars="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①进一步提高安全文化素养，全面掌握辐射防护法规与技术知识。</w:t>
            </w:r>
          </w:p>
          <w:p w14:paraId="2C9EDE03">
            <w:pPr>
              <w:keepNext w:val="0"/>
              <w:keepLines w:val="0"/>
              <w:pageBreakBefore w:val="0"/>
              <w:widowControl w:val="0"/>
              <w:kinsoku/>
              <w:wordWrap/>
              <w:overflowPunct/>
              <w:topLinePunct w:val="0"/>
              <w:bidi w:val="0"/>
              <w:adjustRightInd w:val="0"/>
              <w:snapToGrid w:val="0"/>
              <w:spacing w:line="360" w:lineRule="auto"/>
              <w:ind w:left="0" w:leftChars="0" w:firstLine="420" w:firstLineChars="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②结合诊疗项目实际，综合运用时间、距离与屏蔽防护措施。</w:t>
            </w:r>
          </w:p>
          <w:p w14:paraId="1BF364AC">
            <w:pPr>
              <w:keepNext w:val="0"/>
              <w:keepLines w:val="0"/>
              <w:pageBreakBefore w:val="0"/>
              <w:widowControl w:val="0"/>
              <w:kinsoku/>
              <w:wordWrap/>
              <w:overflowPunct/>
              <w:topLinePunct w:val="0"/>
              <w:bidi w:val="0"/>
              <w:adjustRightInd w:val="0"/>
              <w:snapToGrid w:val="0"/>
              <w:spacing w:line="360" w:lineRule="auto"/>
              <w:ind w:left="0" w:leftChars="0" w:firstLine="420" w:firstLineChars="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③介入手术/检查中，佩戴好个人防护用具。</w:t>
            </w:r>
          </w:p>
          <w:p w14:paraId="17EEDE92">
            <w:pPr>
              <w:keepNext w:val="0"/>
              <w:keepLines w:val="0"/>
              <w:pageBreakBefore w:val="0"/>
              <w:widowControl w:val="0"/>
              <w:kinsoku/>
              <w:wordWrap/>
              <w:overflowPunct/>
              <w:topLinePunct w:val="0"/>
              <w:bidi w:val="0"/>
              <w:adjustRightInd w:val="0"/>
              <w:snapToGrid w:val="0"/>
              <w:spacing w:line="360" w:lineRule="auto"/>
              <w:ind w:left="0" w:leftChars="0" w:firstLine="420" w:firstLineChars="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④必须开展介入诊疗手术医生的个人剂量监测。</w:t>
            </w:r>
          </w:p>
          <w:p w14:paraId="64BADC09">
            <w:pPr>
              <w:keepNext w:val="0"/>
              <w:keepLines w:val="0"/>
              <w:pageBreakBefore w:val="0"/>
              <w:widowControl w:val="0"/>
              <w:kinsoku/>
              <w:wordWrap/>
              <w:overflowPunct/>
              <w:topLinePunct w:val="0"/>
              <w:bidi w:val="0"/>
              <w:adjustRightInd w:val="0"/>
              <w:snapToGrid w:val="0"/>
              <w:spacing w:line="360" w:lineRule="auto"/>
              <w:ind w:left="0" w:leftChars="0" w:firstLine="420" w:firstLineChars="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⑤发现问题及时整改。</w:t>
            </w:r>
          </w:p>
          <w:p w14:paraId="723BD4B5">
            <w:pPr>
              <w:keepNext w:val="0"/>
              <w:keepLines w:val="0"/>
              <w:pageBreakBefore w:val="0"/>
              <w:widowControl w:val="0"/>
              <w:kinsoku/>
              <w:wordWrap/>
              <w:overflowPunct/>
              <w:topLinePunct w:val="0"/>
              <w:bidi w:val="0"/>
              <w:adjustRightInd w:val="0"/>
              <w:snapToGrid w:val="0"/>
              <w:spacing w:line="360" w:lineRule="auto"/>
              <w:ind w:left="0" w:leftChars="0" w:firstLine="420" w:firstLineChars="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 xml:space="preserve">同时，医生在为患者实施介入治疗时还须采取以下防护措施： </w:t>
            </w:r>
          </w:p>
          <w:p w14:paraId="7A99F4FE">
            <w:pPr>
              <w:keepNext w:val="0"/>
              <w:keepLines w:val="0"/>
              <w:pageBreakBefore w:val="0"/>
              <w:widowControl w:val="0"/>
              <w:kinsoku/>
              <w:wordWrap/>
              <w:overflowPunct/>
              <w:topLinePunct w:val="0"/>
              <w:bidi w:val="0"/>
              <w:adjustRightInd w:val="0"/>
              <w:snapToGrid w:val="0"/>
              <w:spacing w:line="360" w:lineRule="auto"/>
              <w:ind w:left="0" w:leftChars="0" w:firstLine="420" w:firstLineChars="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①时间防护：在满足诊断要求的前提下，在每次使用射线装置进行诊断之前，根据诊断要求和病人实际情况制定最优化的诊断方案，选择合理可行尽量低的射线照射参数，以及尽量短的曝光时间，减少工作人员和相关公众的受照射时间，也避免病人受到额外剂量的照射。</w:t>
            </w:r>
          </w:p>
          <w:p w14:paraId="3125FB36">
            <w:pPr>
              <w:keepNext w:val="0"/>
              <w:keepLines w:val="0"/>
              <w:pageBreakBefore w:val="0"/>
              <w:widowControl w:val="0"/>
              <w:kinsoku/>
              <w:wordWrap/>
              <w:overflowPunct/>
              <w:topLinePunct w:val="0"/>
              <w:bidi w:val="0"/>
              <w:adjustRightInd w:val="0"/>
              <w:snapToGrid w:val="0"/>
              <w:spacing w:line="360" w:lineRule="auto"/>
              <w:ind w:left="0" w:leftChars="0" w:firstLine="420" w:firstLineChars="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②距离防护：对患者非投照部位做好保护工作，在不影响工作质量的前提下，尽可能加大患者与射线装置的距离。DSA介入室的技师采取隔室操作方式，控制室与手术室之间以墙体隔开，通过观察窗观察病人情况，通过对讲机与病人交流。</w:t>
            </w:r>
          </w:p>
          <w:p w14:paraId="1FE1BAB7">
            <w:pPr>
              <w:keepNext w:val="0"/>
              <w:keepLines w:val="0"/>
              <w:pageBreakBefore w:val="0"/>
              <w:widowControl w:val="0"/>
              <w:kinsoku/>
              <w:wordWrap/>
              <w:overflowPunct/>
              <w:topLinePunct w:val="0"/>
              <w:bidi w:val="0"/>
              <w:adjustRightInd w:val="0"/>
              <w:snapToGrid w:val="0"/>
              <w:spacing w:line="360" w:lineRule="auto"/>
              <w:ind w:left="0" w:leftChars="0" w:firstLine="420" w:firstLineChars="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③防护用品：辐射工作人员在诊疗过程中应自行穿戴相应铅防护用品，并使用铅防护用品遮挡患者非诊疗部位。</w:t>
            </w:r>
          </w:p>
          <w:p w14:paraId="65C4223D">
            <w:pPr>
              <w:keepNext w:val="0"/>
              <w:keepLines w:val="0"/>
              <w:pageBreakBefore w:val="0"/>
              <w:widowControl w:val="0"/>
              <w:kinsoku/>
              <w:wordWrap/>
              <w:overflowPunct/>
              <w:topLinePunct w:val="0"/>
              <w:bidi w:val="0"/>
              <w:adjustRightInd w:val="0"/>
              <w:snapToGrid w:val="0"/>
              <w:spacing w:line="360" w:lineRule="auto"/>
              <w:ind w:left="0" w:leftChars="0" w:firstLine="420" w:firstLineChars="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④缩小照射野：在不影响操作的前提下尽量缩小照射野。</w:t>
            </w:r>
          </w:p>
          <w:p w14:paraId="2708ADBA">
            <w:pPr>
              <w:keepNext w:val="0"/>
              <w:keepLines w:val="0"/>
              <w:pageBreakBefore w:val="0"/>
              <w:widowControl w:val="0"/>
              <w:kinsoku/>
              <w:wordWrap/>
              <w:overflowPunct/>
              <w:topLinePunct w:val="0"/>
              <w:bidi w:val="0"/>
              <w:adjustRightInd w:val="0"/>
              <w:snapToGrid w:val="0"/>
              <w:spacing w:line="360" w:lineRule="auto"/>
              <w:ind w:left="0" w:leftChars="0" w:firstLine="420" w:firstLineChars="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⑤缩短物片距：尽量让影像增强器或平板靠近患者，减少散射线。</w:t>
            </w:r>
          </w:p>
          <w:p w14:paraId="52A2347C">
            <w:pPr>
              <w:keepNext w:val="0"/>
              <w:keepLines w:val="0"/>
              <w:pageBreakBefore w:val="0"/>
              <w:widowControl w:val="0"/>
              <w:kinsoku/>
              <w:wordWrap/>
              <w:overflowPunct/>
              <w:topLinePunct w:val="0"/>
              <w:bidi w:val="0"/>
              <w:adjustRightInd w:val="0"/>
              <w:snapToGrid w:val="0"/>
              <w:spacing w:line="360" w:lineRule="auto"/>
              <w:ind w:left="0" w:leftChars="0" w:firstLine="420" w:firstLineChars="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⑥在不影响图像质量和诊疗需要的前提下，尽量使用低剂量。</w:t>
            </w:r>
          </w:p>
          <w:p w14:paraId="7E653D8A">
            <w:pPr>
              <w:keepNext w:val="0"/>
              <w:keepLines w:val="0"/>
              <w:pageBreakBefore w:val="0"/>
              <w:widowControl w:val="0"/>
              <w:kinsoku/>
              <w:wordWrap/>
              <w:overflowPunct/>
              <w:topLinePunct w:val="0"/>
              <w:bidi w:val="0"/>
              <w:adjustRightInd w:val="0"/>
              <w:snapToGrid w:val="0"/>
              <w:spacing w:line="360" w:lineRule="auto"/>
              <w:ind w:left="0" w:leftChars="0" w:firstLine="420" w:firstLineChars="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⑦定期维护介入设备；制定和执行介入诊疗中的质量保证计划。</w:t>
            </w:r>
          </w:p>
          <w:p w14:paraId="7A6C783B">
            <w:pPr>
              <w:keepNext w:val="0"/>
              <w:keepLines w:val="0"/>
              <w:pageBreakBefore w:val="0"/>
              <w:widowControl w:val="0"/>
              <w:kinsoku/>
              <w:wordWrap/>
              <w:overflowPunct/>
              <w:topLinePunct w:val="0"/>
              <w:bidi w:val="0"/>
              <w:adjustRightInd w:val="0"/>
              <w:snapToGrid w:val="0"/>
              <w:spacing w:line="360" w:lineRule="auto"/>
              <w:ind w:left="0" w:leftChars="0" w:firstLine="420" w:firstLineChars="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根据《四川省核技术利用单位辐射安全工作指引（2025年版）》，建设单位应制定且不断完善《射线装置操作规程》，并严格按照该规程操作。在该规程中明确规定：辐射工作人员必须佩戴个人剂量计、个人剂量报警仪及铅防护用品，在介入诊疗中必须认真做好自身的防护工作，同时介入诊疗中必须做好患者的防护工作。</w:t>
            </w:r>
          </w:p>
          <w:p w14:paraId="37EF6152">
            <w:pPr>
              <w:keepNext w:val="0"/>
              <w:keepLines w:val="0"/>
              <w:pageBreakBefore w:val="0"/>
              <w:widowControl w:val="0"/>
              <w:kinsoku/>
              <w:wordWrap/>
              <w:overflowPunct/>
              <w:topLinePunct w:val="0"/>
              <w:bidi w:val="0"/>
              <w:adjustRightInd w:val="0"/>
              <w:snapToGrid w:val="0"/>
              <w:spacing w:line="360" w:lineRule="auto"/>
              <w:ind w:left="0" w:leftChars="0" w:firstLine="420" w:firstLineChars="0"/>
              <w:rPr>
                <w:rFonts w:hint="default" w:ascii="Times New Roman" w:hAnsi="Times New Roman" w:eastAsia="宋体" w:cs="Times New Roman"/>
                <w:b/>
                <w:bCs/>
                <w:color w:val="auto"/>
                <w:sz w:val="24"/>
                <w:highlight w:val="none"/>
                <w:lang w:val="en-US" w:eastAsia="zh-CN"/>
              </w:rPr>
            </w:pPr>
            <w:r>
              <w:rPr>
                <w:rFonts w:hint="eastAsia" w:ascii="Times New Roman" w:hAnsi="Times New Roman" w:cs="Times New Roman"/>
                <w:b/>
                <w:bCs/>
                <w:color w:val="auto"/>
                <w:sz w:val="24"/>
                <w:highlight w:val="none"/>
                <w:lang w:val="en-US" w:eastAsia="zh-CN"/>
              </w:rPr>
              <w:t>（三）DSA介入室辐射防护</w:t>
            </w:r>
            <w:r>
              <w:rPr>
                <w:rFonts w:hint="default" w:ascii="Times New Roman" w:hAnsi="Times New Roman" w:cs="Times New Roman"/>
                <w:b/>
                <w:bCs/>
                <w:color w:val="auto"/>
                <w:sz w:val="24"/>
                <w:highlight w:val="none"/>
              </w:rPr>
              <w:t>屏蔽</w:t>
            </w:r>
            <w:r>
              <w:rPr>
                <w:rFonts w:hint="eastAsia" w:ascii="Times New Roman" w:hAnsi="Times New Roman" w:cs="Times New Roman"/>
                <w:b/>
                <w:bCs/>
                <w:color w:val="auto"/>
                <w:sz w:val="24"/>
                <w:highlight w:val="none"/>
                <w:lang w:val="en-US" w:eastAsia="zh-CN"/>
              </w:rPr>
              <w:t>及尺寸</w:t>
            </w:r>
          </w:p>
          <w:p w14:paraId="7E2B9C80">
            <w:pPr>
              <w:pStyle w:val="32"/>
              <w:snapToGrid w:val="0"/>
              <w:spacing w:line="360" w:lineRule="auto"/>
              <w:ind w:firstLine="472" w:firstLineChars="200"/>
              <w:jc w:val="both"/>
              <w:rPr>
                <w:rFonts w:hint="default" w:ascii="Times New Roman" w:hAnsi="Times New Roman" w:cs="Times New Roman"/>
                <w:b/>
                <w:bCs/>
                <w:color w:val="auto"/>
                <w:kern w:val="0"/>
                <w:highlight w:val="none"/>
              </w:rPr>
            </w:pPr>
            <w:r>
              <w:rPr>
                <w:rFonts w:hint="default" w:ascii="Times New Roman" w:hAnsi="Times New Roman" w:cs="Times New Roman"/>
                <w:color w:val="auto"/>
                <w:spacing w:val="-2"/>
                <w:highlight w:val="none"/>
              </w:rPr>
              <w:t>根据</w:t>
            </w:r>
            <w:r>
              <w:rPr>
                <w:rFonts w:hint="default" w:ascii="Times New Roman" w:hAnsi="Times New Roman" w:cs="Times New Roman"/>
                <w:color w:val="auto"/>
                <w:highlight w:val="none"/>
              </w:rPr>
              <w:t>《放射诊断放射防护要求》（GBZ130-2020）表3，DSA机房屏蔽防护铅当量厚度应满足标称电压下等效铅当量要求。</w:t>
            </w:r>
          </w:p>
          <w:p w14:paraId="5BA14E43">
            <w:pPr>
              <w:pStyle w:val="65"/>
              <w:adjustRightInd w:val="0"/>
              <w:snapToGrid w:val="0"/>
              <w:spacing w:line="360" w:lineRule="auto"/>
              <w:ind w:firstLine="480"/>
              <w:rPr>
                <w:rFonts w:hint="default" w:ascii="Times New Roman" w:hAnsi="Times New Roman" w:cs="Times New Roman"/>
                <w:b/>
                <w:bCs/>
                <w:color w:val="auto"/>
                <w:kern w:val="0"/>
                <w:sz w:val="24"/>
                <w:highlight w:val="none"/>
              </w:rPr>
            </w:pPr>
            <w:r>
              <w:rPr>
                <w:rFonts w:hint="default" w:ascii="Times New Roman" w:hAnsi="Times New Roman" w:cs="Times New Roman"/>
                <w:color w:val="auto"/>
                <w:sz w:val="24"/>
                <w:highlight w:val="none"/>
              </w:rPr>
              <w:t>本项目DSA机房设计的屏蔽参数见表1-1。根据《放射诊断放射防护要求》（GBZ130-2020）公式C.1、C.2以及附录表C.2、C.3可知。</w:t>
            </w:r>
          </w:p>
          <w:p w14:paraId="4B5F060C">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position w:val="-24"/>
                <w:sz w:val="24"/>
                <w:highlight w:val="none"/>
              </w:rPr>
              <w:drawing>
                <wp:anchor distT="0" distB="0" distL="114300" distR="114300" simplePos="0" relativeHeight="251665408" behindDoc="0" locked="0" layoutInCell="1" allowOverlap="1">
                  <wp:simplePos x="0" y="0"/>
                  <wp:positionH relativeFrom="column">
                    <wp:posOffset>1863725</wp:posOffset>
                  </wp:positionH>
                  <wp:positionV relativeFrom="paragraph">
                    <wp:posOffset>379730</wp:posOffset>
                  </wp:positionV>
                  <wp:extent cx="1459865" cy="444500"/>
                  <wp:effectExtent l="0" t="0" r="6985" b="0"/>
                  <wp:wrapSquare wrapText="bothSides"/>
                  <wp:docPr id="86" name="Object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Object 37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459865" cy="444500"/>
                          </a:xfrm>
                          <a:prstGeom prst="rect">
                            <a:avLst/>
                          </a:prstGeom>
                          <a:noFill/>
                        </pic:spPr>
                      </pic:pic>
                    </a:graphicData>
                  </a:graphic>
                </wp:anchor>
              </w:drawing>
            </w:r>
            <w:r>
              <w:rPr>
                <w:rFonts w:hint="default" w:ascii="Times New Roman" w:hAnsi="Times New Roman" w:cs="Times New Roman"/>
                <w:color w:val="auto"/>
                <w:sz w:val="24"/>
                <w:highlight w:val="none"/>
              </w:rPr>
              <w:t>辐射透射因子B：</w:t>
            </w:r>
          </w:p>
          <w:p w14:paraId="410910A5">
            <w:pPr>
              <w:adjustRightInd w:val="0"/>
              <w:snapToGrid w:val="0"/>
              <w:spacing w:line="360" w:lineRule="auto"/>
              <w:ind w:firstLine="480" w:firstLineChars="200"/>
              <w:rPr>
                <w:rFonts w:hint="default" w:ascii="Times New Roman" w:hAnsi="Times New Roman" w:cs="Times New Roman"/>
                <w:color w:val="auto"/>
                <w:sz w:val="24"/>
                <w:highlight w:val="none"/>
              </w:rPr>
            </w:pPr>
          </w:p>
          <w:p w14:paraId="15EE56D6">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------------公式1</w:t>
            </w:r>
          </w:p>
          <w:p w14:paraId="5CAC1575">
            <w:pPr>
              <w:adjustRightInd w:val="0"/>
              <w:snapToGrid w:val="0"/>
              <w:spacing w:line="360" w:lineRule="auto"/>
              <w:ind w:firstLine="468" w:firstLineChars="200"/>
              <w:jc w:val="left"/>
              <w:rPr>
                <w:rFonts w:hint="default" w:ascii="Times New Roman" w:hAnsi="Times New Roman" w:cs="Times New Roman"/>
                <w:color w:val="auto"/>
                <w:spacing w:val="-3"/>
                <w:kern w:val="0"/>
                <w:sz w:val="24"/>
                <w:highlight w:val="none"/>
              </w:rPr>
            </w:pPr>
            <w:r>
              <w:rPr>
                <w:rFonts w:hint="default" w:ascii="Times New Roman" w:hAnsi="Times New Roman" w:cs="Times New Roman"/>
                <w:color w:val="auto"/>
                <w:spacing w:val="-3"/>
                <w:kern w:val="0"/>
                <w:sz w:val="24"/>
                <w:highlight w:val="none"/>
              </w:rPr>
              <w:t>B——给定</w:t>
            </w:r>
            <w:r>
              <w:rPr>
                <w:rFonts w:hint="default" w:ascii="Times New Roman" w:hAnsi="Times New Roman" w:cs="Times New Roman"/>
                <w:color w:val="auto"/>
                <w:spacing w:val="-3"/>
                <w:kern w:val="0"/>
                <w:sz w:val="24"/>
                <w:highlight w:val="none"/>
                <w:lang w:val="en-US" w:eastAsia="zh-CN"/>
              </w:rPr>
              <w:t>铅</w:t>
            </w:r>
            <w:r>
              <w:rPr>
                <w:rFonts w:hint="default" w:ascii="Times New Roman" w:hAnsi="Times New Roman" w:cs="Times New Roman"/>
                <w:color w:val="auto"/>
                <w:spacing w:val="-3"/>
                <w:kern w:val="0"/>
                <w:sz w:val="24"/>
                <w:highlight w:val="none"/>
              </w:rPr>
              <w:t>厚度的屏蔽透射因子；</w:t>
            </w:r>
          </w:p>
          <w:p w14:paraId="38D508EC">
            <w:pPr>
              <w:adjustRightInd w:val="0"/>
              <w:snapToGrid w:val="0"/>
              <w:spacing w:line="360" w:lineRule="auto"/>
              <w:ind w:firstLine="468" w:firstLineChars="200"/>
              <w:rPr>
                <w:rFonts w:hint="default" w:ascii="Times New Roman" w:hAnsi="Times New Roman" w:cs="Times New Roman"/>
                <w:color w:val="auto"/>
                <w:spacing w:val="-3"/>
                <w:kern w:val="0"/>
                <w:sz w:val="24"/>
                <w:highlight w:val="none"/>
              </w:rPr>
            </w:pPr>
            <w:r>
              <w:rPr>
                <w:rFonts w:hint="default" w:ascii="Times New Roman" w:hAnsi="Times New Roman" w:cs="Times New Roman"/>
                <w:color w:val="auto"/>
                <w:spacing w:val="-3"/>
                <w:kern w:val="0"/>
                <w:sz w:val="24"/>
                <w:highlight w:val="none"/>
              </w:rPr>
              <w:t>X——材质厚度（mm）；</w:t>
            </w:r>
          </w:p>
          <w:p w14:paraId="50041C9F">
            <w:pPr>
              <w:adjustRightInd w:val="0"/>
              <w:snapToGrid w:val="0"/>
              <w:spacing w:line="360" w:lineRule="auto"/>
              <w:ind w:firstLine="468" w:firstLineChars="200"/>
              <w:rPr>
                <w:rFonts w:hint="default" w:ascii="Times New Roman" w:hAnsi="Times New Roman" w:cs="Times New Roman"/>
                <w:color w:val="auto"/>
                <w:spacing w:val="-3"/>
                <w:kern w:val="0"/>
                <w:sz w:val="24"/>
                <w:highlight w:val="none"/>
              </w:rPr>
            </w:pPr>
            <w:r>
              <w:rPr>
                <w:rFonts w:hint="default" w:ascii="Times New Roman" w:hAnsi="Times New Roman" w:cs="Times New Roman"/>
                <w:color w:val="auto"/>
                <w:spacing w:val="-3"/>
                <w:kern w:val="0"/>
                <w:position w:val="-4"/>
                <w:sz w:val="24"/>
                <w:highlight w:val="none"/>
              </w:rPr>
              <w:t>α</w:t>
            </w:r>
            <w:r>
              <w:rPr>
                <w:rFonts w:hint="default" w:ascii="Times New Roman" w:hAnsi="Times New Roman" w:cs="Times New Roman"/>
                <w:color w:val="auto"/>
                <w:spacing w:val="-3"/>
                <w:kern w:val="0"/>
                <w:sz w:val="24"/>
                <w:highlight w:val="none"/>
              </w:rPr>
              <w:t>——</w:t>
            </w:r>
            <w:r>
              <w:rPr>
                <w:rFonts w:hint="default" w:ascii="Times New Roman" w:hAnsi="Times New Roman" w:cs="Times New Roman"/>
                <w:color w:val="auto"/>
                <w:spacing w:val="-3"/>
                <w:kern w:val="0"/>
                <w:sz w:val="24"/>
                <w:highlight w:val="none"/>
                <w:lang w:val="en-US" w:eastAsia="zh-CN"/>
              </w:rPr>
              <w:t>铅</w:t>
            </w:r>
            <w:r>
              <w:rPr>
                <w:rFonts w:hint="default" w:ascii="Times New Roman" w:hAnsi="Times New Roman" w:cs="Times New Roman"/>
                <w:color w:val="auto"/>
                <w:spacing w:val="-3"/>
                <w:kern w:val="0"/>
                <w:sz w:val="24"/>
                <w:highlight w:val="none"/>
              </w:rPr>
              <w:t>对不同管电压X射线衰减的有关的拟合参数；</w:t>
            </w:r>
          </w:p>
          <w:p w14:paraId="2546888D">
            <w:pPr>
              <w:adjustRightInd w:val="0"/>
              <w:snapToGrid w:val="0"/>
              <w:spacing w:line="360" w:lineRule="auto"/>
              <w:ind w:firstLine="468" w:firstLineChars="200"/>
              <w:rPr>
                <w:rFonts w:hint="default" w:ascii="Times New Roman" w:hAnsi="Times New Roman" w:cs="Times New Roman"/>
                <w:color w:val="auto"/>
                <w:spacing w:val="-3"/>
                <w:kern w:val="0"/>
                <w:sz w:val="24"/>
                <w:highlight w:val="none"/>
              </w:rPr>
            </w:pPr>
            <w:r>
              <w:rPr>
                <w:rFonts w:hint="default" w:ascii="Times New Roman" w:hAnsi="Times New Roman" w:cs="Times New Roman"/>
                <w:color w:val="auto"/>
                <w:spacing w:val="-3"/>
                <w:kern w:val="0"/>
                <w:sz w:val="24"/>
                <w:highlight w:val="none"/>
              </w:rPr>
              <w:t>β——</w:t>
            </w:r>
            <w:r>
              <w:rPr>
                <w:rFonts w:hint="default" w:ascii="Times New Roman" w:hAnsi="Times New Roman" w:cs="Times New Roman"/>
                <w:color w:val="auto"/>
                <w:spacing w:val="-3"/>
                <w:kern w:val="0"/>
                <w:sz w:val="24"/>
                <w:highlight w:val="none"/>
                <w:lang w:val="en-US" w:eastAsia="zh-CN"/>
              </w:rPr>
              <w:t>铅</w:t>
            </w:r>
            <w:r>
              <w:rPr>
                <w:rFonts w:hint="default" w:ascii="Times New Roman" w:hAnsi="Times New Roman" w:cs="Times New Roman"/>
                <w:color w:val="auto"/>
                <w:spacing w:val="-3"/>
                <w:kern w:val="0"/>
                <w:sz w:val="24"/>
                <w:highlight w:val="none"/>
              </w:rPr>
              <w:t>对不同管电压X射线衰减的有关的拟合参数；</w:t>
            </w:r>
          </w:p>
          <w:p w14:paraId="7C5DC4E7">
            <w:pPr>
              <w:adjustRightInd w:val="0"/>
              <w:snapToGrid w:val="0"/>
              <w:spacing w:line="360" w:lineRule="auto"/>
              <w:ind w:firstLine="468" w:firstLineChars="200"/>
              <w:rPr>
                <w:rFonts w:hint="default" w:ascii="Times New Roman" w:hAnsi="Times New Roman" w:cs="Times New Roman"/>
                <w:color w:val="auto"/>
                <w:highlight w:val="none"/>
              </w:rPr>
            </w:pPr>
            <w:r>
              <w:rPr>
                <w:rFonts w:hint="default" w:ascii="Times New Roman" w:hAnsi="Times New Roman" w:cs="Times New Roman"/>
                <w:color w:val="auto"/>
                <w:spacing w:val="-3"/>
                <w:kern w:val="0"/>
                <w:sz w:val="24"/>
                <w:highlight w:val="none"/>
              </w:rPr>
              <w:t>γ——</w:t>
            </w:r>
            <w:r>
              <w:rPr>
                <w:rFonts w:hint="default" w:ascii="Times New Roman" w:hAnsi="Times New Roman" w:cs="Times New Roman"/>
                <w:color w:val="auto"/>
                <w:spacing w:val="-3"/>
                <w:kern w:val="0"/>
                <w:sz w:val="24"/>
                <w:highlight w:val="none"/>
                <w:lang w:val="en-US" w:eastAsia="zh-CN"/>
              </w:rPr>
              <w:t>铅</w:t>
            </w:r>
            <w:r>
              <w:rPr>
                <w:rFonts w:hint="default" w:ascii="Times New Roman" w:hAnsi="Times New Roman" w:cs="Times New Roman"/>
                <w:color w:val="auto"/>
                <w:spacing w:val="-3"/>
                <w:kern w:val="0"/>
                <w:sz w:val="24"/>
                <w:highlight w:val="none"/>
              </w:rPr>
              <w:t>对不同管电压X射线衰减的有关的拟合参数。</w:t>
            </w:r>
          </w:p>
          <w:p w14:paraId="16D60757">
            <w:pPr>
              <w:adjustRightInd w:val="0"/>
              <w:snapToGrid w:val="0"/>
              <w:spacing w:line="360" w:lineRule="auto"/>
              <w:ind w:firstLine="420" w:firstLineChars="200"/>
              <w:rPr>
                <w:rFonts w:hint="default" w:ascii="Times New Roman" w:hAnsi="Times New Roman" w:cs="Times New Roman"/>
                <w:color w:val="auto"/>
                <w:spacing w:val="-3"/>
                <w:kern w:val="0"/>
                <w:sz w:val="24"/>
                <w:highlight w:val="none"/>
              </w:rPr>
            </w:pPr>
            <w:r>
              <w:rPr>
                <w:rFonts w:hint="default" w:ascii="Times New Roman" w:hAnsi="Times New Roman" w:cs="Times New Roman"/>
                <w:color w:val="auto"/>
                <w:highlight w:val="none"/>
              </w:rPr>
              <w:drawing>
                <wp:anchor distT="0" distB="0" distL="114300" distR="114300" simplePos="0" relativeHeight="251670528" behindDoc="0" locked="0" layoutInCell="1" allowOverlap="1">
                  <wp:simplePos x="0" y="0"/>
                  <wp:positionH relativeFrom="column">
                    <wp:posOffset>1470025</wp:posOffset>
                  </wp:positionH>
                  <wp:positionV relativeFrom="paragraph">
                    <wp:posOffset>231140</wp:posOffset>
                  </wp:positionV>
                  <wp:extent cx="1733550" cy="1104900"/>
                  <wp:effectExtent l="0" t="0" r="0" b="0"/>
                  <wp:wrapSquare wrapText="bothSides"/>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36"/>
                          <a:stretch>
                            <a:fillRect/>
                          </a:stretch>
                        </pic:blipFill>
                        <pic:spPr>
                          <a:xfrm>
                            <a:off x="0" y="0"/>
                            <a:ext cx="1733550" cy="1104900"/>
                          </a:xfrm>
                          <a:prstGeom prst="rect">
                            <a:avLst/>
                          </a:prstGeom>
                          <a:noFill/>
                          <a:ln>
                            <a:noFill/>
                          </a:ln>
                        </pic:spPr>
                      </pic:pic>
                    </a:graphicData>
                  </a:graphic>
                </wp:anchor>
              </w:drawing>
            </w:r>
            <w:r>
              <w:rPr>
                <w:rFonts w:hint="default" w:ascii="Times New Roman" w:hAnsi="Times New Roman" w:cs="Times New Roman"/>
                <w:color w:val="auto"/>
                <w:spacing w:val="-3"/>
                <w:kern w:val="0"/>
                <w:sz w:val="24"/>
                <w:highlight w:val="none"/>
              </w:rPr>
              <w:t xml:space="preserve">铅当量厚度X：                                         </w:t>
            </w:r>
          </w:p>
          <w:p w14:paraId="5C107F11">
            <w:pPr>
              <w:adjustRightInd w:val="0"/>
              <w:snapToGrid w:val="0"/>
              <w:spacing w:line="360" w:lineRule="auto"/>
              <w:ind w:firstLine="468" w:firstLineChars="200"/>
              <w:rPr>
                <w:rFonts w:hint="default" w:ascii="Times New Roman" w:hAnsi="Times New Roman" w:cs="Times New Roman"/>
                <w:color w:val="auto"/>
                <w:spacing w:val="-3"/>
                <w:kern w:val="0"/>
                <w:sz w:val="24"/>
                <w:highlight w:val="none"/>
              </w:rPr>
            </w:pPr>
          </w:p>
          <w:p w14:paraId="002B95FC">
            <w:pPr>
              <w:adjustRightInd w:val="0"/>
              <w:snapToGrid w:val="0"/>
              <w:spacing w:line="360" w:lineRule="auto"/>
              <w:ind w:firstLine="1200" w:firstLineChars="5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------------公式2</w:t>
            </w:r>
          </w:p>
          <w:p w14:paraId="16A340CB">
            <w:pPr>
              <w:pStyle w:val="32"/>
              <w:rPr>
                <w:rFonts w:hint="default" w:ascii="Times New Roman" w:hAnsi="Times New Roman" w:cs="Times New Roman"/>
                <w:color w:val="auto"/>
                <w:sz w:val="24"/>
                <w:highlight w:val="none"/>
              </w:rPr>
            </w:pPr>
          </w:p>
          <w:p w14:paraId="5A46F90F">
            <w:pPr>
              <w:pStyle w:val="34"/>
              <w:rPr>
                <w:rFonts w:hint="default" w:ascii="Times New Roman" w:hAnsi="Times New Roman" w:cs="Times New Roman"/>
                <w:color w:val="auto"/>
                <w:sz w:val="24"/>
                <w:highlight w:val="none"/>
              </w:rPr>
            </w:pPr>
          </w:p>
          <w:p w14:paraId="30C3339E">
            <w:pPr>
              <w:rPr>
                <w:rFonts w:hint="default" w:ascii="Times New Roman" w:hAnsi="Times New Roman" w:cs="Times New Roman"/>
                <w:color w:val="auto"/>
                <w:sz w:val="24"/>
                <w:highlight w:val="none"/>
              </w:rPr>
            </w:pPr>
          </w:p>
          <w:p w14:paraId="599D65C5">
            <w:pPr>
              <w:pStyle w:val="32"/>
              <w:rPr>
                <w:rFonts w:hint="default"/>
                <w:color w:val="auto"/>
                <w:highlight w:val="none"/>
              </w:rPr>
            </w:pPr>
          </w:p>
          <w:p w14:paraId="118CBF81">
            <w:pPr>
              <w:adjustRightInd w:val="0"/>
              <w:snapToGrid w:val="0"/>
              <w:spacing w:line="360" w:lineRule="auto"/>
              <w:ind w:firstLine="468" w:firstLineChars="200"/>
              <w:jc w:val="left"/>
              <w:rPr>
                <w:rFonts w:hint="default" w:ascii="Times New Roman" w:hAnsi="Times New Roman" w:cs="Times New Roman"/>
                <w:color w:val="auto"/>
                <w:spacing w:val="-3"/>
                <w:kern w:val="0"/>
                <w:sz w:val="24"/>
                <w:highlight w:val="none"/>
              </w:rPr>
            </w:pPr>
            <w:r>
              <w:rPr>
                <w:rFonts w:hint="default" w:ascii="Times New Roman" w:hAnsi="Times New Roman" w:cs="Times New Roman"/>
                <w:color w:val="auto"/>
                <w:spacing w:val="-3"/>
                <w:kern w:val="0"/>
                <w:sz w:val="24"/>
                <w:highlight w:val="none"/>
              </w:rPr>
              <w:t>B——给定</w:t>
            </w:r>
            <w:r>
              <w:rPr>
                <w:rFonts w:hint="default" w:ascii="Times New Roman" w:hAnsi="Times New Roman" w:cs="Times New Roman"/>
                <w:color w:val="auto"/>
                <w:spacing w:val="-3"/>
                <w:kern w:val="0"/>
                <w:sz w:val="24"/>
                <w:highlight w:val="none"/>
                <w:lang w:val="en-US" w:eastAsia="zh-CN"/>
              </w:rPr>
              <w:t>铅</w:t>
            </w:r>
            <w:r>
              <w:rPr>
                <w:rFonts w:hint="default" w:ascii="Times New Roman" w:hAnsi="Times New Roman" w:cs="Times New Roman"/>
                <w:color w:val="auto"/>
                <w:spacing w:val="-3"/>
                <w:kern w:val="0"/>
                <w:sz w:val="24"/>
                <w:highlight w:val="none"/>
              </w:rPr>
              <w:t>厚度的屏蔽透射因子；</w:t>
            </w:r>
          </w:p>
          <w:p w14:paraId="7D810F75">
            <w:pPr>
              <w:adjustRightInd w:val="0"/>
              <w:snapToGrid w:val="0"/>
              <w:spacing w:line="360" w:lineRule="auto"/>
              <w:ind w:firstLine="468" w:firstLineChars="200"/>
              <w:rPr>
                <w:rFonts w:hint="default" w:ascii="Times New Roman" w:hAnsi="Times New Roman" w:cs="Times New Roman"/>
                <w:color w:val="auto"/>
                <w:spacing w:val="-3"/>
                <w:kern w:val="0"/>
                <w:sz w:val="24"/>
                <w:highlight w:val="none"/>
              </w:rPr>
            </w:pPr>
            <w:r>
              <w:rPr>
                <w:rFonts w:hint="default" w:ascii="Times New Roman" w:hAnsi="Times New Roman" w:cs="Times New Roman"/>
                <w:color w:val="auto"/>
                <w:spacing w:val="-3"/>
                <w:kern w:val="0"/>
                <w:sz w:val="24"/>
                <w:highlight w:val="none"/>
              </w:rPr>
              <w:t>X——</w:t>
            </w:r>
            <w:r>
              <w:rPr>
                <w:rFonts w:hint="default" w:ascii="Times New Roman" w:hAnsi="Times New Roman" w:cs="Times New Roman"/>
                <w:color w:val="auto"/>
                <w:spacing w:val="-3"/>
                <w:kern w:val="0"/>
                <w:sz w:val="24"/>
                <w:highlight w:val="none"/>
                <w:lang w:val="en-US" w:eastAsia="zh-CN"/>
              </w:rPr>
              <w:t>不同屏蔽物质的</w:t>
            </w:r>
            <w:r>
              <w:rPr>
                <w:rFonts w:hint="default" w:ascii="Times New Roman" w:hAnsi="Times New Roman" w:cs="Times New Roman"/>
                <w:color w:val="auto"/>
                <w:spacing w:val="-3"/>
                <w:kern w:val="0"/>
                <w:sz w:val="24"/>
                <w:highlight w:val="none"/>
              </w:rPr>
              <w:t>铅</w:t>
            </w:r>
            <w:r>
              <w:rPr>
                <w:rFonts w:hint="default" w:ascii="Times New Roman" w:hAnsi="Times New Roman" w:cs="Times New Roman"/>
                <w:color w:val="auto"/>
                <w:spacing w:val="-3"/>
                <w:kern w:val="0"/>
                <w:sz w:val="24"/>
                <w:highlight w:val="none"/>
                <w:lang w:val="en-US" w:eastAsia="zh-CN"/>
              </w:rPr>
              <w:t>当量</w:t>
            </w:r>
            <w:r>
              <w:rPr>
                <w:rFonts w:hint="default" w:ascii="Times New Roman" w:hAnsi="Times New Roman" w:cs="Times New Roman"/>
                <w:color w:val="auto"/>
                <w:spacing w:val="-3"/>
                <w:kern w:val="0"/>
                <w:sz w:val="24"/>
                <w:highlight w:val="none"/>
              </w:rPr>
              <w:t>厚度（mm）；</w:t>
            </w:r>
          </w:p>
          <w:p w14:paraId="0269FF4A">
            <w:pPr>
              <w:adjustRightInd w:val="0"/>
              <w:snapToGrid w:val="0"/>
              <w:spacing w:line="360" w:lineRule="auto"/>
              <w:ind w:firstLine="468" w:firstLineChars="200"/>
              <w:rPr>
                <w:rFonts w:hint="default" w:ascii="Times New Roman" w:hAnsi="Times New Roman" w:cs="Times New Roman"/>
                <w:color w:val="auto"/>
                <w:spacing w:val="-3"/>
                <w:kern w:val="0"/>
                <w:sz w:val="24"/>
                <w:highlight w:val="none"/>
              </w:rPr>
            </w:pPr>
            <w:r>
              <w:rPr>
                <w:rFonts w:hint="default" w:ascii="Times New Roman" w:hAnsi="Times New Roman" w:cs="Times New Roman"/>
                <w:color w:val="auto"/>
                <w:spacing w:val="-3"/>
                <w:kern w:val="0"/>
                <w:position w:val="-4"/>
                <w:sz w:val="24"/>
                <w:highlight w:val="none"/>
              </w:rPr>
              <w:t>α</w:t>
            </w:r>
            <w:r>
              <w:rPr>
                <w:rFonts w:hint="default" w:ascii="Times New Roman" w:hAnsi="Times New Roman" w:cs="Times New Roman"/>
                <w:color w:val="auto"/>
                <w:spacing w:val="-3"/>
                <w:kern w:val="0"/>
                <w:sz w:val="24"/>
                <w:highlight w:val="none"/>
              </w:rPr>
              <w:t>——</w:t>
            </w:r>
            <w:r>
              <w:rPr>
                <w:rFonts w:hint="default" w:ascii="Times New Roman" w:hAnsi="Times New Roman" w:cs="Times New Roman"/>
                <w:color w:val="auto"/>
                <w:spacing w:val="-3"/>
                <w:kern w:val="0"/>
                <w:sz w:val="24"/>
                <w:highlight w:val="none"/>
                <w:lang w:val="en-US" w:eastAsia="zh-CN"/>
              </w:rPr>
              <w:t>不同屏蔽物质</w:t>
            </w:r>
            <w:r>
              <w:rPr>
                <w:rFonts w:hint="default" w:ascii="Times New Roman" w:hAnsi="Times New Roman" w:cs="Times New Roman"/>
                <w:color w:val="auto"/>
                <w:spacing w:val="-3"/>
                <w:kern w:val="0"/>
                <w:sz w:val="24"/>
                <w:highlight w:val="none"/>
              </w:rPr>
              <w:t>对不同管电压X射线</w:t>
            </w:r>
            <w:r>
              <w:rPr>
                <w:rFonts w:hint="default" w:ascii="Times New Roman" w:hAnsi="Times New Roman" w:cs="Times New Roman"/>
                <w:color w:val="auto"/>
                <w:spacing w:val="-3"/>
                <w:kern w:val="0"/>
                <w:sz w:val="24"/>
                <w:highlight w:val="none"/>
                <w:lang w:val="en-US" w:eastAsia="zh-CN"/>
              </w:rPr>
              <w:t>辐射</w:t>
            </w:r>
            <w:r>
              <w:rPr>
                <w:rFonts w:hint="default" w:ascii="Times New Roman" w:hAnsi="Times New Roman" w:cs="Times New Roman"/>
                <w:color w:val="auto"/>
                <w:spacing w:val="-3"/>
                <w:kern w:val="0"/>
                <w:sz w:val="24"/>
                <w:highlight w:val="none"/>
              </w:rPr>
              <w:t>衰减的有关的拟合参数；</w:t>
            </w:r>
          </w:p>
          <w:p w14:paraId="50585C4D">
            <w:pPr>
              <w:adjustRightInd w:val="0"/>
              <w:snapToGrid w:val="0"/>
              <w:spacing w:line="360" w:lineRule="auto"/>
              <w:ind w:firstLine="468" w:firstLineChars="200"/>
              <w:rPr>
                <w:rFonts w:hint="default" w:ascii="Times New Roman" w:hAnsi="Times New Roman" w:cs="Times New Roman"/>
                <w:color w:val="auto"/>
                <w:spacing w:val="-3"/>
                <w:kern w:val="0"/>
                <w:sz w:val="24"/>
                <w:highlight w:val="none"/>
              </w:rPr>
            </w:pPr>
            <w:r>
              <w:rPr>
                <w:rFonts w:hint="default" w:ascii="Times New Roman" w:hAnsi="Times New Roman" w:cs="Times New Roman"/>
                <w:color w:val="auto"/>
                <w:spacing w:val="-3"/>
                <w:kern w:val="0"/>
                <w:sz w:val="24"/>
                <w:highlight w:val="none"/>
              </w:rPr>
              <w:t>β——</w:t>
            </w:r>
            <w:r>
              <w:rPr>
                <w:rFonts w:hint="default" w:ascii="Times New Roman" w:hAnsi="Times New Roman" w:cs="Times New Roman"/>
                <w:color w:val="auto"/>
                <w:spacing w:val="-3"/>
                <w:kern w:val="0"/>
                <w:sz w:val="24"/>
                <w:highlight w:val="none"/>
                <w:lang w:val="en-US" w:eastAsia="zh-CN"/>
              </w:rPr>
              <w:t>不同屏蔽物质</w:t>
            </w:r>
            <w:r>
              <w:rPr>
                <w:rFonts w:hint="default" w:ascii="Times New Roman" w:hAnsi="Times New Roman" w:cs="Times New Roman"/>
                <w:color w:val="auto"/>
                <w:spacing w:val="-3"/>
                <w:kern w:val="0"/>
                <w:sz w:val="24"/>
                <w:highlight w:val="none"/>
              </w:rPr>
              <w:t>对不同管电压X射线</w:t>
            </w:r>
            <w:r>
              <w:rPr>
                <w:rFonts w:hint="default" w:ascii="Times New Roman" w:hAnsi="Times New Roman" w:cs="Times New Roman"/>
                <w:color w:val="auto"/>
                <w:spacing w:val="-3"/>
                <w:kern w:val="0"/>
                <w:sz w:val="24"/>
                <w:highlight w:val="none"/>
                <w:lang w:val="en-US" w:eastAsia="zh-CN"/>
              </w:rPr>
              <w:t>辐射</w:t>
            </w:r>
            <w:r>
              <w:rPr>
                <w:rFonts w:hint="default" w:ascii="Times New Roman" w:hAnsi="Times New Roman" w:cs="Times New Roman"/>
                <w:color w:val="auto"/>
                <w:spacing w:val="-3"/>
                <w:kern w:val="0"/>
                <w:sz w:val="24"/>
                <w:highlight w:val="none"/>
              </w:rPr>
              <w:t>衰减的有关的拟合参数；</w:t>
            </w:r>
          </w:p>
          <w:p w14:paraId="6BCC7AC4">
            <w:pPr>
              <w:adjustRightInd w:val="0"/>
              <w:snapToGrid w:val="0"/>
              <w:spacing w:line="360" w:lineRule="auto"/>
              <w:ind w:firstLine="468" w:firstLineChars="200"/>
              <w:rPr>
                <w:rFonts w:hint="default" w:ascii="Times New Roman" w:hAnsi="Times New Roman" w:cs="Times New Roman"/>
                <w:color w:val="auto"/>
                <w:spacing w:val="-3"/>
                <w:kern w:val="0"/>
                <w:sz w:val="24"/>
                <w:highlight w:val="none"/>
              </w:rPr>
            </w:pPr>
            <w:r>
              <w:rPr>
                <w:rFonts w:hint="default" w:ascii="Times New Roman" w:hAnsi="Times New Roman" w:cs="Times New Roman"/>
                <w:color w:val="auto"/>
                <w:spacing w:val="-3"/>
                <w:kern w:val="0"/>
                <w:sz w:val="24"/>
                <w:highlight w:val="none"/>
              </w:rPr>
              <w:t>γ——</w:t>
            </w:r>
            <w:r>
              <w:rPr>
                <w:rFonts w:hint="default" w:ascii="Times New Roman" w:hAnsi="Times New Roman" w:cs="Times New Roman"/>
                <w:color w:val="auto"/>
                <w:spacing w:val="-3"/>
                <w:kern w:val="0"/>
                <w:sz w:val="24"/>
                <w:highlight w:val="none"/>
                <w:lang w:val="en-US" w:eastAsia="zh-CN"/>
              </w:rPr>
              <w:t>不同屏蔽物质</w:t>
            </w:r>
            <w:r>
              <w:rPr>
                <w:rFonts w:hint="default" w:ascii="Times New Roman" w:hAnsi="Times New Roman" w:cs="Times New Roman"/>
                <w:color w:val="auto"/>
                <w:spacing w:val="-3"/>
                <w:kern w:val="0"/>
                <w:sz w:val="24"/>
                <w:highlight w:val="none"/>
              </w:rPr>
              <w:t>对不同管电压X射线</w:t>
            </w:r>
            <w:r>
              <w:rPr>
                <w:rFonts w:hint="default" w:ascii="Times New Roman" w:hAnsi="Times New Roman" w:cs="Times New Roman"/>
                <w:color w:val="auto"/>
                <w:spacing w:val="-3"/>
                <w:kern w:val="0"/>
                <w:sz w:val="24"/>
                <w:highlight w:val="none"/>
                <w:lang w:val="en-US" w:eastAsia="zh-CN"/>
              </w:rPr>
              <w:t>辐射</w:t>
            </w:r>
            <w:r>
              <w:rPr>
                <w:rFonts w:hint="default" w:ascii="Times New Roman" w:hAnsi="Times New Roman" w:cs="Times New Roman"/>
                <w:color w:val="auto"/>
                <w:spacing w:val="-3"/>
                <w:kern w:val="0"/>
                <w:sz w:val="24"/>
                <w:highlight w:val="none"/>
              </w:rPr>
              <w:t>衰减的有关的拟合参数。</w:t>
            </w:r>
          </w:p>
          <w:p w14:paraId="239870D6">
            <w:pPr>
              <w:adjustRightInd w:val="0"/>
              <w:snapToGrid w:val="0"/>
              <w:ind w:firstLine="468" w:firstLineChars="200"/>
              <w:jc w:val="center"/>
              <w:rPr>
                <w:rFonts w:hint="default" w:ascii="Times New Roman" w:hAnsi="Times New Roman" w:cs="Times New Roman"/>
                <w:color w:val="auto"/>
                <w:spacing w:val="-3"/>
                <w:kern w:val="0"/>
                <w:sz w:val="24"/>
                <w:highlight w:val="none"/>
              </w:rPr>
            </w:pPr>
            <w:r>
              <w:rPr>
                <w:rFonts w:hint="default" w:ascii="Times New Roman" w:hAnsi="Times New Roman" w:cs="Times New Roman"/>
                <w:color w:val="auto"/>
                <w:spacing w:val="-3"/>
                <w:kern w:val="0"/>
                <w:sz w:val="24"/>
                <w:highlight w:val="none"/>
              </w:rPr>
              <w:t>表10-2 铅、混凝土对额定管电压的X射线（主束）辐射衰减拟合参数</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1"/>
              <w:gridCol w:w="2074"/>
              <w:gridCol w:w="2072"/>
              <w:gridCol w:w="2077"/>
            </w:tblGrid>
            <w:tr w14:paraId="7FC1C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shd w:val="clear" w:color="auto" w:fill="BEBEBE"/>
                  <w:vAlign w:val="center"/>
                </w:tcPr>
                <w:p w14:paraId="53B3F9D8">
                  <w:pPr>
                    <w:adjustRightInd w:val="0"/>
                    <w:snapToGrid w:val="0"/>
                    <w:jc w:val="center"/>
                    <w:rPr>
                      <w:rFonts w:hint="default" w:ascii="Times New Roman" w:hAnsi="Times New Roman" w:cs="Times New Roman"/>
                      <w:color w:val="auto"/>
                      <w:spacing w:val="-3"/>
                      <w:kern w:val="0"/>
                      <w:szCs w:val="21"/>
                      <w:highlight w:val="none"/>
                    </w:rPr>
                  </w:pPr>
                  <w:r>
                    <w:rPr>
                      <w:rFonts w:hint="default" w:ascii="Times New Roman" w:hAnsi="Times New Roman" w:cs="Times New Roman"/>
                      <w:color w:val="auto"/>
                      <w:spacing w:val="-3"/>
                      <w:kern w:val="0"/>
                      <w:szCs w:val="21"/>
                      <w:highlight w:val="none"/>
                    </w:rPr>
                    <w:t>管电压125kV</w:t>
                  </w:r>
                </w:p>
              </w:tc>
            </w:tr>
            <w:tr w14:paraId="78457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vAlign w:val="center"/>
                </w:tcPr>
                <w:p w14:paraId="0D03DE29">
                  <w:pPr>
                    <w:adjustRightInd w:val="0"/>
                    <w:snapToGrid w:val="0"/>
                    <w:jc w:val="center"/>
                    <w:rPr>
                      <w:rFonts w:hint="default" w:ascii="Times New Roman" w:hAnsi="Times New Roman" w:cs="Times New Roman"/>
                      <w:color w:val="auto"/>
                      <w:spacing w:val="-3"/>
                      <w:kern w:val="0"/>
                      <w:szCs w:val="21"/>
                      <w:highlight w:val="none"/>
                    </w:rPr>
                  </w:pPr>
                  <w:r>
                    <w:rPr>
                      <w:rFonts w:hint="default" w:ascii="Times New Roman" w:hAnsi="Times New Roman" w:cs="Times New Roman"/>
                      <w:color w:val="auto"/>
                      <w:spacing w:val="-3"/>
                      <w:kern w:val="0"/>
                      <w:szCs w:val="21"/>
                      <w:highlight w:val="none"/>
                    </w:rPr>
                    <w:t>材料</w:t>
                  </w:r>
                </w:p>
              </w:tc>
              <w:tc>
                <w:tcPr>
                  <w:tcW w:w="1250" w:type="pct"/>
                  <w:vAlign w:val="center"/>
                </w:tcPr>
                <w:p w14:paraId="69DB4E0B">
                  <w:pPr>
                    <w:adjustRightInd w:val="0"/>
                    <w:snapToGrid w:val="0"/>
                    <w:jc w:val="center"/>
                    <w:rPr>
                      <w:rFonts w:hint="default" w:ascii="Times New Roman" w:hAnsi="Times New Roman" w:cs="Times New Roman"/>
                      <w:color w:val="auto"/>
                      <w:spacing w:val="-3"/>
                      <w:kern w:val="0"/>
                      <w:szCs w:val="21"/>
                      <w:highlight w:val="none"/>
                    </w:rPr>
                  </w:pPr>
                  <w:r>
                    <w:rPr>
                      <w:rFonts w:hint="default" w:ascii="Times New Roman" w:hAnsi="Times New Roman" w:cs="Times New Roman"/>
                      <w:color w:val="auto"/>
                      <w:spacing w:val="-3"/>
                      <w:kern w:val="0"/>
                      <w:szCs w:val="21"/>
                      <w:highlight w:val="none"/>
                    </w:rPr>
                    <w:t>α</w:t>
                  </w:r>
                  <w:bookmarkStart w:id="59" w:name="OLE_LINK7"/>
                  <w:r>
                    <w:rPr>
                      <w:rFonts w:hint="default" w:ascii="Times New Roman" w:hAnsi="Times New Roman" w:cs="Times New Roman"/>
                      <w:color w:val="auto"/>
                      <w:spacing w:val="-3"/>
                      <w:kern w:val="0"/>
                      <w:szCs w:val="21"/>
                      <w:highlight w:val="none"/>
                    </w:rPr>
                    <w:t>（mm</w:t>
                  </w:r>
                  <w:r>
                    <w:rPr>
                      <w:rFonts w:hint="default" w:ascii="Times New Roman" w:hAnsi="Times New Roman" w:cs="Times New Roman"/>
                      <w:color w:val="auto"/>
                      <w:spacing w:val="-3"/>
                      <w:kern w:val="0"/>
                      <w:szCs w:val="21"/>
                      <w:highlight w:val="none"/>
                      <w:vertAlign w:val="superscript"/>
                    </w:rPr>
                    <w:t>-1</w:t>
                  </w:r>
                  <w:r>
                    <w:rPr>
                      <w:rFonts w:hint="default" w:ascii="Times New Roman" w:hAnsi="Times New Roman" w:cs="Times New Roman"/>
                      <w:color w:val="auto"/>
                      <w:spacing w:val="-3"/>
                      <w:kern w:val="0"/>
                      <w:szCs w:val="21"/>
                      <w:highlight w:val="none"/>
                    </w:rPr>
                    <w:t>）</w:t>
                  </w:r>
                  <w:bookmarkEnd w:id="59"/>
                </w:p>
              </w:tc>
              <w:tc>
                <w:tcPr>
                  <w:tcW w:w="1249" w:type="pct"/>
                  <w:vAlign w:val="center"/>
                </w:tcPr>
                <w:p w14:paraId="6546829B">
                  <w:pPr>
                    <w:adjustRightInd w:val="0"/>
                    <w:snapToGrid w:val="0"/>
                    <w:jc w:val="center"/>
                    <w:rPr>
                      <w:rFonts w:hint="default" w:ascii="Times New Roman" w:hAnsi="Times New Roman" w:cs="Times New Roman"/>
                      <w:color w:val="auto"/>
                      <w:spacing w:val="-3"/>
                      <w:kern w:val="0"/>
                      <w:szCs w:val="21"/>
                      <w:highlight w:val="none"/>
                    </w:rPr>
                  </w:pPr>
                  <w:r>
                    <w:rPr>
                      <w:rFonts w:hint="default" w:ascii="Times New Roman" w:hAnsi="Times New Roman" w:cs="Times New Roman"/>
                      <w:color w:val="auto"/>
                      <w:spacing w:val="-3"/>
                      <w:kern w:val="0"/>
                      <w:szCs w:val="21"/>
                      <w:highlight w:val="none"/>
                    </w:rPr>
                    <w:t>β（mm</w:t>
                  </w:r>
                  <w:r>
                    <w:rPr>
                      <w:rFonts w:hint="default" w:ascii="Times New Roman" w:hAnsi="Times New Roman" w:cs="Times New Roman"/>
                      <w:color w:val="auto"/>
                      <w:spacing w:val="-3"/>
                      <w:kern w:val="0"/>
                      <w:szCs w:val="21"/>
                      <w:highlight w:val="none"/>
                      <w:vertAlign w:val="superscript"/>
                    </w:rPr>
                    <w:t>-1</w:t>
                  </w:r>
                  <w:r>
                    <w:rPr>
                      <w:rFonts w:hint="default" w:ascii="Times New Roman" w:hAnsi="Times New Roman" w:cs="Times New Roman"/>
                      <w:color w:val="auto"/>
                      <w:spacing w:val="-3"/>
                      <w:kern w:val="0"/>
                      <w:szCs w:val="21"/>
                      <w:highlight w:val="none"/>
                    </w:rPr>
                    <w:t>）</w:t>
                  </w:r>
                </w:p>
              </w:tc>
              <w:tc>
                <w:tcPr>
                  <w:tcW w:w="1250" w:type="pct"/>
                  <w:vAlign w:val="center"/>
                </w:tcPr>
                <w:p w14:paraId="0060BCF7">
                  <w:pPr>
                    <w:adjustRightInd w:val="0"/>
                    <w:snapToGrid w:val="0"/>
                    <w:jc w:val="center"/>
                    <w:rPr>
                      <w:rFonts w:hint="default" w:ascii="Times New Roman" w:hAnsi="Times New Roman" w:cs="Times New Roman"/>
                      <w:color w:val="auto"/>
                      <w:spacing w:val="-3"/>
                      <w:kern w:val="0"/>
                      <w:szCs w:val="21"/>
                      <w:highlight w:val="none"/>
                    </w:rPr>
                  </w:pPr>
                  <w:r>
                    <w:rPr>
                      <w:rFonts w:hint="default" w:ascii="Times New Roman" w:hAnsi="Times New Roman" w:cs="Times New Roman"/>
                      <w:color w:val="auto"/>
                      <w:spacing w:val="-3"/>
                      <w:kern w:val="0"/>
                      <w:szCs w:val="21"/>
                      <w:highlight w:val="none"/>
                    </w:rPr>
                    <w:t>γ（mm</w:t>
                  </w:r>
                  <w:r>
                    <w:rPr>
                      <w:rFonts w:hint="default" w:ascii="Times New Roman" w:hAnsi="Times New Roman" w:cs="Times New Roman"/>
                      <w:color w:val="auto"/>
                      <w:spacing w:val="-3"/>
                      <w:kern w:val="0"/>
                      <w:szCs w:val="21"/>
                      <w:highlight w:val="none"/>
                      <w:vertAlign w:val="superscript"/>
                    </w:rPr>
                    <w:t>-1</w:t>
                  </w:r>
                  <w:r>
                    <w:rPr>
                      <w:rFonts w:hint="default" w:ascii="Times New Roman" w:hAnsi="Times New Roman" w:cs="Times New Roman"/>
                      <w:color w:val="auto"/>
                      <w:spacing w:val="-3"/>
                      <w:kern w:val="0"/>
                      <w:szCs w:val="21"/>
                      <w:highlight w:val="none"/>
                    </w:rPr>
                    <w:t>）</w:t>
                  </w:r>
                </w:p>
              </w:tc>
            </w:tr>
            <w:tr w14:paraId="31C86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49" w:type="pct"/>
                  <w:vAlign w:val="center"/>
                </w:tcPr>
                <w:p w14:paraId="5F4253B9">
                  <w:pPr>
                    <w:adjustRightInd w:val="0"/>
                    <w:snapToGrid w:val="0"/>
                    <w:jc w:val="center"/>
                    <w:rPr>
                      <w:rFonts w:hint="default" w:ascii="Times New Roman" w:hAnsi="Times New Roman" w:cs="Times New Roman"/>
                      <w:color w:val="auto"/>
                      <w:spacing w:val="-3"/>
                      <w:kern w:val="0"/>
                      <w:szCs w:val="21"/>
                      <w:highlight w:val="none"/>
                    </w:rPr>
                  </w:pPr>
                  <w:r>
                    <w:rPr>
                      <w:rFonts w:hint="default" w:ascii="Times New Roman" w:hAnsi="Times New Roman" w:cs="Times New Roman"/>
                      <w:color w:val="auto"/>
                      <w:spacing w:val="-3"/>
                      <w:kern w:val="0"/>
                      <w:szCs w:val="21"/>
                      <w:highlight w:val="none"/>
                    </w:rPr>
                    <w:t>铅</w:t>
                  </w:r>
                </w:p>
              </w:tc>
              <w:tc>
                <w:tcPr>
                  <w:tcW w:w="1250" w:type="pct"/>
                  <w:vAlign w:val="center"/>
                </w:tcPr>
                <w:p w14:paraId="144AEF12">
                  <w:pPr>
                    <w:adjustRightInd w:val="0"/>
                    <w:snapToGrid w:val="0"/>
                    <w:jc w:val="center"/>
                    <w:rPr>
                      <w:rFonts w:hint="default" w:ascii="Times New Roman" w:hAnsi="Times New Roman" w:cs="Times New Roman"/>
                      <w:color w:val="auto"/>
                      <w:spacing w:val="-3"/>
                      <w:kern w:val="0"/>
                      <w:szCs w:val="21"/>
                      <w:highlight w:val="none"/>
                    </w:rPr>
                  </w:pPr>
                  <w:r>
                    <w:rPr>
                      <w:rFonts w:hint="default" w:ascii="Times New Roman" w:hAnsi="Times New Roman" w:cs="Times New Roman"/>
                      <w:color w:val="auto"/>
                      <w:spacing w:val="-3"/>
                      <w:kern w:val="0"/>
                      <w:szCs w:val="21"/>
                      <w:highlight w:val="none"/>
                    </w:rPr>
                    <w:t>2.219</w:t>
                  </w:r>
                </w:p>
              </w:tc>
              <w:tc>
                <w:tcPr>
                  <w:tcW w:w="1249" w:type="pct"/>
                  <w:vAlign w:val="center"/>
                </w:tcPr>
                <w:p w14:paraId="004FFCA0">
                  <w:pPr>
                    <w:adjustRightInd w:val="0"/>
                    <w:snapToGrid w:val="0"/>
                    <w:jc w:val="center"/>
                    <w:rPr>
                      <w:rFonts w:hint="default" w:ascii="Times New Roman" w:hAnsi="Times New Roman" w:cs="Times New Roman"/>
                      <w:color w:val="auto"/>
                      <w:spacing w:val="-3"/>
                      <w:kern w:val="0"/>
                      <w:szCs w:val="21"/>
                      <w:highlight w:val="none"/>
                    </w:rPr>
                  </w:pPr>
                  <w:r>
                    <w:rPr>
                      <w:rFonts w:hint="default" w:ascii="Times New Roman" w:hAnsi="Times New Roman" w:cs="Times New Roman"/>
                      <w:color w:val="auto"/>
                      <w:spacing w:val="-3"/>
                      <w:kern w:val="0"/>
                      <w:szCs w:val="21"/>
                      <w:highlight w:val="none"/>
                    </w:rPr>
                    <w:t>7.923</w:t>
                  </w:r>
                </w:p>
              </w:tc>
              <w:tc>
                <w:tcPr>
                  <w:tcW w:w="1250" w:type="pct"/>
                  <w:vAlign w:val="center"/>
                </w:tcPr>
                <w:p w14:paraId="69B3754E">
                  <w:pPr>
                    <w:adjustRightInd w:val="0"/>
                    <w:snapToGrid w:val="0"/>
                    <w:jc w:val="center"/>
                    <w:rPr>
                      <w:rFonts w:hint="default" w:ascii="Times New Roman" w:hAnsi="Times New Roman" w:cs="Times New Roman"/>
                      <w:color w:val="auto"/>
                      <w:spacing w:val="-3"/>
                      <w:kern w:val="0"/>
                      <w:szCs w:val="21"/>
                      <w:highlight w:val="none"/>
                    </w:rPr>
                  </w:pPr>
                  <w:r>
                    <w:rPr>
                      <w:rFonts w:hint="default" w:ascii="Times New Roman" w:hAnsi="Times New Roman" w:cs="Times New Roman"/>
                      <w:color w:val="auto"/>
                      <w:spacing w:val="-3"/>
                      <w:kern w:val="0"/>
                      <w:szCs w:val="21"/>
                      <w:highlight w:val="none"/>
                    </w:rPr>
                    <w:t>0.5386</w:t>
                  </w:r>
                </w:p>
              </w:tc>
            </w:tr>
            <w:tr w14:paraId="2D012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49" w:type="pct"/>
                  <w:vAlign w:val="center"/>
                </w:tcPr>
                <w:p w14:paraId="20A1ECB6">
                  <w:pPr>
                    <w:adjustRightInd w:val="0"/>
                    <w:snapToGrid w:val="0"/>
                    <w:jc w:val="center"/>
                    <w:rPr>
                      <w:rFonts w:hint="default" w:ascii="Times New Roman" w:hAnsi="Times New Roman" w:cs="Times New Roman"/>
                      <w:color w:val="auto"/>
                      <w:spacing w:val="-3"/>
                      <w:kern w:val="0"/>
                      <w:szCs w:val="21"/>
                      <w:highlight w:val="none"/>
                    </w:rPr>
                  </w:pPr>
                  <w:r>
                    <w:rPr>
                      <w:rFonts w:hint="default" w:ascii="Times New Roman" w:hAnsi="Times New Roman" w:cs="Times New Roman"/>
                      <w:color w:val="auto"/>
                      <w:spacing w:val="-3"/>
                      <w:kern w:val="0"/>
                      <w:szCs w:val="21"/>
                      <w:highlight w:val="none"/>
                    </w:rPr>
                    <w:t>混凝土</w:t>
                  </w:r>
                </w:p>
              </w:tc>
              <w:tc>
                <w:tcPr>
                  <w:tcW w:w="1250" w:type="pct"/>
                  <w:vAlign w:val="center"/>
                </w:tcPr>
                <w:p w14:paraId="0FAFE108">
                  <w:pPr>
                    <w:adjustRightInd w:val="0"/>
                    <w:snapToGrid w:val="0"/>
                    <w:jc w:val="center"/>
                    <w:rPr>
                      <w:rFonts w:hint="default" w:ascii="Times New Roman" w:hAnsi="Times New Roman" w:cs="Times New Roman"/>
                      <w:color w:val="auto"/>
                      <w:spacing w:val="-3"/>
                      <w:kern w:val="0"/>
                      <w:szCs w:val="21"/>
                      <w:highlight w:val="none"/>
                    </w:rPr>
                  </w:pPr>
                  <w:r>
                    <w:rPr>
                      <w:rFonts w:hint="default" w:ascii="Times New Roman" w:hAnsi="Times New Roman" w:cs="Times New Roman"/>
                      <w:color w:val="auto"/>
                      <w:spacing w:val="-3"/>
                      <w:kern w:val="0"/>
                      <w:szCs w:val="21"/>
                      <w:highlight w:val="none"/>
                    </w:rPr>
                    <w:t>0.03502</w:t>
                  </w:r>
                </w:p>
              </w:tc>
              <w:tc>
                <w:tcPr>
                  <w:tcW w:w="1249" w:type="pct"/>
                  <w:vAlign w:val="center"/>
                </w:tcPr>
                <w:p w14:paraId="7F9F5DD9">
                  <w:pPr>
                    <w:adjustRightInd w:val="0"/>
                    <w:snapToGrid w:val="0"/>
                    <w:jc w:val="center"/>
                    <w:rPr>
                      <w:rFonts w:hint="default" w:ascii="Times New Roman" w:hAnsi="Times New Roman" w:cs="Times New Roman"/>
                      <w:color w:val="auto"/>
                      <w:spacing w:val="-3"/>
                      <w:kern w:val="0"/>
                      <w:szCs w:val="21"/>
                      <w:highlight w:val="none"/>
                    </w:rPr>
                  </w:pPr>
                  <w:r>
                    <w:rPr>
                      <w:rFonts w:hint="default" w:ascii="Times New Roman" w:hAnsi="Times New Roman" w:cs="Times New Roman"/>
                      <w:color w:val="auto"/>
                      <w:spacing w:val="-3"/>
                      <w:kern w:val="0"/>
                      <w:szCs w:val="21"/>
                      <w:highlight w:val="none"/>
                    </w:rPr>
                    <w:t>0.07113</w:t>
                  </w:r>
                </w:p>
              </w:tc>
              <w:tc>
                <w:tcPr>
                  <w:tcW w:w="1250" w:type="pct"/>
                  <w:vAlign w:val="center"/>
                </w:tcPr>
                <w:p w14:paraId="135C7BE4">
                  <w:pPr>
                    <w:adjustRightInd w:val="0"/>
                    <w:snapToGrid w:val="0"/>
                    <w:jc w:val="center"/>
                    <w:rPr>
                      <w:rFonts w:hint="default" w:ascii="Times New Roman" w:hAnsi="Times New Roman" w:cs="Times New Roman"/>
                      <w:color w:val="auto"/>
                      <w:spacing w:val="-3"/>
                      <w:kern w:val="0"/>
                      <w:szCs w:val="21"/>
                      <w:highlight w:val="none"/>
                    </w:rPr>
                  </w:pPr>
                  <w:r>
                    <w:rPr>
                      <w:rFonts w:hint="default" w:ascii="Times New Roman" w:hAnsi="Times New Roman" w:cs="Times New Roman"/>
                      <w:color w:val="auto"/>
                      <w:spacing w:val="-3"/>
                      <w:kern w:val="0"/>
                      <w:szCs w:val="21"/>
                      <w:highlight w:val="none"/>
                    </w:rPr>
                    <w:t>0.6974</w:t>
                  </w:r>
                </w:p>
              </w:tc>
            </w:tr>
          </w:tbl>
          <w:p w14:paraId="4216A9F5">
            <w:pPr>
              <w:adjustRightInd w:val="0"/>
              <w:snapToGrid w:val="0"/>
              <w:spacing w:line="360" w:lineRule="auto"/>
              <w:ind w:firstLine="468" w:firstLineChars="200"/>
              <w:rPr>
                <w:rFonts w:hint="eastAsia" w:ascii="Times New Roman" w:hAnsi="Times New Roman" w:cs="Times New Roman"/>
                <w:color w:val="auto"/>
                <w:spacing w:val="-3"/>
                <w:kern w:val="0"/>
                <w:position w:val="-4"/>
                <w:sz w:val="24"/>
                <w:highlight w:val="none"/>
                <w:lang w:val="en-US" w:eastAsia="zh-CN"/>
              </w:rPr>
            </w:pPr>
            <w:r>
              <w:rPr>
                <w:rFonts w:hint="default" w:ascii="Times New Roman" w:hAnsi="Times New Roman" w:cs="Times New Roman"/>
                <w:color w:val="auto"/>
                <w:spacing w:val="-3"/>
                <w:kern w:val="0"/>
                <w:position w:val="-4"/>
                <w:sz w:val="24"/>
                <w:highlight w:val="none"/>
              </w:rPr>
              <w:t>本项目</w:t>
            </w:r>
            <w:r>
              <w:rPr>
                <w:rFonts w:hint="eastAsia" w:ascii="Times New Roman" w:hAnsi="Times New Roman" w:cs="Times New Roman"/>
                <w:color w:val="auto"/>
                <w:spacing w:val="-3"/>
                <w:kern w:val="0"/>
                <w:position w:val="-4"/>
                <w:sz w:val="24"/>
                <w:highlight w:val="none"/>
                <w:lang w:val="en-US" w:eastAsia="zh-CN"/>
              </w:rPr>
              <w:t>浇筑的</w:t>
            </w:r>
            <w:r>
              <w:rPr>
                <w:rFonts w:hint="default" w:ascii="Times New Roman" w:hAnsi="Times New Roman" w:cs="Times New Roman"/>
                <w:color w:val="auto"/>
                <w:spacing w:val="-3"/>
                <w:kern w:val="0"/>
                <w:position w:val="-4"/>
                <w:sz w:val="24"/>
                <w:highlight w:val="none"/>
              </w:rPr>
              <w:t>标准混凝土密度为2.35g/cm</w:t>
            </w:r>
            <w:r>
              <w:rPr>
                <w:rFonts w:hint="default" w:ascii="Times New Roman" w:hAnsi="Times New Roman" w:cs="Times New Roman"/>
                <w:color w:val="auto"/>
                <w:spacing w:val="-3"/>
                <w:kern w:val="0"/>
                <w:position w:val="-4"/>
                <w:sz w:val="24"/>
                <w:highlight w:val="none"/>
                <w:vertAlign w:val="superscript"/>
              </w:rPr>
              <w:t>3</w:t>
            </w:r>
            <w:r>
              <w:rPr>
                <w:rFonts w:hint="default" w:ascii="Times New Roman" w:hAnsi="Times New Roman" w:cs="Times New Roman"/>
                <w:color w:val="auto"/>
                <w:spacing w:val="-3"/>
                <w:kern w:val="0"/>
                <w:position w:val="-4"/>
                <w:sz w:val="24"/>
                <w:highlight w:val="none"/>
              </w:rPr>
              <w:t>，</w:t>
            </w:r>
            <w:r>
              <w:rPr>
                <w:rFonts w:hint="eastAsia" w:ascii="Times New Roman" w:hAnsi="Times New Roman" w:cs="Times New Roman"/>
                <w:color w:val="auto"/>
                <w:spacing w:val="-3"/>
                <w:kern w:val="0"/>
                <w:position w:val="-4"/>
                <w:sz w:val="24"/>
                <w:highlight w:val="none"/>
                <w:lang w:val="en-US" w:eastAsia="zh-CN"/>
              </w:rPr>
              <w:t>使用的实心砖密度为1.60g/cm</w:t>
            </w:r>
            <w:r>
              <w:rPr>
                <w:rFonts w:hint="eastAsia" w:ascii="Times New Roman" w:hAnsi="Times New Roman" w:cs="Times New Roman"/>
                <w:color w:val="auto"/>
                <w:spacing w:val="-3"/>
                <w:kern w:val="0"/>
                <w:position w:val="-4"/>
                <w:sz w:val="24"/>
                <w:highlight w:val="none"/>
                <w:vertAlign w:val="superscript"/>
                <w:lang w:val="en-US" w:eastAsia="zh-CN"/>
              </w:rPr>
              <w:t>3</w:t>
            </w:r>
            <w:r>
              <w:rPr>
                <w:rFonts w:hint="eastAsia" w:ascii="Times New Roman" w:hAnsi="Times New Roman" w:cs="Times New Roman"/>
                <w:color w:val="auto"/>
                <w:spacing w:val="-3"/>
                <w:kern w:val="0"/>
                <w:position w:val="-4"/>
                <w:sz w:val="24"/>
                <w:highlight w:val="none"/>
                <w:vertAlign w:val="baseline"/>
                <w:lang w:val="en-US" w:eastAsia="zh-CN"/>
              </w:rPr>
              <w:t>。</w:t>
            </w:r>
            <w:r>
              <w:rPr>
                <w:rFonts w:hint="eastAsia" w:ascii="Times New Roman" w:hAnsi="Times New Roman" w:cs="Times New Roman"/>
                <w:color w:val="auto"/>
                <w:spacing w:val="-3"/>
                <w:kern w:val="0"/>
                <w:position w:val="-4"/>
                <w:sz w:val="24"/>
                <w:highlight w:val="none"/>
                <w:lang w:val="en-US" w:eastAsia="zh-CN"/>
              </w:rPr>
              <w:t>200mm实心砖根据密度折合为136mm标准混凝土。根据公式1和公式2，同时根据</w:t>
            </w:r>
            <w:r>
              <w:rPr>
                <w:rFonts w:hint="default" w:ascii="Times New Roman" w:hAnsi="Times New Roman" w:cs="Times New Roman"/>
                <w:color w:val="auto"/>
                <w:spacing w:val="-3"/>
                <w:kern w:val="0"/>
                <w:position w:val="-4"/>
                <w:sz w:val="24"/>
                <w:highlight w:val="none"/>
                <w:lang w:val="en-US" w:eastAsia="zh-CN"/>
              </w:rPr>
              <w:t>《放射诊断放射防护要求》（GBZ130-2020）附录 C ，</w:t>
            </w:r>
            <w:r>
              <w:rPr>
                <w:rFonts w:hint="eastAsia" w:ascii="Times New Roman" w:hAnsi="Times New Roman" w:cs="Times New Roman"/>
                <w:color w:val="auto"/>
                <w:spacing w:val="-3"/>
                <w:kern w:val="0"/>
                <w:position w:val="-4"/>
                <w:sz w:val="24"/>
                <w:highlight w:val="none"/>
                <w:lang w:val="en-US" w:eastAsia="zh-CN"/>
              </w:rPr>
              <w:t>采用插值法计算出在125kV管电压下，200mm实心砖铅当量为1.8mmPb，150mm混凝土铅当量为1.87mmPb。</w:t>
            </w:r>
          </w:p>
          <w:p w14:paraId="45BA9055">
            <w:pPr>
              <w:keepNext w:val="0"/>
              <w:keepLines w:val="0"/>
              <w:pageBreakBefore w:val="0"/>
              <w:widowControl w:val="0"/>
              <w:kinsoku/>
              <w:wordWrap/>
              <w:overflowPunct/>
              <w:topLinePunct w:val="0"/>
              <w:autoSpaceDE/>
              <w:autoSpaceDN/>
              <w:bidi w:val="0"/>
              <w:adjustRightInd w:val="0"/>
              <w:snapToGrid w:val="0"/>
              <w:spacing w:line="360" w:lineRule="auto"/>
              <w:ind w:firstLine="468" w:firstLineChars="200"/>
              <w:jc w:val="lef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pacing w:val="-3"/>
                <w:kern w:val="0"/>
                <w:position w:val="-4"/>
                <w:sz w:val="24"/>
                <w:highlight w:val="none"/>
                <w:lang w:val="en-US" w:eastAsia="zh-CN"/>
              </w:rPr>
              <w:t>标准钡水泥密度为</w:t>
            </w:r>
            <w:r>
              <w:rPr>
                <w:rFonts w:hint="default" w:ascii="Times New Roman" w:hAnsi="Times New Roman" w:cs="Times New Roman"/>
                <w:color w:val="auto"/>
                <w:sz w:val="24"/>
                <w:szCs w:val="24"/>
                <w:highlight w:val="none"/>
              </w:rPr>
              <w:t>标准</w:t>
            </w:r>
            <w:r>
              <w:rPr>
                <w:rFonts w:hint="default" w:ascii="Times New Roman" w:hAnsi="Times New Roman" w:cs="Times New Roman"/>
                <w:color w:val="auto"/>
                <w:sz w:val="24"/>
                <w:highlight w:val="none"/>
              </w:rPr>
              <w:t>钡水泥密度为3.2</w:t>
            </w:r>
            <w:r>
              <w:rPr>
                <w:rFonts w:hint="default" w:ascii="Times New Roman" w:hAnsi="Times New Roman" w:cs="Times New Roman"/>
                <w:color w:val="auto"/>
                <w:sz w:val="24"/>
                <w:szCs w:val="24"/>
                <w:highlight w:val="none"/>
              </w:rPr>
              <w:t>g/</w:t>
            </w:r>
            <w:r>
              <w:rPr>
                <w:rFonts w:hint="default" w:ascii="Times New Roman" w:hAnsi="Times New Roman" w:cs="Times New Roman"/>
                <w:color w:val="auto"/>
                <w:sz w:val="24"/>
                <w:highlight w:val="none"/>
              </w:rPr>
              <w:t>cm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w:t>
            </w:r>
            <w:r>
              <w:rPr>
                <w:rFonts w:hint="default" w:ascii="Times New Roman" w:hAnsi="Times New Roman" w:cs="Times New Roman"/>
                <w:color w:val="auto"/>
                <w:sz w:val="24"/>
                <w:szCs w:val="24"/>
                <w:highlight w:val="none"/>
              </w:rPr>
              <w:t>本项目硫酸钡水泥密度为2.88g/</w:t>
            </w:r>
            <w:r>
              <w:rPr>
                <w:rFonts w:hint="default" w:ascii="Times New Roman" w:hAnsi="Times New Roman" w:cs="Times New Roman"/>
                <w:color w:val="auto"/>
                <w:sz w:val="24"/>
                <w:highlight w:val="none"/>
              </w:rPr>
              <w:t>cm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，根据密度折算出，本项目</w:t>
            </w:r>
            <w:r>
              <w:rPr>
                <w:rFonts w:hint="eastAsia" w:ascii="Times New Roman" w:hAnsi="Times New Roman" w:cs="Times New Roman"/>
                <w:color w:val="auto"/>
                <w:sz w:val="24"/>
                <w:highlight w:val="none"/>
                <w:lang w:val="en-US" w:eastAsia="zh-CN"/>
              </w:rPr>
              <w:t>45</w:t>
            </w:r>
            <w:r>
              <w:rPr>
                <w:rFonts w:hint="default" w:ascii="Times New Roman" w:hAnsi="Times New Roman" w:cs="Times New Roman"/>
                <w:color w:val="auto"/>
                <w:sz w:val="24"/>
                <w:highlight w:val="none"/>
              </w:rPr>
              <w:t>mm硫酸钡水泥相当于约</w:t>
            </w:r>
            <w:r>
              <w:rPr>
                <w:rFonts w:hint="eastAsia" w:ascii="Times New Roman" w:hAnsi="Times New Roman" w:cs="Times New Roman"/>
                <w:color w:val="auto"/>
                <w:sz w:val="24"/>
                <w:highlight w:val="none"/>
                <w:lang w:val="en-US" w:eastAsia="zh-CN"/>
              </w:rPr>
              <w:t>40.5</w:t>
            </w:r>
            <w:r>
              <w:rPr>
                <w:rFonts w:hint="default" w:ascii="Times New Roman" w:hAnsi="Times New Roman" w:cs="Times New Roman"/>
                <w:color w:val="auto"/>
                <w:sz w:val="24"/>
                <w:highlight w:val="none"/>
              </w:rPr>
              <w:t>mm标准钡水泥。</w:t>
            </w:r>
          </w:p>
          <w:p w14:paraId="6B488EC5">
            <w:pPr>
              <w:adjustRightInd w:val="0"/>
              <w:snapToGrid w:val="0"/>
              <w:spacing w:line="360" w:lineRule="auto"/>
              <w:ind w:firstLine="480" w:firstLineChars="200"/>
              <w:rPr>
                <w:rFonts w:hint="default"/>
                <w:color w:val="auto"/>
                <w:highlight w:val="none"/>
                <w:lang w:val="en-US" w:eastAsia="zh-CN"/>
              </w:rPr>
            </w:pPr>
            <w:r>
              <w:rPr>
                <w:rFonts w:hint="default" w:ascii="Times New Roman" w:hAnsi="Times New Roman" w:cs="Times New Roman"/>
                <w:color w:val="auto"/>
                <w:sz w:val="24"/>
                <w:highlight w:val="none"/>
              </w:rPr>
              <w:t>本项目硫酸钡水泥铅当量采用什值层折算，什值层取值采用《辐射防护手册》（第三分册，李德平、潘自强主编）P64表3.5，由于表中没有125kV下的数据，因此采用100kV和150kV插值取得，插值得出125kV铅的什值层为0.90mm，钡水泥的什值层为10.5mm。首先算出4</w:t>
            </w:r>
            <w:r>
              <w:rPr>
                <w:rFonts w:hint="eastAsia" w:ascii="Times New Roman" w:hAnsi="Times New Roman" w:cs="Times New Roman"/>
                <w:color w:val="auto"/>
                <w:sz w:val="24"/>
                <w:highlight w:val="none"/>
                <w:lang w:val="en-US" w:eastAsia="zh-CN"/>
              </w:rPr>
              <w:t>0.5</w:t>
            </w:r>
            <w:r>
              <w:rPr>
                <w:rFonts w:hint="default" w:ascii="Times New Roman" w:hAnsi="Times New Roman" w:cs="Times New Roman"/>
                <w:color w:val="auto"/>
                <w:sz w:val="24"/>
                <w:highlight w:val="none"/>
              </w:rPr>
              <w:t>mm钡水泥下的透射因子：10</w:t>
            </w:r>
            <w:r>
              <w:rPr>
                <w:rFonts w:hint="default" w:ascii="Times New Roman" w:hAnsi="Times New Roman" w:cs="Times New Roman"/>
                <w:color w:val="auto"/>
                <w:sz w:val="24"/>
                <w:highlight w:val="none"/>
                <w:vertAlign w:val="superscript"/>
              </w:rPr>
              <w:t>-4</w:t>
            </w:r>
            <w:r>
              <w:rPr>
                <w:rFonts w:hint="eastAsia" w:ascii="Times New Roman" w:hAnsi="Times New Roman" w:cs="Times New Roman"/>
                <w:color w:val="auto"/>
                <w:sz w:val="24"/>
                <w:highlight w:val="none"/>
                <w:vertAlign w:val="superscript"/>
                <w:lang w:val="en-US" w:eastAsia="zh-CN"/>
              </w:rPr>
              <w:t>0.5</w:t>
            </w:r>
            <w:r>
              <w:rPr>
                <w:rFonts w:hint="default" w:ascii="Times New Roman" w:hAnsi="Times New Roman" w:cs="Times New Roman"/>
                <w:color w:val="auto"/>
                <w:sz w:val="24"/>
                <w:highlight w:val="none"/>
                <w:vertAlign w:val="superscript"/>
              </w:rPr>
              <w:t>/10.5</w:t>
            </w: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1.389</w:t>
            </w:r>
            <w:r>
              <w:rPr>
                <w:rFonts w:hint="default" w:ascii="Times New Roman" w:hAnsi="Times New Roman" w:cs="Times New Roman"/>
                <w:color w:val="auto"/>
                <w:sz w:val="24"/>
                <w:highlight w:val="none"/>
              </w:rPr>
              <w:t>E-0</w:t>
            </w:r>
            <w:r>
              <w:rPr>
                <w:rFonts w:hint="eastAsia" w:ascii="Times New Roman" w:hAnsi="Times New Roman" w:cs="Times New Roman"/>
                <w:color w:val="auto"/>
                <w:sz w:val="24"/>
                <w:highlight w:val="none"/>
                <w:lang w:val="en-US" w:eastAsia="zh-CN"/>
              </w:rPr>
              <w:t>4</w:t>
            </w:r>
            <w:r>
              <w:rPr>
                <w:rFonts w:hint="default" w:ascii="Times New Roman" w:hAnsi="Times New Roman" w:cs="Times New Roman"/>
                <w:color w:val="auto"/>
                <w:sz w:val="24"/>
                <w:highlight w:val="none"/>
              </w:rPr>
              <w:t>，其次公式倒推得到铅当量：</w:t>
            </w:r>
            <w:r>
              <w:rPr>
                <w:rFonts w:hint="eastAsia" w:ascii="Times New Roman" w:hAnsi="Times New Roman" w:cs="Times New Roman"/>
                <w:color w:val="auto"/>
                <w:sz w:val="24"/>
                <w:highlight w:val="none"/>
                <w:lang w:val="en-US" w:eastAsia="zh-CN"/>
              </w:rPr>
              <w:t>1.389E-04</w:t>
            </w:r>
            <w:r>
              <w:rPr>
                <w:rFonts w:hint="default" w:ascii="Times New Roman" w:hAnsi="Times New Roman" w:cs="Times New Roman"/>
                <w:color w:val="auto"/>
                <w:sz w:val="24"/>
                <w:highlight w:val="none"/>
              </w:rPr>
              <w:t>=10</w:t>
            </w:r>
            <w:r>
              <w:rPr>
                <w:rFonts w:hint="default" w:ascii="Times New Roman" w:hAnsi="Times New Roman" w:cs="Times New Roman"/>
                <w:color w:val="auto"/>
                <w:sz w:val="24"/>
                <w:highlight w:val="none"/>
                <w:vertAlign w:val="superscript"/>
              </w:rPr>
              <w:t>-X/0.9</w:t>
            </w:r>
            <w:r>
              <w:rPr>
                <w:rFonts w:hint="default" w:ascii="Times New Roman" w:hAnsi="Times New Roman" w:cs="Times New Roman"/>
                <w:color w:val="auto"/>
                <w:sz w:val="24"/>
                <w:highlight w:val="none"/>
              </w:rPr>
              <w:t>，计算得出铅当量X等于3.</w:t>
            </w:r>
            <w:r>
              <w:rPr>
                <w:rFonts w:hint="eastAsia" w:ascii="Times New Roman" w:hAnsi="Times New Roman" w:cs="Times New Roman"/>
                <w:color w:val="auto"/>
                <w:sz w:val="24"/>
                <w:highlight w:val="none"/>
                <w:lang w:val="en-US" w:eastAsia="zh-CN"/>
              </w:rPr>
              <w:t>47</w:t>
            </w:r>
            <w:r>
              <w:rPr>
                <w:rFonts w:hint="default" w:ascii="Times New Roman" w:hAnsi="Times New Roman" w:cs="Times New Roman"/>
                <w:color w:val="auto"/>
                <w:sz w:val="24"/>
                <w:highlight w:val="none"/>
              </w:rPr>
              <w:t>mm。</w:t>
            </w:r>
          </w:p>
          <w:p w14:paraId="03F686D2">
            <w:pPr>
              <w:pStyle w:val="65"/>
              <w:adjustRightInd w:val="0"/>
              <w:snapToGrid w:val="0"/>
              <w:ind w:firstLine="0" w:firstLineChars="0"/>
              <w:jc w:val="center"/>
              <w:rPr>
                <w:rFonts w:hint="default"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表10-3 本项目DSA机房屏蔽、尺寸参数及防护措施铅当量</w:t>
            </w:r>
            <w:r>
              <w:rPr>
                <w:rFonts w:hint="default" w:ascii="Times New Roman" w:hAnsi="Times New Roman" w:cs="Times New Roman"/>
                <w:color w:val="auto"/>
                <w:sz w:val="24"/>
                <w:highlight w:val="none"/>
                <w:lang w:val="en-US" w:eastAsia="zh-CN"/>
              </w:rPr>
              <w:t>一览表</w:t>
            </w:r>
          </w:p>
          <w:tbl>
            <w:tblPr>
              <w:tblStyle w:val="23"/>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1"/>
              <w:gridCol w:w="2660"/>
              <w:gridCol w:w="1950"/>
              <w:gridCol w:w="1837"/>
              <w:gridCol w:w="708"/>
            </w:tblGrid>
            <w:tr w14:paraId="5B99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2" w:type="pct"/>
                  <w:vAlign w:val="center"/>
                </w:tcPr>
                <w:p w14:paraId="7D6D98ED">
                  <w:pPr>
                    <w:pStyle w:val="65"/>
                    <w:adjustRightInd w:val="0"/>
                    <w:snapToGrid w:val="0"/>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屏蔽方位</w:t>
                  </w:r>
                </w:p>
              </w:tc>
              <w:tc>
                <w:tcPr>
                  <w:tcW w:w="1605" w:type="pct"/>
                  <w:vAlign w:val="center"/>
                </w:tcPr>
                <w:p w14:paraId="2B2C2D01">
                  <w:pPr>
                    <w:pStyle w:val="65"/>
                    <w:adjustRightInd w:val="0"/>
                    <w:snapToGrid w:val="0"/>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设计屏蔽材料及屏蔽厚度</w:t>
                  </w:r>
                </w:p>
              </w:tc>
              <w:tc>
                <w:tcPr>
                  <w:tcW w:w="1176" w:type="pct"/>
                  <w:vAlign w:val="center"/>
                </w:tcPr>
                <w:p w14:paraId="24C7F666">
                  <w:pPr>
                    <w:pStyle w:val="65"/>
                    <w:adjustRightInd w:val="0"/>
                    <w:snapToGrid w:val="0"/>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等效屏蔽效果</w:t>
                  </w:r>
                </w:p>
              </w:tc>
              <w:tc>
                <w:tcPr>
                  <w:tcW w:w="1108" w:type="pct"/>
                  <w:vAlign w:val="center"/>
                </w:tcPr>
                <w:p w14:paraId="712DEB44">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屏蔽要求</w:t>
                  </w:r>
                </w:p>
              </w:tc>
              <w:tc>
                <w:tcPr>
                  <w:tcW w:w="427" w:type="pct"/>
                  <w:vAlign w:val="center"/>
                </w:tcPr>
                <w:p w14:paraId="40D59C17">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评价</w:t>
                  </w:r>
                </w:p>
              </w:tc>
            </w:tr>
            <w:tr w14:paraId="74F54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682" w:type="pct"/>
                  <w:vAlign w:val="center"/>
                </w:tcPr>
                <w:p w14:paraId="39E3AC1D">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四周墙体</w:t>
                  </w:r>
                </w:p>
              </w:tc>
              <w:tc>
                <w:tcPr>
                  <w:tcW w:w="1605" w:type="pct"/>
                  <w:vAlign w:val="center"/>
                </w:tcPr>
                <w:p w14:paraId="2B0AE899">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sz w:val="21"/>
                      <w:szCs w:val="21"/>
                      <w:highlight w:val="none"/>
                      <w:lang w:val="en-US" w:eastAsia="zh-CN"/>
                    </w:rPr>
                    <w:t>200</w:t>
                  </w:r>
                  <w:r>
                    <w:rPr>
                      <w:rFonts w:hint="default" w:ascii="Times New Roman" w:hAnsi="Times New Roman" w:cs="Times New Roman"/>
                      <w:color w:val="auto"/>
                      <w:sz w:val="21"/>
                      <w:szCs w:val="21"/>
                      <w:highlight w:val="none"/>
                      <w:lang w:val="en-US" w:eastAsia="zh-CN"/>
                    </w:rPr>
                    <w:t>mm厚实心砖砌体+22mm复合射线防护板</w:t>
                  </w:r>
                </w:p>
              </w:tc>
              <w:tc>
                <w:tcPr>
                  <w:tcW w:w="1176" w:type="pct"/>
                  <w:vAlign w:val="center"/>
                </w:tcPr>
                <w:p w14:paraId="438A4701">
                  <w:pPr>
                    <w:pStyle w:val="65"/>
                    <w:adjustRightInd w:val="0"/>
                    <w:snapToGrid w:val="0"/>
                    <w:ind w:firstLine="0" w:firstLineChars="0"/>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1.8mmPb+3.045mmPb=4.845mmPb</w:t>
                  </w:r>
                </w:p>
              </w:tc>
              <w:tc>
                <w:tcPr>
                  <w:tcW w:w="1108" w:type="pct"/>
                  <w:vMerge w:val="restart"/>
                  <w:vAlign w:val="center"/>
                </w:tcPr>
                <w:p w14:paraId="6F4141D5">
                  <w:pPr>
                    <w:pStyle w:val="65"/>
                    <w:adjustRightInd w:val="0"/>
                    <w:snapToGrid w:val="0"/>
                    <w:ind w:firstLine="0" w:firstLineChars="0"/>
                    <w:jc w:val="both"/>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介入X射线设备机房屏蔽防护铅当量厚度要求：有用线束方向铅当量2mm，非有用线束方向铅当量2mm。</w:t>
                  </w:r>
                </w:p>
              </w:tc>
              <w:tc>
                <w:tcPr>
                  <w:tcW w:w="427" w:type="pct"/>
                  <w:vAlign w:val="center"/>
                </w:tcPr>
                <w:p w14:paraId="738B50C5">
                  <w:pPr>
                    <w:adjustRightInd w:val="0"/>
                    <w:snapToGrid w:val="0"/>
                    <w:jc w:val="both"/>
                    <w:rPr>
                      <w:rFonts w:hint="default" w:ascii="Times New Roman" w:hAnsi="Times New Roman" w:cs="Times New Roman"/>
                      <w:b/>
                      <w:bCs/>
                      <w:color w:val="auto"/>
                      <w:kern w:val="0"/>
                      <w:szCs w:val="21"/>
                      <w:highlight w:val="none"/>
                    </w:rPr>
                  </w:pPr>
                  <w:r>
                    <w:rPr>
                      <w:rFonts w:hint="default" w:ascii="Times New Roman" w:hAnsi="Times New Roman" w:cs="Times New Roman"/>
                      <w:color w:val="auto"/>
                      <w:szCs w:val="21"/>
                      <w:highlight w:val="none"/>
                    </w:rPr>
                    <w:t>满足</w:t>
                  </w:r>
                </w:p>
              </w:tc>
            </w:tr>
            <w:tr w14:paraId="00680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682" w:type="pct"/>
                  <w:vAlign w:val="center"/>
                </w:tcPr>
                <w:p w14:paraId="7A2FACE7">
                  <w:pPr>
                    <w:widowControl/>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地面</w:t>
                  </w:r>
                </w:p>
              </w:tc>
              <w:tc>
                <w:tcPr>
                  <w:tcW w:w="1605" w:type="pct"/>
                  <w:vAlign w:val="center"/>
                </w:tcPr>
                <w:p w14:paraId="35D76AAE">
                  <w:pPr>
                    <w:adjustRightInd w:val="0"/>
                    <w:snapToGrid w:val="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150mm混凝土+45mm硫酸钡水泥</w:t>
                  </w:r>
                </w:p>
              </w:tc>
              <w:tc>
                <w:tcPr>
                  <w:tcW w:w="1176" w:type="pct"/>
                  <w:vAlign w:val="center"/>
                </w:tcPr>
                <w:p w14:paraId="1AE7BA6D">
                  <w:pPr>
                    <w:pStyle w:val="65"/>
                    <w:adjustRightInd w:val="0"/>
                    <w:snapToGrid w:val="0"/>
                    <w:ind w:firstLine="0" w:firstLineChars="0"/>
                    <w:jc w:val="center"/>
                    <w:rPr>
                      <w:rFonts w:hint="default" w:ascii="Times New Roman" w:hAnsi="Times New Roman"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1.87mmPb+3.47mmPb=5.34mmPb</w:t>
                  </w:r>
                </w:p>
              </w:tc>
              <w:tc>
                <w:tcPr>
                  <w:tcW w:w="1108" w:type="pct"/>
                  <w:vMerge w:val="continue"/>
                  <w:vAlign w:val="center"/>
                </w:tcPr>
                <w:p w14:paraId="2B2320DA">
                  <w:pPr>
                    <w:pStyle w:val="65"/>
                    <w:adjustRightInd w:val="0"/>
                    <w:snapToGrid w:val="0"/>
                    <w:ind w:firstLine="0" w:firstLineChars="0"/>
                    <w:jc w:val="both"/>
                    <w:rPr>
                      <w:rFonts w:hint="default" w:ascii="Times New Roman" w:hAnsi="Times New Roman" w:cs="Times New Roman"/>
                      <w:color w:val="auto"/>
                      <w:kern w:val="0"/>
                      <w:szCs w:val="21"/>
                      <w:highlight w:val="none"/>
                    </w:rPr>
                  </w:pPr>
                </w:p>
              </w:tc>
              <w:tc>
                <w:tcPr>
                  <w:tcW w:w="427" w:type="pct"/>
                  <w:vAlign w:val="center"/>
                </w:tcPr>
                <w:p w14:paraId="034231F3">
                  <w:pPr>
                    <w:adjustRightInd w:val="0"/>
                    <w:snapToGrid w:val="0"/>
                    <w:jc w:val="both"/>
                    <w:rPr>
                      <w:rFonts w:hint="eastAsia"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满足</w:t>
                  </w:r>
                </w:p>
              </w:tc>
            </w:tr>
            <w:tr w14:paraId="762B9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pct"/>
                  <w:vAlign w:val="center"/>
                </w:tcPr>
                <w:p w14:paraId="230BA747">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屋顶</w:t>
                  </w:r>
                </w:p>
              </w:tc>
              <w:tc>
                <w:tcPr>
                  <w:tcW w:w="1605" w:type="pct"/>
                  <w:vAlign w:val="center"/>
                </w:tcPr>
                <w:p w14:paraId="6D8E72A5">
                  <w:pPr>
                    <w:adjustRightInd w:val="0"/>
                    <w:snapToGrid w:val="0"/>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 w:val="21"/>
                      <w:szCs w:val="21"/>
                      <w:highlight w:val="none"/>
                      <w:lang w:val="en-US" w:eastAsia="zh-CN"/>
                    </w:rPr>
                    <w:t>150mm混凝土+22mm复合射线防护板</w:t>
                  </w:r>
                </w:p>
              </w:tc>
              <w:tc>
                <w:tcPr>
                  <w:tcW w:w="1176" w:type="pct"/>
                  <w:vAlign w:val="center"/>
                </w:tcPr>
                <w:p w14:paraId="29B600E6">
                  <w:pPr>
                    <w:pStyle w:val="65"/>
                    <w:adjustRightInd w:val="0"/>
                    <w:snapToGrid w:val="0"/>
                    <w:ind w:firstLine="0" w:firstLineChars="0"/>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1.87mmPb+3.045mmPb=4.915mmPb</w:t>
                  </w:r>
                </w:p>
              </w:tc>
              <w:tc>
                <w:tcPr>
                  <w:tcW w:w="1108" w:type="pct"/>
                  <w:vMerge w:val="continue"/>
                  <w:vAlign w:val="center"/>
                </w:tcPr>
                <w:p w14:paraId="7671314E">
                  <w:pPr>
                    <w:pStyle w:val="65"/>
                    <w:adjustRightInd w:val="0"/>
                    <w:snapToGrid w:val="0"/>
                    <w:ind w:firstLine="0" w:firstLineChars="0"/>
                    <w:jc w:val="both"/>
                    <w:rPr>
                      <w:rFonts w:hint="default" w:ascii="Times New Roman" w:hAnsi="Times New Roman" w:cs="Times New Roman"/>
                      <w:color w:val="auto"/>
                      <w:kern w:val="0"/>
                      <w:szCs w:val="21"/>
                      <w:highlight w:val="none"/>
                    </w:rPr>
                  </w:pPr>
                </w:p>
              </w:tc>
              <w:tc>
                <w:tcPr>
                  <w:tcW w:w="427" w:type="pct"/>
                  <w:vAlign w:val="center"/>
                </w:tcPr>
                <w:p w14:paraId="21CB6AED">
                  <w:pPr>
                    <w:adjustRightInd w:val="0"/>
                    <w:snapToGrid w:val="0"/>
                    <w:jc w:val="both"/>
                    <w:rPr>
                      <w:rFonts w:hint="default" w:ascii="Times New Roman" w:hAnsi="Times New Roman" w:cs="Times New Roman"/>
                      <w:b/>
                      <w:bCs/>
                      <w:color w:val="auto"/>
                      <w:kern w:val="0"/>
                      <w:szCs w:val="21"/>
                      <w:highlight w:val="none"/>
                    </w:rPr>
                  </w:pPr>
                  <w:r>
                    <w:rPr>
                      <w:rFonts w:hint="default" w:ascii="Times New Roman" w:hAnsi="Times New Roman" w:cs="Times New Roman"/>
                      <w:color w:val="auto"/>
                      <w:szCs w:val="21"/>
                      <w:highlight w:val="none"/>
                    </w:rPr>
                    <w:t>满足</w:t>
                  </w:r>
                </w:p>
              </w:tc>
            </w:tr>
            <w:tr w14:paraId="29E77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2" w:type="pct"/>
                  <w:vAlign w:val="center"/>
                </w:tcPr>
                <w:p w14:paraId="06F55AC1">
                  <w:pPr>
                    <w:widowControl/>
                    <w:adjustRightInd w:val="0"/>
                    <w:snapToGrid w:val="0"/>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观察窗</w:t>
                  </w:r>
                </w:p>
              </w:tc>
              <w:tc>
                <w:tcPr>
                  <w:tcW w:w="1605" w:type="pct"/>
                  <w:vAlign w:val="center"/>
                </w:tcPr>
                <w:p w14:paraId="6D46AD63">
                  <w:pPr>
                    <w:adjustRightInd w:val="0"/>
                    <w:snapToGrid w:val="0"/>
                    <w:jc w:val="center"/>
                    <w:rPr>
                      <w:rFonts w:hint="default" w:ascii="Times New Roman" w:hAnsi="Times New Roman" w:cs="Times New Roman"/>
                      <w:color w:val="auto"/>
                      <w:szCs w:val="21"/>
                      <w:highlight w:val="none"/>
                    </w:rPr>
                  </w:pPr>
                  <w:r>
                    <w:rPr>
                      <w:rFonts w:hint="eastAsia" w:ascii="Times New Roman" w:hAnsi="Times New Roman" w:cs="Times New Roman"/>
                      <w:color w:val="auto"/>
                      <w:sz w:val="21"/>
                      <w:szCs w:val="21"/>
                      <w:highlight w:val="none"/>
                      <w:lang w:val="en-US" w:eastAsia="zh-CN"/>
                    </w:rPr>
                    <w:t>3mmPb铅观察窗</w:t>
                  </w:r>
                </w:p>
              </w:tc>
              <w:tc>
                <w:tcPr>
                  <w:tcW w:w="1176" w:type="pct"/>
                  <w:vAlign w:val="center"/>
                </w:tcPr>
                <w:p w14:paraId="7825D237">
                  <w:pPr>
                    <w:pStyle w:val="65"/>
                    <w:adjustRightInd w:val="0"/>
                    <w:snapToGrid w:val="0"/>
                    <w:ind w:firstLine="0" w:firstLineChars="0"/>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3mmPb</w:t>
                  </w:r>
                </w:p>
              </w:tc>
              <w:tc>
                <w:tcPr>
                  <w:tcW w:w="1108" w:type="pct"/>
                  <w:vMerge w:val="continue"/>
                  <w:vAlign w:val="center"/>
                </w:tcPr>
                <w:p w14:paraId="31E66DB4">
                  <w:pPr>
                    <w:pStyle w:val="65"/>
                    <w:adjustRightInd w:val="0"/>
                    <w:snapToGrid w:val="0"/>
                    <w:ind w:firstLine="0" w:firstLineChars="0"/>
                    <w:jc w:val="both"/>
                    <w:rPr>
                      <w:rFonts w:hint="default" w:ascii="Times New Roman" w:hAnsi="Times New Roman" w:cs="Times New Roman"/>
                      <w:color w:val="auto"/>
                      <w:kern w:val="0"/>
                      <w:szCs w:val="21"/>
                      <w:highlight w:val="none"/>
                    </w:rPr>
                  </w:pPr>
                </w:p>
              </w:tc>
              <w:tc>
                <w:tcPr>
                  <w:tcW w:w="427" w:type="pct"/>
                  <w:vAlign w:val="center"/>
                </w:tcPr>
                <w:p w14:paraId="069EC23B">
                  <w:pPr>
                    <w:adjustRightInd w:val="0"/>
                    <w:snapToGrid w:val="0"/>
                    <w:jc w:val="both"/>
                    <w:rPr>
                      <w:rFonts w:hint="default" w:ascii="Times New Roman" w:hAnsi="Times New Roman" w:cs="Times New Roman"/>
                      <w:b/>
                      <w:bCs/>
                      <w:color w:val="auto"/>
                      <w:kern w:val="0"/>
                      <w:szCs w:val="21"/>
                      <w:highlight w:val="none"/>
                    </w:rPr>
                  </w:pPr>
                  <w:r>
                    <w:rPr>
                      <w:rFonts w:hint="default" w:ascii="Times New Roman" w:hAnsi="Times New Roman" w:cs="Times New Roman"/>
                      <w:color w:val="auto"/>
                      <w:szCs w:val="21"/>
                      <w:highlight w:val="none"/>
                    </w:rPr>
                    <w:t>满足</w:t>
                  </w:r>
                </w:p>
              </w:tc>
            </w:tr>
            <w:tr w14:paraId="1D41F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2" w:type="pct"/>
                  <w:vAlign w:val="center"/>
                </w:tcPr>
                <w:p w14:paraId="07CA1FF9">
                  <w:pPr>
                    <w:widowControl/>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DSA介入室5扇门</w:t>
                  </w:r>
                </w:p>
              </w:tc>
              <w:tc>
                <w:tcPr>
                  <w:tcW w:w="1605" w:type="pct"/>
                  <w:vAlign w:val="center"/>
                </w:tcPr>
                <w:p w14:paraId="2504112C">
                  <w:pPr>
                    <w:adjustRightInd w:val="0"/>
                    <w:snapToGrid w:val="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3mmPb铅防护门</w:t>
                  </w:r>
                </w:p>
              </w:tc>
              <w:tc>
                <w:tcPr>
                  <w:tcW w:w="1176" w:type="pct"/>
                  <w:vAlign w:val="center"/>
                </w:tcPr>
                <w:p w14:paraId="6A465BE9">
                  <w:pPr>
                    <w:pStyle w:val="65"/>
                    <w:adjustRightInd w:val="0"/>
                    <w:snapToGrid w:val="0"/>
                    <w:ind w:firstLine="0" w:firstLineChars="0"/>
                    <w:jc w:val="center"/>
                    <w:rPr>
                      <w:rFonts w:hint="default" w:ascii="Times New Roman" w:hAnsi="Times New Roman" w:cs="Times New Roman"/>
                      <w:color w:val="auto"/>
                      <w:kern w:val="0"/>
                      <w:szCs w:val="21"/>
                      <w:highlight w:val="none"/>
                    </w:rPr>
                  </w:pPr>
                  <w:r>
                    <w:rPr>
                      <w:rFonts w:hint="eastAsia" w:ascii="Times New Roman" w:hAnsi="Times New Roman" w:cs="Times New Roman"/>
                      <w:color w:val="auto"/>
                      <w:kern w:val="0"/>
                      <w:szCs w:val="21"/>
                      <w:highlight w:val="none"/>
                      <w:lang w:val="en-US" w:eastAsia="zh-CN"/>
                    </w:rPr>
                    <w:t>3mmPb</w:t>
                  </w:r>
                </w:p>
              </w:tc>
              <w:tc>
                <w:tcPr>
                  <w:tcW w:w="1108" w:type="pct"/>
                  <w:vMerge w:val="continue"/>
                  <w:vAlign w:val="center"/>
                </w:tcPr>
                <w:p w14:paraId="4EDAD76A">
                  <w:pPr>
                    <w:pStyle w:val="65"/>
                    <w:adjustRightInd w:val="0"/>
                    <w:snapToGrid w:val="0"/>
                    <w:ind w:firstLine="0" w:firstLineChars="0"/>
                    <w:jc w:val="both"/>
                    <w:rPr>
                      <w:rFonts w:hint="default" w:ascii="Times New Roman" w:hAnsi="Times New Roman" w:cs="Times New Roman"/>
                      <w:color w:val="auto"/>
                      <w:kern w:val="0"/>
                      <w:szCs w:val="21"/>
                      <w:highlight w:val="none"/>
                    </w:rPr>
                  </w:pPr>
                </w:p>
              </w:tc>
              <w:tc>
                <w:tcPr>
                  <w:tcW w:w="427" w:type="pct"/>
                  <w:vAlign w:val="center"/>
                </w:tcPr>
                <w:p w14:paraId="3B620F49">
                  <w:pPr>
                    <w:adjustRightInd w:val="0"/>
                    <w:snapToGrid w:val="0"/>
                    <w:jc w:val="both"/>
                    <w:rPr>
                      <w:rFonts w:hint="eastAsia"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满足</w:t>
                  </w:r>
                </w:p>
              </w:tc>
            </w:tr>
            <w:tr w14:paraId="61CFD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pct"/>
                  <w:vAlign w:val="center"/>
                </w:tcPr>
                <w:p w14:paraId="396FB5AC">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DSA机房尺寸</w:t>
                  </w:r>
                </w:p>
              </w:tc>
              <w:tc>
                <w:tcPr>
                  <w:tcW w:w="2781" w:type="pct"/>
                  <w:gridSpan w:val="2"/>
                  <w:vAlign w:val="center"/>
                </w:tcPr>
                <w:p w14:paraId="7CAE5177">
                  <w:pPr>
                    <w:pStyle w:val="65"/>
                    <w:adjustRightInd w:val="0"/>
                    <w:snapToGrid w:val="0"/>
                    <w:ind w:firstLine="0" w:firstLineChars="0"/>
                    <w:jc w:val="center"/>
                    <w:rPr>
                      <w:rFonts w:hint="default" w:ascii="Times New Roman" w:hAnsi="Times New Roman" w:eastAsia="宋体" w:cs="Times New Roman"/>
                      <w:color w:val="auto"/>
                      <w:kern w:val="0"/>
                      <w:sz w:val="21"/>
                      <w:szCs w:val="21"/>
                      <w:highlight w:val="none"/>
                      <w:lang w:eastAsia="zh-CN"/>
                    </w:rPr>
                  </w:pPr>
                  <w:r>
                    <w:rPr>
                      <w:rFonts w:hint="eastAsia" w:ascii="Times New Roman" w:hAnsi="Times New Roman" w:cs="Times New Roman"/>
                      <w:color w:val="auto"/>
                      <w:sz w:val="21"/>
                      <w:szCs w:val="21"/>
                      <w:highlight w:val="none"/>
                      <w:lang w:val="en-US" w:eastAsia="zh-CN"/>
                    </w:rPr>
                    <w:t>DSA介入室有效使用面积47.2m</w:t>
                  </w:r>
                  <w:r>
                    <w:rPr>
                      <w:rFonts w:hint="eastAsia" w:ascii="Times New Roman" w:hAnsi="Times New Roman" w:cs="Times New Roman"/>
                      <w:color w:val="auto"/>
                      <w:sz w:val="21"/>
                      <w:szCs w:val="21"/>
                      <w:highlight w:val="none"/>
                      <w:vertAlign w:val="superscript"/>
                      <w:lang w:val="en-US" w:eastAsia="zh-CN"/>
                    </w:rPr>
                    <w:t>2</w:t>
                  </w:r>
                  <w:r>
                    <w:rPr>
                      <w:rFonts w:hint="eastAsia" w:ascii="Times New Roman" w:hAnsi="Times New Roman" w:cs="Times New Roman"/>
                      <w:color w:val="auto"/>
                      <w:sz w:val="21"/>
                      <w:szCs w:val="21"/>
                      <w:highlight w:val="none"/>
                      <w:vertAlign w:val="baseline"/>
                      <w:lang w:val="en-US" w:eastAsia="zh-CN"/>
                    </w:rPr>
                    <w:t>（长8.2m×宽5.7m，层高4.45m，吊顶高度3m</w:t>
                  </w:r>
                </w:p>
              </w:tc>
              <w:tc>
                <w:tcPr>
                  <w:tcW w:w="1108" w:type="pct"/>
                  <w:vAlign w:val="center"/>
                </w:tcPr>
                <w:p w14:paraId="63E8C04A">
                  <w:pPr>
                    <w:pStyle w:val="65"/>
                    <w:adjustRightInd w:val="0"/>
                    <w:snapToGrid w:val="0"/>
                    <w:ind w:firstLine="0" w:firstLineChars="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kern w:val="0"/>
                      <w:szCs w:val="21"/>
                      <w:highlight w:val="none"/>
                    </w:rPr>
                    <w:t>机房内最小有效使用面积为20m</w:t>
                  </w:r>
                  <w:r>
                    <w:rPr>
                      <w:rFonts w:hint="default" w:ascii="Times New Roman" w:hAnsi="Times New Roman" w:cs="Times New Roman"/>
                      <w:color w:val="auto"/>
                      <w:kern w:val="0"/>
                      <w:szCs w:val="21"/>
                      <w:highlight w:val="none"/>
                      <w:vertAlign w:val="superscript"/>
                    </w:rPr>
                    <w:t>2</w:t>
                  </w:r>
                  <w:r>
                    <w:rPr>
                      <w:rFonts w:hint="default" w:ascii="Times New Roman" w:hAnsi="Times New Roman" w:cs="Times New Roman"/>
                      <w:color w:val="auto"/>
                      <w:kern w:val="0"/>
                      <w:szCs w:val="21"/>
                      <w:highlight w:val="none"/>
                    </w:rPr>
                    <w:t>，机房内最小单边长度为3.5m</w:t>
                  </w:r>
                </w:p>
              </w:tc>
              <w:tc>
                <w:tcPr>
                  <w:tcW w:w="427" w:type="pct"/>
                  <w:vAlign w:val="center"/>
                </w:tcPr>
                <w:p w14:paraId="4C27AC58">
                  <w:pPr>
                    <w:adjustRightInd w:val="0"/>
                    <w:snapToGrid w:val="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满足</w:t>
                  </w:r>
                </w:p>
              </w:tc>
            </w:tr>
            <w:tr w14:paraId="56AE7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5"/>
                  <w:vAlign w:val="center"/>
                </w:tcPr>
                <w:p w14:paraId="60BCB2E7">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拟配备防护用品</w:t>
                  </w:r>
                </w:p>
              </w:tc>
            </w:tr>
            <w:tr w14:paraId="3910A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pct"/>
                  <w:vAlign w:val="center"/>
                </w:tcPr>
                <w:p w14:paraId="07A11FB4">
                  <w:pPr>
                    <w:widowControl/>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吊屏/铅帘</w:t>
                  </w:r>
                </w:p>
              </w:tc>
              <w:tc>
                <w:tcPr>
                  <w:tcW w:w="1605" w:type="pct"/>
                  <w:vAlign w:val="center"/>
                </w:tcPr>
                <w:p w14:paraId="5804C54D">
                  <w:pPr>
                    <w:pStyle w:val="65"/>
                    <w:adjustRightInd w:val="0"/>
                    <w:snapToGrid w:val="0"/>
                    <w:ind w:firstLine="0" w:firstLineChars="0"/>
                    <w:jc w:val="center"/>
                    <w:rPr>
                      <w:rFonts w:hint="eastAsia" w:ascii="Times New Roman" w:hAnsi="Times New Roman" w:cs="Times New Roman"/>
                      <w:color w:val="auto"/>
                      <w:sz w:val="21"/>
                      <w:szCs w:val="21"/>
                      <w:highlight w:val="none"/>
                      <w:lang w:val="en-US" w:eastAsia="zh-CN"/>
                    </w:rPr>
                  </w:pPr>
                  <w:r>
                    <w:rPr>
                      <w:rFonts w:hint="eastAsia"/>
                      <w:color w:val="auto"/>
                      <w:kern w:val="0"/>
                      <w:szCs w:val="21"/>
                      <w:highlight w:val="none"/>
                    </w:rPr>
                    <w:t>自带1块吊屏，1张铅帘</w:t>
                  </w:r>
                </w:p>
              </w:tc>
              <w:tc>
                <w:tcPr>
                  <w:tcW w:w="1176" w:type="pct"/>
                  <w:shd w:val="clear" w:color="auto" w:fill="auto"/>
                  <w:vAlign w:val="center"/>
                </w:tcPr>
                <w:p w14:paraId="088409B3">
                  <w:pPr>
                    <w:pStyle w:val="65"/>
                    <w:adjustRightInd w:val="0"/>
                    <w:snapToGrid w:val="0"/>
                    <w:ind w:firstLine="0" w:firstLineChars="0"/>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0.50mmPb</w:t>
                  </w:r>
                </w:p>
              </w:tc>
              <w:tc>
                <w:tcPr>
                  <w:tcW w:w="1108" w:type="pct"/>
                  <w:vMerge w:val="restart"/>
                  <w:vAlign w:val="center"/>
                </w:tcPr>
                <w:p w14:paraId="41AE9E63">
                  <w:pPr>
                    <w:pStyle w:val="65"/>
                    <w:adjustRightInd w:val="0"/>
                    <w:snapToGrid w:val="0"/>
                    <w:ind w:firstLine="0" w:firstLineChars="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kern w:val="0"/>
                      <w:szCs w:val="21"/>
                      <w:highlight w:val="none"/>
                    </w:rPr>
                    <w:t>除介入防护手套外，防护用品和辅助防护设施的铅当量应不小于0.25mmPb；甲状腺、性腺防护用品铅当量应不小于0.5mmPb；</w:t>
                  </w:r>
                </w:p>
              </w:tc>
              <w:tc>
                <w:tcPr>
                  <w:tcW w:w="427" w:type="pct"/>
                  <w:vAlign w:val="center"/>
                </w:tcPr>
                <w:p w14:paraId="0FC5131C">
                  <w:pPr>
                    <w:adjustRightInd w:val="0"/>
                    <w:snapToGrid w:val="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满足</w:t>
                  </w:r>
                </w:p>
              </w:tc>
            </w:tr>
            <w:tr w14:paraId="05C5B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pct"/>
                  <w:vAlign w:val="center"/>
                </w:tcPr>
                <w:p w14:paraId="1CEB523B">
                  <w:pPr>
                    <w:widowControl/>
                    <w:adjustRightInd w:val="0"/>
                    <w:snapToGrid w:val="0"/>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铅衣</w:t>
                  </w:r>
                </w:p>
              </w:tc>
              <w:tc>
                <w:tcPr>
                  <w:tcW w:w="1605" w:type="pct"/>
                  <w:vAlign w:val="center"/>
                </w:tcPr>
                <w:p w14:paraId="3274D45E">
                  <w:pPr>
                    <w:widowControl/>
                    <w:jc w:val="center"/>
                    <w:rPr>
                      <w:rFonts w:hint="eastAsia" w:ascii="Times New Roman" w:hAnsi="Times New Roman" w:cs="Times New Roman"/>
                      <w:color w:val="auto"/>
                      <w:sz w:val="21"/>
                      <w:szCs w:val="21"/>
                      <w:highlight w:val="none"/>
                      <w:lang w:val="en-US" w:eastAsia="zh-CN"/>
                    </w:rPr>
                  </w:pPr>
                  <w:r>
                    <w:rPr>
                      <w:rFonts w:hint="eastAsia"/>
                      <w:color w:val="auto"/>
                      <w:kern w:val="0"/>
                      <w:szCs w:val="21"/>
                      <w:highlight w:val="none"/>
                    </w:rPr>
                    <w:t>拟配医护</w:t>
                  </w:r>
                  <w:r>
                    <w:rPr>
                      <w:rFonts w:hint="eastAsia"/>
                      <w:color w:val="auto"/>
                      <w:kern w:val="0"/>
                      <w:szCs w:val="21"/>
                      <w:highlight w:val="none"/>
                      <w:lang w:val="en-US" w:eastAsia="zh-CN"/>
                    </w:rPr>
                    <w:t>2</w:t>
                  </w:r>
                  <w:r>
                    <w:rPr>
                      <w:rFonts w:hint="eastAsia"/>
                      <w:color w:val="auto"/>
                      <w:kern w:val="0"/>
                      <w:szCs w:val="21"/>
                      <w:highlight w:val="none"/>
                    </w:rPr>
                    <w:t>套，患者1套</w:t>
                  </w:r>
                </w:p>
              </w:tc>
              <w:tc>
                <w:tcPr>
                  <w:tcW w:w="1176" w:type="pct"/>
                  <w:shd w:val="clear" w:color="auto" w:fill="auto"/>
                  <w:vAlign w:val="center"/>
                </w:tcPr>
                <w:p w14:paraId="1C882D5D">
                  <w:pPr>
                    <w:pStyle w:val="65"/>
                    <w:adjustRightInd w:val="0"/>
                    <w:snapToGrid w:val="0"/>
                    <w:ind w:firstLine="0" w:firstLineChars="0"/>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0.50mm铅当量</w:t>
                  </w:r>
                </w:p>
              </w:tc>
              <w:tc>
                <w:tcPr>
                  <w:tcW w:w="1108" w:type="pct"/>
                  <w:vMerge w:val="continue"/>
                  <w:vAlign w:val="center"/>
                </w:tcPr>
                <w:p w14:paraId="61705679">
                  <w:pPr>
                    <w:pStyle w:val="65"/>
                    <w:adjustRightInd w:val="0"/>
                    <w:snapToGrid w:val="0"/>
                    <w:ind w:firstLine="0" w:firstLineChars="0"/>
                    <w:jc w:val="both"/>
                    <w:rPr>
                      <w:rFonts w:hint="default" w:ascii="Times New Roman" w:hAnsi="Times New Roman" w:cs="Times New Roman"/>
                      <w:color w:val="auto"/>
                      <w:sz w:val="21"/>
                      <w:szCs w:val="21"/>
                      <w:highlight w:val="none"/>
                      <w:lang w:val="en-US" w:eastAsia="zh-CN"/>
                    </w:rPr>
                  </w:pPr>
                </w:p>
              </w:tc>
              <w:tc>
                <w:tcPr>
                  <w:tcW w:w="427" w:type="pct"/>
                  <w:vAlign w:val="center"/>
                </w:tcPr>
                <w:p w14:paraId="3C06AEFB">
                  <w:pPr>
                    <w:adjustRightInd w:val="0"/>
                    <w:snapToGrid w:val="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满足</w:t>
                  </w:r>
                </w:p>
              </w:tc>
            </w:tr>
            <w:tr w14:paraId="629AE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pct"/>
                  <w:shd w:val="clear" w:color="auto" w:fill="auto"/>
                  <w:vAlign w:val="center"/>
                </w:tcPr>
                <w:p w14:paraId="078DD75E">
                  <w:pPr>
                    <w:widowControl/>
                    <w:jc w:val="center"/>
                    <w:rPr>
                      <w:rFonts w:hint="default" w:ascii="Calibri" w:hAnsi="Calibri" w:eastAsia="宋体" w:cs="Times New Roman"/>
                      <w:color w:val="auto"/>
                      <w:kern w:val="0"/>
                      <w:sz w:val="21"/>
                      <w:szCs w:val="21"/>
                      <w:highlight w:val="none"/>
                      <w:lang w:val="en-US" w:eastAsia="zh-CN" w:bidi="ar-SA"/>
                    </w:rPr>
                  </w:pPr>
                  <w:r>
                    <w:rPr>
                      <w:rFonts w:hint="eastAsia"/>
                      <w:color w:val="auto"/>
                      <w:kern w:val="0"/>
                      <w:szCs w:val="21"/>
                      <w:highlight w:val="none"/>
                    </w:rPr>
                    <w:t>铅屏/铅帘+铅衣</w:t>
                  </w:r>
                </w:p>
              </w:tc>
              <w:tc>
                <w:tcPr>
                  <w:tcW w:w="1605" w:type="pct"/>
                  <w:shd w:val="clear" w:color="auto" w:fill="auto"/>
                  <w:vAlign w:val="center"/>
                </w:tcPr>
                <w:p w14:paraId="10A4FF43">
                  <w:pPr>
                    <w:widowControl/>
                    <w:jc w:val="center"/>
                    <w:rPr>
                      <w:rFonts w:hint="eastAsia" w:ascii="Calibri" w:hAnsi="Calibri" w:eastAsia="宋体" w:cs="Times New Roman"/>
                      <w:color w:val="auto"/>
                      <w:kern w:val="0"/>
                      <w:sz w:val="21"/>
                      <w:szCs w:val="21"/>
                      <w:highlight w:val="none"/>
                      <w:lang w:val="en-US" w:eastAsia="zh-CN" w:bidi="ar-SA"/>
                    </w:rPr>
                  </w:pPr>
                  <w:r>
                    <w:rPr>
                      <w:rFonts w:hint="eastAsia"/>
                      <w:color w:val="auto"/>
                      <w:kern w:val="0"/>
                      <w:szCs w:val="21"/>
                      <w:highlight w:val="none"/>
                    </w:rPr>
                    <w:t>/</w:t>
                  </w:r>
                </w:p>
              </w:tc>
              <w:tc>
                <w:tcPr>
                  <w:tcW w:w="1176" w:type="pct"/>
                  <w:shd w:val="clear" w:color="auto" w:fill="auto"/>
                  <w:vAlign w:val="center"/>
                </w:tcPr>
                <w:p w14:paraId="57580D3F">
                  <w:pPr>
                    <w:pStyle w:val="65"/>
                    <w:adjustRightInd w:val="0"/>
                    <w:snapToGrid w:val="0"/>
                    <w:ind w:firstLine="0" w:firstLineChars="0"/>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1.00mm铅当量</w:t>
                  </w:r>
                </w:p>
              </w:tc>
              <w:tc>
                <w:tcPr>
                  <w:tcW w:w="1108" w:type="pct"/>
                  <w:vMerge w:val="continue"/>
                  <w:shd w:val="clear" w:color="auto" w:fill="auto"/>
                  <w:vAlign w:val="center"/>
                </w:tcPr>
                <w:p w14:paraId="3E3445EC">
                  <w:pPr>
                    <w:pStyle w:val="65"/>
                    <w:adjustRightInd w:val="0"/>
                    <w:snapToGrid w:val="0"/>
                    <w:ind w:firstLine="0" w:firstLineChars="0"/>
                    <w:jc w:val="both"/>
                    <w:rPr>
                      <w:rFonts w:hint="default" w:ascii="Times New Roman" w:hAnsi="Times New Roman" w:cs="Times New Roman"/>
                      <w:color w:val="auto"/>
                      <w:sz w:val="21"/>
                      <w:szCs w:val="21"/>
                      <w:highlight w:val="none"/>
                      <w:lang w:val="en-US" w:eastAsia="zh-CN"/>
                    </w:rPr>
                  </w:pPr>
                </w:p>
              </w:tc>
              <w:tc>
                <w:tcPr>
                  <w:tcW w:w="427" w:type="pct"/>
                  <w:vAlign w:val="center"/>
                </w:tcPr>
                <w:p w14:paraId="1AA8AAEE">
                  <w:pPr>
                    <w:adjustRightInd w:val="0"/>
                    <w:snapToGrid w:val="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满足</w:t>
                  </w:r>
                </w:p>
              </w:tc>
            </w:tr>
            <w:tr w14:paraId="77B69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pct"/>
                  <w:shd w:val="clear" w:color="auto" w:fill="auto"/>
                  <w:vAlign w:val="center"/>
                </w:tcPr>
                <w:p w14:paraId="121BB067">
                  <w:pPr>
                    <w:widowControl/>
                    <w:jc w:val="center"/>
                    <w:rPr>
                      <w:rFonts w:hint="eastAsia" w:eastAsia="宋体"/>
                      <w:color w:val="auto"/>
                      <w:kern w:val="0"/>
                      <w:szCs w:val="21"/>
                      <w:highlight w:val="none"/>
                      <w:lang w:val="en-US" w:eastAsia="zh-CN"/>
                    </w:rPr>
                  </w:pPr>
                  <w:r>
                    <w:rPr>
                      <w:rFonts w:hint="eastAsia"/>
                      <w:color w:val="auto"/>
                      <w:kern w:val="0"/>
                      <w:szCs w:val="21"/>
                      <w:highlight w:val="none"/>
                      <w:lang w:val="en-US" w:eastAsia="zh-CN"/>
                    </w:rPr>
                    <w:t>铅手套</w:t>
                  </w:r>
                </w:p>
              </w:tc>
              <w:tc>
                <w:tcPr>
                  <w:tcW w:w="1605" w:type="pct"/>
                  <w:shd w:val="clear" w:color="auto" w:fill="auto"/>
                  <w:vAlign w:val="center"/>
                </w:tcPr>
                <w:p w14:paraId="740844EA">
                  <w:pPr>
                    <w:widowControl/>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2套</w:t>
                  </w:r>
                </w:p>
              </w:tc>
              <w:tc>
                <w:tcPr>
                  <w:tcW w:w="1176" w:type="pct"/>
                  <w:shd w:val="clear" w:color="auto" w:fill="auto"/>
                  <w:vAlign w:val="center"/>
                </w:tcPr>
                <w:p w14:paraId="26F3EB43">
                  <w:pPr>
                    <w:pStyle w:val="65"/>
                    <w:adjustRightInd w:val="0"/>
                    <w:snapToGrid w:val="0"/>
                    <w:ind w:firstLine="0" w:firstLineChars="0"/>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0.1mm铅当量</w:t>
                  </w:r>
                </w:p>
              </w:tc>
              <w:tc>
                <w:tcPr>
                  <w:tcW w:w="1108" w:type="pct"/>
                  <w:vMerge w:val="continue"/>
                  <w:shd w:val="clear" w:color="auto" w:fill="auto"/>
                  <w:vAlign w:val="center"/>
                </w:tcPr>
                <w:p w14:paraId="7DB9044A">
                  <w:pPr>
                    <w:pStyle w:val="65"/>
                    <w:adjustRightInd w:val="0"/>
                    <w:snapToGrid w:val="0"/>
                    <w:ind w:firstLine="0" w:firstLineChars="0"/>
                    <w:jc w:val="both"/>
                    <w:rPr>
                      <w:rFonts w:hint="default" w:ascii="Times New Roman" w:hAnsi="Times New Roman" w:cs="Times New Roman"/>
                      <w:color w:val="auto"/>
                      <w:sz w:val="21"/>
                      <w:szCs w:val="21"/>
                      <w:highlight w:val="none"/>
                      <w:lang w:val="en-US" w:eastAsia="zh-CN"/>
                    </w:rPr>
                  </w:pPr>
                </w:p>
              </w:tc>
              <w:tc>
                <w:tcPr>
                  <w:tcW w:w="427" w:type="pct"/>
                  <w:vAlign w:val="center"/>
                </w:tcPr>
                <w:p w14:paraId="407AE98C">
                  <w:pPr>
                    <w:adjustRightInd w:val="0"/>
                    <w:snapToGrid w:val="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满足</w:t>
                  </w:r>
                </w:p>
              </w:tc>
            </w:tr>
          </w:tbl>
          <w:p w14:paraId="3E61D9F0">
            <w:pPr>
              <w:pStyle w:val="65"/>
              <w:adjustRightInd w:val="0"/>
              <w:snapToGrid w:val="0"/>
              <w:spacing w:line="360" w:lineRule="auto"/>
              <w:ind w:firstLine="480"/>
              <w:jc w:val="left"/>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本次评价采用的《</w:t>
            </w:r>
            <w:r>
              <w:rPr>
                <w:rFonts w:hint="default" w:ascii="Times New Roman" w:hAnsi="Times New Roman" w:cs="Times New Roman"/>
                <w:bCs/>
                <w:color w:val="auto"/>
                <w:sz w:val="24"/>
                <w:highlight w:val="none"/>
              </w:rPr>
              <w:t>放射诊断放射防护要求</w:t>
            </w:r>
            <w:r>
              <w:rPr>
                <w:rFonts w:hint="default" w:ascii="Times New Roman" w:hAnsi="Times New Roman" w:cs="Times New Roman"/>
                <w:color w:val="auto"/>
                <w:sz w:val="24"/>
                <w:highlight w:val="none"/>
              </w:rPr>
              <w:t>》（</w:t>
            </w:r>
            <w:r>
              <w:rPr>
                <w:rFonts w:hint="default" w:ascii="Times New Roman" w:hAnsi="Times New Roman" w:cs="Times New Roman"/>
                <w:bCs/>
                <w:color w:val="auto"/>
                <w:sz w:val="24"/>
                <w:highlight w:val="none"/>
              </w:rPr>
              <w:t>GBZ130</w:t>
            </w:r>
            <w:r>
              <w:rPr>
                <w:rFonts w:hint="default" w:ascii="Times New Roman" w:hAnsi="Times New Roman" w:cs="Times New Roman"/>
                <w:color w:val="auto"/>
                <w:sz w:val="24"/>
                <w:highlight w:val="none"/>
              </w:rPr>
              <w:t>-</w:t>
            </w:r>
            <w:r>
              <w:rPr>
                <w:rFonts w:hint="default" w:ascii="Times New Roman" w:hAnsi="Times New Roman" w:cs="Times New Roman"/>
                <w:bCs/>
                <w:color w:val="auto"/>
                <w:sz w:val="24"/>
                <w:highlight w:val="none"/>
              </w:rPr>
              <w:t>2020</w:t>
            </w:r>
            <w:r>
              <w:rPr>
                <w:rFonts w:hint="default" w:ascii="Times New Roman" w:hAnsi="Times New Roman" w:cs="Times New Roman"/>
                <w:color w:val="auto"/>
                <w:sz w:val="24"/>
                <w:highlight w:val="none"/>
              </w:rPr>
              <w:t>）给出的不同类型</w:t>
            </w:r>
            <w:r>
              <w:rPr>
                <w:rFonts w:hint="default" w:ascii="Times New Roman" w:hAnsi="Times New Roman" w:cs="Times New Roman"/>
                <w:bCs/>
                <w:color w:val="auto"/>
                <w:sz w:val="24"/>
                <w:highlight w:val="none"/>
              </w:rPr>
              <w:t>X</w:t>
            </w:r>
            <w:r>
              <w:rPr>
                <w:rFonts w:hint="default" w:ascii="Times New Roman" w:hAnsi="Times New Roman" w:cs="Times New Roman"/>
                <w:color w:val="auto"/>
                <w:sz w:val="24"/>
                <w:highlight w:val="none"/>
              </w:rPr>
              <w:t>射线设备机房的屏蔽防护铅当量厚度要求。对于X射线设备机房，要求有用束和非有用束方向均为</w:t>
            </w:r>
            <w:r>
              <w:rPr>
                <w:rFonts w:hint="default" w:ascii="Times New Roman" w:hAnsi="Times New Roman" w:cs="Times New Roman"/>
                <w:bCs/>
                <w:color w:val="auto"/>
                <w:sz w:val="24"/>
                <w:highlight w:val="none"/>
              </w:rPr>
              <w:t>2mm</w:t>
            </w:r>
            <w:r>
              <w:rPr>
                <w:rFonts w:hint="default" w:ascii="Times New Roman" w:hAnsi="Times New Roman" w:cs="Times New Roman"/>
                <w:color w:val="auto"/>
                <w:sz w:val="24"/>
                <w:highlight w:val="none"/>
              </w:rPr>
              <w:t>铅当量；要求</w:t>
            </w:r>
            <w:r>
              <w:rPr>
                <w:rFonts w:hint="default" w:ascii="Times New Roman" w:hAnsi="Times New Roman" w:cs="Times New Roman"/>
                <w:color w:val="auto"/>
                <w:kern w:val="0"/>
                <w:sz w:val="24"/>
                <w:highlight w:val="none"/>
              </w:rPr>
              <w:t>机房内最小有效使用面积为20m</w:t>
            </w:r>
            <w:r>
              <w:rPr>
                <w:rFonts w:hint="default" w:ascii="Times New Roman" w:hAnsi="Times New Roman" w:cs="Times New Roman"/>
                <w:color w:val="auto"/>
                <w:kern w:val="0"/>
                <w:sz w:val="24"/>
                <w:highlight w:val="none"/>
                <w:vertAlign w:val="superscript"/>
              </w:rPr>
              <w:t>2</w:t>
            </w:r>
            <w:r>
              <w:rPr>
                <w:rFonts w:hint="default" w:ascii="Times New Roman" w:hAnsi="Times New Roman" w:cs="Times New Roman"/>
                <w:color w:val="auto"/>
                <w:kern w:val="0"/>
                <w:sz w:val="24"/>
                <w:highlight w:val="none"/>
              </w:rPr>
              <w:t>，机房内最小单边长度为3.5m</w:t>
            </w:r>
            <w:r>
              <w:rPr>
                <w:rFonts w:hint="default" w:ascii="Times New Roman" w:hAnsi="Times New Roman" w:cs="Times New Roman"/>
                <w:color w:val="auto"/>
                <w:sz w:val="24"/>
                <w:highlight w:val="none"/>
              </w:rPr>
              <w:t>。本项目DSA机房的屏蔽防护满足《</w:t>
            </w:r>
            <w:r>
              <w:rPr>
                <w:rFonts w:hint="default" w:ascii="Times New Roman" w:hAnsi="Times New Roman" w:cs="Times New Roman"/>
                <w:bCs/>
                <w:color w:val="auto"/>
                <w:sz w:val="24"/>
                <w:highlight w:val="none"/>
              </w:rPr>
              <w:t>放射诊断放射</w:t>
            </w:r>
            <w:r>
              <w:rPr>
                <w:rFonts w:hint="default" w:ascii="Times New Roman" w:hAnsi="Times New Roman" w:eastAsia="宋体" w:cs="Times New Roman"/>
                <w:bCs/>
                <w:color w:val="auto"/>
                <w:sz w:val="24"/>
                <w:highlight w:val="none"/>
              </w:rPr>
              <w:t>防护要求</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bCs/>
                <w:color w:val="auto"/>
                <w:sz w:val="24"/>
                <w:highlight w:val="none"/>
              </w:rPr>
              <w:t>GBZ130</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bCs/>
                <w:color w:val="auto"/>
                <w:sz w:val="24"/>
                <w:highlight w:val="none"/>
              </w:rPr>
              <w:t>2020</w:t>
            </w:r>
            <w:r>
              <w:rPr>
                <w:rFonts w:hint="default" w:ascii="Times New Roman" w:hAnsi="Times New Roman" w:eastAsia="宋体" w:cs="Times New Roman"/>
                <w:color w:val="auto"/>
                <w:sz w:val="24"/>
                <w:highlight w:val="none"/>
              </w:rPr>
              <w:t>）中屏蔽防护铅当量厚度的要求。</w:t>
            </w:r>
          </w:p>
          <w:p w14:paraId="5ACE6B4D">
            <w:pPr>
              <w:pStyle w:val="65"/>
              <w:adjustRightInd w:val="0"/>
              <w:snapToGrid w:val="0"/>
              <w:spacing w:line="360" w:lineRule="auto"/>
              <w:ind w:firstLine="0" w:firstLineChars="0"/>
              <w:jc w:val="left"/>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（三）辐射安全防护措施</w:t>
            </w:r>
          </w:p>
          <w:p w14:paraId="7B91DA52">
            <w:pPr>
              <w:pStyle w:val="63"/>
              <w:adjustRightInd w:val="0"/>
              <w:snapToGrid w:val="0"/>
              <w:spacing w:line="360" w:lineRule="auto"/>
              <w:ind w:firstLine="482"/>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rPr>
              <w:t>①警示标志及设施：</w:t>
            </w:r>
            <w:r>
              <w:rPr>
                <w:rFonts w:hint="default" w:ascii="Times New Roman" w:hAnsi="Times New Roman" w:eastAsia="宋体" w:cs="Times New Roman"/>
                <w:color w:val="auto"/>
                <w:sz w:val="24"/>
                <w:highlight w:val="none"/>
              </w:rPr>
              <w:t>在所有机房防护门朝向室外的一面均将张贴电离辐射警告标志，将在监督区入口地面张贴警戒线。</w:t>
            </w:r>
          </w:p>
          <w:p w14:paraId="6546CD31">
            <w:pPr>
              <w:pStyle w:val="63"/>
              <w:adjustRightInd w:val="0"/>
              <w:snapToGrid w:val="0"/>
              <w:spacing w:line="360" w:lineRule="auto"/>
              <w:ind w:firstLine="482"/>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②门灯联锁（含工作状态指示灯）：</w:t>
            </w:r>
            <w:r>
              <w:rPr>
                <w:rFonts w:hint="default" w:ascii="Times New Roman" w:hAnsi="Times New Roman" w:eastAsia="宋体" w:cs="Times New Roman"/>
                <w:color w:val="auto"/>
                <w:sz w:val="24"/>
                <w:highlight w:val="none"/>
              </w:rPr>
              <w:t>防护门上方将设置醒目的工作状态指示灯，灯箱上有“射线有害、灯亮勿入”的可视警示语句，工作状态指示灯能与防护门有效关联。</w:t>
            </w:r>
          </w:p>
          <w:p w14:paraId="21F2637D">
            <w:pPr>
              <w:pStyle w:val="63"/>
              <w:adjustRightInd w:val="0"/>
              <w:snapToGrid w:val="0"/>
              <w:spacing w:line="360" w:lineRule="auto"/>
              <w:ind w:firstLine="482"/>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rPr>
              <w:t>③急停按钮：</w:t>
            </w:r>
            <w:r>
              <w:rPr>
                <w:rFonts w:hint="default" w:ascii="Times New Roman" w:hAnsi="Times New Roman" w:eastAsia="宋体" w:cs="Times New Roman"/>
                <w:color w:val="auto"/>
                <w:sz w:val="24"/>
                <w:highlight w:val="none"/>
              </w:rPr>
              <w:t>本项目DSA自带</w:t>
            </w:r>
            <w:r>
              <w:rPr>
                <w:rFonts w:hint="default"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rPr>
              <w:t>个急停按钮，分别位于DSA床旁及操作台上，在机器故障时可摁下避免意外照射。射线装置启动软件自带安全登录系统，只能通过账户密码安全身份登录才能开启设备。</w:t>
            </w:r>
          </w:p>
          <w:p w14:paraId="58B7A39A">
            <w:pPr>
              <w:pStyle w:val="63"/>
              <w:adjustRightInd w:val="0"/>
              <w:snapToGrid w:val="0"/>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rPr>
              <w:t>④闭门装置：</w:t>
            </w:r>
            <w:r>
              <w:rPr>
                <w:rFonts w:hint="default" w:ascii="Times New Roman" w:hAnsi="Times New Roman" w:eastAsia="宋体" w:cs="Times New Roman"/>
                <w:color w:val="auto"/>
                <w:sz w:val="24"/>
                <w:highlight w:val="none"/>
              </w:rPr>
              <w:t>DSA机房平开门</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4个</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均安装自动闭门装置，对于推拉式机房在制度中的操作规程章节强调曝光时应关闭防护门。</w:t>
            </w:r>
          </w:p>
          <w:p w14:paraId="27D8C1E3">
            <w:pPr>
              <w:pStyle w:val="63"/>
              <w:adjustRightInd w:val="0"/>
              <w:snapToGrid w:val="0"/>
              <w:spacing w:line="360" w:lineRule="auto"/>
              <w:ind w:firstLine="482"/>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rPr>
              <w:t>⑤防夹措施：</w:t>
            </w:r>
            <w:r>
              <w:rPr>
                <w:rFonts w:hint="default" w:ascii="Times New Roman" w:hAnsi="Times New Roman" w:eastAsia="宋体" w:cs="Times New Roman"/>
                <w:b w:val="0"/>
                <w:bCs w:val="0"/>
                <w:color w:val="auto"/>
                <w:sz w:val="24"/>
                <w:szCs w:val="24"/>
                <w:highlight w:val="none"/>
                <w:lang w:val="en-US" w:eastAsia="zh-CN"/>
              </w:rPr>
              <w:t>设置1个，在患者缓冲区推拉门设置1个。</w:t>
            </w:r>
          </w:p>
          <w:p w14:paraId="09776B8B">
            <w:pPr>
              <w:pStyle w:val="63"/>
              <w:adjustRightInd w:val="0"/>
              <w:snapToGrid w:val="0"/>
              <w:spacing w:line="360" w:lineRule="auto"/>
              <w:ind w:firstLine="482"/>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b/>
                <w:bCs/>
                <w:color w:val="auto"/>
                <w:kern w:val="0"/>
                <w:sz w:val="24"/>
                <w:highlight w:val="none"/>
              </w:rPr>
              <w:t>⑥对讲装置：</w:t>
            </w:r>
            <w:r>
              <w:rPr>
                <w:rFonts w:hint="default" w:ascii="Times New Roman" w:hAnsi="Times New Roman" w:eastAsia="宋体" w:cs="Times New Roman"/>
                <w:color w:val="auto"/>
                <w:kern w:val="0"/>
                <w:sz w:val="24"/>
                <w:highlight w:val="none"/>
              </w:rPr>
              <w:t>DSA</w:t>
            </w:r>
            <w:r>
              <w:rPr>
                <w:rFonts w:hint="default" w:ascii="Times New Roman" w:hAnsi="Times New Roman" w:eastAsia="宋体" w:cs="Times New Roman"/>
                <w:color w:val="auto"/>
                <w:kern w:val="0"/>
                <w:sz w:val="24"/>
                <w:highlight w:val="none"/>
                <w:lang w:val="en-US" w:eastAsia="zh-CN"/>
              </w:rPr>
              <w:t>介入室</w:t>
            </w:r>
            <w:r>
              <w:rPr>
                <w:rFonts w:hint="default" w:ascii="Times New Roman" w:hAnsi="Times New Roman" w:eastAsia="宋体" w:cs="Times New Roman"/>
                <w:color w:val="auto"/>
                <w:kern w:val="0"/>
                <w:sz w:val="24"/>
                <w:highlight w:val="none"/>
              </w:rPr>
              <w:t>、</w:t>
            </w:r>
            <w:r>
              <w:rPr>
                <w:rFonts w:hint="default" w:ascii="Times New Roman" w:hAnsi="Times New Roman" w:eastAsia="宋体" w:cs="Times New Roman"/>
                <w:color w:val="auto"/>
                <w:kern w:val="0"/>
                <w:sz w:val="24"/>
                <w:highlight w:val="none"/>
                <w:lang w:val="en-US" w:eastAsia="zh-CN"/>
              </w:rPr>
              <w:t>控制室</w:t>
            </w:r>
            <w:r>
              <w:rPr>
                <w:rFonts w:hint="default" w:ascii="Times New Roman" w:hAnsi="Times New Roman" w:eastAsia="宋体" w:cs="Times New Roman"/>
                <w:color w:val="auto"/>
                <w:kern w:val="0"/>
                <w:sz w:val="24"/>
                <w:highlight w:val="none"/>
              </w:rPr>
              <w:t>内拟设置对讲装置，便于DSA机房内的人员与操作间内技师沟通与交流。</w:t>
            </w:r>
          </w:p>
          <w:p w14:paraId="590C04B2">
            <w:pPr>
              <w:pStyle w:val="32"/>
              <w:snapToGrid w:val="0"/>
              <w:spacing w:line="360" w:lineRule="auto"/>
              <w:ind w:firstLine="480" w:firstLineChars="200"/>
              <w:textAlignment w:val="auto"/>
              <w:rPr>
                <w:rFonts w:hint="default" w:ascii="Times New Roman" w:hAnsi="Times New Roman" w:eastAsia="宋体" w:cs="Times New Roman"/>
                <w:color w:val="auto"/>
                <w:kern w:val="0"/>
                <w:highlight w:val="none"/>
              </w:rPr>
            </w:pPr>
            <w:r>
              <w:rPr>
                <w:rFonts w:hint="default" w:ascii="Times New Roman" w:hAnsi="Times New Roman" w:eastAsia="宋体" w:cs="Times New Roman"/>
                <w:b/>
                <w:bCs/>
                <w:color w:val="auto"/>
                <w:kern w:val="0"/>
                <w:highlight w:val="none"/>
              </w:rPr>
              <w:t>⑦灭火器材：</w:t>
            </w:r>
            <w:r>
              <w:rPr>
                <w:rFonts w:hint="default" w:ascii="Times New Roman" w:hAnsi="Times New Roman" w:eastAsia="宋体" w:cs="Times New Roman"/>
                <w:color w:val="auto"/>
                <w:kern w:val="0"/>
                <w:highlight w:val="none"/>
              </w:rPr>
              <w:t>根据</w:t>
            </w:r>
            <w:r>
              <w:rPr>
                <w:rFonts w:hint="default" w:ascii="Times New Roman" w:hAnsi="Times New Roman" w:eastAsia="宋体" w:cs="Times New Roman"/>
                <w:color w:val="auto"/>
                <w:highlight w:val="none"/>
              </w:rPr>
              <w:t>《核技术利用监督检查技术程序》（生态环境部（国家核安全局））</w:t>
            </w:r>
            <w:r>
              <w:rPr>
                <w:rFonts w:hint="default" w:ascii="Times New Roman" w:hAnsi="Times New Roman" w:eastAsia="宋体" w:cs="Times New Roman"/>
                <w:color w:val="auto"/>
                <w:kern w:val="0"/>
                <w:highlight w:val="none"/>
              </w:rPr>
              <w:t>《核技术利用辐射安全和防护监督监测大纲》（生态环境部（国家核安全局））要求，将为DSA机房配备灭火器材。</w:t>
            </w:r>
          </w:p>
          <w:p w14:paraId="3E422D9E">
            <w:pPr>
              <w:pStyle w:val="75"/>
              <w:adjustRightInd w:val="0"/>
              <w:snapToGrid w:val="0"/>
              <w:spacing w:line="360" w:lineRule="auto"/>
              <w:ind w:firstLine="482"/>
              <w:rPr>
                <w:rFonts w:hint="default"/>
                <w:color w:val="auto"/>
                <w:highlight w:val="none"/>
                <w:lang w:val="en-US" w:eastAsia="zh-CN"/>
              </w:rPr>
            </w:pPr>
            <w:r>
              <w:rPr>
                <w:rFonts w:hint="default" w:ascii="Times New Roman" w:hAnsi="Times New Roman" w:eastAsia="宋体" w:cs="Times New Roman"/>
                <w:b/>
                <w:bCs/>
                <w:color w:val="auto"/>
                <w:kern w:val="0"/>
                <w:sz w:val="24"/>
                <w:szCs w:val="24"/>
                <w:highlight w:val="none"/>
                <w:lang w:val="en-US" w:eastAsia="zh-CN" w:bidi="ar-SA"/>
              </w:rPr>
              <w:t>⑧防护用品：</w:t>
            </w:r>
            <w:r>
              <w:rPr>
                <w:rFonts w:hint="default" w:ascii="Times New Roman" w:hAnsi="Times New Roman" w:eastAsia="宋体" w:cs="Times New Roman"/>
                <w:color w:val="auto"/>
                <w:kern w:val="0"/>
                <w:sz w:val="24"/>
                <w:szCs w:val="24"/>
                <w:highlight w:val="none"/>
              </w:rPr>
              <w:t>DSA介入室</w:t>
            </w:r>
            <w:r>
              <w:rPr>
                <w:rFonts w:hint="default" w:ascii="Times New Roman" w:hAnsi="Times New Roman" w:eastAsia="宋体" w:cs="Times New Roman"/>
                <w:color w:val="auto"/>
                <w:sz w:val="24"/>
                <w:szCs w:val="24"/>
                <w:highlight w:val="none"/>
              </w:rPr>
              <w:t>内开展手术或检查时，通常室内只有医师、护师和患者，一般</w:t>
            </w:r>
            <w:r>
              <w:rPr>
                <w:rFonts w:hint="default" w:ascii="Times New Roman" w:hAnsi="Times New Roman" w:eastAsia="宋体" w:cs="Times New Roman"/>
                <w:color w:val="auto"/>
                <w:kern w:val="0"/>
                <w:sz w:val="24"/>
                <w:szCs w:val="24"/>
                <w:highlight w:val="none"/>
              </w:rPr>
              <w:t>DSA介入室</w:t>
            </w:r>
            <w:r>
              <w:rPr>
                <w:rFonts w:hint="default" w:ascii="Times New Roman" w:hAnsi="Times New Roman" w:eastAsia="宋体" w:cs="Times New Roman"/>
                <w:color w:val="auto"/>
                <w:sz w:val="24"/>
                <w:szCs w:val="24"/>
                <w:highlight w:val="none"/>
              </w:rPr>
              <w:t>内医护人员为</w:t>
            </w:r>
            <w:r>
              <w:rPr>
                <w:rFonts w:hint="eastAsia" w:ascii="Times New Roman" w:hAnsi="Times New Roman"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人，因此建设单位拟为</w:t>
            </w:r>
            <w:r>
              <w:rPr>
                <w:rFonts w:hint="default" w:ascii="Times New Roman" w:hAnsi="Times New Roman" w:eastAsia="宋体" w:cs="Times New Roman"/>
                <w:color w:val="auto"/>
                <w:kern w:val="0"/>
                <w:sz w:val="24"/>
                <w:szCs w:val="24"/>
                <w:highlight w:val="none"/>
              </w:rPr>
              <w:t>DSA介入室</w:t>
            </w:r>
            <w:r>
              <w:rPr>
                <w:rFonts w:hint="default" w:ascii="Times New Roman" w:hAnsi="Times New Roman" w:eastAsia="宋体" w:cs="Times New Roman"/>
                <w:color w:val="auto"/>
                <w:sz w:val="24"/>
                <w:szCs w:val="24"/>
                <w:highlight w:val="none"/>
              </w:rPr>
              <w:t>的医护人员配备</w:t>
            </w:r>
            <w:r>
              <w:rPr>
                <w:rFonts w:hint="eastAsia" w:ascii="Times New Roman" w:hAnsi="Times New Roman"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套0.5mm铅当量的防护铅衣、防护铅围脖、铅帽、铅眼镜以及0.1mm铅当量铅手套；拟为患者配备1套0.5mm铅当量的防护设备。本项目DSA自带术者位防护铅帘，铅当量为0.5mm。以上防护用品配备情况满足《放射诊断放射防护要求》（GBZ130-2020）要求，因此预计上述措施能够有效降低手术室内辐射工作人员和病人的吸收剂量，起到屏蔽防护效果。</w:t>
            </w:r>
          </w:p>
          <w:p w14:paraId="3B64A524">
            <w:pPr>
              <w:widowControl/>
              <w:adjustRightInd w:val="0"/>
              <w:snapToGrid w:val="0"/>
              <w:spacing w:line="360" w:lineRule="auto"/>
              <w:ind w:firstLine="480" w:firstLineChars="200"/>
              <w:rPr>
                <w:rFonts w:hint="default" w:ascii="Times New Roman" w:hAnsi="Times New Roman" w:eastAsia="宋体" w:cs="Times New Roman"/>
                <w:color w:val="auto"/>
                <w:kern w:val="0"/>
                <w:sz w:val="24"/>
                <w:highlight w:val="none"/>
                <w:lang w:val="en-US" w:eastAsia="zh-CN" w:bidi="ar"/>
              </w:rPr>
            </w:pPr>
            <w:r>
              <w:rPr>
                <w:rFonts w:hint="eastAsia" w:ascii="Times New Roman" w:hAnsi="Times New Roman" w:cs="Times New Roman"/>
                <w:b/>
                <w:bCs/>
                <w:color w:val="auto"/>
                <w:sz w:val="24"/>
                <w:highlight w:val="none"/>
                <w:lang w:val="en-US" w:eastAsia="zh-CN"/>
              </w:rPr>
              <w:t>⑨</w:t>
            </w:r>
            <w:r>
              <w:rPr>
                <w:rFonts w:hint="default" w:ascii="Times New Roman" w:hAnsi="Times New Roman" w:cs="Times New Roman"/>
                <w:b/>
                <w:bCs/>
                <w:color w:val="auto"/>
                <w:sz w:val="24"/>
                <w:highlight w:val="none"/>
              </w:rPr>
              <w:t>放射防护注意事项告知栏、制度上墙：</w:t>
            </w:r>
            <w:r>
              <w:rPr>
                <w:rFonts w:hint="default" w:ascii="Times New Roman" w:hAnsi="Times New Roman" w:cs="Times New Roman"/>
                <w:color w:val="auto"/>
                <w:kern w:val="0"/>
                <w:sz w:val="24"/>
                <w:highlight w:val="none"/>
                <w:lang w:bidi="ar"/>
              </w:rPr>
              <w:t>医院应</w:t>
            </w:r>
            <w:r>
              <w:rPr>
                <w:rFonts w:hint="default" w:ascii="Times New Roman" w:hAnsi="Times New Roman" w:cs="Times New Roman"/>
                <w:color w:val="auto"/>
                <w:kern w:val="0"/>
                <w:sz w:val="24"/>
                <w:highlight w:val="none"/>
                <w:lang w:val="en-US" w:eastAsia="zh-CN" w:bidi="ar"/>
              </w:rPr>
              <w:t>依据《辐射事故应急预案》，编制《辐射事故应急响应程序》，并</w:t>
            </w:r>
            <w:r>
              <w:rPr>
                <w:rFonts w:hint="default" w:ascii="Times New Roman" w:hAnsi="Times New Roman" w:cs="Times New Roman"/>
                <w:color w:val="auto"/>
                <w:kern w:val="0"/>
                <w:sz w:val="24"/>
                <w:highlight w:val="none"/>
                <w:lang w:bidi="ar"/>
              </w:rPr>
              <w:t>将《辐射事故应急响应程序》应悬挂于辐射工作场所</w:t>
            </w:r>
            <w:r>
              <w:rPr>
                <w:rFonts w:hint="default" w:ascii="Times New Roman" w:hAnsi="Times New Roman" w:cs="Times New Roman"/>
                <w:color w:val="auto"/>
                <w:kern w:val="0"/>
                <w:sz w:val="24"/>
                <w:highlight w:val="none"/>
                <w:lang w:val="en-US" w:eastAsia="zh-CN" w:bidi="ar"/>
              </w:rPr>
              <w:t>醒目位置</w:t>
            </w:r>
            <w:r>
              <w:rPr>
                <w:rFonts w:hint="default" w:ascii="Times New Roman" w:hAnsi="Times New Roman" w:cs="Times New Roman"/>
                <w:color w:val="auto"/>
                <w:kern w:val="0"/>
                <w:sz w:val="24"/>
                <w:highlight w:val="none"/>
                <w:lang w:bidi="ar"/>
              </w:rPr>
              <w:t>。</w:t>
            </w:r>
            <w:r>
              <w:rPr>
                <w:rFonts w:hint="default" w:ascii="Times New Roman" w:hAnsi="Times New Roman" w:cs="Times New Roman"/>
                <w:color w:val="auto"/>
                <w:kern w:val="0"/>
                <w:sz w:val="24"/>
                <w:highlight w:val="none"/>
                <w:lang w:val="en-US" w:eastAsia="zh-CN" w:bidi="ar"/>
              </w:rPr>
              <w:t>制度的内容应字体醒目，简单清楚，体现可操作性和实用性，尺寸大小应不小于400mm×600mm。</w:t>
            </w:r>
          </w:p>
          <w:p w14:paraId="1713062C">
            <w:pPr>
              <w:pStyle w:val="63"/>
              <w:adjustRightInd w:val="0"/>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建设单位应定期检查并维护工作状态指示灯、急停按钮、闭门装置、防止夹装置、对讲装置等，以确保各项辐射安全防护措施在射线装置使用过程中能正常运行。</w:t>
            </w:r>
          </w:p>
          <w:p w14:paraId="03AE91BD">
            <w:pPr>
              <w:numPr>
                <w:ilvl w:val="0"/>
                <w:numId w:val="0"/>
              </w:numPr>
              <w:tabs>
                <w:tab w:val="left" w:pos="0"/>
              </w:tabs>
              <w:adjustRightInd w:val="0"/>
              <w:snapToGrid w:val="0"/>
              <w:spacing w:line="360" w:lineRule="auto"/>
              <w:ind w:firstLine="480" w:firstLineChars="200"/>
              <w:rPr>
                <w:rFonts w:hint="default" w:ascii="Times New Roman" w:hAnsi="Times New Roman" w:cs="Times New Roman"/>
                <w:b/>
                <w:bCs/>
                <w:color w:val="auto"/>
                <w:sz w:val="24"/>
                <w:highlight w:val="none"/>
              </w:rPr>
            </w:pPr>
            <w:r>
              <w:rPr>
                <w:rFonts w:hint="eastAsia" w:ascii="Times New Roman" w:hAnsi="Times New Roman" w:cs="Times New Roman"/>
                <w:b/>
                <w:bCs/>
                <w:color w:val="auto"/>
                <w:sz w:val="24"/>
                <w:highlight w:val="none"/>
                <w:lang w:eastAsia="zh-CN"/>
              </w:rPr>
              <w:t>（</w:t>
            </w:r>
            <w:r>
              <w:rPr>
                <w:rFonts w:hint="eastAsia" w:ascii="Times New Roman" w:hAnsi="Times New Roman" w:cs="Times New Roman"/>
                <w:b/>
                <w:bCs/>
                <w:color w:val="auto"/>
                <w:sz w:val="24"/>
                <w:highlight w:val="none"/>
                <w:lang w:val="en-US" w:eastAsia="zh-CN"/>
              </w:rPr>
              <w:t>四</w:t>
            </w:r>
            <w:r>
              <w:rPr>
                <w:rFonts w:hint="eastAsia" w:ascii="Times New Roman" w:hAnsi="Times New Roman" w:cs="Times New Roman"/>
                <w:b/>
                <w:bCs/>
                <w:color w:val="auto"/>
                <w:sz w:val="24"/>
                <w:highlight w:val="none"/>
                <w:lang w:eastAsia="zh-CN"/>
              </w:rPr>
              <w:t>）</w:t>
            </w:r>
            <w:r>
              <w:rPr>
                <w:rFonts w:hint="default" w:ascii="Times New Roman" w:hAnsi="Times New Roman" w:cs="Times New Roman"/>
                <w:b/>
                <w:bCs/>
                <w:color w:val="auto"/>
                <w:sz w:val="24"/>
                <w:highlight w:val="none"/>
              </w:rPr>
              <w:t>人员的安全与防护</w:t>
            </w:r>
          </w:p>
          <w:p w14:paraId="0EB6013B">
            <w:pPr>
              <w:widowControl/>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lang w:bidi="ar"/>
              </w:rPr>
              <w:t>人员主要指本项目辐射工作人员、受检者或患者、本次评价范围内公众。</w:t>
            </w:r>
          </w:p>
          <w:p w14:paraId="5BF70574">
            <w:pPr>
              <w:pStyle w:val="32"/>
              <w:snapToGrid w:val="0"/>
              <w:spacing w:line="360" w:lineRule="auto"/>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①辐射工作人员</w:t>
            </w:r>
          </w:p>
          <w:p w14:paraId="4D058536">
            <w:pPr>
              <w:widowControl/>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b/>
                <w:bCs/>
                <w:color w:val="auto"/>
                <w:kern w:val="0"/>
                <w:sz w:val="24"/>
                <w:highlight w:val="none"/>
                <w:lang w:bidi="ar"/>
              </w:rPr>
              <w:t>距离防护</w:t>
            </w:r>
          </w:p>
          <w:p w14:paraId="32A5F559">
            <w:pPr>
              <w:pStyle w:val="34"/>
              <w:adjustRightInd w:val="0"/>
              <w:snapToGrid w:val="0"/>
              <w:spacing w:line="360" w:lineRule="auto"/>
              <w:ind w:left="0" w:firstLine="480" w:firstLineChars="200"/>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DSA机房应严格按照控制区和监督区划分实行“两区”管理，且在DSA机房控制区入口处张贴电离辐射警告标志并安装工作状态指示灯箱。限制无关人员进入，以免受到不必要的照射。</w:t>
            </w:r>
          </w:p>
          <w:p w14:paraId="3529A73B">
            <w:pPr>
              <w:widowControl/>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b/>
                <w:bCs/>
                <w:color w:val="auto"/>
                <w:kern w:val="0"/>
                <w:sz w:val="24"/>
                <w:highlight w:val="none"/>
                <w:lang w:bidi="ar"/>
              </w:rPr>
              <w:t xml:space="preserve">时间防护 </w:t>
            </w:r>
          </w:p>
          <w:p w14:paraId="5F37F4BF">
            <w:pPr>
              <w:widowControl/>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lang w:bidi="ar"/>
              </w:rPr>
              <w:t>在满足诊断要求的前提下，在每次使用射线装置进行诊断之前，根据诊断要求和病人实际情况制定最优化的诊断方案，选择合理可行尽量低的射线照射参数，以及尽量短的曝光时间，减少工作人员和相关公众的受照射时间，也避免病人受到额外剂量的照射。根据医院的实际情况，医院的DSA主要用于介入手术、血管造影等。</w:t>
            </w:r>
          </w:p>
          <w:p w14:paraId="4C462623">
            <w:pPr>
              <w:widowControl/>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b/>
                <w:bCs/>
                <w:color w:val="auto"/>
                <w:kern w:val="0"/>
                <w:sz w:val="24"/>
                <w:highlight w:val="none"/>
                <w:lang w:bidi="ar"/>
              </w:rPr>
              <w:t>屏蔽防护</w:t>
            </w:r>
          </w:p>
          <w:p w14:paraId="6CEADBCA">
            <w:pPr>
              <w:widowControl/>
              <w:adjustRightInd w:val="0"/>
              <w:snapToGrid w:val="0"/>
              <w:spacing w:line="360" w:lineRule="auto"/>
              <w:ind w:firstLine="480" w:firstLineChars="200"/>
              <w:jc w:val="left"/>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kern w:val="0"/>
                <w:sz w:val="24"/>
                <w:highlight w:val="none"/>
                <w:lang w:bidi="ar"/>
              </w:rPr>
              <w:t>隔室操作：辐射工作人员采取隔室操作方式，通过操作间与</w:t>
            </w:r>
            <w:r>
              <w:rPr>
                <w:rFonts w:hint="default" w:ascii="Times New Roman" w:hAnsi="Times New Roman" w:cs="Times New Roman"/>
                <w:color w:val="auto"/>
                <w:sz w:val="24"/>
                <w:highlight w:val="none"/>
              </w:rPr>
              <w:t>DSA机房</w:t>
            </w:r>
            <w:r>
              <w:rPr>
                <w:rFonts w:hint="default" w:ascii="Times New Roman" w:hAnsi="Times New Roman" w:cs="Times New Roman"/>
                <w:color w:val="auto"/>
                <w:kern w:val="0"/>
                <w:sz w:val="24"/>
                <w:highlight w:val="none"/>
                <w:lang w:bidi="ar"/>
              </w:rPr>
              <w:t>之间的墙体、铅门和铅玻璃窗屏蔽X射线，以减弱或消除射线对人体的危害。防护用品：根据《放射诊断放射防护要求》（GBZ130-2020）中相关要求，应为介入放射学操作辐射工作人员、患者和受检者配备个人防护用品，包括铅橡胶围裙、铅橡胶颈套、铅橡胶帽子、铅防护眼镜；应为辐射工作人员配备辐射防护设施，包括铅悬挂防护屏、铅防护帘、床侧防护帘、床侧防护屏；应为患者配备辐射防护用品；应建立相关的操作规程、安全使用制度、人员培训制度和放射事故应急制度。</w:t>
            </w:r>
          </w:p>
          <w:p w14:paraId="2BE7EB99">
            <w:pPr>
              <w:widowControl/>
              <w:adjustRightInd w:val="0"/>
              <w:snapToGrid w:val="0"/>
              <w:spacing w:line="360" w:lineRule="auto"/>
              <w:ind w:firstLine="480" w:firstLineChars="200"/>
              <w:jc w:val="left"/>
              <w:rPr>
                <w:rFonts w:hint="default" w:ascii="Times New Roman" w:hAnsi="Times New Roman" w:cs="Times New Roman"/>
                <w:color w:val="auto"/>
                <w:kern w:val="0"/>
                <w:sz w:val="24"/>
                <w:highlight w:val="none"/>
                <w:lang w:val="en-US" w:eastAsia="zh-CN" w:bidi="ar"/>
              </w:rPr>
            </w:pPr>
            <w:r>
              <w:rPr>
                <w:rFonts w:hint="default" w:ascii="Times New Roman" w:hAnsi="Times New Roman" w:cs="Times New Roman"/>
                <w:color w:val="auto"/>
                <w:kern w:val="0"/>
                <w:sz w:val="24"/>
                <w:highlight w:val="none"/>
                <w:lang w:val="en-US" w:eastAsia="zh-CN" w:bidi="ar"/>
              </w:rPr>
              <w:t>根据《四川省核技术利用单位辐射安全工作指引（2025年版）》其中的“4、医疗使用Ⅱ类射线装置（直线加速器、DSA等）项目辐射安全管理要点”，“医护人员应配备铅橡胶围裙、铅橡胶颈套、铅防护眼镜、介入防护手套（DSA项目适用），或配备可调节防护窗口的立位防护屏；选配铅橡胶帽子”。</w:t>
            </w:r>
          </w:p>
          <w:p w14:paraId="07CC7D45">
            <w:pPr>
              <w:widowControl/>
              <w:adjustRightInd w:val="0"/>
              <w:snapToGrid w:val="0"/>
              <w:spacing w:line="360" w:lineRule="auto"/>
              <w:ind w:firstLine="480" w:firstLineChars="200"/>
              <w:jc w:val="left"/>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kern w:val="0"/>
                <w:sz w:val="24"/>
                <w:highlight w:val="none"/>
                <w:lang w:bidi="ar"/>
              </w:rPr>
              <w:t>由于每场手术DSA机房内至多进入</w:t>
            </w:r>
            <w:r>
              <w:rPr>
                <w:rFonts w:hint="eastAsia" w:ascii="Times New Roman" w:hAnsi="Times New Roman" w:cs="Times New Roman"/>
                <w:color w:val="auto"/>
                <w:kern w:val="0"/>
                <w:sz w:val="24"/>
                <w:highlight w:val="none"/>
                <w:lang w:val="en-US" w:eastAsia="zh-CN" w:bidi="ar"/>
              </w:rPr>
              <w:t>2</w:t>
            </w:r>
            <w:r>
              <w:rPr>
                <w:rFonts w:hint="default" w:ascii="Times New Roman" w:hAnsi="Times New Roman" w:cs="Times New Roman"/>
                <w:color w:val="auto"/>
                <w:kern w:val="0"/>
                <w:sz w:val="24"/>
                <w:highlight w:val="none"/>
                <w:lang w:bidi="ar"/>
              </w:rPr>
              <w:t>名辐射工作人员（1名医师，1名</w:t>
            </w:r>
            <w:r>
              <w:rPr>
                <w:rFonts w:hint="eastAsia" w:ascii="Times New Roman" w:hAnsi="Times New Roman" w:cs="Times New Roman"/>
                <w:color w:val="auto"/>
                <w:kern w:val="0"/>
                <w:sz w:val="24"/>
                <w:highlight w:val="none"/>
                <w:lang w:val="en-US" w:eastAsia="zh-CN" w:bidi="ar"/>
              </w:rPr>
              <w:t>护师</w:t>
            </w:r>
            <w:r>
              <w:rPr>
                <w:rFonts w:hint="default" w:ascii="Times New Roman" w:hAnsi="Times New Roman" w:cs="Times New Roman"/>
                <w:color w:val="auto"/>
                <w:kern w:val="0"/>
                <w:sz w:val="24"/>
                <w:highlight w:val="none"/>
                <w:lang w:bidi="ar"/>
              </w:rPr>
              <w:t>），因此医院拟为DSA机房配备</w:t>
            </w:r>
            <w:r>
              <w:rPr>
                <w:rFonts w:hint="eastAsia" w:ascii="Times New Roman" w:hAnsi="Times New Roman" w:cs="Times New Roman"/>
                <w:color w:val="auto"/>
                <w:kern w:val="0"/>
                <w:sz w:val="24"/>
                <w:highlight w:val="none"/>
                <w:lang w:val="en-US" w:eastAsia="zh-CN" w:bidi="ar"/>
              </w:rPr>
              <w:t>2</w:t>
            </w:r>
            <w:r>
              <w:rPr>
                <w:rFonts w:hint="default" w:ascii="Times New Roman" w:hAnsi="Times New Roman" w:cs="Times New Roman"/>
                <w:color w:val="auto"/>
                <w:kern w:val="0"/>
                <w:sz w:val="24"/>
                <w:highlight w:val="none"/>
                <w:lang w:bidi="ar"/>
              </w:rPr>
              <w:t>套医护人员防护用品。根据建设单位原介入手术室（导管室）并结合《放射诊断放射防护要求》（GBZ130-2020）</w:t>
            </w:r>
            <w:r>
              <w:rPr>
                <w:rFonts w:hint="default" w:ascii="Times New Roman" w:hAnsi="Times New Roman" w:cs="Times New Roman"/>
                <w:color w:val="auto"/>
                <w:kern w:val="0"/>
                <w:sz w:val="24"/>
                <w:highlight w:val="none"/>
                <w:lang w:eastAsia="zh-CN" w:bidi="ar"/>
              </w:rPr>
              <w:t>、</w:t>
            </w:r>
            <w:r>
              <w:rPr>
                <w:rFonts w:hint="default" w:ascii="Times New Roman" w:hAnsi="Times New Roman" w:cs="Times New Roman"/>
                <w:color w:val="auto"/>
                <w:kern w:val="0"/>
                <w:sz w:val="24"/>
                <w:highlight w:val="none"/>
                <w:lang w:val="en-US" w:eastAsia="zh-CN" w:bidi="ar"/>
              </w:rPr>
              <w:t>《四川省核技术利用单位辐射安全工作指引（2025年版）》</w:t>
            </w:r>
            <w:r>
              <w:rPr>
                <w:rFonts w:hint="default" w:ascii="Times New Roman" w:hAnsi="Times New Roman" w:cs="Times New Roman"/>
                <w:color w:val="auto"/>
                <w:kern w:val="0"/>
                <w:sz w:val="24"/>
                <w:highlight w:val="none"/>
                <w:lang w:bidi="ar"/>
              </w:rPr>
              <w:t>中的要求，医院拟配备的防护用品当量如下：0.5mm铅当量铅橡胶围裙、0.5mm铅当量铅橡胶颈套、0.5mm铅当量铅防护眼镜、0.</w:t>
            </w:r>
            <w:r>
              <w:rPr>
                <w:rFonts w:hint="eastAsia" w:ascii="Times New Roman" w:hAnsi="Times New Roman" w:cs="Times New Roman"/>
                <w:color w:val="auto"/>
                <w:kern w:val="0"/>
                <w:sz w:val="24"/>
                <w:highlight w:val="none"/>
                <w:lang w:val="en-US" w:eastAsia="zh-CN" w:bidi="ar"/>
              </w:rPr>
              <w:t>1</w:t>
            </w:r>
            <w:r>
              <w:rPr>
                <w:rFonts w:hint="default" w:ascii="Times New Roman" w:hAnsi="Times New Roman" w:cs="Times New Roman"/>
                <w:color w:val="auto"/>
                <w:kern w:val="0"/>
                <w:sz w:val="24"/>
                <w:highlight w:val="none"/>
                <w:lang w:bidi="ar"/>
              </w:rPr>
              <w:t>mm铅当量介入防护手套</w:t>
            </w:r>
            <w:r>
              <w:rPr>
                <w:rFonts w:hint="default" w:ascii="Times New Roman" w:hAnsi="Times New Roman" w:cs="Times New Roman"/>
                <w:color w:val="auto"/>
                <w:highlight w:val="none"/>
              </w:rPr>
              <w:t>，</w:t>
            </w:r>
            <w:r>
              <w:rPr>
                <w:rFonts w:hint="default" w:ascii="Times New Roman" w:hAnsi="Times New Roman" w:cs="Times New Roman"/>
                <w:color w:val="auto"/>
                <w:kern w:val="0"/>
                <w:sz w:val="24"/>
                <w:highlight w:val="none"/>
                <w:lang w:bidi="ar"/>
              </w:rPr>
              <w:t>共计配备</w:t>
            </w:r>
            <w:r>
              <w:rPr>
                <w:rFonts w:hint="eastAsia" w:ascii="Times New Roman" w:hAnsi="Times New Roman" w:cs="Times New Roman"/>
                <w:color w:val="auto"/>
                <w:kern w:val="0"/>
                <w:sz w:val="24"/>
                <w:highlight w:val="none"/>
                <w:lang w:val="en-US" w:eastAsia="zh-CN" w:bidi="ar"/>
              </w:rPr>
              <w:t>2</w:t>
            </w:r>
            <w:r>
              <w:rPr>
                <w:rFonts w:hint="default" w:ascii="Times New Roman" w:hAnsi="Times New Roman" w:cs="Times New Roman"/>
                <w:color w:val="auto"/>
                <w:kern w:val="0"/>
                <w:sz w:val="24"/>
                <w:highlight w:val="none"/>
                <w:lang w:bidi="ar"/>
              </w:rPr>
              <w:t>套医护人员防护用品。</w:t>
            </w:r>
          </w:p>
          <w:p w14:paraId="0E0F1679">
            <w:pPr>
              <w:widowControl/>
              <w:adjustRightInd w:val="0"/>
              <w:snapToGrid w:val="0"/>
              <w:spacing w:line="360" w:lineRule="auto"/>
              <w:ind w:firstLine="480" w:firstLineChars="200"/>
              <w:jc w:val="left"/>
              <w:rPr>
                <w:rFonts w:hint="default" w:ascii="Times New Roman" w:hAnsi="Times New Roman" w:cs="Times New Roman"/>
                <w:color w:val="auto"/>
                <w:kern w:val="0"/>
                <w:sz w:val="24"/>
                <w:highlight w:val="none"/>
                <w:lang w:val="en-US" w:eastAsia="zh-CN" w:bidi="ar"/>
              </w:rPr>
            </w:pPr>
            <w:r>
              <w:rPr>
                <w:rFonts w:hint="default" w:ascii="Times New Roman" w:hAnsi="Times New Roman" w:cs="Times New Roman"/>
                <w:color w:val="auto"/>
                <w:kern w:val="0"/>
                <w:sz w:val="24"/>
                <w:highlight w:val="none"/>
                <w:lang w:val="en-US" w:eastAsia="zh-CN" w:bidi="ar"/>
              </w:rPr>
              <w:t>同时依据《四川省核技术利用单位辐射安全工作指引（2025年版）》，“对于DSA项目，工作人员在治疗室内开展辐射工作过程中，一间治疗室内至少应携带1台剂量报警仪”。</w:t>
            </w:r>
          </w:p>
          <w:p w14:paraId="6E224958">
            <w:pPr>
              <w:widowControl/>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b/>
                <w:bCs/>
                <w:color w:val="auto"/>
                <w:kern w:val="0"/>
                <w:sz w:val="24"/>
                <w:highlight w:val="none"/>
                <w:lang w:bidi="ar"/>
              </w:rPr>
              <w:t>个人剂量监测</w:t>
            </w:r>
          </w:p>
          <w:p w14:paraId="23D44A85">
            <w:pPr>
              <w:widowControl/>
              <w:adjustRightInd w:val="0"/>
              <w:snapToGrid w:val="0"/>
              <w:spacing w:line="360" w:lineRule="auto"/>
              <w:ind w:firstLine="480" w:firstLineChars="200"/>
              <w:jc w:val="left"/>
              <w:rPr>
                <w:rFonts w:hint="default" w:ascii="Times New Roman" w:hAnsi="Times New Roman" w:cs="Times New Roman"/>
                <w:color w:val="auto"/>
                <w:kern w:val="0"/>
                <w:sz w:val="24"/>
                <w:highlight w:val="none"/>
                <w:lang w:val="en-US" w:eastAsia="zh-CN" w:bidi="ar"/>
              </w:rPr>
            </w:pPr>
            <w:r>
              <w:rPr>
                <w:rFonts w:hint="default" w:ascii="Times New Roman" w:hAnsi="Times New Roman" w:cs="Times New Roman"/>
                <w:color w:val="auto"/>
                <w:kern w:val="0"/>
                <w:sz w:val="24"/>
                <w:highlight w:val="none"/>
                <w:lang w:val="en-US" w:eastAsia="zh-CN" w:bidi="ar"/>
              </w:rPr>
              <w:t>根据《四川省核技术利用单位辐射安全工作指引（2025年版）》,“对于开展DSA项目的工作人员，应在铅围裙外锁骨对应的领口位置佩戴剂量计；同时，建议采用剂量计监测方法（在铅围裙内躯干上再佩戴另一个剂量计），且宜在身体可能受到较大照射的部位佩戴局部剂量计（如腕部剂量计和指环剂量计等）”。</w:t>
            </w:r>
          </w:p>
          <w:p w14:paraId="7175EAFF">
            <w:pPr>
              <w:widowControl/>
              <w:adjustRightInd w:val="0"/>
              <w:snapToGrid w:val="0"/>
              <w:spacing w:line="360" w:lineRule="auto"/>
              <w:ind w:firstLine="480" w:firstLineChars="200"/>
              <w:jc w:val="left"/>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kern w:val="0"/>
                <w:sz w:val="24"/>
                <w:highlight w:val="none"/>
                <w:lang w:bidi="ar"/>
              </w:rPr>
              <w:t>辐射工作人员均应配备有个人剂量计，并要求上班期间必须佩戴。辐射工作人员应配备足量的个人剂量计，手术医师佩戴1套个人剂量计（领部剂量计1个、腰部剂量计1个，建议腕部增设1个）；操作间内技师要求佩戴1个个人剂量计（胸部剂量计），并定期送检。医院定期（每季度一次）将个人剂量计送有资质单位进行检测，检测结果存入个人剂量档案。</w:t>
            </w:r>
          </w:p>
          <w:p w14:paraId="7ABE7617">
            <w:pPr>
              <w:widowControl/>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b/>
                <w:bCs/>
                <w:color w:val="auto"/>
                <w:kern w:val="0"/>
                <w:sz w:val="24"/>
                <w:highlight w:val="none"/>
                <w:lang w:bidi="ar"/>
              </w:rPr>
              <w:t xml:space="preserve">②受检者或患者的安全防护 </w:t>
            </w:r>
          </w:p>
          <w:p w14:paraId="357D14ED">
            <w:pPr>
              <w:widowControl/>
              <w:adjustRightInd w:val="0"/>
              <w:snapToGrid w:val="0"/>
              <w:spacing w:line="360" w:lineRule="auto"/>
              <w:ind w:firstLine="480" w:firstLineChars="200"/>
              <w:jc w:val="left"/>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kern w:val="0"/>
                <w:sz w:val="24"/>
                <w:highlight w:val="none"/>
                <w:lang w:bidi="ar"/>
              </w:rPr>
              <w:t>每次手术过程中，手术室内将进入1名患者，因此医院拟为DSA机房配备1套患者防护用品，根据建设单位原介入手术室（导管室）并结合《放射诊断放射防护要求》（GBZ130-2020）中的要求，医院拟配备的防护用品当量如下：0.5mm铅当量铅橡胶性腺防护围裙（方形）或方巾、0.5mm铅当量铅橡胶颈套，共计配备2套患者防护用品。</w:t>
            </w:r>
          </w:p>
          <w:p w14:paraId="2CC0F96B">
            <w:pPr>
              <w:widowControl/>
              <w:adjustRightInd w:val="0"/>
              <w:snapToGrid w:val="0"/>
              <w:spacing w:line="360" w:lineRule="auto"/>
              <w:ind w:firstLine="480" w:firstLineChars="200"/>
              <w:jc w:val="left"/>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kern w:val="0"/>
                <w:sz w:val="24"/>
                <w:highlight w:val="none"/>
                <w:lang w:bidi="ar"/>
              </w:rPr>
              <w:t>医院后期若对儿童进行介入手术，应为儿童配备保护相应组织和器官的防护用品，防护用品和辅助防护设施的铅当量应不小于0.5mmPb。患者防护用品将用于患者非照射部位进行防护，以避免病人受到不必要的照射。另外，在不影响工作质量的前提下，保持与射线装置尽可能大的距离。</w:t>
            </w:r>
          </w:p>
          <w:p w14:paraId="7244EDCB">
            <w:pPr>
              <w:widowControl/>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b/>
                <w:bCs/>
                <w:color w:val="auto"/>
                <w:kern w:val="0"/>
                <w:sz w:val="24"/>
                <w:highlight w:val="none"/>
                <w:lang w:bidi="ar"/>
              </w:rPr>
              <w:t xml:space="preserve">③DSA机房周边公众的安全防护 </w:t>
            </w:r>
          </w:p>
          <w:p w14:paraId="498011B3">
            <w:pPr>
              <w:widowControl/>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lang w:bidi="ar"/>
              </w:rPr>
              <w:t>周边公众主要依托辐射工作场所的屏蔽墙体、防护门窗和地板楼板屏蔽射线。同时，辐射工作场所严格实行辐射防护“两区”管理，在</w:t>
            </w:r>
            <w:r>
              <w:rPr>
                <w:rFonts w:hint="default" w:ascii="Times New Roman" w:hAnsi="Times New Roman" w:cs="Times New Roman"/>
                <w:color w:val="auto"/>
                <w:sz w:val="24"/>
                <w:highlight w:val="none"/>
              </w:rPr>
              <w:t>DSA机房</w:t>
            </w:r>
            <w:r>
              <w:rPr>
                <w:rFonts w:hint="default" w:ascii="Times New Roman" w:hAnsi="Times New Roman" w:cs="Times New Roman"/>
                <w:color w:val="auto"/>
                <w:kern w:val="0"/>
                <w:sz w:val="24"/>
                <w:highlight w:val="none"/>
                <w:lang w:bidi="ar"/>
              </w:rPr>
              <w:t>门外张贴电离辐射警告标志和工作状态指示灯箱，禁止无关人员进入，以增加公众与射线装置之间的防护距离，避免受到不必要的照射，定期对辐射安全设施的进行维护，确保实时有效。</w:t>
            </w:r>
          </w:p>
          <w:p w14:paraId="20BABEA6">
            <w:pPr>
              <w:adjustRightInd w:val="0"/>
              <w:snapToGrid w:val="0"/>
              <w:spacing w:line="360" w:lineRule="auto"/>
              <w:ind w:firstLine="480"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w:t>
            </w:r>
            <w:r>
              <w:rPr>
                <w:rFonts w:hint="eastAsia" w:ascii="Times New Roman" w:hAnsi="Times New Roman" w:cs="Times New Roman"/>
                <w:b/>
                <w:color w:val="auto"/>
                <w:sz w:val="24"/>
                <w:highlight w:val="none"/>
                <w:lang w:val="en-US" w:eastAsia="zh-CN"/>
              </w:rPr>
              <w:t>五</w:t>
            </w:r>
            <w:r>
              <w:rPr>
                <w:rFonts w:hint="default" w:ascii="Times New Roman" w:hAnsi="Times New Roman" w:cs="Times New Roman"/>
                <w:b/>
                <w:color w:val="auto"/>
                <w:sz w:val="24"/>
                <w:highlight w:val="none"/>
              </w:rPr>
              <w:t>）辐射工作场辐射安全防护设施</w:t>
            </w:r>
          </w:p>
          <w:p w14:paraId="4517B5D8">
            <w:pPr>
              <w:widowControl/>
              <w:adjustRightInd w:val="0"/>
              <w:snapToGrid w:val="0"/>
              <w:spacing w:line="360" w:lineRule="auto"/>
              <w:ind w:firstLine="480" w:firstLineChars="200"/>
              <w:jc w:val="left"/>
              <w:rPr>
                <w:rFonts w:hint="default" w:ascii="Times New Roman" w:hAnsi="Times New Roman" w:cs="Times New Roman"/>
                <w:color w:val="auto"/>
                <w:highlight w:val="none"/>
              </w:rPr>
            </w:pPr>
            <w:r>
              <w:rPr>
                <w:rFonts w:hint="default" w:ascii="Times New Roman" w:hAnsi="Times New Roman" w:cs="Times New Roman"/>
                <w:color w:val="auto"/>
                <w:kern w:val="0"/>
                <w:sz w:val="24"/>
                <w:highlight w:val="none"/>
                <w:lang w:bidi="ar"/>
              </w:rPr>
              <w:t>本次评价根据建设单位采取的辐射安全措施进行了对照分析，具体情况见表10-4：</w:t>
            </w:r>
          </w:p>
          <w:p w14:paraId="467E1A3E">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表10-4 医院辐射安全防护设施对照分析表</w:t>
            </w:r>
          </w:p>
          <w:tbl>
            <w:tblPr>
              <w:tblStyle w:val="22"/>
              <w:tblW w:w="4998"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899"/>
              <w:gridCol w:w="750"/>
              <w:gridCol w:w="2057"/>
              <w:gridCol w:w="3722"/>
            </w:tblGrid>
            <w:tr w14:paraId="381D22D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9" w:type="pct"/>
                  <w:vAlign w:val="center"/>
                </w:tcPr>
                <w:p w14:paraId="0D739D24">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项目</w:t>
                  </w:r>
                </w:p>
              </w:tc>
              <w:tc>
                <w:tcPr>
                  <w:tcW w:w="996" w:type="pct"/>
                  <w:gridSpan w:val="2"/>
                  <w:vAlign w:val="center"/>
                </w:tcPr>
                <w:p w14:paraId="4CC1F7D7">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规定的措施和制度</w:t>
                  </w:r>
                </w:p>
              </w:tc>
              <w:tc>
                <w:tcPr>
                  <w:tcW w:w="1243" w:type="pct"/>
                  <w:vAlign w:val="center"/>
                </w:tcPr>
                <w:p w14:paraId="05D8B60F">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落实情况</w:t>
                  </w:r>
                </w:p>
              </w:tc>
              <w:tc>
                <w:tcPr>
                  <w:tcW w:w="2250" w:type="pct"/>
                  <w:vAlign w:val="center"/>
                </w:tcPr>
                <w:p w14:paraId="099145E3">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应增加措施</w:t>
                  </w:r>
                </w:p>
              </w:tc>
            </w:tr>
            <w:tr w14:paraId="277C04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09" w:type="pct"/>
                  <w:vMerge w:val="restart"/>
                  <w:vAlign w:val="center"/>
                </w:tcPr>
                <w:p w14:paraId="061F001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场所设施</w:t>
                  </w:r>
                </w:p>
              </w:tc>
              <w:tc>
                <w:tcPr>
                  <w:tcW w:w="543" w:type="pct"/>
                  <w:vMerge w:val="restart"/>
                  <w:vAlign w:val="center"/>
                </w:tcPr>
                <w:p w14:paraId="1B77115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墙体屏蔽</w:t>
                  </w:r>
                </w:p>
              </w:tc>
              <w:tc>
                <w:tcPr>
                  <w:tcW w:w="453" w:type="pct"/>
                  <w:vAlign w:val="center"/>
                </w:tcPr>
                <w:p w14:paraId="63DE715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四周墙体</w:t>
                  </w:r>
                </w:p>
              </w:tc>
              <w:tc>
                <w:tcPr>
                  <w:tcW w:w="1243" w:type="pct"/>
                  <w:vAlign w:val="center"/>
                </w:tcPr>
                <w:p w14:paraId="68EED6A5">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200mm厚实心砖砌体</w:t>
                  </w:r>
                </w:p>
              </w:tc>
              <w:tc>
                <w:tcPr>
                  <w:tcW w:w="2250" w:type="pct"/>
                  <w:vAlign w:val="center"/>
                </w:tcPr>
                <w:p w14:paraId="17B8B6EA">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22mm复合射线防护板</w:t>
                  </w:r>
                </w:p>
              </w:tc>
            </w:tr>
            <w:tr w14:paraId="5D0627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71" w:hRule="atLeast"/>
                <w:jc w:val="center"/>
              </w:trPr>
              <w:tc>
                <w:tcPr>
                  <w:tcW w:w="509" w:type="pct"/>
                  <w:vMerge w:val="continue"/>
                  <w:vAlign w:val="center"/>
                </w:tcPr>
                <w:p w14:paraId="12F17B97">
                  <w:pPr>
                    <w:adjustRightInd w:val="0"/>
                    <w:snapToGrid w:val="0"/>
                    <w:jc w:val="center"/>
                    <w:rPr>
                      <w:rFonts w:hint="default" w:ascii="Times New Roman" w:hAnsi="Times New Roman" w:cs="Times New Roman"/>
                      <w:color w:val="auto"/>
                      <w:szCs w:val="21"/>
                      <w:highlight w:val="none"/>
                    </w:rPr>
                  </w:pPr>
                </w:p>
              </w:tc>
              <w:tc>
                <w:tcPr>
                  <w:tcW w:w="543" w:type="pct"/>
                  <w:vMerge w:val="continue"/>
                  <w:vAlign w:val="center"/>
                </w:tcPr>
                <w:p w14:paraId="24064629">
                  <w:pPr>
                    <w:adjustRightInd w:val="0"/>
                    <w:snapToGrid w:val="0"/>
                    <w:jc w:val="center"/>
                    <w:rPr>
                      <w:rFonts w:hint="default" w:ascii="Times New Roman" w:hAnsi="Times New Roman" w:cs="Times New Roman"/>
                      <w:color w:val="auto"/>
                      <w:szCs w:val="21"/>
                      <w:highlight w:val="none"/>
                    </w:rPr>
                  </w:pPr>
                </w:p>
              </w:tc>
              <w:tc>
                <w:tcPr>
                  <w:tcW w:w="453" w:type="pct"/>
                  <w:vAlign w:val="center"/>
                </w:tcPr>
                <w:p w14:paraId="566B854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顶部</w:t>
                  </w:r>
                </w:p>
              </w:tc>
              <w:tc>
                <w:tcPr>
                  <w:tcW w:w="1243" w:type="pct"/>
                  <w:vAlign w:val="center"/>
                </w:tcPr>
                <w:p w14:paraId="492E2EFE">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150mm混凝土</w:t>
                  </w:r>
                </w:p>
              </w:tc>
              <w:tc>
                <w:tcPr>
                  <w:tcW w:w="2250" w:type="pct"/>
                  <w:vAlign w:val="center"/>
                </w:tcPr>
                <w:p w14:paraId="5C5AC345">
                  <w:pPr>
                    <w:adjustRightInd w:val="0"/>
                    <w:snapToGrid w:val="0"/>
                    <w:jc w:val="center"/>
                    <w:rPr>
                      <w:rFonts w:hint="default" w:ascii="Times New Roman" w:hAnsi="Times New Roman" w:eastAsia="宋体" w:cs="Times New Roman"/>
                      <w:color w:val="auto"/>
                      <w:szCs w:val="21"/>
                      <w:highlight w:val="none"/>
                      <w:lang w:eastAsia="zh-CN"/>
                    </w:rPr>
                  </w:pPr>
                  <w:r>
                    <w:rPr>
                      <w:rFonts w:hint="eastAsia" w:ascii="Times New Roman" w:hAnsi="Times New Roman" w:cs="Times New Roman"/>
                      <w:color w:val="auto"/>
                      <w:szCs w:val="21"/>
                      <w:highlight w:val="none"/>
                      <w:lang w:val="en-US" w:eastAsia="zh-CN"/>
                    </w:rPr>
                    <w:t>22mm复合射线防护板</w:t>
                  </w:r>
                </w:p>
              </w:tc>
            </w:tr>
            <w:tr w14:paraId="4B0ACEE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71" w:hRule="atLeast"/>
                <w:jc w:val="center"/>
              </w:trPr>
              <w:tc>
                <w:tcPr>
                  <w:tcW w:w="509" w:type="pct"/>
                  <w:vMerge w:val="continue"/>
                  <w:vAlign w:val="center"/>
                </w:tcPr>
                <w:p w14:paraId="6BE19B77">
                  <w:pPr>
                    <w:adjustRightInd w:val="0"/>
                    <w:snapToGrid w:val="0"/>
                    <w:jc w:val="center"/>
                    <w:rPr>
                      <w:rFonts w:hint="default" w:ascii="Times New Roman" w:hAnsi="Times New Roman" w:cs="Times New Roman"/>
                      <w:color w:val="auto"/>
                      <w:szCs w:val="21"/>
                      <w:highlight w:val="none"/>
                    </w:rPr>
                  </w:pPr>
                </w:p>
              </w:tc>
              <w:tc>
                <w:tcPr>
                  <w:tcW w:w="543" w:type="pct"/>
                  <w:vMerge w:val="continue"/>
                  <w:vAlign w:val="center"/>
                </w:tcPr>
                <w:p w14:paraId="35B5AFE9">
                  <w:pPr>
                    <w:adjustRightInd w:val="0"/>
                    <w:snapToGrid w:val="0"/>
                    <w:jc w:val="center"/>
                    <w:rPr>
                      <w:rFonts w:hint="default" w:ascii="Times New Roman" w:hAnsi="Times New Roman" w:cs="Times New Roman"/>
                      <w:color w:val="auto"/>
                      <w:szCs w:val="21"/>
                      <w:highlight w:val="none"/>
                    </w:rPr>
                  </w:pPr>
                </w:p>
              </w:tc>
              <w:tc>
                <w:tcPr>
                  <w:tcW w:w="453" w:type="pct"/>
                  <w:vAlign w:val="center"/>
                </w:tcPr>
                <w:p w14:paraId="15E8B9B9">
                  <w:pPr>
                    <w:adjustRightInd w:val="0"/>
                    <w:snapToGrid w:val="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地面</w:t>
                  </w:r>
                </w:p>
              </w:tc>
              <w:tc>
                <w:tcPr>
                  <w:tcW w:w="1243" w:type="pct"/>
                  <w:vAlign w:val="center"/>
                </w:tcPr>
                <w:p w14:paraId="54DE68E5">
                  <w:pPr>
                    <w:adjustRightInd w:val="0"/>
                    <w:snapToGrid w:val="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150mm混凝土</w:t>
                  </w:r>
                </w:p>
              </w:tc>
              <w:tc>
                <w:tcPr>
                  <w:tcW w:w="2250" w:type="pct"/>
                  <w:vAlign w:val="center"/>
                </w:tcPr>
                <w:p w14:paraId="32CE15A7">
                  <w:pPr>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45mm硫酸钡水泥</w:t>
                  </w:r>
                </w:p>
              </w:tc>
            </w:tr>
            <w:tr w14:paraId="61A7245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509" w:type="pct"/>
                  <w:vMerge w:val="continue"/>
                  <w:vAlign w:val="center"/>
                </w:tcPr>
                <w:p w14:paraId="347FBD0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996" w:type="pct"/>
                  <w:gridSpan w:val="2"/>
                  <w:vAlign w:val="center"/>
                </w:tcPr>
                <w:p w14:paraId="7DF1AA9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观察窗</w:t>
                  </w:r>
                </w:p>
              </w:tc>
              <w:tc>
                <w:tcPr>
                  <w:tcW w:w="1243" w:type="pct"/>
                  <w:vAlign w:val="center"/>
                </w:tcPr>
                <w:p w14:paraId="26E0B0EC">
                  <w:pPr>
                    <w:adjustRightInd w:val="0"/>
                    <w:snapToGrid w:val="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w:t>
                  </w:r>
                </w:p>
              </w:tc>
              <w:tc>
                <w:tcPr>
                  <w:tcW w:w="2250" w:type="pct"/>
                  <w:vAlign w:val="center"/>
                </w:tcPr>
                <w:p w14:paraId="4517417F">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1扇3mmPb厚铅玻璃</w:t>
                  </w:r>
                </w:p>
              </w:tc>
            </w:tr>
            <w:tr w14:paraId="6CD999E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9" w:type="pct"/>
                  <w:vMerge w:val="continue"/>
                  <w:vAlign w:val="center"/>
                </w:tcPr>
                <w:p w14:paraId="7021B657">
                  <w:pPr>
                    <w:adjustRightInd w:val="0"/>
                    <w:snapToGrid w:val="0"/>
                    <w:jc w:val="center"/>
                    <w:rPr>
                      <w:rFonts w:hint="default" w:ascii="Times New Roman" w:hAnsi="Times New Roman" w:cs="Times New Roman"/>
                      <w:color w:val="auto"/>
                      <w:szCs w:val="21"/>
                      <w:highlight w:val="none"/>
                    </w:rPr>
                  </w:pPr>
                </w:p>
              </w:tc>
              <w:tc>
                <w:tcPr>
                  <w:tcW w:w="996" w:type="pct"/>
                  <w:gridSpan w:val="2"/>
                  <w:vAlign w:val="center"/>
                </w:tcPr>
                <w:p w14:paraId="147549D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防护门</w:t>
                  </w:r>
                </w:p>
              </w:tc>
              <w:tc>
                <w:tcPr>
                  <w:tcW w:w="1243" w:type="pct"/>
                  <w:vAlign w:val="center"/>
                </w:tcPr>
                <w:p w14:paraId="75405D34">
                  <w:pPr>
                    <w:adjustRightInd w:val="0"/>
                    <w:snapToGrid w:val="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w:t>
                  </w:r>
                </w:p>
              </w:tc>
              <w:tc>
                <w:tcPr>
                  <w:tcW w:w="2250" w:type="pct"/>
                  <w:vAlign w:val="center"/>
                </w:tcPr>
                <w:p w14:paraId="0AF1A43D">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5扇3mmPb的防护门</w:t>
                  </w:r>
                </w:p>
              </w:tc>
            </w:tr>
            <w:tr w14:paraId="1ED02EF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09" w:type="pct"/>
                  <w:vMerge w:val="continue"/>
                  <w:vAlign w:val="center"/>
                </w:tcPr>
                <w:p w14:paraId="01DF8F44">
                  <w:pPr>
                    <w:adjustRightInd w:val="0"/>
                    <w:snapToGrid w:val="0"/>
                    <w:jc w:val="center"/>
                    <w:rPr>
                      <w:rFonts w:hint="default" w:ascii="Times New Roman" w:hAnsi="Times New Roman" w:cs="Times New Roman"/>
                      <w:color w:val="auto"/>
                      <w:szCs w:val="21"/>
                      <w:highlight w:val="none"/>
                    </w:rPr>
                  </w:pPr>
                </w:p>
              </w:tc>
              <w:tc>
                <w:tcPr>
                  <w:tcW w:w="996" w:type="pct"/>
                  <w:gridSpan w:val="2"/>
                  <w:vAlign w:val="center"/>
                </w:tcPr>
                <w:p w14:paraId="7EF2B2B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操作位局部屏蔽防护措施</w:t>
                  </w:r>
                </w:p>
              </w:tc>
              <w:tc>
                <w:tcPr>
                  <w:tcW w:w="1243" w:type="pct"/>
                  <w:vAlign w:val="center"/>
                </w:tcPr>
                <w:p w14:paraId="1AA2E825">
                  <w:pPr>
                    <w:adjustRightInd w:val="0"/>
                    <w:snapToGrid w:val="0"/>
                    <w:jc w:val="center"/>
                    <w:rPr>
                      <w:rFonts w:hint="default" w:ascii="Times New Roman" w:hAnsi="Times New Roman" w:cs="Times New Roman"/>
                      <w:color w:val="auto"/>
                      <w:szCs w:val="21"/>
                      <w:highlight w:val="none"/>
                    </w:rPr>
                  </w:pPr>
                  <w:r>
                    <w:rPr>
                      <w:color w:val="auto"/>
                      <w:szCs w:val="21"/>
                      <w:highlight w:val="none"/>
                    </w:rPr>
                    <w:t>设备自带铅帘及铅吊屏</w:t>
                  </w:r>
                </w:p>
              </w:tc>
              <w:tc>
                <w:tcPr>
                  <w:tcW w:w="2250" w:type="pct"/>
                  <w:vAlign w:val="center"/>
                </w:tcPr>
                <w:p w14:paraId="313E8E04">
                  <w:pPr>
                    <w:adjustRightInd w:val="0"/>
                    <w:snapToGrid w:val="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w:t>
                  </w:r>
                </w:p>
              </w:tc>
            </w:tr>
            <w:tr w14:paraId="51868F2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9" w:type="pct"/>
                  <w:vMerge w:val="continue"/>
                  <w:vAlign w:val="center"/>
                </w:tcPr>
                <w:p w14:paraId="393D3B93">
                  <w:pPr>
                    <w:adjustRightInd w:val="0"/>
                    <w:snapToGrid w:val="0"/>
                    <w:jc w:val="center"/>
                    <w:rPr>
                      <w:rFonts w:hint="default" w:ascii="Times New Roman" w:hAnsi="Times New Roman" w:cs="Times New Roman"/>
                      <w:color w:val="auto"/>
                      <w:szCs w:val="21"/>
                      <w:highlight w:val="none"/>
                    </w:rPr>
                  </w:pPr>
                </w:p>
              </w:tc>
              <w:tc>
                <w:tcPr>
                  <w:tcW w:w="996" w:type="pct"/>
                  <w:gridSpan w:val="2"/>
                  <w:vAlign w:val="center"/>
                </w:tcPr>
                <w:p w14:paraId="59591D1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通风设施</w:t>
                  </w:r>
                </w:p>
              </w:tc>
              <w:tc>
                <w:tcPr>
                  <w:tcW w:w="1243" w:type="pct"/>
                  <w:vAlign w:val="center"/>
                </w:tcPr>
                <w:p w14:paraId="5452C3A5">
                  <w:pPr>
                    <w:adjustRightInd w:val="0"/>
                    <w:snapToGrid w:val="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w:t>
                  </w:r>
                </w:p>
              </w:tc>
              <w:tc>
                <w:tcPr>
                  <w:tcW w:w="2250" w:type="pct"/>
                  <w:vAlign w:val="center"/>
                </w:tcPr>
                <w:p w14:paraId="2CB711EE">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1套通排风系统</w:t>
                  </w:r>
                </w:p>
              </w:tc>
            </w:tr>
            <w:tr w14:paraId="3D6258E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9" w:type="pct"/>
                  <w:vMerge w:val="continue"/>
                  <w:vAlign w:val="center"/>
                </w:tcPr>
                <w:p w14:paraId="6FDCCCF1">
                  <w:pPr>
                    <w:adjustRightInd w:val="0"/>
                    <w:snapToGrid w:val="0"/>
                    <w:jc w:val="center"/>
                    <w:rPr>
                      <w:rFonts w:hint="default" w:ascii="Times New Roman" w:hAnsi="Times New Roman" w:cs="Times New Roman"/>
                      <w:color w:val="auto"/>
                      <w:szCs w:val="21"/>
                      <w:highlight w:val="none"/>
                    </w:rPr>
                  </w:pPr>
                </w:p>
              </w:tc>
              <w:tc>
                <w:tcPr>
                  <w:tcW w:w="996" w:type="pct"/>
                  <w:gridSpan w:val="2"/>
                  <w:vAlign w:val="center"/>
                </w:tcPr>
                <w:p w14:paraId="50C5D9C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急停按钮</w:t>
                  </w:r>
                </w:p>
              </w:tc>
              <w:tc>
                <w:tcPr>
                  <w:tcW w:w="1243" w:type="pct"/>
                  <w:vAlign w:val="center"/>
                </w:tcPr>
                <w:p w14:paraId="14120C45">
                  <w:pPr>
                    <w:adjustRightInd w:val="0"/>
                    <w:snapToGrid w:val="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w:t>
                  </w:r>
                </w:p>
              </w:tc>
              <w:tc>
                <w:tcPr>
                  <w:tcW w:w="2250" w:type="pct"/>
                  <w:vAlign w:val="center"/>
                </w:tcPr>
                <w:p w14:paraId="3D07FC46">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设备自带（DSA床旁和控制室内各1个）</w:t>
                  </w:r>
                </w:p>
              </w:tc>
            </w:tr>
            <w:tr w14:paraId="1240F57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9" w:type="pct"/>
                  <w:vMerge w:val="continue"/>
                  <w:vAlign w:val="center"/>
                </w:tcPr>
                <w:p w14:paraId="740E1CF9">
                  <w:pPr>
                    <w:adjustRightInd w:val="0"/>
                    <w:snapToGrid w:val="0"/>
                    <w:jc w:val="center"/>
                    <w:rPr>
                      <w:rFonts w:hint="default" w:ascii="Times New Roman" w:hAnsi="Times New Roman" w:cs="Times New Roman"/>
                      <w:color w:val="auto"/>
                      <w:szCs w:val="21"/>
                      <w:highlight w:val="none"/>
                    </w:rPr>
                  </w:pPr>
                </w:p>
              </w:tc>
              <w:tc>
                <w:tcPr>
                  <w:tcW w:w="996" w:type="pct"/>
                  <w:gridSpan w:val="2"/>
                  <w:vAlign w:val="center"/>
                </w:tcPr>
                <w:p w14:paraId="5E4079D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门灯联锁（含工作状态指示灯）</w:t>
                  </w:r>
                </w:p>
              </w:tc>
              <w:tc>
                <w:tcPr>
                  <w:tcW w:w="1243" w:type="pct"/>
                  <w:vAlign w:val="center"/>
                </w:tcPr>
                <w:p w14:paraId="35C729C2">
                  <w:pPr>
                    <w:adjustRightInd w:val="0"/>
                    <w:snapToGrid w:val="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w:t>
                  </w:r>
                </w:p>
              </w:tc>
              <w:tc>
                <w:tcPr>
                  <w:tcW w:w="2250" w:type="pct"/>
                  <w:vAlign w:val="center"/>
                </w:tcPr>
                <w:p w14:paraId="726CD6B9">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5个，5扇门外各1个</w:t>
                  </w:r>
                </w:p>
              </w:tc>
            </w:tr>
            <w:tr w14:paraId="1C34CBC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9" w:type="pct"/>
                  <w:vMerge w:val="continue"/>
                  <w:vAlign w:val="center"/>
                </w:tcPr>
                <w:p w14:paraId="6DA51F54">
                  <w:pPr>
                    <w:adjustRightInd w:val="0"/>
                    <w:snapToGrid w:val="0"/>
                    <w:jc w:val="center"/>
                    <w:rPr>
                      <w:rFonts w:hint="default" w:ascii="Times New Roman" w:hAnsi="Times New Roman" w:cs="Times New Roman"/>
                      <w:color w:val="auto"/>
                      <w:szCs w:val="21"/>
                      <w:highlight w:val="none"/>
                    </w:rPr>
                  </w:pPr>
                </w:p>
              </w:tc>
              <w:tc>
                <w:tcPr>
                  <w:tcW w:w="996" w:type="pct"/>
                  <w:gridSpan w:val="2"/>
                  <w:vAlign w:val="center"/>
                </w:tcPr>
                <w:p w14:paraId="3ADE67A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对讲装置</w:t>
                  </w:r>
                </w:p>
              </w:tc>
              <w:tc>
                <w:tcPr>
                  <w:tcW w:w="1243" w:type="pct"/>
                  <w:vAlign w:val="center"/>
                </w:tcPr>
                <w:p w14:paraId="7F53AC84">
                  <w:pPr>
                    <w:adjustRightInd w:val="0"/>
                    <w:snapToGrid w:val="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w:t>
                  </w:r>
                </w:p>
              </w:tc>
              <w:tc>
                <w:tcPr>
                  <w:tcW w:w="2250" w:type="pct"/>
                  <w:vAlign w:val="center"/>
                </w:tcPr>
                <w:p w14:paraId="646B74A0">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1套，连接DSA介入室和控制室</w:t>
                  </w:r>
                </w:p>
              </w:tc>
            </w:tr>
            <w:tr w14:paraId="41886A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9" w:type="pct"/>
                  <w:vMerge w:val="continue"/>
                  <w:vAlign w:val="center"/>
                </w:tcPr>
                <w:p w14:paraId="4649942D">
                  <w:pPr>
                    <w:adjustRightInd w:val="0"/>
                    <w:snapToGrid w:val="0"/>
                    <w:jc w:val="center"/>
                    <w:rPr>
                      <w:rFonts w:hint="default" w:ascii="Times New Roman" w:hAnsi="Times New Roman" w:cs="Times New Roman"/>
                      <w:color w:val="auto"/>
                      <w:szCs w:val="21"/>
                      <w:highlight w:val="none"/>
                    </w:rPr>
                  </w:pPr>
                </w:p>
              </w:tc>
              <w:tc>
                <w:tcPr>
                  <w:tcW w:w="996" w:type="pct"/>
                  <w:gridSpan w:val="2"/>
                  <w:vAlign w:val="center"/>
                </w:tcPr>
                <w:p w14:paraId="1264BED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控制区入口处电离辐射警告标志</w:t>
                  </w:r>
                </w:p>
              </w:tc>
              <w:tc>
                <w:tcPr>
                  <w:tcW w:w="1243" w:type="pct"/>
                  <w:vAlign w:val="center"/>
                </w:tcPr>
                <w:p w14:paraId="1E4775F4">
                  <w:pPr>
                    <w:adjustRightInd w:val="0"/>
                    <w:snapToGrid w:val="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w:t>
                  </w:r>
                </w:p>
              </w:tc>
              <w:tc>
                <w:tcPr>
                  <w:tcW w:w="2250" w:type="pct"/>
                  <w:vAlign w:val="center"/>
                </w:tcPr>
                <w:p w14:paraId="5304B07F">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5个，5扇门外各1个</w:t>
                  </w:r>
                </w:p>
              </w:tc>
            </w:tr>
            <w:tr w14:paraId="3DB2A50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9" w:type="pct"/>
                  <w:vMerge w:val="continue"/>
                  <w:vAlign w:val="center"/>
                </w:tcPr>
                <w:p w14:paraId="153F3771">
                  <w:pPr>
                    <w:adjustRightInd w:val="0"/>
                    <w:snapToGrid w:val="0"/>
                    <w:jc w:val="center"/>
                    <w:rPr>
                      <w:rFonts w:hint="default" w:ascii="Times New Roman" w:hAnsi="Times New Roman" w:cs="Times New Roman"/>
                      <w:color w:val="auto"/>
                      <w:szCs w:val="21"/>
                      <w:highlight w:val="none"/>
                    </w:rPr>
                  </w:pPr>
                </w:p>
              </w:tc>
              <w:tc>
                <w:tcPr>
                  <w:tcW w:w="996" w:type="pct"/>
                  <w:gridSpan w:val="2"/>
                  <w:vAlign w:val="center"/>
                </w:tcPr>
                <w:p w14:paraId="0CCF88F9">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监督区标志</w:t>
                  </w:r>
                </w:p>
              </w:tc>
              <w:tc>
                <w:tcPr>
                  <w:tcW w:w="1243" w:type="pct"/>
                  <w:vAlign w:val="center"/>
                </w:tcPr>
                <w:p w14:paraId="08776813">
                  <w:pPr>
                    <w:adjustRightInd w:val="0"/>
                    <w:snapToGrid w:val="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w:t>
                  </w:r>
                </w:p>
              </w:tc>
              <w:tc>
                <w:tcPr>
                  <w:tcW w:w="2250" w:type="pct"/>
                  <w:vAlign w:val="center"/>
                </w:tcPr>
                <w:p w14:paraId="4E2571B5">
                  <w:pPr>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3个，患者缓冲区入口处、控制室入口处、污物间入口处</w:t>
                  </w:r>
                </w:p>
              </w:tc>
            </w:tr>
            <w:tr w14:paraId="0D2D3CD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9" w:type="pct"/>
                  <w:vMerge w:val="continue"/>
                  <w:vAlign w:val="center"/>
                </w:tcPr>
                <w:p w14:paraId="2C5F6486">
                  <w:pPr>
                    <w:adjustRightInd w:val="0"/>
                    <w:snapToGrid w:val="0"/>
                    <w:jc w:val="center"/>
                    <w:rPr>
                      <w:rFonts w:hint="default" w:ascii="Times New Roman" w:hAnsi="Times New Roman" w:cs="Times New Roman"/>
                      <w:color w:val="auto"/>
                      <w:szCs w:val="21"/>
                      <w:highlight w:val="none"/>
                    </w:rPr>
                  </w:pPr>
                </w:p>
              </w:tc>
              <w:tc>
                <w:tcPr>
                  <w:tcW w:w="996" w:type="pct"/>
                  <w:gridSpan w:val="2"/>
                  <w:vAlign w:val="center"/>
                </w:tcPr>
                <w:p w14:paraId="3132DA4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自动</w:t>
                  </w:r>
                  <w:r>
                    <w:rPr>
                      <w:rFonts w:hint="default" w:ascii="Times New Roman" w:hAnsi="Times New Roman" w:cs="Times New Roman"/>
                      <w:color w:val="auto"/>
                      <w:szCs w:val="21"/>
                      <w:highlight w:val="none"/>
                    </w:rPr>
                    <w:t>闭门装置</w:t>
                  </w:r>
                </w:p>
              </w:tc>
              <w:tc>
                <w:tcPr>
                  <w:tcW w:w="1243" w:type="pct"/>
                  <w:vAlign w:val="center"/>
                </w:tcPr>
                <w:p w14:paraId="02B238AB">
                  <w:pPr>
                    <w:adjustRightInd w:val="0"/>
                    <w:snapToGrid w:val="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w:t>
                  </w:r>
                </w:p>
              </w:tc>
              <w:tc>
                <w:tcPr>
                  <w:tcW w:w="2250" w:type="pct"/>
                  <w:vAlign w:val="center"/>
                </w:tcPr>
                <w:p w14:paraId="1231C9DB">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1个，患者缓冲区门</w:t>
                  </w:r>
                </w:p>
              </w:tc>
            </w:tr>
            <w:tr w14:paraId="6E035C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509" w:type="pct"/>
                  <w:vMerge w:val="continue"/>
                  <w:vAlign w:val="center"/>
                </w:tcPr>
                <w:p w14:paraId="2B645478">
                  <w:pPr>
                    <w:adjustRightInd w:val="0"/>
                    <w:snapToGrid w:val="0"/>
                    <w:jc w:val="center"/>
                    <w:rPr>
                      <w:rFonts w:hint="default" w:ascii="Times New Roman" w:hAnsi="Times New Roman" w:cs="Times New Roman"/>
                      <w:color w:val="auto"/>
                      <w:szCs w:val="21"/>
                      <w:highlight w:val="none"/>
                    </w:rPr>
                  </w:pPr>
                </w:p>
              </w:tc>
              <w:tc>
                <w:tcPr>
                  <w:tcW w:w="996" w:type="pct"/>
                  <w:gridSpan w:val="2"/>
                  <w:vAlign w:val="center"/>
                </w:tcPr>
                <w:p w14:paraId="77525E4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闭门装置（防夹措施）</w:t>
                  </w:r>
                </w:p>
              </w:tc>
              <w:tc>
                <w:tcPr>
                  <w:tcW w:w="1243" w:type="pct"/>
                  <w:vAlign w:val="center"/>
                </w:tcPr>
                <w:p w14:paraId="4D7EA6EB">
                  <w:pPr>
                    <w:adjustRightInd w:val="0"/>
                    <w:snapToGrid w:val="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w:t>
                  </w:r>
                </w:p>
              </w:tc>
              <w:tc>
                <w:tcPr>
                  <w:tcW w:w="2250" w:type="pct"/>
                  <w:vAlign w:val="center"/>
                </w:tcPr>
                <w:p w14:paraId="2C35BE76">
                  <w:pPr>
                    <w:tabs>
                      <w:tab w:val="center" w:pos="1965"/>
                      <w:tab w:val="right" w:pos="3813"/>
                    </w:tabs>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4个，高值耗材存放处门、控制室门、污物间门、设备间门</w:t>
                  </w:r>
                </w:p>
              </w:tc>
            </w:tr>
            <w:tr w14:paraId="52D8CAC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509" w:type="pct"/>
                  <w:vMerge w:val="continue"/>
                  <w:vAlign w:val="center"/>
                </w:tcPr>
                <w:p w14:paraId="55FC02B1">
                  <w:pPr>
                    <w:adjustRightInd w:val="0"/>
                    <w:snapToGrid w:val="0"/>
                    <w:jc w:val="center"/>
                    <w:rPr>
                      <w:rFonts w:hint="default" w:ascii="Times New Roman" w:hAnsi="Times New Roman" w:cs="Times New Roman"/>
                      <w:color w:val="auto"/>
                      <w:szCs w:val="21"/>
                      <w:highlight w:val="none"/>
                    </w:rPr>
                  </w:pPr>
                </w:p>
              </w:tc>
              <w:tc>
                <w:tcPr>
                  <w:tcW w:w="996" w:type="pct"/>
                  <w:gridSpan w:val="2"/>
                  <w:vAlign w:val="center"/>
                </w:tcPr>
                <w:p w14:paraId="5D5B47D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1套灭火器材（无磁灭火器）</w:t>
                  </w:r>
                </w:p>
              </w:tc>
              <w:tc>
                <w:tcPr>
                  <w:tcW w:w="1243" w:type="pct"/>
                  <w:vAlign w:val="center"/>
                </w:tcPr>
                <w:p w14:paraId="64A83483">
                  <w:pPr>
                    <w:adjustRightInd w:val="0"/>
                    <w:snapToGrid w:val="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w:t>
                  </w:r>
                </w:p>
              </w:tc>
              <w:tc>
                <w:tcPr>
                  <w:tcW w:w="2250" w:type="pct"/>
                  <w:vAlign w:val="center"/>
                </w:tcPr>
                <w:p w14:paraId="06FCDD10">
                  <w:pPr>
                    <w:tabs>
                      <w:tab w:val="center" w:pos="1965"/>
                      <w:tab w:val="right" w:pos="3813"/>
                    </w:tabs>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控制室内</w:t>
                  </w:r>
                </w:p>
              </w:tc>
            </w:tr>
            <w:tr w14:paraId="5008D1F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pct"/>
                  <w:vMerge w:val="continue"/>
                  <w:vAlign w:val="center"/>
                </w:tcPr>
                <w:p w14:paraId="5796AC37">
                  <w:pPr>
                    <w:adjustRightInd w:val="0"/>
                    <w:snapToGrid w:val="0"/>
                    <w:jc w:val="center"/>
                    <w:rPr>
                      <w:rFonts w:hint="default" w:ascii="Times New Roman" w:hAnsi="Times New Roman" w:cs="Times New Roman"/>
                      <w:color w:val="auto"/>
                      <w:szCs w:val="21"/>
                      <w:highlight w:val="none"/>
                    </w:rPr>
                  </w:pPr>
                </w:p>
              </w:tc>
              <w:tc>
                <w:tcPr>
                  <w:tcW w:w="996" w:type="pct"/>
                  <w:gridSpan w:val="2"/>
                  <w:vAlign w:val="center"/>
                </w:tcPr>
                <w:p w14:paraId="4DD5BBC3">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highlight w:val="none"/>
                    </w:rPr>
                    <w:t>放射防护注意事项告知栏</w:t>
                  </w:r>
                </w:p>
              </w:tc>
              <w:tc>
                <w:tcPr>
                  <w:tcW w:w="1243" w:type="pct"/>
                  <w:vAlign w:val="center"/>
                </w:tcPr>
                <w:p w14:paraId="0164F986">
                  <w:pPr>
                    <w:adjustRightInd w:val="0"/>
                    <w:snapToGrid w:val="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w:t>
                  </w:r>
                </w:p>
              </w:tc>
              <w:tc>
                <w:tcPr>
                  <w:tcW w:w="2250" w:type="pct"/>
                  <w:vAlign w:val="center"/>
                </w:tcPr>
                <w:p w14:paraId="1559DA38">
                  <w:pPr>
                    <w:tabs>
                      <w:tab w:val="center" w:pos="1965"/>
                      <w:tab w:val="right" w:pos="3813"/>
                    </w:tabs>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1套，患者缓冲区内</w:t>
                  </w:r>
                </w:p>
              </w:tc>
            </w:tr>
            <w:tr w14:paraId="51341F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509" w:type="pct"/>
                  <w:vMerge w:val="continue"/>
                  <w:vAlign w:val="center"/>
                </w:tcPr>
                <w:p w14:paraId="323BAB2B">
                  <w:pPr>
                    <w:adjustRightInd w:val="0"/>
                    <w:snapToGrid w:val="0"/>
                    <w:jc w:val="center"/>
                    <w:rPr>
                      <w:rFonts w:hint="default" w:ascii="Times New Roman" w:hAnsi="Times New Roman" w:cs="Times New Roman"/>
                      <w:color w:val="auto"/>
                      <w:szCs w:val="21"/>
                      <w:highlight w:val="none"/>
                    </w:rPr>
                  </w:pPr>
                </w:p>
              </w:tc>
              <w:tc>
                <w:tcPr>
                  <w:tcW w:w="996" w:type="pct"/>
                  <w:gridSpan w:val="2"/>
                  <w:vAlign w:val="center"/>
                </w:tcPr>
                <w:p w14:paraId="44B0137B">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制度牌</w:t>
                  </w:r>
                </w:p>
              </w:tc>
              <w:tc>
                <w:tcPr>
                  <w:tcW w:w="1243" w:type="pct"/>
                  <w:vAlign w:val="center"/>
                </w:tcPr>
                <w:p w14:paraId="5222B9B2">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w:t>
                  </w:r>
                </w:p>
              </w:tc>
              <w:tc>
                <w:tcPr>
                  <w:tcW w:w="2250" w:type="pct"/>
                  <w:vAlign w:val="center"/>
                </w:tcPr>
                <w:p w14:paraId="474673B6">
                  <w:pPr>
                    <w:tabs>
                      <w:tab w:val="center" w:pos="1965"/>
                      <w:tab w:val="right" w:pos="3813"/>
                    </w:tabs>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1套，控制室内</w:t>
                  </w:r>
                </w:p>
              </w:tc>
            </w:tr>
            <w:tr w14:paraId="4E853E6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9" w:type="pct"/>
                  <w:vMerge w:val="restart"/>
                  <w:vAlign w:val="center"/>
                </w:tcPr>
                <w:p w14:paraId="396719A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监测设备</w:t>
                  </w:r>
                </w:p>
              </w:tc>
              <w:tc>
                <w:tcPr>
                  <w:tcW w:w="996" w:type="pct"/>
                  <w:gridSpan w:val="2"/>
                  <w:vAlign w:val="center"/>
                </w:tcPr>
                <w:p w14:paraId="573FDC5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便携式辐射监测仪</w:t>
                  </w:r>
                </w:p>
              </w:tc>
              <w:tc>
                <w:tcPr>
                  <w:tcW w:w="1243" w:type="pct"/>
                  <w:vAlign w:val="center"/>
                </w:tcPr>
                <w:p w14:paraId="75FB1DDD">
                  <w:pPr>
                    <w:adjustRightInd w:val="0"/>
                    <w:snapToGrid w:val="0"/>
                    <w:jc w:val="center"/>
                    <w:rPr>
                      <w:rFonts w:hint="default" w:ascii="Times New Roman" w:hAnsi="Times New Roman" w:eastAsia="宋体" w:cs="Times New Roman"/>
                      <w:color w:val="auto"/>
                      <w:szCs w:val="21"/>
                      <w:highlight w:val="none"/>
                      <w:lang w:eastAsia="zh-CN"/>
                    </w:rPr>
                  </w:pPr>
                  <w:r>
                    <w:rPr>
                      <w:rFonts w:hint="eastAsia" w:ascii="Times New Roman" w:hAnsi="Times New Roman" w:cs="Times New Roman"/>
                      <w:color w:val="auto"/>
                      <w:szCs w:val="21"/>
                      <w:highlight w:val="none"/>
                      <w:lang w:val="en-US" w:eastAsia="zh-CN"/>
                    </w:rPr>
                    <w:t>/</w:t>
                  </w:r>
                </w:p>
              </w:tc>
              <w:tc>
                <w:tcPr>
                  <w:tcW w:w="2250" w:type="pct"/>
                  <w:vAlign w:val="center"/>
                </w:tcPr>
                <w:p w14:paraId="3460870D">
                  <w:pPr>
                    <w:tabs>
                      <w:tab w:val="center" w:pos="1965"/>
                      <w:tab w:val="right" w:pos="3813"/>
                    </w:tabs>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拟配备1台</w:t>
                  </w:r>
                </w:p>
              </w:tc>
            </w:tr>
            <w:tr w14:paraId="2A522E3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9" w:type="pct"/>
                  <w:vMerge w:val="continue"/>
                  <w:vAlign w:val="center"/>
                </w:tcPr>
                <w:p w14:paraId="212EAE9C">
                  <w:pPr>
                    <w:adjustRightInd w:val="0"/>
                    <w:snapToGrid w:val="0"/>
                    <w:jc w:val="center"/>
                    <w:rPr>
                      <w:rFonts w:hint="default" w:ascii="Times New Roman" w:hAnsi="Times New Roman" w:cs="Times New Roman"/>
                      <w:color w:val="auto"/>
                      <w:szCs w:val="21"/>
                      <w:highlight w:val="none"/>
                    </w:rPr>
                  </w:pPr>
                </w:p>
              </w:tc>
              <w:tc>
                <w:tcPr>
                  <w:tcW w:w="996" w:type="pct"/>
                  <w:gridSpan w:val="2"/>
                  <w:vAlign w:val="center"/>
                </w:tcPr>
                <w:p w14:paraId="400BF84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个人剂量计</w:t>
                  </w:r>
                </w:p>
              </w:tc>
              <w:tc>
                <w:tcPr>
                  <w:tcW w:w="1243" w:type="pct"/>
                  <w:vAlign w:val="center"/>
                </w:tcPr>
                <w:p w14:paraId="35C437C5">
                  <w:pPr>
                    <w:adjustRightInd w:val="0"/>
                    <w:snapToGrid w:val="0"/>
                    <w:jc w:val="center"/>
                    <w:rPr>
                      <w:rFonts w:hint="default" w:ascii="Times New Roman" w:hAnsi="Times New Roman" w:eastAsia="宋体" w:cs="Times New Roman"/>
                      <w:color w:val="auto"/>
                      <w:szCs w:val="21"/>
                      <w:highlight w:val="none"/>
                      <w:lang w:eastAsia="zh-CN"/>
                    </w:rPr>
                  </w:pPr>
                  <w:r>
                    <w:rPr>
                      <w:rFonts w:hint="eastAsia" w:ascii="Times New Roman" w:hAnsi="Times New Roman" w:cs="Times New Roman"/>
                      <w:color w:val="auto"/>
                      <w:szCs w:val="21"/>
                      <w:highlight w:val="none"/>
                      <w:lang w:val="en-US" w:eastAsia="zh-CN"/>
                    </w:rPr>
                    <w:t>/</w:t>
                  </w:r>
                </w:p>
              </w:tc>
              <w:tc>
                <w:tcPr>
                  <w:tcW w:w="2250" w:type="pct"/>
                  <w:vAlign w:val="center"/>
                </w:tcPr>
                <w:p w14:paraId="696D5239">
                  <w:pPr>
                    <w:adjustRightInd w:val="0"/>
                    <w:snapToGrid w:val="0"/>
                    <w:jc w:val="center"/>
                    <w:rPr>
                      <w:rFonts w:hint="default" w:ascii="Times New Roman" w:hAnsi="Times New Roman" w:cs="Times New Roman"/>
                      <w:color w:val="auto"/>
                      <w:szCs w:val="21"/>
                      <w:highlight w:val="none"/>
                    </w:rPr>
                  </w:pPr>
                  <w:r>
                    <w:rPr>
                      <w:rFonts w:hint="eastAsia"/>
                      <w:color w:val="auto"/>
                      <w:szCs w:val="21"/>
                      <w:highlight w:val="none"/>
                    </w:rPr>
                    <w:t>拟为本项目配备</w:t>
                  </w:r>
                  <w:r>
                    <w:rPr>
                      <w:rFonts w:hint="eastAsia"/>
                      <w:color w:val="auto"/>
                      <w:szCs w:val="21"/>
                      <w:highlight w:val="none"/>
                      <w:lang w:val="en-US" w:eastAsia="zh-CN"/>
                    </w:rPr>
                    <w:t>6</w:t>
                  </w:r>
                  <w:r>
                    <w:rPr>
                      <w:rFonts w:hint="eastAsia"/>
                      <w:color w:val="auto"/>
                      <w:szCs w:val="21"/>
                      <w:highlight w:val="none"/>
                    </w:rPr>
                    <w:t>套（医师和护师应在铅衣内外各佩戴一个个人剂量计，至少佩戴两个个人剂量计）</w:t>
                  </w:r>
                </w:p>
              </w:tc>
            </w:tr>
            <w:tr w14:paraId="06E9DB8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9" w:type="pct"/>
                  <w:vMerge w:val="restart"/>
                  <w:vAlign w:val="center"/>
                </w:tcPr>
                <w:p w14:paraId="30C776E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防护用品</w:t>
                  </w:r>
                </w:p>
              </w:tc>
              <w:tc>
                <w:tcPr>
                  <w:tcW w:w="996" w:type="pct"/>
                  <w:gridSpan w:val="2"/>
                  <w:vAlign w:val="center"/>
                </w:tcPr>
                <w:p w14:paraId="55B203E7">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医护人员</w:t>
                  </w:r>
                </w:p>
              </w:tc>
              <w:tc>
                <w:tcPr>
                  <w:tcW w:w="1243" w:type="pct"/>
                  <w:vAlign w:val="center"/>
                </w:tcPr>
                <w:p w14:paraId="2484B832">
                  <w:pPr>
                    <w:adjustRightInd w:val="0"/>
                    <w:snapToGrid w:val="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w:t>
                  </w:r>
                </w:p>
              </w:tc>
              <w:tc>
                <w:tcPr>
                  <w:tcW w:w="2250" w:type="pct"/>
                  <w:vAlign w:val="center"/>
                </w:tcPr>
                <w:p w14:paraId="440B741B">
                  <w:pPr>
                    <w:adjustRightInd w:val="0"/>
                    <w:snapToGrid w:val="0"/>
                    <w:jc w:val="center"/>
                    <w:rPr>
                      <w:rFonts w:hint="default" w:ascii="Times New Roman" w:hAnsi="Times New Roman" w:cs="Times New Roman"/>
                      <w:color w:val="auto"/>
                      <w:szCs w:val="21"/>
                      <w:highlight w:val="none"/>
                    </w:rPr>
                  </w:pPr>
                  <w:r>
                    <w:rPr>
                      <w:rFonts w:hint="eastAsia"/>
                      <w:color w:val="auto"/>
                      <w:szCs w:val="21"/>
                      <w:highlight w:val="none"/>
                    </w:rPr>
                    <w:t>拟配备</w:t>
                  </w:r>
                  <w:r>
                    <w:rPr>
                      <w:rFonts w:hint="eastAsia"/>
                      <w:color w:val="auto"/>
                      <w:szCs w:val="21"/>
                      <w:highlight w:val="none"/>
                      <w:lang w:val="en-US" w:eastAsia="zh-CN"/>
                    </w:rPr>
                    <w:t>2</w:t>
                  </w:r>
                  <w:r>
                    <w:rPr>
                      <w:color w:val="auto"/>
                      <w:szCs w:val="21"/>
                      <w:highlight w:val="none"/>
                    </w:rPr>
                    <w:t>套医护防护用品（铅橡胶围裙、铅橡胶颈套、铅防护眼镜、介入防护手套）</w:t>
                  </w:r>
                </w:p>
              </w:tc>
            </w:tr>
            <w:tr w14:paraId="6A6E976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9" w:type="pct"/>
                  <w:vMerge w:val="continue"/>
                  <w:vAlign w:val="center"/>
                </w:tcPr>
                <w:p w14:paraId="79AA6C8C">
                  <w:pPr>
                    <w:adjustRightInd w:val="0"/>
                    <w:snapToGrid w:val="0"/>
                    <w:jc w:val="center"/>
                    <w:rPr>
                      <w:rFonts w:hint="default" w:ascii="Times New Roman" w:hAnsi="Times New Roman" w:cs="Times New Roman"/>
                      <w:color w:val="auto"/>
                      <w:szCs w:val="21"/>
                      <w:highlight w:val="none"/>
                    </w:rPr>
                  </w:pPr>
                </w:p>
              </w:tc>
              <w:tc>
                <w:tcPr>
                  <w:tcW w:w="996" w:type="pct"/>
                  <w:gridSpan w:val="2"/>
                  <w:vAlign w:val="center"/>
                </w:tcPr>
                <w:p w14:paraId="7189A09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患者防护</w:t>
                  </w:r>
                </w:p>
              </w:tc>
              <w:tc>
                <w:tcPr>
                  <w:tcW w:w="1243" w:type="pct"/>
                  <w:vAlign w:val="center"/>
                </w:tcPr>
                <w:p w14:paraId="2B2E9732">
                  <w:pPr>
                    <w:adjustRightInd w:val="0"/>
                    <w:snapToGrid w:val="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w:t>
                  </w:r>
                </w:p>
              </w:tc>
              <w:tc>
                <w:tcPr>
                  <w:tcW w:w="2250" w:type="pct"/>
                  <w:vAlign w:val="center"/>
                </w:tcPr>
                <w:p w14:paraId="7A4C52AB">
                  <w:pPr>
                    <w:adjustRightInd w:val="0"/>
                    <w:snapToGrid w:val="0"/>
                    <w:jc w:val="center"/>
                    <w:rPr>
                      <w:rFonts w:hint="default" w:ascii="Times New Roman" w:hAnsi="Times New Roman" w:cs="Times New Roman"/>
                      <w:color w:val="auto"/>
                      <w:szCs w:val="21"/>
                      <w:highlight w:val="none"/>
                    </w:rPr>
                  </w:pPr>
                  <w:r>
                    <w:rPr>
                      <w:rFonts w:hint="eastAsia"/>
                      <w:color w:val="auto"/>
                      <w:szCs w:val="21"/>
                      <w:highlight w:val="none"/>
                    </w:rPr>
                    <w:t>1</w:t>
                  </w:r>
                  <w:r>
                    <w:rPr>
                      <w:color w:val="auto"/>
                      <w:szCs w:val="21"/>
                      <w:highlight w:val="none"/>
                    </w:rPr>
                    <w:t>套</w:t>
                  </w:r>
                  <w:r>
                    <w:rPr>
                      <w:rFonts w:hint="eastAsia"/>
                      <w:color w:val="auto"/>
                      <w:szCs w:val="21"/>
                      <w:highlight w:val="none"/>
                    </w:rPr>
                    <w:t>患者</w:t>
                  </w:r>
                  <w:r>
                    <w:rPr>
                      <w:color w:val="auto"/>
                      <w:szCs w:val="21"/>
                      <w:highlight w:val="none"/>
                    </w:rPr>
                    <w:t>防护用品（医院配备铅橡胶性腺防护围裙（方形）或方巾、铅橡胶颈套）</w:t>
                  </w:r>
                </w:p>
              </w:tc>
            </w:tr>
          </w:tbl>
          <w:p w14:paraId="253D99D9">
            <w:pPr>
              <w:adjustRightInd w:val="0"/>
              <w:snapToGrid w:val="0"/>
              <w:spacing w:line="360" w:lineRule="auto"/>
              <w:rPr>
                <w:rFonts w:hint="default" w:ascii="Times New Roman" w:hAnsi="Times New Roman" w:cs="Times New Roman"/>
                <w:color w:val="auto"/>
                <w:highlight w:val="none"/>
              </w:rPr>
            </w:pPr>
          </w:p>
        </w:tc>
      </w:tr>
      <w:tr w14:paraId="12DB4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000" w:type="pct"/>
          </w:tcPr>
          <w:p w14:paraId="165F1813">
            <w:pPr>
              <w:adjustRightInd w:val="0"/>
              <w:snapToGrid w:val="0"/>
              <w:spacing w:line="360" w:lineRule="auto"/>
              <w:jc w:val="left"/>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三废的治理</w:t>
            </w:r>
          </w:p>
          <w:p w14:paraId="1E1B5CD0">
            <w:pPr>
              <w:pStyle w:val="32"/>
              <w:numPr>
                <w:ilvl w:val="0"/>
                <w:numId w:val="19"/>
              </w:numPr>
              <w:rPr>
                <w:rFonts w:hint="eastAsia" w:ascii="Times New Roman" w:hAnsi="Times New Roman" w:cs="Times New Roman"/>
                <w:b/>
                <w:bCs/>
                <w:color w:val="auto"/>
                <w:kern w:val="0"/>
                <w:sz w:val="24"/>
                <w:highlight w:val="none"/>
                <w:lang w:val="en-US" w:eastAsia="zh-CN"/>
              </w:rPr>
            </w:pPr>
            <w:r>
              <w:rPr>
                <w:rFonts w:hint="eastAsia" w:ascii="Times New Roman" w:hAnsi="Times New Roman" w:cs="Times New Roman"/>
                <w:b/>
                <w:bCs/>
                <w:color w:val="auto"/>
                <w:kern w:val="0"/>
                <w:sz w:val="24"/>
                <w:highlight w:val="none"/>
                <w:lang w:val="en-US" w:eastAsia="zh-CN"/>
              </w:rPr>
              <w:t>施工期三废治理</w:t>
            </w:r>
          </w:p>
          <w:p w14:paraId="149A2E35">
            <w:pPr>
              <w:spacing w:line="360" w:lineRule="auto"/>
              <w:ind w:left="0" w:leftChars="0" w:firstLine="420" w:firstLineChars="175"/>
              <w:jc w:val="left"/>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lang w:val="en-US" w:eastAsia="zh-CN"/>
              </w:rPr>
              <w:t>①</w:t>
            </w:r>
            <w:r>
              <w:rPr>
                <w:rFonts w:hint="default" w:ascii="Times New Roman" w:hAnsi="Times New Roman" w:cs="Times New Roman"/>
                <w:b/>
                <w:bCs/>
                <w:color w:val="auto"/>
                <w:sz w:val="24"/>
                <w:szCs w:val="24"/>
                <w:highlight w:val="none"/>
              </w:rPr>
              <w:t>废气</w:t>
            </w:r>
          </w:p>
          <w:p w14:paraId="79EB6C42">
            <w:pPr>
              <w:spacing w:line="360" w:lineRule="auto"/>
              <w:ind w:left="0" w:leftChars="0" w:firstLine="420" w:firstLineChars="175"/>
              <w:jc w:val="left"/>
              <w:rPr>
                <w:rFonts w:hint="default" w:ascii="Times New Roman" w:hAnsi="Times New Roman" w:cs="Times New Roman"/>
                <w:bCs/>
                <w:color w:val="auto"/>
                <w:sz w:val="24"/>
                <w:szCs w:val="24"/>
                <w:highlight w:val="none"/>
              </w:rPr>
            </w:pPr>
            <w:r>
              <w:rPr>
                <w:rFonts w:hint="default" w:ascii="Times New Roman" w:hAnsi="Times New Roman" w:cs="Times New Roman"/>
                <w:color w:val="auto"/>
                <w:sz w:val="24"/>
                <w:szCs w:val="24"/>
                <w:highlight w:val="none"/>
              </w:rPr>
              <w:t>施工过程中产生的废气，属于无组织排放，</w:t>
            </w:r>
            <w:r>
              <w:rPr>
                <w:rFonts w:hint="default" w:ascii="Times New Roman" w:hAnsi="Times New Roman" w:cs="Times New Roman"/>
                <w:bCs/>
                <w:color w:val="auto"/>
                <w:sz w:val="24"/>
                <w:szCs w:val="24"/>
                <w:highlight w:val="none"/>
              </w:rPr>
              <w:t>施工阶段的大气污染源主要为防护改造和防护装修阶段产生的扬尘，但影响仅局限在施工现场附近区域。针对上述大气污染已采取以下措施：</w:t>
            </w:r>
          </w:p>
          <w:p w14:paraId="57A52B58">
            <w:pPr>
              <w:spacing w:line="360" w:lineRule="auto"/>
              <w:ind w:left="0" w:leftChars="0" w:firstLine="420" w:firstLineChars="175"/>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a) 及时清扫施工场地，并保持施工场地一定的湿度；</w:t>
            </w:r>
          </w:p>
          <w:p w14:paraId="767CA31C">
            <w:pPr>
              <w:spacing w:line="360" w:lineRule="auto"/>
              <w:ind w:left="0" w:leftChars="0" w:firstLine="420" w:firstLineChars="175"/>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b) 车辆在运输建筑材料时尽量采取遮盖、密闭措施，以减少沿途抛洒；</w:t>
            </w:r>
          </w:p>
          <w:p w14:paraId="268A68B4">
            <w:pPr>
              <w:spacing w:line="360" w:lineRule="auto"/>
              <w:ind w:left="0" w:leftChars="0" w:firstLine="420" w:firstLineChars="175"/>
              <w:rPr>
                <w:rFonts w:hint="default" w:ascii="Times New Roman" w:hAnsi="Times New Roman" w:cs="Times New Roman"/>
                <w:color w:val="auto"/>
                <w:highlight w:val="none"/>
              </w:rPr>
            </w:pPr>
            <w:r>
              <w:rPr>
                <w:rFonts w:hint="default" w:ascii="Times New Roman" w:hAnsi="Times New Roman" w:cs="Times New Roman"/>
                <w:bCs/>
                <w:color w:val="auto"/>
                <w:sz w:val="24"/>
                <w:szCs w:val="24"/>
                <w:highlight w:val="none"/>
              </w:rPr>
              <w:t>c) 施工路面保持清洁、湿润，减少地面扬尘。</w:t>
            </w:r>
          </w:p>
          <w:p w14:paraId="26DF7ADD">
            <w:pPr>
              <w:spacing w:line="360" w:lineRule="auto"/>
              <w:ind w:left="0" w:leftChars="0" w:firstLine="420" w:firstLineChars="175"/>
              <w:jc w:val="left"/>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lang w:val="en-US" w:eastAsia="zh-CN"/>
              </w:rPr>
              <w:t>②</w:t>
            </w:r>
            <w:r>
              <w:rPr>
                <w:rFonts w:hint="default" w:ascii="Times New Roman" w:hAnsi="Times New Roman" w:cs="Times New Roman"/>
                <w:b/>
                <w:bCs/>
                <w:color w:val="auto"/>
                <w:sz w:val="24"/>
                <w:szCs w:val="24"/>
                <w:highlight w:val="none"/>
              </w:rPr>
              <w:t>噪声</w:t>
            </w:r>
          </w:p>
          <w:p w14:paraId="66792FF9">
            <w:pPr>
              <w:spacing w:line="360" w:lineRule="auto"/>
              <w:ind w:left="0" w:leftChars="0" w:firstLine="420" w:firstLineChars="175"/>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施工期噪声包括铺设电路时机器碰撞以及装修产生的噪声，</w:t>
            </w:r>
            <w:r>
              <w:rPr>
                <w:rFonts w:hint="default" w:ascii="Times New Roman" w:hAnsi="Times New Roman" w:cs="Times New Roman"/>
                <w:color w:val="auto"/>
                <w:sz w:val="24"/>
                <w:highlight w:val="none"/>
              </w:rPr>
              <w:t>施工期的噪声污染源主要为电锤﹑电钻等设备产生，声源强度在65～95dB(A)，会造成局部时段边界噪声超标，因此，项目施工期间应加强管理，尽量在无人的周末进行施工。且在施工时严格执行《建筑施工场界环境噪声排放标准》（GB 12523-2011）的标准规定，将噪声降低到最低水平；禁止夜间施工。</w:t>
            </w:r>
            <w:r>
              <w:rPr>
                <w:rFonts w:hint="default" w:ascii="Times New Roman" w:hAnsi="Times New Roman" w:cs="Times New Roman"/>
                <w:color w:val="auto"/>
                <w:sz w:val="24"/>
                <w:szCs w:val="24"/>
                <w:highlight w:val="none"/>
              </w:rPr>
              <w:t>由于施工范围小，施工期较短，施工噪声对周围环境的影响较小，</w:t>
            </w:r>
            <w:r>
              <w:rPr>
                <w:rFonts w:hint="default" w:ascii="Times New Roman" w:hAnsi="Times New Roman" w:cs="Times New Roman"/>
                <w:color w:val="auto"/>
                <w:sz w:val="24"/>
                <w:highlight w:val="none"/>
              </w:rPr>
              <w:t>影响将随着施工期结束消除。</w:t>
            </w:r>
          </w:p>
          <w:p w14:paraId="52324C6E">
            <w:pPr>
              <w:spacing w:line="360" w:lineRule="auto"/>
              <w:ind w:left="0" w:leftChars="0" w:firstLine="420" w:firstLineChars="175"/>
              <w:jc w:val="left"/>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lang w:val="en-US" w:eastAsia="zh-CN"/>
              </w:rPr>
              <w:t>③</w:t>
            </w:r>
            <w:r>
              <w:rPr>
                <w:rFonts w:hint="default" w:ascii="Times New Roman" w:hAnsi="Times New Roman" w:cs="Times New Roman"/>
                <w:b/>
                <w:bCs/>
                <w:color w:val="auto"/>
                <w:sz w:val="24"/>
                <w:szCs w:val="24"/>
                <w:highlight w:val="none"/>
              </w:rPr>
              <w:t>废水</w:t>
            </w:r>
          </w:p>
          <w:p w14:paraId="6EAB0428">
            <w:pPr>
              <w:spacing w:line="360" w:lineRule="auto"/>
              <w:ind w:left="0" w:leftChars="0" w:firstLine="420" w:firstLineChars="175"/>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施工期产生的废水主要包括施工废水和施工人员的生活污水，废水经过院区污水处理站处理达标后经污水管网进入</w:t>
            </w:r>
            <w:r>
              <w:rPr>
                <w:rFonts w:hint="default" w:ascii="Times New Roman" w:hAnsi="Times New Roman" w:cs="Times New Roman"/>
                <w:color w:val="auto"/>
                <w:sz w:val="24"/>
                <w:szCs w:val="24"/>
                <w:highlight w:val="none"/>
                <w:lang w:val="en-US" w:eastAsia="zh-CN"/>
              </w:rPr>
              <w:t>平昌第二</w:t>
            </w:r>
            <w:r>
              <w:rPr>
                <w:rFonts w:hint="default" w:ascii="Times New Roman" w:hAnsi="Times New Roman" w:cs="Times New Roman"/>
                <w:color w:val="auto"/>
                <w:sz w:val="24"/>
                <w:szCs w:val="24"/>
                <w:highlight w:val="none"/>
              </w:rPr>
              <w:t>污水处理厂</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最后排入巴河</w:t>
            </w:r>
            <w:r>
              <w:rPr>
                <w:rFonts w:hint="default" w:ascii="Times New Roman" w:hAnsi="Times New Roman" w:cs="Times New Roman"/>
                <w:color w:val="auto"/>
                <w:sz w:val="24"/>
                <w:szCs w:val="24"/>
                <w:highlight w:val="none"/>
              </w:rPr>
              <w:t>。</w:t>
            </w:r>
          </w:p>
          <w:p w14:paraId="31CB5776">
            <w:pPr>
              <w:spacing w:line="360" w:lineRule="auto"/>
              <w:ind w:left="0" w:leftChars="0" w:firstLine="420" w:firstLineChars="175"/>
              <w:jc w:val="left"/>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lang w:val="en-US" w:eastAsia="zh-CN"/>
              </w:rPr>
              <w:t>④</w:t>
            </w:r>
            <w:r>
              <w:rPr>
                <w:rFonts w:hint="default" w:ascii="Times New Roman" w:hAnsi="Times New Roman" w:cs="Times New Roman"/>
                <w:b/>
                <w:bCs/>
                <w:color w:val="auto"/>
                <w:sz w:val="24"/>
                <w:szCs w:val="24"/>
                <w:highlight w:val="none"/>
              </w:rPr>
              <w:t>固体废物</w:t>
            </w:r>
          </w:p>
          <w:p w14:paraId="60E7171E">
            <w:pPr>
              <w:spacing w:line="360" w:lineRule="auto"/>
              <w:ind w:left="0" w:leftChars="0" w:firstLine="420" w:firstLineChars="175"/>
              <w:jc w:val="left"/>
              <w:rPr>
                <w:color w:val="auto"/>
                <w:sz w:val="24"/>
                <w:szCs w:val="24"/>
                <w:highlight w:val="none"/>
              </w:rPr>
            </w:pPr>
            <w:r>
              <w:rPr>
                <w:rFonts w:hint="default" w:ascii="Times New Roman" w:hAnsi="Times New Roman" w:cs="Times New Roman"/>
                <w:color w:val="auto"/>
                <w:sz w:val="24"/>
                <w:szCs w:val="24"/>
                <w:highlight w:val="none"/>
              </w:rPr>
              <w:t>施工中固体废物主要为建筑废料、装修过程中产生的装修垃圾以及施工人员产生的生活垃圾，建筑垃圾运至指定的建筑垃圾处置点堆放，生活垃圾经过袋装收集后，由环卫部门统一运送到垃圾处理场集中处理。</w:t>
            </w:r>
          </w:p>
          <w:p w14:paraId="085D5A3B">
            <w:pPr>
              <w:pStyle w:val="32"/>
              <w:numPr>
                <w:ilvl w:val="0"/>
                <w:numId w:val="19"/>
              </w:numPr>
              <w:rPr>
                <w:rFonts w:hint="default" w:ascii="Times New Roman" w:hAnsi="Times New Roman" w:cs="Times New Roman"/>
                <w:b/>
                <w:bCs/>
                <w:color w:val="auto"/>
                <w:kern w:val="0"/>
                <w:sz w:val="24"/>
                <w:highlight w:val="none"/>
                <w:lang w:val="en-US" w:eastAsia="zh-CN"/>
              </w:rPr>
            </w:pPr>
            <w:r>
              <w:rPr>
                <w:rFonts w:hint="eastAsia" w:ascii="Times New Roman" w:hAnsi="Times New Roman" w:cs="Times New Roman"/>
                <w:b/>
                <w:bCs/>
                <w:color w:val="auto"/>
                <w:kern w:val="0"/>
                <w:sz w:val="24"/>
                <w:highlight w:val="none"/>
                <w:lang w:val="en-US" w:eastAsia="zh-CN"/>
              </w:rPr>
              <w:t>营运期三废治理</w:t>
            </w:r>
          </w:p>
          <w:p w14:paraId="79A9FC9E">
            <w:pPr>
              <w:numPr>
                <w:ilvl w:val="0"/>
                <w:numId w:val="0"/>
              </w:numPr>
              <w:adjustRightInd w:val="0"/>
              <w:snapToGrid w:val="0"/>
              <w:spacing w:line="360" w:lineRule="auto"/>
              <w:rPr>
                <w:rFonts w:hint="default" w:ascii="Times New Roman" w:hAnsi="Times New Roman" w:cs="Times New Roman"/>
                <w:b/>
                <w:bCs/>
                <w:color w:val="auto"/>
                <w:sz w:val="24"/>
                <w:highlight w:val="none"/>
              </w:rPr>
            </w:pPr>
            <w:r>
              <w:rPr>
                <w:rFonts w:hint="eastAsia" w:ascii="Times New Roman" w:hAnsi="Times New Roman" w:cs="Times New Roman"/>
                <w:b/>
                <w:bCs/>
                <w:color w:val="auto"/>
                <w:sz w:val="24"/>
                <w:highlight w:val="none"/>
                <w:lang w:val="en-US" w:eastAsia="zh-CN"/>
              </w:rPr>
              <w:t>①</w:t>
            </w:r>
            <w:r>
              <w:rPr>
                <w:rFonts w:hint="default" w:ascii="Times New Roman" w:hAnsi="Times New Roman" w:cs="Times New Roman"/>
                <w:b/>
                <w:bCs/>
                <w:color w:val="auto"/>
                <w:sz w:val="24"/>
                <w:highlight w:val="none"/>
              </w:rPr>
              <w:t>废气治理措施</w:t>
            </w:r>
          </w:p>
          <w:p w14:paraId="72D37AF8">
            <w:pPr>
              <w:pStyle w:val="19"/>
              <w:keepNext/>
              <w:keepLines/>
              <w:widowControl w:val="0"/>
              <w:shd w:val="clear" w:color="auto" w:fill="FFFFFF"/>
              <w:adjustRightInd w:val="0"/>
              <w:snapToGrid w:val="0"/>
              <w:spacing w:before="0" w:beforeAutospacing="0" w:after="0" w:afterAutospacing="0" w:line="360" w:lineRule="auto"/>
              <w:ind w:firstLine="480" w:firstLineChars="200"/>
              <w:jc w:val="both"/>
              <w:rPr>
                <w:rFonts w:ascii="Times New Roman" w:hAnsi="Times New Roman" w:cs="Times New Roman"/>
                <w:color w:val="auto"/>
                <w:highlight w:val="none"/>
              </w:rPr>
            </w:pPr>
            <w:r>
              <w:rPr>
                <w:rFonts w:hint="eastAsia" w:ascii="Times New Roman" w:hAnsi="Times New Roman" w:cs="Times New Roman"/>
                <w:color w:val="auto"/>
                <w:highlight w:val="none"/>
              </w:rPr>
              <w:t>本项目DSA介入室</w:t>
            </w:r>
            <w:r>
              <w:rPr>
                <w:rFonts w:ascii="Times New Roman" w:hAnsi="Times New Roman" w:cs="Times New Roman"/>
                <w:color w:val="auto"/>
                <w:highlight w:val="none"/>
              </w:rPr>
              <w:t>采用</w:t>
            </w:r>
            <w:r>
              <w:rPr>
                <w:rFonts w:hint="eastAsia" w:ascii="Times New Roman" w:hAnsi="Times New Roman" w:cs="Times New Roman"/>
                <w:color w:val="auto"/>
                <w:highlight w:val="none"/>
              </w:rPr>
              <w:t>净化风机盘管系统+排风+独立新风系统的舒适性空调，拟设计排风风量为</w:t>
            </w:r>
            <w:r>
              <w:rPr>
                <w:rFonts w:hint="eastAsia" w:ascii="Times New Roman" w:hAnsi="Times New Roman" w:cs="Times New Roman"/>
                <w:color w:val="auto"/>
                <w:highlight w:val="none"/>
                <w:lang w:val="en-US" w:eastAsia="zh-CN"/>
              </w:rPr>
              <w:t>150</w:t>
            </w:r>
            <w:r>
              <w:rPr>
                <w:rFonts w:hint="eastAsia" w:ascii="Times New Roman" w:hAnsi="Times New Roman" w:cs="Times New Roman"/>
                <w:color w:val="auto"/>
                <w:highlight w:val="none"/>
              </w:rPr>
              <w:t>0</w:t>
            </w:r>
            <w:r>
              <w:rPr>
                <w:rFonts w:ascii="Times New Roman" w:hAnsi="Times New Roman" w:cs="Times New Roman"/>
                <w:color w:val="auto"/>
                <w:highlight w:val="none"/>
              </w:rPr>
              <w:t>m</w:t>
            </w:r>
            <w:r>
              <w:rPr>
                <w:rFonts w:ascii="Times New Roman" w:hAnsi="Times New Roman" w:cs="Times New Roman"/>
                <w:color w:val="auto"/>
                <w:highlight w:val="none"/>
                <w:vertAlign w:val="superscript"/>
              </w:rPr>
              <w:t>3</w:t>
            </w:r>
            <w:r>
              <w:rPr>
                <w:rFonts w:ascii="Times New Roman" w:hAnsi="Times New Roman" w:cs="Times New Roman"/>
                <w:color w:val="auto"/>
                <w:highlight w:val="none"/>
              </w:rPr>
              <w:t>/h</w:t>
            </w:r>
            <w:r>
              <w:rPr>
                <w:rFonts w:hint="eastAsia" w:ascii="Times New Roman" w:hAnsi="Times New Roman" w:cs="Times New Roman"/>
                <w:color w:val="auto"/>
                <w:highlight w:val="none"/>
              </w:rPr>
              <w:t>。</w:t>
            </w:r>
            <w:r>
              <w:rPr>
                <w:rFonts w:ascii="Times New Roman" w:hAnsi="Times New Roman" w:cs="Times New Roman"/>
                <w:color w:val="auto"/>
                <w:highlight w:val="none"/>
              </w:rPr>
              <w:t>本项目</w:t>
            </w:r>
            <w:r>
              <w:rPr>
                <w:rFonts w:hint="eastAsia" w:ascii="Times New Roman" w:hAnsi="Times New Roman" w:cs="Times New Roman"/>
                <w:color w:val="auto"/>
                <w:highlight w:val="none"/>
              </w:rPr>
              <w:t>DSA介入室</w:t>
            </w:r>
            <w:r>
              <w:rPr>
                <w:rFonts w:ascii="Times New Roman" w:hAnsi="Times New Roman" w:cs="Times New Roman"/>
                <w:color w:val="auto"/>
                <w:highlight w:val="none"/>
              </w:rPr>
              <w:t>体积为</w:t>
            </w:r>
            <w:r>
              <w:rPr>
                <w:rFonts w:hint="eastAsia" w:ascii="Times New Roman" w:hAnsi="Times New Roman" w:cs="Times New Roman"/>
                <w:color w:val="auto"/>
                <w:highlight w:val="none"/>
              </w:rPr>
              <w:t>140.</w:t>
            </w:r>
            <w:r>
              <w:rPr>
                <w:rFonts w:hint="eastAsia" w:ascii="Times New Roman" w:hAnsi="Times New Roman" w:cs="Times New Roman"/>
                <w:color w:val="auto"/>
                <w:highlight w:val="none"/>
                <w:lang w:val="en-US" w:eastAsia="zh-CN"/>
              </w:rPr>
              <w:t>22</w:t>
            </w:r>
            <w:r>
              <w:rPr>
                <w:rFonts w:ascii="Times New Roman" w:hAnsi="Times New Roman" w:cs="Times New Roman"/>
                <w:color w:val="auto"/>
                <w:highlight w:val="none"/>
              </w:rPr>
              <w:t>m</w:t>
            </w:r>
            <w:r>
              <w:rPr>
                <w:rFonts w:hint="eastAsia" w:ascii="Times New Roman" w:hAnsi="Times New Roman" w:cs="Times New Roman"/>
                <w:color w:val="auto"/>
                <w:highlight w:val="none"/>
                <w:vertAlign w:val="superscript"/>
              </w:rPr>
              <w:t>3</w:t>
            </w:r>
            <w:r>
              <w:rPr>
                <w:rFonts w:ascii="Times New Roman" w:hAnsi="Times New Roman" w:cs="Times New Roman"/>
                <w:color w:val="auto"/>
                <w:highlight w:val="none"/>
              </w:rPr>
              <w:t>，</w:t>
            </w:r>
            <w:r>
              <w:rPr>
                <w:rFonts w:hint="eastAsia" w:ascii="Times New Roman" w:hAnsi="Times New Roman" w:cs="Times New Roman"/>
                <w:color w:val="auto"/>
                <w:highlight w:val="none"/>
              </w:rPr>
              <w:t>DSA介入室</w:t>
            </w:r>
            <w:r>
              <w:rPr>
                <w:rFonts w:ascii="Times New Roman" w:hAnsi="Times New Roman" w:cs="Times New Roman"/>
                <w:color w:val="auto"/>
                <w:highlight w:val="none"/>
              </w:rPr>
              <w:t>排风量达到</w:t>
            </w:r>
            <w:r>
              <w:rPr>
                <w:rFonts w:hint="eastAsia" w:ascii="Times New Roman" w:hAnsi="Times New Roman" w:cs="Times New Roman"/>
                <w:color w:val="auto"/>
                <w:highlight w:val="none"/>
                <w:lang w:val="en-US" w:eastAsia="zh-CN"/>
              </w:rPr>
              <w:t>10</w:t>
            </w:r>
            <w:r>
              <w:rPr>
                <w:rFonts w:ascii="Times New Roman" w:hAnsi="Times New Roman" w:cs="Times New Roman"/>
                <w:color w:val="auto"/>
                <w:highlight w:val="none"/>
              </w:rPr>
              <w:t>次/h，因此</w:t>
            </w:r>
            <w:r>
              <w:rPr>
                <w:rFonts w:hint="eastAsia" w:ascii="Times New Roman" w:hAnsi="Times New Roman" w:cs="Times New Roman"/>
                <w:color w:val="auto"/>
                <w:highlight w:val="none"/>
              </w:rPr>
              <w:t>DSA介入室</w:t>
            </w:r>
            <w:r>
              <w:rPr>
                <w:rFonts w:ascii="Times New Roman" w:hAnsi="Times New Roman" w:cs="Times New Roman"/>
                <w:color w:val="auto"/>
                <w:highlight w:val="none"/>
              </w:rPr>
              <w:t>所采用的通排风措施符合《放射诊断放射防护要求》（GBZ130-2020）中</w:t>
            </w:r>
            <w:r>
              <w:rPr>
                <w:rFonts w:hint="eastAsia" w:ascii="Times New Roman" w:hAnsi="Times New Roman" w:cs="Times New Roman"/>
                <w:color w:val="auto"/>
                <w:highlight w:val="none"/>
              </w:rPr>
              <w:t>“</w:t>
            </w:r>
            <w:r>
              <w:rPr>
                <w:rFonts w:ascii="Times New Roman" w:hAnsi="Times New Roman" w:cs="Times New Roman"/>
                <w:color w:val="auto"/>
                <w:highlight w:val="none"/>
              </w:rPr>
              <w:t>机房应设置动力排风装置，并保持良好的通风</w:t>
            </w:r>
            <w:r>
              <w:rPr>
                <w:rFonts w:hint="eastAsia" w:ascii="Times New Roman" w:hAnsi="Times New Roman" w:cs="Times New Roman"/>
                <w:color w:val="auto"/>
                <w:highlight w:val="none"/>
              </w:rPr>
              <w:t>”</w:t>
            </w:r>
            <w:r>
              <w:rPr>
                <w:rFonts w:ascii="Times New Roman" w:hAnsi="Times New Roman" w:cs="Times New Roman"/>
                <w:color w:val="auto"/>
                <w:highlight w:val="none"/>
              </w:rPr>
              <w:t>的要求。</w:t>
            </w:r>
          </w:p>
          <w:p w14:paraId="6D3131CC">
            <w:pPr>
              <w:pStyle w:val="19"/>
              <w:keepNext/>
              <w:keepLines/>
              <w:widowControl w:val="0"/>
              <w:shd w:val="clear" w:color="auto" w:fill="FFFFFF"/>
              <w:adjustRightInd w:val="0"/>
              <w:snapToGrid w:val="0"/>
              <w:spacing w:before="0" w:beforeAutospacing="0" w:after="0" w:afterAutospacing="0" w:line="360" w:lineRule="auto"/>
              <w:ind w:firstLine="480" w:firstLineChars="200"/>
              <w:jc w:val="both"/>
              <w:rPr>
                <w:rFonts w:hint="default"/>
                <w:color w:val="auto"/>
                <w:highlight w:val="none"/>
              </w:rPr>
            </w:pPr>
            <w:r>
              <w:rPr>
                <w:rFonts w:hint="eastAsia" w:ascii="Times New Roman" w:hAnsi="Times New Roman" w:cs="Times New Roman"/>
                <w:color w:val="auto"/>
                <w:highlight w:val="none"/>
              </w:rPr>
              <w:t>为防止射线泄漏，排风管穿孔位置四周使用3mm铅板进行包裹。DSA介入室</w:t>
            </w:r>
            <w:r>
              <w:rPr>
                <w:rFonts w:ascii="Times New Roman" w:hAnsi="Times New Roman" w:cs="Times New Roman"/>
                <w:color w:val="auto"/>
                <w:highlight w:val="none"/>
              </w:rPr>
              <w:t>的废气经排风</w:t>
            </w:r>
            <w:r>
              <w:rPr>
                <w:rFonts w:hint="eastAsia" w:ascii="Times New Roman" w:hAnsi="Times New Roman" w:cs="Times New Roman"/>
                <w:color w:val="auto"/>
                <w:highlight w:val="none"/>
              </w:rPr>
              <w:t>管道</w:t>
            </w:r>
            <w:r>
              <w:rPr>
                <w:rFonts w:ascii="Times New Roman" w:hAnsi="Times New Roman" w:cs="Times New Roman"/>
                <w:color w:val="auto"/>
                <w:highlight w:val="none"/>
              </w:rPr>
              <w:t>引至</w:t>
            </w:r>
            <w:r>
              <w:rPr>
                <w:rFonts w:hint="eastAsia" w:ascii="Times New Roman" w:hAnsi="Times New Roman" w:cs="Times New Roman"/>
                <w:color w:val="auto"/>
                <w:highlight w:val="none"/>
                <w:lang w:val="en-US" w:eastAsia="zh-CN"/>
              </w:rPr>
              <w:t>5楼的室外裙房屋面排放</w:t>
            </w:r>
            <w:r>
              <w:rPr>
                <w:rFonts w:hint="eastAsia" w:ascii="Times New Roman" w:hAnsi="Times New Roman" w:cs="Times New Roman"/>
                <w:color w:val="auto"/>
                <w:highlight w:val="none"/>
              </w:rPr>
              <w:t>，排口高度距地</w:t>
            </w:r>
            <w:r>
              <w:rPr>
                <w:rFonts w:hint="eastAsia" w:ascii="Times New Roman" w:hAnsi="Times New Roman" w:cs="Times New Roman"/>
                <w:color w:val="auto"/>
                <w:highlight w:val="none"/>
                <w:lang w:val="en-US" w:eastAsia="zh-CN"/>
              </w:rPr>
              <w:t>17.8</w:t>
            </w:r>
            <w:r>
              <w:rPr>
                <w:rFonts w:hint="eastAsia" w:ascii="Times New Roman" w:hAnsi="Times New Roman" w:cs="Times New Roman"/>
                <w:color w:val="auto"/>
                <w:highlight w:val="none"/>
              </w:rPr>
              <w:t>m</w:t>
            </w:r>
            <w:r>
              <w:rPr>
                <w:rFonts w:ascii="Times New Roman" w:hAnsi="Times New Roman" w:cs="Times New Roman"/>
                <w:color w:val="auto"/>
                <w:highlight w:val="none"/>
              </w:rPr>
              <w:t>。本项目</w:t>
            </w:r>
            <w:r>
              <w:rPr>
                <w:rFonts w:hint="eastAsia" w:ascii="Times New Roman" w:hAnsi="Times New Roman" w:cs="Times New Roman"/>
                <w:color w:val="auto"/>
                <w:highlight w:val="none"/>
              </w:rPr>
              <w:t>数字减影血管造影机（DSA）</w:t>
            </w:r>
            <w:r>
              <w:rPr>
                <w:rFonts w:ascii="Times New Roman" w:hAnsi="Times New Roman" w:cs="Times New Roman"/>
                <w:color w:val="auto"/>
                <w:highlight w:val="none"/>
              </w:rPr>
              <w:t>工作时会使周围空气电离产生极少量臭氧和氮氧化物，臭氧在常温常压下稳定性较差，可自行分解为氧气，</w:t>
            </w:r>
            <w:r>
              <w:rPr>
                <w:rFonts w:hint="eastAsia" w:ascii="Times New Roman" w:hAnsi="Times New Roman" w:cs="Times New Roman"/>
                <w:color w:val="auto"/>
                <w:highlight w:val="none"/>
              </w:rPr>
              <w:t>因此数字减影血管造影机（DSA）</w:t>
            </w:r>
            <w:r>
              <w:rPr>
                <w:rFonts w:ascii="Times New Roman" w:hAnsi="Times New Roman" w:cs="Times New Roman"/>
                <w:color w:val="auto"/>
                <w:highlight w:val="none"/>
              </w:rPr>
              <w:t>运行过程中产生的少量臭氧和氮氧化物</w:t>
            </w:r>
            <w:r>
              <w:rPr>
                <w:rFonts w:hint="eastAsia" w:ascii="Times New Roman" w:hAnsi="Times New Roman" w:cs="Times New Roman"/>
                <w:color w:val="auto"/>
                <w:highlight w:val="none"/>
              </w:rPr>
              <w:t>经排风系统引至</w:t>
            </w:r>
            <w:r>
              <w:rPr>
                <w:rFonts w:hint="eastAsia" w:ascii="Times New Roman" w:hAnsi="Times New Roman" w:cs="Times New Roman"/>
                <w:color w:val="auto"/>
                <w:highlight w:val="none"/>
                <w:lang w:val="en-US" w:eastAsia="zh-CN"/>
              </w:rPr>
              <w:t>5</w:t>
            </w:r>
            <w:r>
              <w:rPr>
                <w:rFonts w:hint="eastAsia" w:ascii="Times New Roman" w:hAnsi="Times New Roman" w:cs="Times New Roman"/>
                <w:color w:val="auto"/>
                <w:highlight w:val="none"/>
              </w:rPr>
              <w:t>楼的室外</w:t>
            </w:r>
            <w:r>
              <w:rPr>
                <w:rFonts w:hint="eastAsia" w:ascii="Times New Roman" w:hAnsi="Times New Roman" w:cs="Times New Roman"/>
                <w:color w:val="auto"/>
                <w:highlight w:val="none"/>
                <w:lang w:val="en-US" w:eastAsia="zh-CN"/>
              </w:rPr>
              <w:t>裙房屋面</w:t>
            </w:r>
            <w:r>
              <w:rPr>
                <w:rFonts w:hint="eastAsia" w:ascii="Times New Roman" w:hAnsi="Times New Roman" w:cs="Times New Roman"/>
                <w:color w:val="auto"/>
                <w:highlight w:val="none"/>
              </w:rPr>
              <w:t>处排放</w:t>
            </w:r>
            <w:r>
              <w:rPr>
                <w:rFonts w:ascii="Times New Roman" w:hAnsi="Times New Roman" w:cs="Times New Roman"/>
                <w:color w:val="auto"/>
                <w:highlight w:val="none"/>
              </w:rPr>
              <w:t>对周围环境空气影响较小。</w:t>
            </w:r>
          </w:p>
          <w:p w14:paraId="4D73F2D0">
            <w:pPr>
              <w:adjustRightInd w:val="0"/>
              <w:snapToGrid w:val="0"/>
              <w:spacing w:line="360" w:lineRule="auto"/>
              <w:rPr>
                <w:rFonts w:hint="default" w:ascii="Times New Roman" w:hAnsi="Times New Roman" w:cs="Times New Roman"/>
                <w:color w:val="auto"/>
                <w:sz w:val="24"/>
                <w:highlight w:val="none"/>
              </w:rPr>
            </w:pPr>
            <w:r>
              <w:rPr>
                <w:rFonts w:hint="eastAsia" w:ascii="Times New Roman" w:hAnsi="Times New Roman" w:cs="Times New Roman"/>
                <w:b/>
                <w:color w:val="auto"/>
                <w:sz w:val="24"/>
                <w:highlight w:val="none"/>
                <w:lang w:val="en-US" w:eastAsia="zh-CN"/>
              </w:rPr>
              <w:t>②</w:t>
            </w:r>
            <w:r>
              <w:rPr>
                <w:rFonts w:hint="default" w:ascii="Times New Roman" w:hAnsi="Times New Roman" w:cs="Times New Roman"/>
                <w:b/>
                <w:color w:val="auto"/>
                <w:sz w:val="24"/>
                <w:highlight w:val="none"/>
              </w:rPr>
              <w:t>废水治理措施</w:t>
            </w:r>
          </w:p>
          <w:p w14:paraId="322D00BE">
            <w:pPr>
              <w:adjustRightInd w:val="0"/>
              <w:snapToGrid w:val="0"/>
              <w:spacing w:line="360" w:lineRule="auto"/>
              <w:ind w:firstLine="480" w:firstLineChars="200"/>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rPr>
              <w:t>生活污水及医疗废水依托医院设施处理，达标后排入市政污水管网</w:t>
            </w:r>
            <w:r>
              <w:rPr>
                <w:rFonts w:hint="default" w:ascii="Times New Roman" w:hAnsi="Times New Roman" w:cs="Times New Roman"/>
                <w:color w:val="auto"/>
                <w:sz w:val="24"/>
                <w:highlight w:val="none"/>
                <w:lang w:eastAsia="zh-CN"/>
              </w:rPr>
              <w:t>。</w:t>
            </w:r>
          </w:p>
          <w:p w14:paraId="0D183655">
            <w:pPr>
              <w:adjustRightInd w:val="0"/>
              <w:snapToGrid w:val="0"/>
              <w:spacing w:line="360" w:lineRule="auto"/>
              <w:rPr>
                <w:rFonts w:hint="default" w:ascii="Times New Roman" w:hAnsi="Times New Roman" w:cs="Times New Roman"/>
                <w:b/>
                <w:color w:val="auto"/>
                <w:sz w:val="24"/>
                <w:highlight w:val="none"/>
              </w:rPr>
            </w:pPr>
            <w:r>
              <w:rPr>
                <w:rFonts w:hint="eastAsia" w:ascii="Times New Roman" w:hAnsi="Times New Roman" w:cs="Times New Roman"/>
                <w:b/>
                <w:color w:val="auto"/>
                <w:sz w:val="24"/>
                <w:highlight w:val="none"/>
                <w:lang w:val="en-US" w:eastAsia="zh-CN"/>
              </w:rPr>
              <w:t>③</w:t>
            </w:r>
            <w:r>
              <w:rPr>
                <w:rFonts w:hint="default" w:ascii="Times New Roman" w:hAnsi="Times New Roman" w:cs="Times New Roman"/>
                <w:b/>
                <w:color w:val="auto"/>
                <w:sz w:val="24"/>
                <w:highlight w:val="none"/>
              </w:rPr>
              <w:t>固体废弃物治理措施</w:t>
            </w:r>
          </w:p>
          <w:p w14:paraId="3A8AE05D">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本项目DSA不产生放射性固废，DSA采用数字成像，不打印胶片，因此不会有废胶片产生。但手术过程中将产生一定量的医疗废物，工作人员办公过程中将产生一定量的生活垃圾和办公垃圾。</w:t>
            </w:r>
          </w:p>
          <w:p w14:paraId="70ACDE9A">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医疗废物：</w:t>
            </w:r>
            <w:r>
              <w:rPr>
                <w:rFonts w:hint="default" w:ascii="Times New Roman" w:hAnsi="Times New Roman" w:cs="Times New Roman"/>
                <w:color w:val="auto"/>
                <w:sz w:val="24"/>
                <w:highlight w:val="none"/>
              </w:rPr>
              <w:t>手术时产生一定量的医用器具和药棉、纱布、手套、废造影剂、废造影剂瓶等医用辅料及手术垃圾，按每台手术产生约2kg的医疗废物，每年固体废物产生量约为</w:t>
            </w:r>
            <w:r>
              <w:rPr>
                <w:rFonts w:hint="default" w:ascii="Times New Roman" w:hAnsi="Times New Roman" w:cs="Times New Roman"/>
                <w:color w:val="auto"/>
                <w:sz w:val="24"/>
                <w:highlight w:val="none"/>
                <w:lang w:val="en-US" w:eastAsia="zh-CN"/>
              </w:rPr>
              <w:t>0.</w:t>
            </w:r>
            <w:r>
              <w:rPr>
                <w:rFonts w:hint="eastAsia"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lang w:val="en-US" w:eastAsia="zh-CN"/>
              </w:rPr>
              <w:t>t</w:t>
            </w:r>
            <w:r>
              <w:rPr>
                <w:rFonts w:hint="default" w:ascii="Times New Roman" w:hAnsi="Times New Roman" w:cs="Times New Roman"/>
                <w:color w:val="auto"/>
                <w:sz w:val="24"/>
                <w:highlight w:val="none"/>
              </w:rPr>
              <w:t>/a（约</w:t>
            </w:r>
            <w:r>
              <w:rPr>
                <w:rFonts w:hint="eastAsia" w:ascii="Times New Roman" w:hAnsi="Times New Roman" w:cs="Times New Roman"/>
                <w:color w:val="auto"/>
                <w:sz w:val="24"/>
                <w:highlight w:val="none"/>
                <w:lang w:val="en-US" w:eastAsia="zh-CN"/>
              </w:rPr>
              <w:t>1.6</w:t>
            </w:r>
            <w:r>
              <w:rPr>
                <w:rFonts w:hint="default" w:ascii="Times New Roman" w:hAnsi="Times New Roman" w:cs="Times New Roman"/>
                <w:color w:val="auto"/>
                <w:sz w:val="24"/>
                <w:highlight w:val="none"/>
              </w:rPr>
              <w:t>kg/d）。这些医疗废物经分类收集打包好后转运至DSA机房污物</w:t>
            </w:r>
            <w:r>
              <w:rPr>
                <w:rFonts w:hint="default" w:ascii="Times New Roman" w:hAnsi="Times New Roman" w:cs="Times New Roman"/>
                <w:color w:val="auto"/>
                <w:sz w:val="24"/>
                <w:highlight w:val="none"/>
                <w:lang w:val="en-US" w:eastAsia="zh-CN"/>
              </w:rPr>
              <w:t>暂存间</w:t>
            </w:r>
            <w:r>
              <w:rPr>
                <w:rFonts w:hint="default" w:ascii="Times New Roman" w:hAnsi="Times New Roman" w:cs="Times New Roman"/>
                <w:color w:val="auto"/>
                <w:sz w:val="24"/>
                <w:highlight w:val="none"/>
              </w:rPr>
              <w:t>内，待一天手术结束后，统一由专门的清洁人员清运至医院的医院医疗废物暂存间，为减少恶臭气体及病原体的产生，要求医疗废物日产日清，医院委托</w:t>
            </w:r>
            <w:r>
              <w:rPr>
                <w:rFonts w:hint="eastAsia" w:ascii="Times New Roman" w:hAnsi="Times New Roman" w:cs="Times New Roman"/>
                <w:color w:val="auto"/>
                <w:sz w:val="24"/>
                <w:highlight w:val="none"/>
                <w:lang w:val="en-US" w:eastAsia="zh-CN"/>
              </w:rPr>
              <w:t>巴中市城投医疗废物处置有限公司</w:t>
            </w:r>
            <w:r>
              <w:rPr>
                <w:rFonts w:hint="default" w:ascii="Times New Roman" w:hAnsi="Times New Roman" w:cs="Times New Roman"/>
                <w:color w:val="auto"/>
                <w:sz w:val="24"/>
                <w:highlight w:val="none"/>
              </w:rPr>
              <w:t>进行处理。</w:t>
            </w:r>
          </w:p>
          <w:p w14:paraId="1F8755F1">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生活垃圾：</w:t>
            </w:r>
            <w:r>
              <w:rPr>
                <w:rFonts w:hint="default" w:ascii="Times New Roman" w:hAnsi="Times New Roman" w:cs="Times New Roman"/>
                <w:color w:val="auto"/>
                <w:sz w:val="24"/>
                <w:highlight w:val="none"/>
              </w:rPr>
              <w:t>工作人员产生的生活垃圾和办公垃圾不属于医疗废物，按每名工作人员每天产生0.42kg计，年产量约为</w:t>
            </w:r>
            <w:r>
              <w:rPr>
                <w:rFonts w:hint="eastAsia" w:ascii="Times New Roman" w:hAnsi="Times New Roman" w:cs="Times New Roman"/>
                <w:color w:val="auto"/>
                <w:sz w:val="24"/>
                <w:highlight w:val="none"/>
                <w:lang w:val="en-US" w:eastAsia="zh-CN"/>
              </w:rPr>
              <w:t>0.63</w:t>
            </w:r>
            <w:r>
              <w:rPr>
                <w:rFonts w:hint="default" w:ascii="Times New Roman" w:hAnsi="Times New Roman" w:cs="Times New Roman"/>
                <w:color w:val="auto"/>
                <w:sz w:val="24"/>
                <w:highlight w:val="none"/>
              </w:rPr>
              <w:t>t/a（约</w:t>
            </w:r>
            <w:r>
              <w:rPr>
                <w:rFonts w:hint="default" w:ascii="Times New Roman" w:hAnsi="Times New Roman" w:cs="Times New Roman"/>
                <w:color w:val="auto"/>
                <w:sz w:val="24"/>
                <w:highlight w:val="none"/>
                <w:lang w:val="en-US" w:eastAsia="zh-CN"/>
              </w:rPr>
              <w:t>2.</w:t>
            </w:r>
            <w:r>
              <w:rPr>
                <w:rFonts w:hint="eastAsia" w:ascii="Times New Roman" w:hAnsi="Times New Roman" w:cs="Times New Roman"/>
                <w:color w:val="auto"/>
                <w:sz w:val="24"/>
                <w:highlight w:val="none"/>
                <w:lang w:val="en-US" w:eastAsia="zh-CN"/>
              </w:rPr>
              <w:t>52</w:t>
            </w:r>
            <w:r>
              <w:rPr>
                <w:rFonts w:hint="default" w:ascii="Times New Roman" w:hAnsi="Times New Roman" w:cs="Times New Roman"/>
                <w:color w:val="auto"/>
                <w:sz w:val="24"/>
                <w:highlight w:val="none"/>
              </w:rPr>
              <w:t>kg/d）。医院按照当地管理部门要求，办公、生活垃圾依托原有垃圾收集系统，由环卫部门统一清运处理，为防止蚊蝇滋生，要求生活垃圾日产日清。</w:t>
            </w:r>
          </w:p>
          <w:p w14:paraId="5DC9D634">
            <w:pPr>
              <w:adjustRightInd w:val="0"/>
              <w:snapToGrid w:val="0"/>
              <w:spacing w:line="360" w:lineRule="auto"/>
              <w:ind w:firstLine="480" w:firstLineChars="200"/>
              <w:rPr>
                <w:rFonts w:hint="default" w:ascii="Times New Roman" w:hAnsi="Times New Roman" w:cs="Times New Roman"/>
                <w:b/>
                <w:color w:val="auto"/>
                <w:sz w:val="24"/>
                <w:highlight w:val="none"/>
              </w:rPr>
            </w:pPr>
            <w:r>
              <w:rPr>
                <w:rFonts w:hint="default" w:ascii="Times New Roman" w:hAnsi="Times New Roman" w:cs="Times New Roman"/>
                <w:color w:val="auto"/>
                <w:sz w:val="24"/>
                <w:highlight w:val="none"/>
              </w:rPr>
              <w:t>本项目产生的固体废物经妥善处理后对周围环境影响较小。</w:t>
            </w:r>
          </w:p>
          <w:p w14:paraId="37328067">
            <w:pPr>
              <w:adjustRightInd w:val="0"/>
              <w:snapToGrid w:val="0"/>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四、噪声</w:t>
            </w:r>
          </w:p>
          <w:p w14:paraId="07ED9A25">
            <w:pPr>
              <w:adjustRightInd w:val="0"/>
              <w:snapToGrid w:val="0"/>
              <w:spacing w:line="360" w:lineRule="auto"/>
              <w:ind w:firstLine="480" w:firstLineChars="200"/>
              <w:rPr>
                <w:rFonts w:hint="default" w:ascii="Times New Roman" w:hAnsi="Times New Roman" w:cs="Times New Roman"/>
                <w:b/>
                <w:color w:val="auto"/>
                <w:sz w:val="24"/>
                <w:highlight w:val="none"/>
              </w:rPr>
            </w:pPr>
            <w:r>
              <w:rPr>
                <w:rFonts w:hint="default" w:ascii="Times New Roman" w:hAnsi="Times New Roman" w:cs="Times New Roman"/>
                <w:color w:val="auto"/>
                <w:sz w:val="24"/>
                <w:highlight w:val="none"/>
              </w:rPr>
              <w:t>本项目产噪设备主要为通排风系统、空调系统，建设单位拟采用低噪音风机，噪声源强不大于65dB（A）且均处于室内，通过建筑墙体隔声及距离衰减后，对周围环境噪声的贡献很小，对项目所在区域声环境影响很小。</w:t>
            </w:r>
          </w:p>
          <w:p w14:paraId="559FC2D3">
            <w:pPr>
              <w:adjustRightInd w:val="0"/>
              <w:snapToGrid w:val="0"/>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五、射线装置报废处理</w:t>
            </w:r>
          </w:p>
          <w:p w14:paraId="175AA95A">
            <w:pPr>
              <w:pStyle w:val="75"/>
              <w:adjustRightInd w:val="0"/>
              <w:snapToGrid w:val="0"/>
              <w:spacing w:line="360" w:lineRule="auto"/>
              <w:ind w:right="57" w:firstLine="480"/>
              <w:rPr>
                <w:color w:val="auto"/>
                <w:sz w:val="24"/>
                <w:szCs w:val="24"/>
                <w:highlight w:val="none"/>
              </w:rPr>
            </w:pPr>
            <w:r>
              <w:rPr>
                <w:color w:val="auto"/>
                <w:sz w:val="24"/>
                <w:szCs w:val="24"/>
                <w:highlight w:val="none"/>
              </w:rPr>
              <w:t>根据《四川省辐射污染防治条例》：射线装置在报废处置时，使用单位应当对射线装置内的高压射线管进行拆解和去功能化。</w:t>
            </w:r>
          </w:p>
          <w:p w14:paraId="358BC5C2">
            <w:pPr>
              <w:adjustRightInd w:val="0"/>
              <w:snapToGrid w:val="0"/>
              <w:spacing w:line="360" w:lineRule="auto"/>
              <w:ind w:firstLine="480" w:firstLineChars="200"/>
              <w:rPr>
                <w:rFonts w:hint="default" w:ascii="Times New Roman" w:hAnsi="Times New Roman" w:cs="Times New Roman"/>
                <w:bCs/>
                <w:color w:val="auto"/>
                <w:sz w:val="24"/>
                <w:highlight w:val="none"/>
              </w:rPr>
            </w:pPr>
            <w:r>
              <w:rPr>
                <w:color w:val="auto"/>
                <w:sz w:val="24"/>
                <w:szCs w:val="24"/>
                <w:highlight w:val="none"/>
              </w:rPr>
              <w:t>本项目使用的</w:t>
            </w:r>
            <w:r>
              <w:rPr>
                <w:rFonts w:hint="eastAsia"/>
                <w:color w:val="auto"/>
                <w:sz w:val="24"/>
                <w:szCs w:val="24"/>
                <w:highlight w:val="none"/>
              </w:rPr>
              <w:t>数字减影血管造影机（DSA）</w:t>
            </w:r>
            <w:r>
              <w:rPr>
                <w:color w:val="auto"/>
                <w:sz w:val="24"/>
                <w:szCs w:val="24"/>
                <w:highlight w:val="none"/>
              </w:rPr>
              <w:t>在进行报废处理时，将该射线装置的高压射线管进行拆解和去功能化，同时将射线装置的主机电源线绞断，使射线装置不能正常通电，防止二次通电使用，造成误照射。</w:t>
            </w:r>
          </w:p>
          <w:p w14:paraId="133D29E9">
            <w:pPr>
              <w:adjustRightInd w:val="0"/>
              <w:snapToGrid w:val="0"/>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六、环保措施及其投资估算</w:t>
            </w:r>
          </w:p>
          <w:p w14:paraId="4EF7C5C1">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本项目总投资</w:t>
            </w:r>
            <w:r>
              <w:rPr>
                <w:rFonts w:hint="eastAsia" w:ascii="Times New Roman" w:hAnsi="Times New Roman" w:cs="Times New Roman"/>
                <w:color w:val="auto"/>
                <w:sz w:val="24"/>
                <w:highlight w:val="none"/>
                <w:lang w:val="en-US" w:eastAsia="zh-CN"/>
              </w:rPr>
              <w:t>600</w:t>
            </w:r>
            <w:r>
              <w:rPr>
                <w:rFonts w:hint="default" w:ascii="Times New Roman" w:hAnsi="Times New Roman" w:cs="Times New Roman"/>
                <w:color w:val="auto"/>
                <w:sz w:val="24"/>
                <w:highlight w:val="none"/>
              </w:rPr>
              <w:t>万元，环保投资</w:t>
            </w:r>
            <w:r>
              <w:rPr>
                <w:rFonts w:hint="eastAsia" w:ascii="Times New Roman" w:hAnsi="Times New Roman" w:cs="Times New Roman"/>
                <w:color w:val="auto"/>
                <w:sz w:val="24"/>
                <w:highlight w:val="none"/>
                <w:lang w:val="en-US" w:eastAsia="zh-CN"/>
              </w:rPr>
              <w:t>50</w:t>
            </w:r>
            <w:r>
              <w:rPr>
                <w:rFonts w:hint="default" w:ascii="Times New Roman" w:hAnsi="Times New Roman" w:cs="Times New Roman"/>
                <w:color w:val="auto"/>
                <w:sz w:val="24"/>
                <w:highlight w:val="none"/>
              </w:rPr>
              <w:t>万元，占总投资的</w:t>
            </w:r>
            <w:r>
              <w:rPr>
                <w:rFonts w:hint="eastAsia" w:ascii="Times New Roman" w:hAnsi="Times New Roman" w:cs="Times New Roman"/>
                <w:color w:val="auto"/>
                <w:sz w:val="24"/>
                <w:highlight w:val="none"/>
                <w:lang w:val="en-US" w:eastAsia="zh-CN"/>
              </w:rPr>
              <w:t>8.3</w:t>
            </w:r>
            <w:r>
              <w:rPr>
                <w:rFonts w:hint="default" w:ascii="Times New Roman" w:hAnsi="Times New Roman" w:cs="Times New Roman"/>
                <w:color w:val="auto"/>
                <w:sz w:val="24"/>
                <w:highlight w:val="none"/>
              </w:rPr>
              <w:t>%。项目环保投资估算见表10-5。</w:t>
            </w:r>
          </w:p>
          <w:p w14:paraId="21E224DD">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表10-5 辐射防护设施（措施）及投资估算一览表</w:t>
            </w:r>
          </w:p>
          <w:tbl>
            <w:tblPr>
              <w:tblStyle w:val="22"/>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4"/>
              <w:gridCol w:w="4745"/>
              <w:gridCol w:w="1082"/>
              <w:gridCol w:w="1443"/>
            </w:tblGrid>
            <w:tr w14:paraId="3D3F27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06" w:type="pct"/>
                  <w:vAlign w:val="center"/>
                </w:tcPr>
                <w:p w14:paraId="176E0CB1">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项目</w:t>
                  </w:r>
                </w:p>
              </w:tc>
              <w:tc>
                <w:tcPr>
                  <w:tcW w:w="2867" w:type="pct"/>
                  <w:vAlign w:val="center"/>
                </w:tcPr>
                <w:p w14:paraId="66E84348">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设施（措施）</w:t>
                  </w:r>
                </w:p>
              </w:tc>
              <w:tc>
                <w:tcPr>
                  <w:tcW w:w="653" w:type="pct"/>
                  <w:vAlign w:val="center"/>
                </w:tcPr>
                <w:p w14:paraId="49253854">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金额</w:t>
                  </w:r>
                </w:p>
                <w:p w14:paraId="0F458D68">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（万元）</w:t>
                  </w:r>
                </w:p>
              </w:tc>
              <w:tc>
                <w:tcPr>
                  <w:tcW w:w="872" w:type="pct"/>
                  <w:vAlign w:val="center"/>
                </w:tcPr>
                <w:p w14:paraId="4151C0D5">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备注</w:t>
                  </w:r>
                </w:p>
              </w:tc>
            </w:tr>
            <w:tr w14:paraId="3C4D3D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606" w:type="pct"/>
                  <w:vMerge w:val="restart"/>
                  <w:vAlign w:val="center"/>
                </w:tcPr>
                <w:p w14:paraId="7DC3C76C">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pacing w:val="-11"/>
                      <w:sz w:val="21"/>
                      <w:szCs w:val="21"/>
                      <w:highlight w:val="none"/>
                    </w:rPr>
                    <w:t>辐射屏蔽措施</w:t>
                  </w:r>
                </w:p>
              </w:tc>
              <w:tc>
                <w:tcPr>
                  <w:tcW w:w="2867" w:type="pct"/>
                  <w:vAlign w:val="center"/>
                </w:tcPr>
                <w:p w14:paraId="00315B06">
                  <w:pPr>
                    <w:pStyle w:val="51"/>
                    <w:adjustRightInd w:val="0"/>
                    <w:snapToGrid w:val="0"/>
                    <w:jc w:val="left"/>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顶部、地面、四周防护工程建设；表面装修</w:t>
                  </w:r>
                </w:p>
              </w:tc>
              <w:tc>
                <w:tcPr>
                  <w:tcW w:w="653" w:type="pct"/>
                  <w:vAlign w:val="center"/>
                </w:tcPr>
                <w:p w14:paraId="14A417DE">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35</w:t>
                  </w:r>
                </w:p>
              </w:tc>
              <w:tc>
                <w:tcPr>
                  <w:tcW w:w="872" w:type="pct"/>
                  <w:vAlign w:val="center"/>
                </w:tcPr>
                <w:p w14:paraId="38E54D13">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基础工程已有</w:t>
                  </w:r>
                </w:p>
              </w:tc>
            </w:tr>
            <w:tr w14:paraId="5506C84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606" w:type="pct"/>
                  <w:vMerge w:val="continue"/>
                  <w:vAlign w:val="center"/>
                </w:tcPr>
                <w:p w14:paraId="0C535646">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pacing w:val="-11"/>
                      <w:sz w:val="21"/>
                      <w:szCs w:val="21"/>
                      <w:highlight w:val="none"/>
                    </w:rPr>
                  </w:pPr>
                </w:p>
              </w:tc>
              <w:tc>
                <w:tcPr>
                  <w:tcW w:w="2867" w:type="pct"/>
                  <w:vAlign w:val="center"/>
                </w:tcPr>
                <w:p w14:paraId="47B6673D">
                  <w:pPr>
                    <w:pStyle w:val="51"/>
                    <w:adjustRightInd w:val="0"/>
                    <w:snapToGrid w:val="0"/>
                    <w:jc w:val="left"/>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1扇设备间门、1扇污物间门、1扇控制室门、1扇高值耗材存放处门、1扇患者缓冲区门</w:t>
                  </w:r>
                </w:p>
              </w:tc>
              <w:tc>
                <w:tcPr>
                  <w:tcW w:w="653" w:type="pct"/>
                  <w:vAlign w:val="center"/>
                </w:tcPr>
                <w:p w14:paraId="60CC4403">
                  <w:pPr>
                    <w:keepNext w:val="0"/>
                    <w:keepLines w:val="0"/>
                    <w:pageBreakBefore w:val="0"/>
                    <w:widowControl w:val="0"/>
                    <w:kinsoku/>
                    <w:wordWrap/>
                    <w:overflowPunct/>
                    <w:topLinePunct w:val="0"/>
                    <w:bidi w:val="0"/>
                    <w:adjustRightInd w:val="0"/>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5</w:t>
                  </w:r>
                </w:p>
              </w:tc>
              <w:tc>
                <w:tcPr>
                  <w:tcW w:w="872" w:type="pct"/>
                  <w:vAlign w:val="center"/>
                </w:tcPr>
                <w:p w14:paraId="26413EF4">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拟建</w:t>
                  </w:r>
                </w:p>
              </w:tc>
            </w:tr>
            <w:tr w14:paraId="39437CC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606" w:type="pct"/>
                  <w:vMerge w:val="continue"/>
                  <w:vAlign w:val="center"/>
                </w:tcPr>
                <w:p w14:paraId="44097579">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pacing w:val="-11"/>
                      <w:sz w:val="21"/>
                      <w:szCs w:val="21"/>
                      <w:highlight w:val="none"/>
                    </w:rPr>
                  </w:pPr>
                </w:p>
              </w:tc>
              <w:tc>
                <w:tcPr>
                  <w:tcW w:w="2867" w:type="pct"/>
                  <w:vAlign w:val="center"/>
                </w:tcPr>
                <w:p w14:paraId="6F8355C7">
                  <w:pPr>
                    <w:pStyle w:val="51"/>
                    <w:adjustRightInd w:val="0"/>
                    <w:snapToGrid w:val="0"/>
                    <w:jc w:val="left"/>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1扇控制室观察窗</w:t>
                  </w:r>
                </w:p>
              </w:tc>
              <w:tc>
                <w:tcPr>
                  <w:tcW w:w="653" w:type="pct"/>
                  <w:vAlign w:val="center"/>
                </w:tcPr>
                <w:p w14:paraId="5ABCC84A">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w:t>
                  </w:r>
                </w:p>
              </w:tc>
              <w:tc>
                <w:tcPr>
                  <w:tcW w:w="872" w:type="pct"/>
                  <w:vAlign w:val="center"/>
                </w:tcPr>
                <w:p w14:paraId="3DB9C488">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拟建</w:t>
                  </w:r>
                </w:p>
              </w:tc>
            </w:tr>
            <w:tr w14:paraId="587D43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606" w:type="pct"/>
                  <w:vAlign w:val="center"/>
                </w:tcPr>
                <w:p w14:paraId="29F317FD">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通排风系统</w:t>
                  </w:r>
                </w:p>
              </w:tc>
              <w:tc>
                <w:tcPr>
                  <w:tcW w:w="2867" w:type="pct"/>
                  <w:vAlign w:val="center"/>
                </w:tcPr>
                <w:p w14:paraId="2534C8B3">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eastAsia="zh-CN"/>
                    </w:rPr>
                  </w:pPr>
                  <w:r>
                    <w:rPr>
                      <w:rFonts w:hint="eastAsia"/>
                      <w:color w:val="auto"/>
                      <w:szCs w:val="21"/>
                      <w:highlight w:val="none"/>
                    </w:rPr>
                    <w:t>1套通排风</w:t>
                  </w:r>
                  <w:r>
                    <w:rPr>
                      <w:color w:val="auto"/>
                      <w:szCs w:val="21"/>
                      <w:highlight w:val="none"/>
                    </w:rPr>
                    <w:t>系统</w:t>
                  </w:r>
                </w:p>
              </w:tc>
              <w:tc>
                <w:tcPr>
                  <w:tcW w:w="653" w:type="pct"/>
                  <w:vAlign w:val="center"/>
                </w:tcPr>
                <w:p w14:paraId="0F047A72">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w:t>
                  </w:r>
                </w:p>
              </w:tc>
              <w:tc>
                <w:tcPr>
                  <w:tcW w:w="872" w:type="pct"/>
                  <w:vAlign w:val="center"/>
                </w:tcPr>
                <w:p w14:paraId="5B3F5186">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拟建</w:t>
                  </w:r>
                </w:p>
              </w:tc>
            </w:tr>
            <w:tr w14:paraId="6E11A2C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6" w:type="pct"/>
                  <w:vMerge w:val="restart"/>
                  <w:vAlign w:val="center"/>
                </w:tcPr>
                <w:p w14:paraId="098930A6">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安全措施</w:t>
                  </w:r>
                </w:p>
              </w:tc>
              <w:tc>
                <w:tcPr>
                  <w:tcW w:w="2867" w:type="pct"/>
                  <w:vAlign w:val="center"/>
                </w:tcPr>
                <w:p w14:paraId="0F0767E2">
                  <w:pPr>
                    <w:pStyle w:val="32"/>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急停按钮2个（自带）</w:t>
                  </w:r>
                </w:p>
              </w:tc>
              <w:tc>
                <w:tcPr>
                  <w:tcW w:w="653" w:type="pct"/>
                  <w:vAlign w:val="center"/>
                </w:tcPr>
                <w:p w14:paraId="6556234E">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872" w:type="pct"/>
                  <w:vAlign w:val="center"/>
                </w:tcPr>
                <w:p w14:paraId="1B3AE578">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r>
            <w:tr w14:paraId="28606FA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6" w:type="pct"/>
                  <w:vMerge w:val="continue"/>
                  <w:vAlign w:val="center"/>
                </w:tcPr>
                <w:p w14:paraId="35D85CC8">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p>
              </w:tc>
              <w:tc>
                <w:tcPr>
                  <w:tcW w:w="2867" w:type="pct"/>
                  <w:vAlign w:val="center"/>
                </w:tcPr>
                <w:p w14:paraId="00363801">
                  <w:pPr>
                    <w:pStyle w:val="63"/>
                    <w:keepNext w:val="0"/>
                    <w:keepLines w:val="0"/>
                    <w:pageBreakBefore w:val="0"/>
                    <w:widowControl w:val="0"/>
                    <w:kinsoku/>
                    <w:wordWrap/>
                    <w:overflowPunct/>
                    <w:topLinePunct w:val="0"/>
                    <w:bidi w:val="0"/>
                    <w:adjustRightInd w:val="0"/>
                    <w:snapToGrid w:val="0"/>
                    <w:spacing w:line="240" w:lineRule="auto"/>
                    <w:ind w:firstLine="0" w:firstLineChars="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Cs w:val="21"/>
                      <w:highlight w:val="none"/>
                      <w:lang w:val="en-US" w:eastAsia="zh-CN"/>
                    </w:rPr>
                    <w:t>5个</w:t>
                  </w:r>
                  <w:r>
                    <w:rPr>
                      <w:rFonts w:hint="default" w:ascii="Times New Roman" w:hAnsi="Times New Roman" w:cs="Times New Roman"/>
                      <w:color w:val="auto"/>
                      <w:szCs w:val="21"/>
                      <w:highlight w:val="none"/>
                    </w:rPr>
                    <w:t>门灯联锁（含工作状态指示灯）</w:t>
                  </w:r>
                </w:p>
              </w:tc>
              <w:tc>
                <w:tcPr>
                  <w:tcW w:w="653" w:type="pct"/>
                  <w:vAlign w:val="center"/>
                </w:tcPr>
                <w:p w14:paraId="1F6F0C5B">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0.5</w:t>
                  </w:r>
                </w:p>
              </w:tc>
              <w:tc>
                <w:tcPr>
                  <w:tcW w:w="872" w:type="pct"/>
                  <w:vAlign w:val="center"/>
                </w:tcPr>
                <w:p w14:paraId="5056F959">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拟建</w:t>
                  </w:r>
                </w:p>
              </w:tc>
            </w:tr>
            <w:tr w14:paraId="1D3E688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606" w:type="pct"/>
                  <w:vMerge w:val="continue"/>
                  <w:vAlign w:val="center"/>
                </w:tcPr>
                <w:p w14:paraId="1E17D915">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p>
              </w:tc>
              <w:tc>
                <w:tcPr>
                  <w:tcW w:w="2867" w:type="pct"/>
                  <w:vAlign w:val="center"/>
                </w:tcPr>
                <w:p w14:paraId="026C8578">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1套对讲装置</w:t>
                  </w:r>
                </w:p>
              </w:tc>
              <w:tc>
                <w:tcPr>
                  <w:tcW w:w="653" w:type="pct"/>
                  <w:vAlign w:val="center"/>
                </w:tcPr>
                <w:p w14:paraId="38E3D991">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0.5</w:t>
                  </w:r>
                </w:p>
              </w:tc>
              <w:tc>
                <w:tcPr>
                  <w:tcW w:w="872" w:type="pct"/>
                  <w:vAlign w:val="center"/>
                </w:tcPr>
                <w:p w14:paraId="450E25BA">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拟建</w:t>
                  </w:r>
                </w:p>
              </w:tc>
            </w:tr>
            <w:tr w14:paraId="7D73EDF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606" w:type="pct"/>
                  <w:vMerge w:val="continue"/>
                  <w:vAlign w:val="center"/>
                </w:tcPr>
                <w:p w14:paraId="2F173046">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p>
              </w:tc>
              <w:tc>
                <w:tcPr>
                  <w:tcW w:w="2867" w:type="pct"/>
                  <w:vAlign w:val="center"/>
                </w:tcPr>
                <w:p w14:paraId="480DCA36">
                  <w:pPr>
                    <w:pStyle w:val="63"/>
                    <w:keepNext w:val="0"/>
                    <w:keepLines w:val="0"/>
                    <w:pageBreakBefore w:val="0"/>
                    <w:widowControl w:val="0"/>
                    <w:kinsoku/>
                    <w:wordWrap/>
                    <w:overflowPunct/>
                    <w:topLinePunct w:val="0"/>
                    <w:bidi w:val="0"/>
                    <w:adjustRightInd w:val="0"/>
                    <w:snapToGrid w:val="0"/>
                    <w:spacing w:line="240" w:lineRule="auto"/>
                    <w:ind w:firstLine="0" w:firstLineChars="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Cs w:val="21"/>
                      <w:highlight w:val="none"/>
                      <w:lang w:val="en-US" w:eastAsia="zh-CN"/>
                    </w:rPr>
                    <w:t>5个</w:t>
                  </w:r>
                  <w:r>
                    <w:rPr>
                      <w:rFonts w:hint="default" w:ascii="Times New Roman" w:hAnsi="Times New Roman" w:cs="Times New Roman"/>
                      <w:color w:val="auto"/>
                      <w:szCs w:val="21"/>
                      <w:highlight w:val="none"/>
                    </w:rPr>
                    <w:t>控制区入口处电离辐射警告标志</w:t>
                  </w:r>
                </w:p>
              </w:tc>
              <w:tc>
                <w:tcPr>
                  <w:tcW w:w="653" w:type="pct"/>
                  <w:vAlign w:val="center"/>
                </w:tcPr>
                <w:p w14:paraId="25D67519">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0.5</w:t>
                  </w:r>
                </w:p>
              </w:tc>
              <w:tc>
                <w:tcPr>
                  <w:tcW w:w="872" w:type="pct"/>
                  <w:vAlign w:val="center"/>
                </w:tcPr>
                <w:p w14:paraId="3BA0A434">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拟建</w:t>
                  </w:r>
                </w:p>
              </w:tc>
            </w:tr>
            <w:tr w14:paraId="5C6090B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606" w:type="pct"/>
                  <w:vMerge w:val="continue"/>
                  <w:vAlign w:val="center"/>
                </w:tcPr>
                <w:p w14:paraId="511D900E">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p>
              </w:tc>
              <w:tc>
                <w:tcPr>
                  <w:tcW w:w="2867" w:type="pct"/>
                  <w:vAlign w:val="center"/>
                </w:tcPr>
                <w:p w14:paraId="6EB71451">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3个监督区标志</w:t>
                  </w:r>
                </w:p>
              </w:tc>
              <w:tc>
                <w:tcPr>
                  <w:tcW w:w="653" w:type="pct"/>
                  <w:vAlign w:val="center"/>
                </w:tcPr>
                <w:p w14:paraId="5AB5742D">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0.1</w:t>
                  </w:r>
                </w:p>
              </w:tc>
              <w:tc>
                <w:tcPr>
                  <w:tcW w:w="872" w:type="pct"/>
                  <w:vAlign w:val="center"/>
                </w:tcPr>
                <w:p w14:paraId="169357A2">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拟建</w:t>
                  </w:r>
                </w:p>
              </w:tc>
            </w:tr>
            <w:tr w14:paraId="501DCAF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606" w:type="pct"/>
                  <w:vMerge w:val="continue"/>
                  <w:vAlign w:val="center"/>
                </w:tcPr>
                <w:p w14:paraId="6A439C33">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p>
              </w:tc>
              <w:tc>
                <w:tcPr>
                  <w:tcW w:w="2867" w:type="pct"/>
                  <w:vAlign w:val="center"/>
                </w:tcPr>
                <w:p w14:paraId="3F351F1C">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4个防夹措施</w:t>
                  </w:r>
                </w:p>
              </w:tc>
              <w:tc>
                <w:tcPr>
                  <w:tcW w:w="653" w:type="pct"/>
                  <w:vAlign w:val="center"/>
                </w:tcPr>
                <w:p w14:paraId="00C7476B">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0.2</w:t>
                  </w:r>
                </w:p>
              </w:tc>
              <w:tc>
                <w:tcPr>
                  <w:tcW w:w="872" w:type="pct"/>
                  <w:vAlign w:val="center"/>
                </w:tcPr>
                <w:p w14:paraId="1541C866">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拟建</w:t>
                  </w:r>
                </w:p>
              </w:tc>
            </w:tr>
            <w:tr w14:paraId="649E446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606" w:type="pct"/>
                  <w:vMerge w:val="continue"/>
                  <w:vAlign w:val="center"/>
                </w:tcPr>
                <w:p w14:paraId="5D1AFDB4">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p>
              </w:tc>
              <w:tc>
                <w:tcPr>
                  <w:tcW w:w="2867" w:type="pct"/>
                  <w:vAlign w:val="center"/>
                </w:tcPr>
                <w:p w14:paraId="5666C412">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1个自动闭门装置</w:t>
                  </w:r>
                </w:p>
              </w:tc>
              <w:tc>
                <w:tcPr>
                  <w:tcW w:w="653" w:type="pct"/>
                  <w:vAlign w:val="center"/>
                </w:tcPr>
                <w:p w14:paraId="0BE07582">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0.1</w:t>
                  </w:r>
                </w:p>
              </w:tc>
              <w:tc>
                <w:tcPr>
                  <w:tcW w:w="872" w:type="pct"/>
                  <w:vAlign w:val="center"/>
                </w:tcPr>
                <w:p w14:paraId="174EDB04">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b/>
                      <w:bCs/>
                      <w:color w:val="auto"/>
                      <w:sz w:val="21"/>
                      <w:szCs w:val="21"/>
                      <w:highlight w:val="none"/>
                    </w:rPr>
                  </w:pPr>
                  <w:r>
                    <w:rPr>
                      <w:rFonts w:hint="eastAsia" w:ascii="Times New Roman" w:hAnsi="Times New Roman" w:cs="Times New Roman"/>
                      <w:color w:val="auto"/>
                      <w:sz w:val="21"/>
                      <w:szCs w:val="21"/>
                      <w:highlight w:val="none"/>
                      <w:lang w:val="en-US" w:eastAsia="zh-CN"/>
                    </w:rPr>
                    <w:t>拟建</w:t>
                  </w:r>
                </w:p>
              </w:tc>
            </w:tr>
            <w:tr w14:paraId="4EAA292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606" w:type="pct"/>
                  <w:vMerge w:val="continue"/>
                  <w:vAlign w:val="center"/>
                </w:tcPr>
                <w:p w14:paraId="5FF1141E">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p>
              </w:tc>
              <w:tc>
                <w:tcPr>
                  <w:tcW w:w="2867" w:type="pct"/>
                  <w:vAlign w:val="center"/>
                </w:tcPr>
                <w:p w14:paraId="20B44A50">
                  <w:pPr>
                    <w:pStyle w:val="32"/>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1套灭火器材</w:t>
                  </w:r>
                </w:p>
              </w:tc>
              <w:tc>
                <w:tcPr>
                  <w:tcW w:w="653" w:type="pct"/>
                  <w:vAlign w:val="center"/>
                </w:tcPr>
                <w:p w14:paraId="1DE40861">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0.1</w:t>
                  </w:r>
                </w:p>
              </w:tc>
              <w:tc>
                <w:tcPr>
                  <w:tcW w:w="872" w:type="pct"/>
                  <w:vAlign w:val="center"/>
                </w:tcPr>
                <w:p w14:paraId="25A51A60">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b/>
                      <w:bCs/>
                      <w:color w:val="auto"/>
                      <w:sz w:val="21"/>
                      <w:szCs w:val="21"/>
                      <w:highlight w:val="none"/>
                    </w:rPr>
                  </w:pPr>
                  <w:r>
                    <w:rPr>
                      <w:rFonts w:hint="eastAsia" w:ascii="Times New Roman" w:hAnsi="Times New Roman" w:cs="Times New Roman"/>
                      <w:color w:val="auto"/>
                      <w:sz w:val="21"/>
                      <w:szCs w:val="21"/>
                      <w:highlight w:val="none"/>
                      <w:lang w:val="en-US" w:eastAsia="zh-CN"/>
                    </w:rPr>
                    <w:t>拟建</w:t>
                  </w:r>
                </w:p>
              </w:tc>
            </w:tr>
            <w:tr w14:paraId="795E8DB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606" w:type="pct"/>
                  <w:vMerge w:val="continue"/>
                  <w:vAlign w:val="center"/>
                </w:tcPr>
                <w:p w14:paraId="78AFA166">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p>
              </w:tc>
              <w:tc>
                <w:tcPr>
                  <w:tcW w:w="2867" w:type="pct"/>
                  <w:vAlign w:val="center"/>
                </w:tcPr>
                <w:p w14:paraId="6CE1C3CB">
                  <w:pPr>
                    <w:pStyle w:val="32"/>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1套放射防护注意事项告知栏</w:t>
                  </w:r>
                </w:p>
              </w:tc>
              <w:tc>
                <w:tcPr>
                  <w:tcW w:w="653" w:type="pct"/>
                  <w:vAlign w:val="center"/>
                </w:tcPr>
                <w:p w14:paraId="5EE865A2">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0.1</w:t>
                  </w:r>
                </w:p>
              </w:tc>
              <w:tc>
                <w:tcPr>
                  <w:tcW w:w="872" w:type="pct"/>
                  <w:vAlign w:val="center"/>
                </w:tcPr>
                <w:p w14:paraId="1370AA66">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b/>
                      <w:bCs/>
                      <w:color w:val="auto"/>
                      <w:sz w:val="21"/>
                      <w:szCs w:val="21"/>
                      <w:highlight w:val="none"/>
                    </w:rPr>
                  </w:pPr>
                  <w:r>
                    <w:rPr>
                      <w:rFonts w:hint="eastAsia" w:ascii="Times New Roman" w:hAnsi="Times New Roman" w:cs="Times New Roman"/>
                      <w:color w:val="auto"/>
                      <w:sz w:val="21"/>
                      <w:szCs w:val="21"/>
                      <w:highlight w:val="none"/>
                      <w:lang w:val="en-US" w:eastAsia="zh-CN"/>
                    </w:rPr>
                    <w:t>拟建</w:t>
                  </w:r>
                </w:p>
              </w:tc>
            </w:tr>
            <w:tr w14:paraId="4E00BBB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606" w:type="pct"/>
                  <w:vMerge w:val="continue"/>
                  <w:vAlign w:val="center"/>
                </w:tcPr>
                <w:p w14:paraId="6AE5285A">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p>
              </w:tc>
              <w:tc>
                <w:tcPr>
                  <w:tcW w:w="2867" w:type="pct"/>
                  <w:vAlign w:val="center"/>
                </w:tcPr>
                <w:p w14:paraId="4BE17AD5">
                  <w:pPr>
                    <w:pStyle w:val="32"/>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1套制度牌</w:t>
                  </w:r>
                </w:p>
              </w:tc>
              <w:tc>
                <w:tcPr>
                  <w:tcW w:w="653" w:type="pct"/>
                  <w:vAlign w:val="center"/>
                </w:tcPr>
                <w:p w14:paraId="28C25027">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0.1</w:t>
                  </w:r>
                </w:p>
              </w:tc>
              <w:tc>
                <w:tcPr>
                  <w:tcW w:w="872" w:type="pct"/>
                  <w:vAlign w:val="center"/>
                </w:tcPr>
                <w:p w14:paraId="780437B4">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拟建</w:t>
                  </w:r>
                </w:p>
              </w:tc>
            </w:tr>
            <w:tr w14:paraId="17DD48D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6" w:type="pct"/>
                  <w:vMerge w:val="restart"/>
                  <w:vAlign w:val="center"/>
                </w:tcPr>
                <w:p w14:paraId="2BCE0C96">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pacing w:val="-11"/>
                      <w:sz w:val="21"/>
                      <w:szCs w:val="21"/>
                      <w:highlight w:val="none"/>
                    </w:rPr>
                    <w:t>个人防护用品</w:t>
                  </w:r>
                </w:p>
              </w:tc>
              <w:tc>
                <w:tcPr>
                  <w:tcW w:w="2867" w:type="pct"/>
                  <w:vAlign w:val="center"/>
                </w:tcPr>
                <w:p w14:paraId="5D144946">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2套医护防护用品</w:t>
                  </w:r>
                </w:p>
              </w:tc>
              <w:tc>
                <w:tcPr>
                  <w:tcW w:w="653" w:type="pct"/>
                  <w:vAlign w:val="center"/>
                </w:tcPr>
                <w:p w14:paraId="54AA244E">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w:t>
                  </w:r>
                </w:p>
              </w:tc>
              <w:tc>
                <w:tcPr>
                  <w:tcW w:w="872" w:type="pct"/>
                  <w:vAlign w:val="center"/>
                </w:tcPr>
                <w:p w14:paraId="3638B26B">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b/>
                      <w:bCs/>
                      <w:color w:val="auto"/>
                      <w:sz w:val="21"/>
                      <w:szCs w:val="21"/>
                      <w:highlight w:val="none"/>
                    </w:rPr>
                  </w:pPr>
                  <w:r>
                    <w:rPr>
                      <w:rFonts w:hint="eastAsia" w:ascii="Times New Roman" w:hAnsi="Times New Roman" w:cs="Times New Roman"/>
                      <w:color w:val="auto"/>
                      <w:sz w:val="21"/>
                      <w:szCs w:val="21"/>
                      <w:highlight w:val="none"/>
                      <w:lang w:val="en-US" w:eastAsia="zh-CN"/>
                    </w:rPr>
                    <w:t>拟建</w:t>
                  </w:r>
                </w:p>
              </w:tc>
            </w:tr>
            <w:tr w14:paraId="5D89B0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6" w:type="pct"/>
                  <w:vMerge w:val="continue"/>
                  <w:vAlign w:val="center"/>
                </w:tcPr>
                <w:p w14:paraId="7EBC0118">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bCs/>
                      <w:color w:val="auto"/>
                      <w:sz w:val="21"/>
                      <w:szCs w:val="21"/>
                      <w:highlight w:val="none"/>
                    </w:rPr>
                  </w:pPr>
                </w:p>
              </w:tc>
              <w:tc>
                <w:tcPr>
                  <w:tcW w:w="2867" w:type="pct"/>
                  <w:vAlign w:val="center"/>
                </w:tcPr>
                <w:p w14:paraId="6E00F533">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eastAsia="zh-CN"/>
                    </w:rPr>
                    <w:t>1套承认患者防护用品、1套儿童患者防护用品</w:t>
                  </w:r>
                </w:p>
              </w:tc>
              <w:tc>
                <w:tcPr>
                  <w:tcW w:w="653" w:type="pct"/>
                  <w:vAlign w:val="center"/>
                </w:tcPr>
                <w:p w14:paraId="4E95725A">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w:t>
                  </w:r>
                </w:p>
              </w:tc>
              <w:tc>
                <w:tcPr>
                  <w:tcW w:w="872" w:type="pct"/>
                  <w:vAlign w:val="center"/>
                </w:tcPr>
                <w:p w14:paraId="7ABF225F">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拟建</w:t>
                  </w:r>
                </w:p>
              </w:tc>
            </w:tr>
            <w:tr w14:paraId="456F8D7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6" w:type="pct"/>
                  <w:vMerge w:val="continue"/>
                  <w:vAlign w:val="center"/>
                </w:tcPr>
                <w:p w14:paraId="65A03E58">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p>
              </w:tc>
              <w:tc>
                <w:tcPr>
                  <w:tcW w:w="2867" w:type="pct"/>
                  <w:vAlign w:val="center"/>
                </w:tcPr>
                <w:p w14:paraId="2F848083">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0.5mmPb铅吊屏+铅帘</w:t>
                  </w:r>
                </w:p>
              </w:tc>
              <w:tc>
                <w:tcPr>
                  <w:tcW w:w="653" w:type="pct"/>
                  <w:vAlign w:val="center"/>
                </w:tcPr>
                <w:p w14:paraId="70839D57">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0.2</w:t>
                  </w:r>
                </w:p>
              </w:tc>
              <w:tc>
                <w:tcPr>
                  <w:tcW w:w="872" w:type="pct"/>
                  <w:vAlign w:val="center"/>
                </w:tcPr>
                <w:p w14:paraId="6E10796B">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拟建</w:t>
                  </w:r>
                </w:p>
              </w:tc>
            </w:tr>
            <w:tr w14:paraId="396867D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6" w:type="pct"/>
                  <w:vMerge w:val="restart"/>
                  <w:vAlign w:val="center"/>
                </w:tcPr>
                <w:p w14:paraId="188A8839">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监测</w:t>
                  </w:r>
                </w:p>
              </w:tc>
              <w:tc>
                <w:tcPr>
                  <w:tcW w:w="2867" w:type="pct"/>
                  <w:shd w:val="clear" w:color="auto" w:fill="auto"/>
                  <w:vAlign w:val="center"/>
                </w:tcPr>
                <w:p w14:paraId="72A123DF">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便携式X-γ监测仪1台</w:t>
                  </w:r>
                </w:p>
              </w:tc>
              <w:tc>
                <w:tcPr>
                  <w:tcW w:w="653" w:type="pct"/>
                  <w:vAlign w:val="center"/>
                </w:tcPr>
                <w:p w14:paraId="343EDDDB">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0.6</w:t>
                  </w:r>
                </w:p>
              </w:tc>
              <w:tc>
                <w:tcPr>
                  <w:tcW w:w="872" w:type="pct"/>
                  <w:vAlign w:val="center"/>
                </w:tcPr>
                <w:p w14:paraId="327C9750">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拟建</w:t>
                  </w:r>
                </w:p>
              </w:tc>
            </w:tr>
            <w:tr w14:paraId="453BE07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606" w:type="pct"/>
                  <w:vMerge w:val="continue"/>
                  <w:vAlign w:val="center"/>
                </w:tcPr>
                <w:p w14:paraId="487AD116">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p>
              </w:tc>
              <w:tc>
                <w:tcPr>
                  <w:tcW w:w="2867" w:type="pct"/>
                  <w:shd w:val="clear" w:color="auto" w:fill="auto"/>
                  <w:vAlign w:val="center"/>
                </w:tcPr>
                <w:p w14:paraId="23400F01">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拟为新增的</w:t>
                  </w:r>
                  <w:r>
                    <w:rPr>
                      <w:rFonts w:hint="eastAsia" w:ascii="Times New Roman" w:hAnsi="Times New Roman" w:cs="Times New Roman"/>
                      <w:color w:val="auto"/>
                      <w:sz w:val="21"/>
                      <w:szCs w:val="21"/>
                      <w:highlight w:val="none"/>
                      <w:lang w:val="en-US" w:eastAsia="zh-CN"/>
                    </w:rPr>
                    <w:t>6</w:t>
                  </w:r>
                  <w:r>
                    <w:rPr>
                      <w:rFonts w:hint="default" w:ascii="Times New Roman" w:hAnsi="Times New Roman" w:cs="Times New Roman"/>
                      <w:color w:val="auto"/>
                      <w:sz w:val="21"/>
                      <w:szCs w:val="21"/>
                      <w:highlight w:val="none"/>
                    </w:rPr>
                    <w:t>名辐射工作人员每人增配1套）</w:t>
                  </w:r>
                </w:p>
              </w:tc>
              <w:tc>
                <w:tcPr>
                  <w:tcW w:w="653" w:type="pct"/>
                  <w:vAlign w:val="center"/>
                </w:tcPr>
                <w:p w14:paraId="6F4ECE02">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872" w:type="pct"/>
                  <w:vAlign w:val="center"/>
                </w:tcPr>
                <w:p w14:paraId="61CD682C">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拟建</w:t>
                  </w:r>
                </w:p>
              </w:tc>
            </w:tr>
            <w:tr w14:paraId="0DAE044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6" w:type="pct"/>
                  <w:vMerge w:val="continue"/>
                  <w:vAlign w:val="center"/>
                </w:tcPr>
                <w:p w14:paraId="1B00DAA1">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p>
              </w:tc>
              <w:tc>
                <w:tcPr>
                  <w:tcW w:w="2867" w:type="pct"/>
                  <w:shd w:val="clear" w:color="auto" w:fill="auto"/>
                  <w:vAlign w:val="center"/>
                </w:tcPr>
                <w:p w14:paraId="268158DC">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射线装置工作场所年度监测、验收监测费用</w:t>
                  </w:r>
                </w:p>
              </w:tc>
              <w:tc>
                <w:tcPr>
                  <w:tcW w:w="653" w:type="pct"/>
                  <w:vAlign w:val="center"/>
                </w:tcPr>
                <w:p w14:paraId="51D59E41">
                  <w:pPr>
                    <w:keepNext w:val="0"/>
                    <w:keepLines w:val="0"/>
                    <w:pageBreakBefore w:val="0"/>
                    <w:widowControl w:val="0"/>
                    <w:kinsoku/>
                    <w:wordWrap/>
                    <w:overflowPunct/>
                    <w:topLinePunct w:val="0"/>
                    <w:bidi w:val="0"/>
                    <w:adjustRightInd w:val="0"/>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872" w:type="pct"/>
                  <w:vAlign w:val="center"/>
                </w:tcPr>
                <w:p w14:paraId="17D14420">
                  <w:pPr>
                    <w:pStyle w:val="63"/>
                    <w:keepNext w:val="0"/>
                    <w:keepLines w:val="0"/>
                    <w:pageBreakBefore w:val="0"/>
                    <w:widowControl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定期投入</w:t>
                  </w:r>
                </w:p>
              </w:tc>
            </w:tr>
            <w:tr w14:paraId="3D76E8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6" w:type="pct"/>
                  <w:vMerge w:val="restart"/>
                  <w:vAlign w:val="center"/>
                </w:tcPr>
                <w:p w14:paraId="2D36CF3C">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其他</w:t>
                  </w:r>
                </w:p>
              </w:tc>
              <w:tc>
                <w:tcPr>
                  <w:tcW w:w="2867" w:type="pct"/>
                  <w:shd w:val="clear" w:color="auto" w:fill="auto"/>
                  <w:vAlign w:val="center"/>
                </w:tcPr>
                <w:p w14:paraId="4AAA6F8D">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应急和救助的物资准备（警示牌、警戒线、通讯设施、医疗箱等）</w:t>
                  </w:r>
                </w:p>
              </w:tc>
              <w:tc>
                <w:tcPr>
                  <w:tcW w:w="653" w:type="pct"/>
                  <w:vAlign w:val="center"/>
                </w:tcPr>
                <w:p w14:paraId="453FBBB0">
                  <w:pPr>
                    <w:keepNext w:val="0"/>
                    <w:keepLines w:val="0"/>
                    <w:pageBreakBefore w:val="0"/>
                    <w:widowControl w:val="0"/>
                    <w:kinsoku/>
                    <w:wordWrap/>
                    <w:overflowPunct/>
                    <w:topLinePunct w:val="0"/>
                    <w:bidi w:val="0"/>
                    <w:adjustRightInd w:val="0"/>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872" w:type="pct"/>
                  <w:vAlign w:val="center"/>
                </w:tcPr>
                <w:p w14:paraId="791C4026">
                  <w:pPr>
                    <w:pStyle w:val="63"/>
                    <w:keepNext w:val="0"/>
                    <w:keepLines w:val="0"/>
                    <w:pageBreakBefore w:val="0"/>
                    <w:widowControl w:val="0"/>
                    <w:kinsoku/>
                    <w:wordWrap/>
                    <w:overflowPunct/>
                    <w:topLinePunct w:val="0"/>
                    <w:bidi w:val="0"/>
                    <w:adjustRightInd w:val="0"/>
                    <w:snapToGrid w:val="0"/>
                    <w:spacing w:line="240" w:lineRule="auto"/>
                    <w:ind w:firstLine="0" w:firstLineChars="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定期投入</w:t>
                  </w:r>
                </w:p>
              </w:tc>
            </w:tr>
            <w:tr w14:paraId="3F07E31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606" w:type="pct"/>
                  <w:vMerge w:val="continue"/>
                  <w:vAlign w:val="center"/>
                </w:tcPr>
                <w:p w14:paraId="33BD5D05">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p>
              </w:tc>
              <w:tc>
                <w:tcPr>
                  <w:tcW w:w="2867" w:type="pct"/>
                  <w:shd w:val="clear" w:color="auto" w:fill="auto"/>
                  <w:vAlign w:val="center"/>
                </w:tcPr>
                <w:p w14:paraId="7B945232">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辐射工作人员、管理人员及</w:t>
                  </w:r>
                  <w:r>
                    <w:rPr>
                      <w:rFonts w:hint="default" w:ascii="Times New Roman" w:hAnsi="Times New Roman" w:cs="Times New Roman"/>
                      <w:bCs/>
                      <w:color w:val="auto"/>
                      <w:sz w:val="21"/>
                      <w:szCs w:val="21"/>
                      <w:highlight w:val="none"/>
                    </w:rPr>
                    <w:t>应急人员的组织培训</w:t>
                  </w:r>
                </w:p>
              </w:tc>
              <w:tc>
                <w:tcPr>
                  <w:tcW w:w="653" w:type="pct"/>
                  <w:vAlign w:val="center"/>
                </w:tcPr>
                <w:p w14:paraId="4CA7634A">
                  <w:pPr>
                    <w:keepNext w:val="0"/>
                    <w:keepLines w:val="0"/>
                    <w:pageBreakBefore w:val="0"/>
                    <w:widowControl w:val="0"/>
                    <w:kinsoku/>
                    <w:wordWrap/>
                    <w:overflowPunct/>
                    <w:topLinePunct w:val="0"/>
                    <w:bidi w:val="0"/>
                    <w:adjustRightInd w:val="0"/>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872" w:type="pct"/>
                  <w:vAlign w:val="center"/>
                </w:tcPr>
                <w:p w14:paraId="014FC535">
                  <w:pPr>
                    <w:pStyle w:val="63"/>
                    <w:keepNext w:val="0"/>
                    <w:keepLines w:val="0"/>
                    <w:pageBreakBefore w:val="0"/>
                    <w:widowControl w:val="0"/>
                    <w:kinsoku/>
                    <w:wordWrap/>
                    <w:overflowPunct/>
                    <w:topLinePunct w:val="0"/>
                    <w:bidi w:val="0"/>
                    <w:adjustRightInd w:val="0"/>
                    <w:snapToGrid w:val="0"/>
                    <w:spacing w:line="240" w:lineRule="auto"/>
                    <w:ind w:firstLine="0" w:firstLineChars="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定期投入</w:t>
                  </w:r>
                </w:p>
              </w:tc>
            </w:tr>
            <w:tr w14:paraId="670DA52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74" w:type="pct"/>
                  <w:gridSpan w:val="2"/>
                  <w:vAlign w:val="center"/>
                </w:tcPr>
                <w:p w14:paraId="52F1D6A3">
                  <w:pPr>
                    <w:keepNext w:val="0"/>
                    <w:keepLines w:val="0"/>
                    <w:pageBreakBefore w:val="0"/>
                    <w:widowControl w:val="0"/>
                    <w:kinsoku/>
                    <w:wordWrap/>
                    <w:overflowPunct/>
                    <w:topLinePunct w:val="0"/>
                    <w:bidi w:val="0"/>
                    <w:adjustRightInd w:val="0"/>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合计</w:t>
                  </w:r>
                </w:p>
              </w:tc>
              <w:tc>
                <w:tcPr>
                  <w:tcW w:w="653" w:type="pct"/>
                  <w:vAlign w:val="center"/>
                </w:tcPr>
                <w:p w14:paraId="7CAE3242">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50</w:t>
                  </w:r>
                </w:p>
              </w:tc>
              <w:tc>
                <w:tcPr>
                  <w:tcW w:w="872" w:type="pct"/>
                  <w:vAlign w:val="center"/>
                </w:tcPr>
                <w:p w14:paraId="33F61680">
                  <w:pPr>
                    <w:keepNext w:val="0"/>
                    <w:keepLines w:val="0"/>
                    <w:pageBreakBefore w:val="0"/>
                    <w:widowControl w:val="0"/>
                    <w:kinsoku/>
                    <w:wordWrap/>
                    <w:overflowPunct/>
                    <w:topLinePunct w:val="0"/>
                    <w:bidi w:val="0"/>
                    <w:adjustRightInd w:val="0"/>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r>
          </w:tbl>
          <w:p w14:paraId="4B45D357">
            <w:pPr>
              <w:pStyle w:val="40"/>
              <w:adjustRightInd w:val="0"/>
              <w:snapToGrid w:val="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今后在实践中，医院应根据国家发布的法规内容，结合自身实际情况对环保设施做相应补充，使之更能满足实际需要和法规要求。</w:t>
            </w:r>
          </w:p>
          <w:p w14:paraId="29337432">
            <w:pPr>
              <w:pStyle w:val="40"/>
              <w:adjustRightInd w:val="0"/>
              <w:snapToGrid w:val="0"/>
              <w:ind w:firstLine="0"/>
              <w:rPr>
                <w:rFonts w:hint="default" w:ascii="Times New Roman" w:hAnsi="Times New Roman" w:cs="Times New Roman"/>
                <w:bCs/>
                <w:color w:val="auto"/>
                <w:sz w:val="24"/>
                <w:highlight w:val="none"/>
              </w:rPr>
            </w:pPr>
          </w:p>
          <w:p w14:paraId="13370001">
            <w:pPr>
              <w:pStyle w:val="40"/>
              <w:adjustRightInd w:val="0"/>
              <w:snapToGrid w:val="0"/>
              <w:ind w:firstLine="0"/>
              <w:rPr>
                <w:rFonts w:hint="default" w:ascii="Times New Roman" w:hAnsi="Times New Roman" w:cs="Times New Roman"/>
                <w:bCs/>
                <w:color w:val="auto"/>
                <w:sz w:val="24"/>
                <w:highlight w:val="none"/>
              </w:rPr>
            </w:pPr>
          </w:p>
          <w:p w14:paraId="6930464D">
            <w:pPr>
              <w:pStyle w:val="40"/>
              <w:adjustRightInd w:val="0"/>
              <w:snapToGrid w:val="0"/>
              <w:ind w:firstLine="0"/>
              <w:rPr>
                <w:rFonts w:hint="default" w:ascii="Times New Roman" w:hAnsi="Times New Roman" w:cs="Times New Roman"/>
                <w:bCs/>
                <w:color w:val="auto"/>
                <w:sz w:val="24"/>
                <w:highlight w:val="none"/>
              </w:rPr>
            </w:pPr>
          </w:p>
          <w:p w14:paraId="544C2A85">
            <w:pPr>
              <w:pStyle w:val="40"/>
              <w:adjustRightInd w:val="0"/>
              <w:snapToGrid w:val="0"/>
              <w:ind w:firstLine="0"/>
              <w:rPr>
                <w:rFonts w:hint="default" w:ascii="Times New Roman" w:hAnsi="Times New Roman" w:cs="Times New Roman"/>
                <w:bCs/>
                <w:color w:val="auto"/>
                <w:sz w:val="24"/>
                <w:highlight w:val="none"/>
              </w:rPr>
            </w:pPr>
          </w:p>
          <w:p w14:paraId="6E194225">
            <w:pPr>
              <w:pStyle w:val="40"/>
              <w:adjustRightInd w:val="0"/>
              <w:snapToGrid w:val="0"/>
              <w:ind w:firstLine="0"/>
              <w:rPr>
                <w:rFonts w:hint="default" w:ascii="Times New Roman" w:hAnsi="Times New Roman" w:cs="Times New Roman"/>
                <w:bCs/>
                <w:color w:val="auto"/>
                <w:sz w:val="24"/>
                <w:highlight w:val="none"/>
              </w:rPr>
            </w:pPr>
          </w:p>
          <w:p w14:paraId="40AD3C4B">
            <w:pPr>
              <w:pStyle w:val="40"/>
              <w:adjustRightInd w:val="0"/>
              <w:snapToGrid w:val="0"/>
              <w:ind w:firstLine="0"/>
              <w:rPr>
                <w:rFonts w:hint="default" w:ascii="Times New Roman" w:hAnsi="Times New Roman" w:cs="Times New Roman"/>
                <w:bCs/>
                <w:color w:val="auto"/>
                <w:sz w:val="24"/>
                <w:highlight w:val="none"/>
              </w:rPr>
            </w:pPr>
          </w:p>
          <w:p w14:paraId="60B17242">
            <w:pPr>
              <w:pStyle w:val="40"/>
              <w:adjustRightInd w:val="0"/>
              <w:snapToGrid w:val="0"/>
              <w:ind w:firstLine="0"/>
              <w:rPr>
                <w:rFonts w:hint="default" w:ascii="Times New Roman" w:hAnsi="Times New Roman" w:cs="Times New Roman"/>
                <w:bCs/>
                <w:color w:val="auto"/>
                <w:sz w:val="24"/>
                <w:highlight w:val="none"/>
              </w:rPr>
            </w:pPr>
          </w:p>
          <w:p w14:paraId="54A4A110">
            <w:pPr>
              <w:pStyle w:val="40"/>
              <w:adjustRightInd w:val="0"/>
              <w:snapToGrid w:val="0"/>
              <w:ind w:firstLine="0"/>
              <w:rPr>
                <w:rFonts w:hint="default" w:ascii="Times New Roman" w:hAnsi="Times New Roman" w:cs="Times New Roman"/>
                <w:bCs/>
                <w:color w:val="auto"/>
                <w:sz w:val="24"/>
                <w:highlight w:val="none"/>
              </w:rPr>
            </w:pPr>
          </w:p>
          <w:p w14:paraId="0DA03912">
            <w:pPr>
              <w:pStyle w:val="40"/>
              <w:adjustRightInd w:val="0"/>
              <w:snapToGrid w:val="0"/>
              <w:ind w:firstLine="0"/>
              <w:rPr>
                <w:rFonts w:hint="default" w:ascii="Times New Roman" w:hAnsi="Times New Roman" w:cs="Times New Roman"/>
                <w:bCs/>
                <w:color w:val="auto"/>
                <w:sz w:val="24"/>
                <w:highlight w:val="none"/>
              </w:rPr>
            </w:pPr>
          </w:p>
          <w:p w14:paraId="3673508C">
            <w:pPr>
              <w:pStyle w:val="40"/>
              <w:adjustRightInd w:val="0"/>
              <w:snapToGrid w:val="0"/>
              <w:ind w:firstLine="0"/>
              <w:rPr>
                <w:rFonts w:hint="default" w:ascii="Times New Roman" w:hAnsi="Times New Roman" w:cs="Times New Roman"/>
                <w:bCs/>
                <w:color w:val="auto"/>
                <w:sz w:val="24"/>
                <w:highlight w:val="none"/>
              </w:rPr>
            </w:pPr>
          </w:p>
          <w:p w14:paraId="163A4C76">
            <w:pPr>
              <w:pStyle w:val="40"/>
              <w:adjustRightInd w:val="0"/>
              <w:snapToGrid w:val="0"/>
              <w:ind w:firstLine="0"/>
              <w:rPr>
                <w:rFonts w:hint="default" w:ascii="Times New Roman" w:hAnsi="Times New Roman" w:cs="Times New Roman"/>
                <w:bCs/>
                <w:color w:val="auto"/>
                <w:sz w:val="24"/>
                <w:highlight w:val="none"/>
              </w:rPr>
            </w:pPr>
          </w:p>
          <w:p w14:paraId="02A11E75">
            <w:pPr>
              <w:pStyle w:val="40"/>
              <w:adjustRightInd w:val="0"/>
              <w:snapToGrid w:val="0"/>
              <w:ind w:firstLine="0"/>
              <w:rPr>
                <w:rFonts w:hint="default" w:ascii="Times New Roman" w:hAnsi="Times New Roman" w:cs="Times New Roman"/>
                <w:bCs/>
                <w:color w:val="auto"/>
                <w:sz w:val="24"/>
                <w:highlight w:val="none"/>
              </w:rPr>
            </w:pPr>
          </w:p>
          <w:p w14:paraId="18204726">
            <w:pPr>
              <w:pStyle w:val="40"/>
              <w:adjustRightInd w:val="0"/>
              <w:snapToGrid w:val="0"/>
              <w:ind w:firstLine="0"/>
              <w:rPr>
                <w:rFonts w:hint="default" w:ascii="Times New Roman" w:hAnsi="Times New Roman" w:cs="Times New Roman"/>
                <w:bCs/>
                <w:color w:val="auto"/>
                <w:sz w:val="24"/>
                <w:highlight w:val="none"/>
              </w:rPr>
            </w:pPr>
          </w:p>
          <w:p w14:paraId="076390C7">
            <w:pPr>
              <w:pStyle w:val="40"/>
              <w:adjustRightInd w:val="0"/>
              <w:snapToGrid w:val="0"/>
              <w:ind w:firstLine="0"/>
              <w:rPr>
                <w:rFonts w:hint="default" w:ascii="Times New Roman" w:hAnsi="Times New Roman" w:cs="Times New Roman"/>
                <w:bCs/>
                <w:color w:val="auto"/>
                <w:sz w:val="24"/>
                <w:highlight w:val="none"/>
              </w:rPr>
            </w:pPr>
          </w:p>
          <w:p w14:paraId="0F2606F7">
            <w:pPr>
              <w:pStyle w:val="40"/>
              <w:adjustRightInd w:val="0"/>
              <w:snapToGrid w:val="0"/>
              <w:ind w:firstLine="0"/>
              <w:rPr>
                <w:rFonts w:hint="default" w:ascii="Times New Roman" w:hAnsi="Times New Roman" w:cs="Times New Roman"/>
                <w:bCs/>
                <w:color w:val="auto"/>
                <w:sz w:val="24"/>
                <w:highlight w:val="none"/>
              </w:rPr>
            </w:pPr>
          </w:p>
          <w:p w14:paraId="559FC113">
            <w:pPr>
              <w:pStyle w:val="40"/>
              <w:adjustRightInd w:val="0"/>
              <w:snapToGrid w:val="0"/>
              <w:ind w:firstLine="0"/>
              <w:rPr>
                <w:rFonts w:hint="default" w:ascii="Times New Roman" w:hAnsi="Times New Roman" w:cs="Times New Roman"/>
                <w:bCs/>
                <w:color w:val="auto"/>
                <w:sz w:val="24"/>
                <w:highlight w:val="none"/>
              </w:rPr>
            </w:pPr>
          </w:p>
          <w:p w14:paraId="3E8C08E3">
            <w:pPr>
              <w:pStyle w:val="40"/>
              <w:adjustRightInd w:val="0"/>
              <w:snapToGrid w:val="0"/>
              <w:ind w:firstLine="0"/>
              <w:rPr>
                <w:rFonts w:hint="default" w:ascii="Times New Roman" w:hAnsi="Times New Roman" w:cs="Times New Roman"/>
                <w:bCs/>
                <w:color w:val="auto"/>
                <w:sz w:val="24"/>
                <w:highlight w:val="none"/>
              </w:rPr>
            </w:pPr>
          </w:p>
          <w:p w14:paraId="3DC5CC0A">
            <w:pPr>
              <w:pStyle w:val="40"/>
              <w:adjustRightInd w:val="0"/>
              <w:snapToGrid w:val="0"/>
              <w:ind w:firstLine="0"/>
              <w:rPr>
                <w:rFonts w:hint="default" w:ascii="Times New Roman" w:hAnsi="Times New Roman" w:cs="Times New Roman"/>
                <w:bCs/>
                <w:color w:val="auto"/>
                <w:sz w:val="24"/>
                <w:highlight w:val="none"/>
              </w:rPr>
            </w:pPr>
          </w:p>
          <w:p w14:paraId="4B0D5597">
            <w:pPr>
              <w:pStyle w:val="40"/>
              <w:adjustRightInd w:val="0"/>
              <w:snapToGrid w:val="0"/>
              <w:ind w:firstLine="0"/>
              <w:rPr>
                <w:rFonts w:hint="default" w:ascii="Times New Roman" w:hAnsi="Times New Roman" w:cs="Times New Roman"/>
                <w:bCs/>
                <w:color w:val="auto"/>
                <w:sz w:val="24"/>
                <w:highlight w:val="none"/>
              </w:rPr>
            </w:pPr>
          </w:p>
          <w:p w14:paraId="2631EAD6">
            <w:pPr>
              <w:pStyle w:val="40"/>
              <w:adjustRightInd w:val="0"/>
              <w:snapToGrid w:val="0"/>
              <w:ind w:firstLine="0"/>
              <w:rPr>
                <w:rFonts w:hint="default" w:ascii="Times New Roman" w:hAnsi="Times New Roman" w:cs="Times New Roman"/>
                <w:bCs/>
                <w:color w:val="auto"/>
                <w:sz w:val="24"/>
                <w:highlight w:val="none"/>
              </w:rPr>
            </w:pPr>
          </w:p>
          <w:p w14:paraId="3A7B7A71">
            <w:pPr>
              <w:pStyle w:val="40"/>
              <w:adjustRightInd w:val="0"/>
              <w:snapToGrid w:val="0"/>
              <w:ind w:firstLine="0"/>
              <w:rPr>
                <w:rFonts w:hint="default" w:ascii="Times New Roman" w:hAnsi="Times New Roman" w:cs="Times New Roman"/>
                <w:bCs/>
                <w:color w:val="auto"/>
                <w:sz w:val="24"/>
                <w:highlight w:val="none"/>
              </w:rPr>
            </w:pPr>
          </w:p>
          <w:p w14:paraId="422CF5D7">
            <w:pPr>
              <w:pStyle w:val="40"/>
              <w:adjustRightInd w:val="0"/>
              <w:snapToGrid w:val="0"/>
              <w:ind w:firstLine="0"/>
              <w:rPr>
                <w:rFonts w:hint="default" w:ascii="Times New Roman" w:hAnsi="Times New Roman" w:cs="Times New Roman"/>
                <w:bCs/>
                <w:color w:val="auto"/>
                <w:sz w:val="24"/>
                <w:highlight w:val="none"/>
              </w:rPr>
            </w:pPr>
          </w:p>
          <w:p w14:paraId="56581D01">
            <w:pPr>
              <w:pStyle w:val="40"/>
              <w:adjustRightInd w:val="0"/>
              <w:snapToGrid w:val="0"/>
              <w:ind w:firstLine="0"/>
              <w:rPr>
                <w:rFonts w:hint="default" w:ascii="Times New Roman" w:hAnsi="Times New Roman" w:cs="Times New Roman"/>
                <w:bCs/>
                <w:color w:val="auto"/>
                <w:sz w:val="24"/>
                <w:highlight w:val="none"/>
              </w:rPr>
            </w:pPr>
          </w:p>
          <w:p w14:paraId="236DC42A">
            <w:pPr>
              <w:pStyle w:val="40"/>
              <w:adjustRightInd w:val="0"/>
              <w:snapToGrid w:val="0"/>
              <w:ind w:firstLine="0"/>
              <w:rPr>
                <w:rFonts w:hint="default" w:ascii="Times New Roman" w:hAnsi="Times New Roman" w:cs="Times New Roman"/>
                <w:bCs/>
                <w:color w:val="auto"/>
                <w:sz w:val="24"/>
                <w:highlight w:val="none"/>
              </w:rPr>
            </w:pPr>
          </w:p>
          <w:p w14:paraId="66B46A6D">
            <w:pPr>
              <w:pStyle w:val="40"/>
              <w:adjustRightInd w:val="0"/>
              <w:snapToGrid w:val="0"/>
              <w:ind w:firstLine="0"/>
              <w:rPr>
                <w:rFonts w:hint="default" w:ascii="Times New Roman" w:hAnsi="Times New Roman" w:cs="Times New Roman"/>
                <w:bCs/>
                <w:color w:val="auto"/>
                <w:sz w:val="24"/>
                <w:highlight w:val="none"/>
              </w:rPr>
            </w:pPr>
          </w:p>
          <w:p w14:paraId="6A1330C8">
            <w:pPr>
              <w:pStyle w:val="40"/>
              <w:adjustRightInd w:val="0"/>
              <w:snapToGrid w:val="0"/>
              <w:ind w:firstLine="0"/>
              <w:rPr>
                <w:rFonts w:hint="default" w:ascii="Times New Roman" w:hAnsi="Times New Roman" w:cs="Times New Roman"/>
                <w:bCs/>
                <w:color w:val="auto"/>
                <w:sz w:val="24"/>
                <w:highlight w:val="none"/>
              </w:rPr>
            </w:pPr>
          </w:p>
          <w:p w14:paraId="036EC984">
            <w:pPr>
              <w:pStyle w:val="40"/>
              <w:adjustRightInd w:val="0"/>
              <w:snapToGrid w:val="0"/>
              <w:ind w:firstLine="0"/>
              <w:rPr>
                <w:rFonts w:hint="default" w:ascii="Times New Roman" w:hAnsi="Times New Roman" w:cs="Times New Roman"/>
                <w:bCs/>
                <w:color w:val="auto"/>
                <w:highlight w:val="none"/>
              </w:rPr>
            </w:pPr>
          </w:p>
        </w:tc>
      </w:tr>
    </w:tbl>
    <w:p w14:paraId="11E42D2A">
      <w:pPr>
        <w:pStyle w:val="66"/>
        <w:adjustRightInd w:val="0"/>
        <w:snapToGrid w:val="0"/>
        <w:ind w:firstLine="0" w:firstLineChars="0"/>
        <w:jc w:val="center"/>
        <w:outlineLvl w:val="0"/>
        <w:rPr>
          <w:rFonts w:hint="default" w:ascii="Times New Roman" w:hAnsi="Times New Roman" w:cs="Times New Roman"/>
          <w:color w:val="auto"/>
          <w:highlight w:val="none"/>
          <w:lang w:val="en-GB"/>
        </w:rPr>
      </w:pPr>
      <w:r>
        <w:rPr>
          <w:rFonts w:hint="default" w:ascii="Times New Roman" w:hAnsi="Times New Roman" w:cs="Times New Roman"/>
          <w:color w:val="auto"/>
          <w:highlight w:val="none"/>
          <w:lang w:val="en-GB"/>
        </w:rPr>
        <w:br w:type="page"/>
      </w:r>
      <w:bookmarkStart w:id="60" w:name="_Toc1083"/>
      <w:bookmarkStart w:id="61" w:name="_Toc10594"/>
      <w:bookmarkStart w:id="62" w:name="_Toc11701"/>
      <w:r>
        <w:rPr>
          <w:rFonts w:hint="default" w:ascii="Times New Roman" w:hAnsi="Times New Roman" w:cs="Times New Roman"/>
          <w:bCs/>
          <w:color w:val="auto"/>
          <w:kern w:val="44"/>
          <w:sz w:val="30"/>
          <w:szCs w:val="30"/>
          <w:highlight w:val="none"/>
          <w:lang w:val="en-GB"/>
        </w:rPr>
        <w:t>表11 环境影响分析</w:t>
      </w:r>
      <w:bookmarkEnd w:id="57"/>
      <w:bookmarkEnd w:id="60"/>
      <w:bookmarkEnd w:id="61"/>
      <w:bookmarkEnd w:id="62"/>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0"/>
      </w:tblGrid>
      <w:tr w14:paraId="23938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7" w:hRule="atLeast"/>
        </w:trPr>
        <w:tc>
          <w:tcPr>
            <w:tcW w:w="5000" w:type="pct"/>
          </w:tcPr>
          <w:p w14:paraId="2BB2C216">
            <w:pPr>
              <w:adjustRightInd w:val="0"/>
              <w:snapToGrid w:val="0"/>
              <w:spacing w:line="360" w:lineRule="auto"/>
              <w:jc w:val="left"/>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施工期环境影响</w:t>
            </w:r>
          </w:p>
          <w:p w14:paraId="2947A69E">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通过现场勘查核实可知，</w:t>
            </w:r>
            <w:r>
              <w:rPr>
                <w:rFonts w:hint="default" w:ascii="Times New Roman" w:hAnsi="Times New Roman" w:cs="Times New Roman"/>
                <w:color w:val="auto"/>
                <w:spacing w:val="-10"/>
                <w:sz w:val="24"/>
                <w:highlight w:val="none"/>
              </w:rPr>
              <w:t>本项目施工期仅包括原有墙体拆除、通风系统及电缆沟、防护工程、表面装修、机器安装和调试。</w:t>
            </w:r>
          </w:p>
          <w:p w14:paraId="684295BC">
            <w:pPr>
              <w:adjustRightInd w:val="0"/>
              <w:snapToGrid w:val="0"/>
              <w:spacing w:line="360" w:lineRule="auto"/>
              <w:ind w:firstLine="482"/>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施工过程以施工机械噪声、装修和设备安装噪声为主。施工期间的主要污染因素有废气、建筑垃圾、噪声和废水，会对周围声环境质量产生一定影响。以上污染因素将随建设期的结束而消除。</w:t>
            </w:r>
          </w:p>
          <w:p w14:paraId="538B3344">
            <w:pPr>
              <w:pStyle w:val="32"/>
              <w:snapToGrid w:val="0"/>
              <w:spacing w:line="360" w:lineRule="auto"/>
              <w:jc w:val="both"/>
              <w:textAlignment w:val="auto"/>
              <w:rPr>
                <w:rFonts w:hint="default" w:ascii="Times New Roman" w:hAnsi="Times New Roman" w:cs="Times New Roman"/>
                <w:color w:val="auto"/>
                <w:highlight w:val="none"/>
              </w:rPr>
            </w:pPr>
            <w:r>
              <w:rPr>
                <w:rFonts w:hint="default" w:ascii="Times New Roman" w:hAnsi="Times New Roman" w:cs="Times New Roman"/>
                <w:b/>
                <w:bCs/>
                <w:color w:val="auto"/>
                <w:highlight w:val="none"/>
              </w:rPr>
              <w:t>施工期对环境产生如下影响：</w:t>
            </w:r>
          </w:p>
          <w:p w14:paraId="2B4DF31B">
            <w:pPr>
              <w:adjustRightInd w:val="0"/>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（1）施工期大气环境影响分析</w:t>
            </w:r>
          </w:p>
          <w:p w14:paraId="62B83114">
            <w:pPr>
              <w:pStyle w:val="32"/>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建设阶段的大气污染源主要为施工、装修阶段产生的废气，但影响仅局限在施工现场附近区域。针对上述大气污染拟采取以下措施：</w:t>
            </w:r>
          </w:p>
          <w:p w14:paraId="6445A4AD">
            <w:pPr>
              <w:pStyle w:val="32"/>
              <w:numPr>
                <w:ilvl w:val="0"/>
                <w:numId w:val="20"/>
              </w:numPr>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及时清扫施工场地，并保持施工场地一定湿度；</w:t>
            </w:r>
          </w:p>
          <w:p w14:paraId="1E7EEDE7">
            <w:pPr>
              <w:pStyle w:val="32"/>
              <w:numPr>
                <w:ilvl w:val="0"/>
                <w:numId w:val="20"/>
              </w:numPr>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施工路面保持清洁、湿润，减少地面废气。</w:t>
            </w:r>
          </w:p>
          <w:p w14:paraId="458F929D">
            <w:pPr>
              <w:adjustRightInd w:val="0"/>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（2）施工期废水环境影响分析</w:t>
            </w:r>
          </w:p>
          <w:p w14:paraId="076ED045">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施工期间，有一定量含有泥浆的建筑装修废水产生，其废水产生量很小，该废水经沉淀后回用</w:t>
            </w:r>
            <w:r>
              <w:rPr>
                <w:rFonts w:hint="default" w:ascii="Times New Roman" w:hAnsi="Times New Roman" w:cs="Times New Roman"/>
                <w:bCs/>
                <w:color w:val="auto"/>
                <w:sz w:val="24"/>
                <w:highlight w:val="none"/>
              </w:rPr>
              <w:t>。</w:t>
            </w:r>
            <w:r>
              <w:rPr>
                <w:rFonts w:hint="default" w:ascii="Times New Roman" w:hAnsi="Times New Roman" w:cs="Times New Roman"/>
                <w:color w:val="auto"/>
                <w:sz w:val="24"/>
                <w:highlight w:val="none"/>
              </w:rPr>
              <w:t>施工人员产生的少量生活废水进入建设单位原有的污水处理系统处理后进入城市污水管网，项目施工期废水对外环境影响较小。</w:t>
            </w:r>
          </w:p>
          <w:p w14:paraId="4821C720">
            <w:pPr>
              <w:adjustRightInd w:val="0"/>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（3）施工期噪声环境影响分析</w:t>
            </w:r>
          </w:p>
          <w:p w14:paraId="4F12FD4E">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期的噪声污染源主要为电锤﹑电钻等设备产生，声源强度在65～95dB(A)，会造成局部时段边界噪声超标，因此，项目施工期间应加强管理，尽量在无人的周末进行施工。且在施工时严格执行《建筑施工场界环境噪声排放标准》（GB 12523-2011）的标准规定，将噪声降低到最低水平；禁止夜间施工。影响将随着施工期结束消除。</w:t>
            </w:r>
          </w:p>
          <w:p w14:paraId="2032D1D6">
            <w:pPr>
              <w:adjustRightInd w:val="0"/>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（4）施工期固体废物影响分析</w:t>
            </w:r>
          </w:p>
          <w:p w14:paraId="2273F3CD">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施工期的固体废物主要是装修垃圾和生活垃圾。其中生活垃圾约5kg/d。建设单位已在施工场地出入口设置临时垃圾桶，生活垃圾经统一收集后由环卫部门统一清运处理，并做好清运工作中的装载工作，防止垃圾在运输途中散落。拆除建筑垃圾可回收利用部分重新利用，不可回收利用及剩余的建筑垃圾集中收集，由建设单位外运至市政部门指定的垃圾堆放场。故项目施工期间产生的固废对周边环境产生影响较小。</w:t>
            </w:r>
          </w:p>
          <w:p w14:paraId="3A2EF3A3">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国务院关于印发大气污染防治行动计划的通知》（国发[2013]37号）印发的《大气污染防治行动计划》以及《四川省人民政府办公厅关于加强灰霾污染防治的通知》（川办发[2013]32号）制定的《四川省灰霾污染防治实施方案》等当中相关的扬尘整治包括加强施工工地和道路扬尘污染整治、强化城市道路扬尘防治、推进堆场扬尘综合治理等，严格控制建设施工扬尘，灰霾天应禁止施工。</w:t>
            </w:r>
          </w:p>
          <w:p w14:paraId="2B902BFD">
            <w:pPr>
              <w:widowControl/>
              <w:adjustRightInd w:val="0"/>
              <w:snapToGrid w:val="0"/>
              <w:spacing w:line="360" w:lineRule="auto"/>
              <w:ind w:firstLine="480" w:firstLineChars="20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kern w:val="0"/>
                <w:sz w:val="24"/>
                <w:highlight w:val="none"/>
                <w:lang w:bidi="ar"/>
              </w:rPr>
              <w:t>设备安装调试期间的环境影响分析</w:t>
            </w:r>
          </w:p>
          <w:p w14:paraId="41067368">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安装调试期对于环境主要影响为X射线辐射、微量的臭氧、氮氧化物以及包装材料等固废。本项目射线装置安装与调试均要求在项目辐射防护工程完成后，由设备厂家安排的专业人员进行。在设备安装调试阶段，建设单位应加强辐射防护管理，避免发生辐射事故。</w:t>
            </w:r>
          </w:p>
          <w:p w14:paraId="3C8E3F70">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由于设备的安装和调试均在DSA机房内进行，经过墙体的屏蔽和距离衰减后对环境的影响是可以接受的。设备安装完成后，建设单位应及时回收包装材料及其它固体废物，作为一般固体废物进行处置。</w:t>
            </w:r>
          </w:p>
          <w:p w14:paraId="28D2BA7B">
            <w:pPr>
              <w:pStyle w:val="40"/>
              <w:adjustRightInd w:val="0"/>
              <w:snapToGrid w:val="0"/>
              <w:rPr>
                <w:rFonts w:hint="default" w:ascii="Times New Roman" w:hAnsi="Times New Roman" w:cs="Times New Roman"/>
                <w:bCs/>
                <w:color w:val="auto"/>
                <w:highlight w:val="none"/>
              </w:rPr>
            </w:pPr>
            <w:r>
              <w:rPr>
                <w:rFonts w:hint="default" w:ascii="Times New Roman" w:hAnsi="Times New Roman" w:cs="Times New Roman"/>
                <w:b/>
                <w:bCs/>
                <w:color w:val="auto"/>
                <w:sz w:val="24"/>
                <w:highlight w:val="none"/>
              </w:rPr>
              <w:t>总之，建设项目施工期和安装调试期对环境产生的上述影响均为短期的，建设项目建成后，影响即自行消除。建设单位和施工单位在施工过程中应切实落实对施工产生的三废及噪声的管理和控制措施，施工期的环境影响将得到有效控制，建设项目施工期对周围环境影响较小。</w:t>
            </w:r>
          </w:p>
        </w:tc>
      </w:tr>
      <w:tr w14:paraId="2EA2B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7" w:hRule="atLeast"/>
        </w:trPr>
        <w:tc>
          <w:tcPr>
            <w:tcW w:w="5000" w:type="pct"/>
          </w:tcPr>
          <w:p w14:paraId="2A248FF8">
            <w:pPr>
              <w:pStyle w:val="32"/>
              <w:snapToGrid w:val="0"/>
              <w:spacing w:line="360" w:lineRule="auto"/>
              <w:jc w:val="both"/>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运行阶段对环境的影响</w:t>
            </w:r>
          </w:p>
          <w:p w14:paraId="495021C6">
            <w:pPr>
              <w:pStyle w:val="32"/>
              <w:snapToGrid w:val="0"/>
              <w:spacing w:line="360" w:lineRule="auto"/>
              <w:jc w:val="both"/>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1. 防护条件评估</w:t>
            </w:r>
          </w:p>
          <w:p w14:paraId="52C19688">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由表10-3可知，本项目DSA机房六面防护的等效铅当量、有效使用面积及最小单边长均满足《放射诊断放射防护要求》（GBZ130-2020）的要求，因此DSA机房屏蔽预计能够满足防护要求。</w:t>
            </w:r>
          </w:p>
          <w:p w14:paraId="5CF9F771">
            <w:pPr>
              <w:numPr>
                <w:ilvl w:val="0"/>
                <w:numId w:val="21"/>
              </w:numPr>
              <w:adjustRightInd w:val="0"/>
              <w:snapToGrid w:val="0"/>
              <w:spacing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辐射环境影响分析</w:t>
            </w:r>
          </w:p>
          <w:p w14:paraId="7615778F">
            <w:pPr>
              <w:pStyle w:val="32"/>
              <w:snapToGrid w:val="0"/>
              <w:spacing w:line="360" w:lineRule="auto"/>
              <w:jc w:val="both"/>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2.1 辐射种类和计算方法</w:t>
            </w:r>
          </w:p>
          <w:p w14:paraId="56B5BE59">
            <w:pPr>
              <w:pStyle w:val="32"/>
              <w:snapToGrid w:val="0"/>
              <w:spacing w:line="360" w:lineRule="auto"/>
              <w:ind w:firstLine="480"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据中华人民共和国环境保护部和国家卫生和计划生育委员会公告2017年第66号《射线装置分类》，数字减影血管造影机（DSA）属于Ⅱ类射线装置，这类射线装置工作时主要环境影响因素为工作时产生的X射线，包含主射线、散射线和泄漏射线。考虑到使用方法，数字减影血管造影机（DSA）主射线方向主要为从下往上。</w:t>
            </w:r>
          </w:p>
          <w:p w14:paraId="1430E313">
            <w:pPr>
              <w:pStyle w:val="32"/>
              <w:snapToGrid w:val="0"/>
              <w:spacing w:line="360" w:lineRule="auto"/>
              <w:ind w:firstLine="480"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引用《辐射防护手册》（第一分册，李德平、潘自强主编）进行理论预估。《辐射防护手册》由核工业部安全防护卫生局和原子能出版社共同组织编写，涉及范围广泛，主要讨论了环境辐射标准、环境监测、剂量计算和三废治理等，应用于我国核能事业及辐射和放射性同位素在工业、农业及医学等多个领域，能很好地满足从事辐射防护工作的广大科技人员的实际需要。</w:t>
            </w:r>
          </w:p>
          <w:p w14:paraId="36A474E1">
            <w:pPr>
              <w:pStyle w:val="32"/>
              <w:snapToGrid w:val="0"/>
              <w:spacing w:line="360" w:lineRule="auto"/>
              <w:ind w:firstLine="480"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本项目理论预测采用《辐射防护手册》（第一分册，李德平、潘自强主编）中10.3对于X射线机的屏蔽计算方式10.8和10.10演变可得。</w:t>
            </w:r>
          </w:p>
          <w:p w14:paraId="57D77269">
            <w:pPr>
              <w:pStyle w:val="32"/>
              <w:snapToGrid w:val="0"/>
              <w:spacing w:line="360" w:lineRule="auto"/>
              <w:jc w:val="both"/>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2.2 计算条件</w:t>
            </w:r>
          </w:p>
          <w:p w14:paraId="057F6F9D">
            <w:pPr>
              <w:pStyle w:val="32"/>
              <w:snapToGrid w:val="0"/>
              <w:spacing w:line="360" w:lineRule="auto"/>
              <w:jc w:val="both"/>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2.2.1 评估参数选取</w:t>
            </w:r>
          </w:p>
          <w:p w14:paraId="7B6436B7">
            <w:pPr>
              <w:pStyle w:val="32"/>
              <w:snapToGrid w:val="0"/>
              <w:spacing w:line="360" w:lineRule="auto"/>
              <w:ind w:firstLine="480"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本项目DSA以最大值作为本项目评价工况。</w:t>
            </w:r>
          </w:p>
          <w:p w14:paraId="6923E3D1">
            <w:pPr>
              <w:pStyle w:val="32"/>
              <w:numPr>
                <w:ilvl w:val="0"/>
                <w:numId w:val="22"/>
              </w:numPr>
              <w:snapToGrid w:val="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 本项目DSA评价工况一览表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1652"/>
              <w:gridCol w:w="889"/>
              <w:gridCol w:w="1753"/>
              <w:gridCol w:w="1279"/>
              <w:gridCol w:w="1920"/>
            </w:tblGrid>
            <w:tr w14:paraId="4C537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vAlign w:val="center"/>
                </w:tcPr>
                <w:p w14:paraId="5A3CFB20">
                  <w:pPr>
                    <w:pStyle w:val="19"/>
                    <w:keepNext/>
                    <w:keepLines/>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评估工况</w:t>
                  </w:r>
                </w:p>
              </w:tc>
            </w:tr>
            <w:tr w14:paraId="12B52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3" w:type="pct"/>
                  <w:vMerge w:val="restart"/>
                  <w:vAlign w:val="center"/>
                </w:tcPr>
                <w:p w14:paraId="655224AA">
                  <w:pPr>
                    <w:pStyle w:val="19"/>
                    <w:keepNext/>
                    <w:keepLines/>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模式</w:t>
                  </w:r>
                </w:p>
              </w:tc>
              <w:tc>
                <w:tcPr>
                  <w:tcW w:w="996" w:type="pct"/>
                  <w:vAlign w:val="center"/>
                </w:tcPr>
                <w:p w14:paraId="7E3D44E6">
                  <w:pPr>
                    <w:pStyle w:val="19"/>
                    <w:keepNext/>
                    <w:keepLines/>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透视</w:t>
                  </w:r>
                </w:p>
              </w:tc>
              <w:tc>
                <w:tcPr>
                  <w:tcW w:w="536" w:type="pct"/>
                  <w:vMerge w:val="restart"/>
                  <w:vAlign w:val="center"/>
                </w:tcPr>
                <w:p w14:paraId="19B0635B">
                  <w:pPr>
                    <w:pStyle w:val="19"/>
                    <w:widowControl/>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管电压</w:t>
                  </w:r>
                </w:p>
              </w:tc>
              <w:tc>
                <w:tcPr>
                  <w:tcW w:w="1057" w:type="pct"/>
                  <w:vAlign w:val="center"/>
                </w:tcPr>
                <w:p w14:paraId="5A291F66">
                  <w:pPr>
                    <w:pStyle w:val="19"/>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9</w:t>
                  </w:r>
                  <w:r>
                    <w:rPr>
                      <w:rFonts w:hint="default" w:ascii="Times New Roman" w:hAnsi="Times New Roman" w:cs="Times New Roman"/>
                      <w:color w:val="auto"/>
                      <w:sz w:val="21"/>
                      <w:szCs w:val="21"/>
                      <w:highlight w:val="none"/>
                    </w:rPr>
                    <w:t>0kV</w:t>
                  </w:r>
                </w:p>
              </w:tc>
              <w:tc>
                <w:tcPr>
                  <w:tcW w:w="771" w:type="pct"/>
                  <w:vMerge w:val="restart"/>
                  <w:vAlign w:val="center"/>
                </w:tcPr>
                <w:p w14:paraId="2B2B0D46">
                  <w:pPr>
                    <w:pStyle w:val="19"/>
                    <w:widowControl/>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管电流</w:t>
                  </w:r>
                </w:p>
              </w:tc>
              <w:tc>
                <w:tcPr>
                  <w:tcW w:w="1155" w:type="pct"/>
                  <w:vAlign w:val="center"/>
                </w:tcPr>
                <w:p w14:paraId="03CA3CA3">
                  <w:pPr>
                    <w:pStyle w:val="19"/>
                    <w:widowControl/>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20</w:t>
                  </w:r>
                  <w:r>
                    <w:rPr>
                      <w:rFonts w:hint="default" w:ascii="Times New Roman" w:hAnsi="Times New Roman" w:cs="Times New Roman"/>
                      <w:color w:val="auto"/>
                      <w:sz w:val="21"/>
                      <w:szCs w:val="21"/>
                      <w:highlight w:val="none"/>
                    </w:rPr>
                    <w:t>mA</w:t>
                  </w:r>
                </w:p>
              </w:tc>
            </w:tr>
            <w:tr w14:paraId="42B6A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83" w:type="pct"/>
                  <w:vMerge w:val="continue"/>
                  <w:vAlign w:val="center"/>
                </w:tcPr>
                <w:p w14:paraId="396866CB">
                  <w:pPr>
                    <w:pStyle w:val="19"/>
                    <w:keepNext/>
                    <w:keepLines/>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tc>
              <w:tc>
                <w:tcPr>
                  <w:tcW w:w="996" w:type="pct"/>
                  <w:vAlign w:val="center"/>
                </w:tcPr>
                <w:p w14:paraId="64AC66BF">
                  <w:pPr>
                    <w:pStyle w:val="19"/>
                    <w:keepNext/>
                    <w:keepLines/>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拍片</w:t>
                  </w:r>
                </w:p>
              </w:tc>
              <w:tc>
                <w:tcPr>
                  <w:tcW w:w="536" w:type="pct"/>
                  <w:vMerge w:val="continue"/>
                  <w:vAlign w:val="center"/>
                </w:tcPr>
                <w:p w14:paraId="57C15AD8">
                  <w:pPr>
                    <w:pStyle w:val="19"/>
                    <w:widowControl/>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tc>
              <w:tc>
                <w:tcPr>
                  <w:tcW w:w="1057" w:type="pct"/>
                  <w:vAlign w:val="center"/>
                </w:tcPr>
                <w:p w14:paraId="16786D19">
                  <w:pPr>
                    <w:pStyle w:val="19"/>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100kV</w:t>
                  </w:r>
                </w:p>
              </w:tc>
              <w:tc>
                <w:tcPr>
                  <w:tcW w:w="771" w:type="pct"/>
                  <w:vMerge w:val="continue"/>
                  <w:vAlign w:val="center"/>
                </w:tcPr>
                <w:p w14:paraId="7DB81B36">
                  <w:pPr>
                    <w:pStyle w:val="19"/>
                    <w:widowControl/>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tc>
              <w:tc>
                <w:tcPr>
                  <w:tcW w:w="1155" w:type="pct"/>
                  <w:vAlign w:val="center"/>
                </w:tcPr>
                <w:p w14:paraId="1B289B6F">
                  <w:pPr>
                    <w:pStyle w:val="19"/>
                    <w:widowControl/>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500mA</w:t>
                  </w:r>
                </w:p>
              </w:tc>
            </w:tr>
          </w:tbl>
          <w:p w14:paraId="2244C61B">
            <w:pPr>
              <w:pStyle w:val="32"/>
              <w:snapToGrid w:val="0"/>
              <w:spacing w:line="360" w:lineRule="auto"/>
              <w:ind w:firstLine="480"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根据《医用电气设备 第1-3部分：基本安全和基本性能的通用要求 并列标准：诊断X射线设备的辐射防护》（GB 9706.103-2020）中“X射线管组件和X射线源组件在加载状态下的泄漏辐射，当其在相当于基准加载条件下以标称X射线管电压运行时，距焦点1m处，1小时内在任一100cm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区域（主要线性尺寸不大于20cm）的空气比释动能不应超过1.0mGy。专用标准可对不同X射线设备的泄漏辐射规定不同的限值”。因此综合考虑，本项目射线装置在1m处泄漏射线的空气比释动能率取1.00E+03μGy/h。</w:t>
            </w:r>
          </w:p>
          <w:p w14:paraId="08BE8BB1">
            <w:pPr>
              <w:pStyle w:val="32"/>
              <w:numPr>
                <w:ilvl w:val="0"/>
                <w:numId w:val="22"/>
              </w:numPr>
              <w:snapToGrid w:val="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 本项目DSA辐射源强</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4"/>
              <w:gridCol w:w="1962"/>
              <w:gridCol w:w="776"/>
              <w:gridCol w:w="760"/>
              <w:gridCol w:w="1485"/>
              <w:gridCol w:w="1614"/>
            </w:tblGrid>
            <w:tr w14:paraId="2C994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021" w:type="pct"/>
                  <w:vMerge w:val="restart"/>
                  <w:vAlign w:val="center"/>
                </w:tcPr>
                <w:p w14:paraId="416FCB22">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射线装置</w:t>
                  </w:r>
                </w:p>
              </w:tc>
              <w:tc>
                <w:tcPr>
                  <w:tcW w:w="3005" w:type="pct"/>
                  <w:gridSpan w:val="4"/>
                  <w:vAlign w:val="center"/>
                </w:tcPr>
                <w:p w14:paraId="01212BEA">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主射线、散射线</w:t>
                  </w:r>
                </w:p>
              </w:tc>
              <w:tc>
                <w:tcPr>
                  <w:tcW w:w="973" w:type="pct"/>
                  <w:vAlign w:val="center"/>
                </w:tcPr>
                <w:p w14:paraId="03DFD3A0">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泄漏射线</w:t>
                  </w:r>
                </w:p>
              </w:tc>
            </w:tr>
            <w:tr w14:paraId="38483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021" w:type="pct"/>
                  <w:vMerge w:val="continue"/>
                  <w:vAlign w:val="center"/>
                </w:tcPr>
                <w:p w14:paraId="0853D470">
                  <w:pPr>
                    <w:pStyle w:val="32"/>
                    <w:snapToGrid w:val="0"/>
                    <w:jc w:val="center"/>
                    <w:rPr>
                      <w:rFonts w:hint="default" w:ascii="Times New Roman" w:hAnsi="Times New Roman" w:cs="Times New Roman"/>
                      <w:color w:val="auto"/>
                      <w:sz w:val="21"/>
                      <w:szCs w:val="21"/>
                      <w:highlight w:val="none"/>
                    </w:rPr>
                  </w:pPr>
                </w:p>
              </w:tc>
              <w:tc>
                <w:tcPr>
                  <w:tcW w:w="1183" w:type="pct"/>
                  <w:vAlign w:val="center"/>
                </w:tcPr>
                <w:p w14:paraId="5A729CA9">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距靶1m处的发射率（mGy/mA·min）</w:t>
                  </w:r>
                </w:p>
              </w:tc>
              <w:tc>
                <w:tcPr>
                  <w:tcW w:w="926" w:type="pct"/>
                  <w:gridSpan w:val="2"/>
                  <w:vAlign w:val="center"/>
                </w:tcPr>
                <w:p w14:paraId="4B4454BB">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评价电流（mA）</w:t>
                  </w:r>
                </w:p>
              </w:tc>
              <w:tc>
                <w:tcPr>
                  <w:tcW w:w="895" w:type="pct"/>
                  <w:vAlign w:val="center"/>
                </w:tcPr>
                <w:p w14:paraId="110E5165">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空气比释动能率(μGy/h)</w:t>
                  </w:r>
                </w:p>
              </w:tc>
              <w:tc>
                <w:tcPr>
                  <w:tcW w:w="973" w:type="pct"/>
                  <w:vAlign w:val="center"/>
                </w:tcPr>
                <w:p w14:paraId="1649C39C">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空气比释动能率(μGy/h)</w:t>
                  </w:r>
                </w:p>
              </w:tc>
            </w:tr>
            <w:tr w14:paraId="4E215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1021" w:type="pct"/>
                  <w:vMerge w:val="restart"/>
                  <w:vAlign w:val="center"/>
                </w:tcPr>
                <w:p w14:paraId="1BD29A92">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数字减影血管造影机（DSA）</w:t>
                  </w:r>
                </w:p>
              </w:tc>
              <w:tc>
                <w:tcPr>
                  <w:tcW w:w="1183" w:type="pct"/>
                  <w:vAlign w:val="center"/>
                </w:tcPr>
                <w:p w14:paraId="281849BF">
                  <w:pPr>
                    <w:widowControl/>
                    <w:jc w:val="center"/>
                    <w:textAlignment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6.5</w:t>
                  </w:r>
                </w:p>
              </w:tc>
              <w:tc>
                <w:tcPr>
                  <w:tcW w:w="467" w:type="pct"/>
                  <w:vAlign w:val="center"/>
                </w:tcPr>
                <w:p w14:paraId="7AB0E10D">
                  <w:pPr>
                    <w:pStyle w:val="19"/>
                    <w:keepNext/>
                    <w:keepLines/>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透视</w:t>
                  </w:r>
                </w:p>
              </w:tc>
              <w:tc>
                <w:tcPr>
                  <w:tcW w:w="458" w:type="pct"/>
                  <w:vAlign w:val="center"/>
                </w:tcPr>
                <w:p w14:paraId="46218452">
                  <w:pPr>
                    <w:pStyle w:val="32"/>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20</w:t>
                  </w:r>
                </w:p>
              </w:tc>
              <w:tc>
                <w:tcPr>
                  <w:tcW w:w="1485" w:type="dxa"/>
                  <w:shd w:val="clear" w:color="auto" w:fill="auto"/>
                  <w:vAlign w:val="center"/>
                </w:tcPr>
                <w:p w14:paraId="789422BF">
                  <w:pPr>
                    <w:widowControl/>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cs="Times New Roman"/>
                      <w:i w:val="0"/>
                      <w:iCs w:val="0"/>
                      <w:color w:val="auto"/>
                      <w:kern w:val="0"/>
                      <w:sz w:val="21"/>
                      <w:szCs w:val="21"/>
                      <w:highlight w:val="none"/>
                      <w:u w:val="none"/>
                      <w:lang w:val="en-US" w:eastAsia="zh-CN" w:bidi="ar"/>
                    </w:rPr>
                    <w:t>7.80</w:t>
                  </w:r>
                  <w:r>
                    <w:rPr>
                      <w:rFonts w:hint="default" w:ascii="Times New Roman" w:hAnsi="Times New Roman" w:eastAsia="宋体" w:cs="Times New Roman"/>
                      <w:i w:val="0"/>
                      <w:iCs w:val="0"/>
                      <w:color w:val="auto"/>
                      <w:kern w:val="0"/>
                      <w:sz w:val="21"/>
                      <w:szCs w:val="21"/>
                      <w:highlight w:val="none"/>
                      <w:u w:val="none"/>
                      <w:lang w:val="en-US" w:eastAsia="zh-CN" w:bidi="ar"/>
                    </w:rPr>
                    <w:t>E+0</w:t>
                  </w:r>
                  <w:r>
                    <w:rPr>
                      <w:rFonts w:hint="eastAsia" w:ascii="Times New Roman" w:hAnsi="Times New Roman" w:cs="Times New Roman"/>
                      <w:i w:val="0"/>
                      <w:iCs w:val="0"/>
                      <w:color w:val="auto"/>
                      <w:kern w:val="0"/>
                      <w:sz w:val="21"/>
                      <w:szCs w:val="21"/>
                      <w:highlight w:val="none"/>
                      <w:u w:val="none"/>
                      <w:lang w:val="en-US" w:eastAsia="zh-CN" w:bidi="ar"/>
                    </w:rPr>
                    <w:t>6</w:t>
                  </w:r>
                </w:p>
              </w:tc>
              <w:tc>
                <w:tcPr>
                  <w:tcW w:w="973" w:type="pct"/>
                  <w:vMerge w:val="restart"/>
                  <w:vAlign w:val="center"/>
                </w:tcPr>
                <w:p w14:paraId="2666F321">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1000</w:t>
                  </w:r>
                </w:p>
              </w:tc>
            </w:tr>
            <w:tr w14:paraId="2FE3D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21" w:type="pct"/>
                  <w:vMerge w:val="continue"/>
                  <w:vAlign w:val="center"/>
                </w:tcPr>
                <w:p w14:paraId="089D0FBF">
                  <w:pPr>
                    <w:pStyle w:val="32"/>
                    <w:snapToGrid w:val="0"/>
                    <w:jc w:val="center"/>
                    <w:rPr>
                      <w:rFonts w:hint="default" w:ascii="Times New Roman" w:hAnsi="Times New Roman" w:cs="Times New Roman"/>
                      <w:color w:val="auto"/>
                      <w:sz w:val="21"/>
                      <w:szCs w:val="21"/>
                      <w:highlight w:val="none"/>
                    </w:rPr>
                  </w:pPr>
                </w:p>
              </w:tc>
              <w:tc>
                <w:tcPr>
                  <w:tcW w:w="1183" w:type="pct"/>
                  <w:vAlign w:val="center"/>
                </w:tcPr>
                <w:p w14:paraId="2A6848BE">
                  <w:pPr>
                    <w:widowControl/>
                    <w:jc w:val="center"/>
                    <w:textAlignment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7.5</w:t>
                  </w:r>
                </w:p>
              </w:tc>
              <w:tc>
                <w:tcPr>
                  <w:tcW w:w="467" w:type="pct"/>
                  <w:vAlign w:val="center"/>
                </w:tcPr>
                <w:p w14:paraId="72212011">
                  <w:pPr>
                    <w:pStyle w:val="19"/>
                    <w:keepNext/>
                    <w:keepLines/>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拍片</w:t>
                  </w:r>
                </w:p>
              </w:tc>
              <w:tc>
                <w:tcPr>
                  <w:tcW w:w="458" w:type="pct"/>
                  <w:vAlign w:val="center"/>
                </w:tcPr>
                <w:p w14:paraId="33A9FA00">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500</w:t>
                  </w:r>
                </w:p>
              </w:tc>
              <w:tc>
                <w:tcPr>
                  <w:tcW w:w="1485" w:type="dxa"/>
                  <w:vAlign w:val="center"/>
                </w:tcPr>
                <w:p w14:paraId="255089DE">
                  <w:pPr>
                    <w:widowControl/>
                    <w:jc w:val="center"/>
                    <w:textAlignment w:val="center"/>
                    <w:rPr>
                      <w:rFonts w:hint="default" w:ascii="Times New Roman" w:hAnsi="Times New Roman" w:cs="Times New Roman"/>
                      <w:color w:val="auto"/>
                      <w:szCs w:val="21"/>
                      <w:highlight w:val="none"/>
                    </w:rPr>
                  </w:pPr>
                  <w:r>
                    <w:rPr>
                      <w:rFonts w:hint="eastAsia" w:ascii="Times New Roman" w:hAnsi="Times New Roman" w:cs="Times New Roman"/>
                      <w:color w:val="auto"/>
                      <w:kern w:val="0"/>
                      <w:szCs w:val="21"/>
                      <w:highlight w:val="none"/>
                      <w:lang w:val="en-US" w:eastAsia="zh-CN" w:bidi="ar"/>
                    </w:rPr>
                    <w:t>2.25</w:t>
                  </w:r>
                  <w:r>
                    <w:rPr>
                      <w:rFonts w:hint="default" w:ascii="Times New Roman" w:hAnsi="Times New Roman" w:cs="Times New Roman"/>
                      <w:color w:val="auto"/>
                      <w:kern w:val="0"/>
                      <w:szCs w:val="21"/>
                      <w:highlight w:val="none"/>
                      <w:lang w:bidi="ar"/>
                    </w:rPr>
                    <w:t>E+0</w:t>
                  </w:r>
                  <w:r>
                    <w:rPr>
                      <w:rFonts w:hint="eastAsia" w:ascii="Times New Roman" w:hAnsi="Times New Roman" w:cs="Times New Roman"/>
                      <w:color w:val="auto"/>
                      <w:kern w:val="0"/>
                      <w:szCs w:val="21"/>
                      <w:highlight w:val="none"/>
                      <w:lang w:val="en-US" w:eastAsia="zh-CN" w:bidi="ar"/>
                    </w:rPr>
                    <w:t>8</w:t>
                  </w:r>
                </w:p>
              </w:tc>
              <w:tc>
                <w:tcPr>
                  <w:tcW w:w="973" w:type="pct"/>
                  <w:vMerge w:val="continue"/>
                  <w:vAlign w:val="center"/>
                </w:tcPr>
                <w:p w14:paraId="0212BF8F">
                  <w:pPr>
                    <w:widowControl/>
                    <w:jc w:val="center"/>
                    <w:textAlignment w:val="center"/>
                    <w:rPr>
                      <w:rFonts w:hint="default" w:ascii="Times New Roman" w:hAnsi="Times New Roman" w:cs="Times New Roman"/>
                      <w:color w:val="auto"/>
                      <w:kern w:val="0"/>
                      <w:szCs w:val="21"/>
                      <w:highlight w:val="none"/>
                      <w:lang w:bidi="ar"/>
                    </w:rPr>
                  </w:pPr>
                </w:p>
              </w:tc>
            </w:tr>
          </w:tbl>
          <w:p w14:paraId="4955E4FB">
            <w:pPr>
              <w:pStyle w:val="32"/>
              <w:snapToGrid w:val="0"/>
              <w:spacing w:line="360" w:lineRule="auto"/>
              <w:textAlignment w:val="auto"/>
              <w:rPr>
                <w:rFonts w:hint="eastAsia" w:ascii="Times New Roman" w:hAnsi="Times New Roman" w:cs="Times New Roman"/>
                <w:b/>
                <w:bCs/>
                <w:color w:val="auto"/>
                <w:highlight w:val="none"/>
                <w:lang w:val="en-US" w:eastAsia="zh-CN"/>
              </w:rPr>
            </w:pPr>
            <w:r>
              <w:rPr>
                <w:rFonts w:hint="eastAsia" w:ascii="Times New Roman" w:hAnsi="Times New Roman" w:cs="Times New Roman"/>
                <w:b/>
                <w:bCs/>
                <w:color w:val="auto"/>
                <w:highlight w:val="none"/>
                <w:lang w:val="en-US" w:eastAsia="zh-CN"/>
              </w:rPr>
              <w:t>2.2.2散射线能量</w:t>
            </w:r>
          </w:p>
          <w:p w14:paraId="1B6D644A">
            <w:pPr>
              <w:pStyle w:val="32"/>
              <w:snapToGrid w:val="0"/>
              <w:spacing w:line="360" w:lineRule="auto"/>
              <w:ind w:firstLine="480" w:firstLineChars="200"/>
              <w:textAlignment w:val="auto"/>
              <w:rPr>
                <w:rFonts w:ascii="Times New Roman" w:cs="Times New Roman"/>
                <w:color w:val="auto"/>
                <w:highlight w:val="none"/>
              </w:rPr>
            </w:pPr>
            <w:r>
              <w:rPr>
                <w:rFonts w:ascii="Times New Roman" w:cs="Times New Roman"/>
                <w:color w:val="auto"/>
                <w:highlight w:val="none"/>
              </w:rPr>
              <w:t>由于屏蔽体透射因子的取值与射线的能量有关</w:t>
            </w:r>
            <w:r>
              <w:rPr>
                <w:rFonts w:hint="eastAsia" w:ascii="Times New Roman" w:cs="Times New Roman"/>
                <w:color w:val="auto"/>
                <w:highlight w:val="none"/>
              </w:rPr>
              <w:t>，根据</w:t>
            </w:r>
            <w:r>
              <w:rPr>
                <w:rFonts w:ascii="Times New Roman" w:cs="Times New Roman"/>
                <w:color w:val="auto"/>
                <w:highlight w:val="none"/>
              </w:rPr>
              <w:t>《辐射防护手册》（第一分册，李德平、潘自强主编）</w:t>
            </w:r>
            <w:r>
              <w:rPr>
                <w:rFonts w:hint="eastAsia" w:ascii="Times New Roman" w:cs="Times New Roman"/>
                <w:color w:val="auto"/>
                <w:highlight w:val="none"/>
              </w:rPr>
              <w:t>P448中可知，</w:t>
            </w:r>
            <w:r>
              <w:rPr>
                <w:rFonts w:ascii="Times New Roman" w:cs="Times New Roman"/>
                <w:color w:val="auto"/>
                <w:highlight w:val="none"/>
              </w:rPr>
              <w:t>射线经过散射后，</w:t>
            </w:r>
            <w:r>
              <w:rPr>
                <w:rFonts w:hint="eastAsia" w:ascii="Times New Roman" w:cs="Times New Roman"/>
                <w:color w:val="auto"/>
                <w:highlight w:val="none"/>
              </w:rPr>
              <w:t>其</w:t>
            </w:r>
            <w:r>
              <w:rPr>
                <w:rFonts w:ascii="Times New Roman" w:cs="Times New Roman"/>
                <w:color w:val="auto"/>
                <w:highlight w:val="none"/>
              </w:rPr>
              <w:t>能量由</w:t>
            </w:r>
            <w:r>
              <w:rPr>
                <w:rFonts w:hint="eastAsia" w:ascii="Times New Roman" w:cs="Times New Roman"/>
                <w:color w:val="auto"/>
                <w:highlight w:val="none"/>
              </w:rPr>
              <w:t>下列</w:t>
            </w:r>
            <w:r>
              <w:rPr>
                <w:rFonts w:ascii="Times New Roman" w:cs="Times New Roman"/>
                <w:color w:val="auto"/>
                <w:highlight w:val="none"/>
              </w:rPr>
              <w:t>推导。</w:t>
            </w:r>
          </w:p>
          <w:p w14:paraId="4EAD1B49">
            <w:pPr>
              <w:pStyle w:val="32"/>
              <w:spacing w:line="360" w:lineRule="auto"/>
              <w:ind w:firstLine="480" w:firstLineChars="200"/>
              <w:rPr>
                <w:rFonts w:ascii="Times New Roman" w:cs="Times New Roman"/>
                <w:color w:val="auto"/>
                <w:highlight w:val="none"/>
              </w:rPr>
            </w:pPr>
            <w:r>
              <w:rPr>
                <w:rFonts w:ascii="Times New Roman" w:cs="Times New Roman"/>
                <w:color w:val="auto"/>
                <w:highlight w:val="none"/>
              </w:rPr>
              <w:t xml:space="preserve">                    </w:t>
            </w:r>
            <w:r>
              <w:rPr>
                <w:rFonts w:ascii="Times New Roman" w:cs="Times New Roman"/>
                <w:color w:val="auto"/>
                <w:position w:val="-54"/>
                <w:highlight w:val="none"/>
              </w:rPr>
              <w:object>
                <v:shape id="_x0000_i1025" o:spt="75" type="#_x0000_t75" style="height:46.15pt;width:101pt;" o:ole="t" filled="f" o:preferrelative="t" stroked="f" coordsize="21600,21600">
                  <v:path/>
                  <v:fill on="f" focussize="0,0"/>
                  <v:stroke on="f" joinstyle="miter"/>
                  <v:imagedata r:id="rId38" o:title=""/>
                  <o:lock v:ext="edit" aspectratio="t"/>
                  <w10:wrap type="none"/>
                  <w10:anchorlock/>
                </v:shape>
                <o:OLEObject Type="Embed" ProgID="Equation.KSEE3" ShapeID="_x0000_i1025" DrawAspect="Content" ObjectID="_1468075725" r:id="rId37">
                  <o:LockedField>false</o:LockedField>
                </o:OLEObject>
              </w:object>
            </w:r>
            <w:r>
              <w:rPr>
                <w:rFonts w:ascii="Times New Roman" w:cs="Times New Roman"/>
                <w:color w:val="auto"/>
                <w:highlight w:val="none"/>
              </w:rPr>
              <w:t>------------公式3</w:t>
            </w:r>
          </w:p>
          <w:p w14:paraId="61FCA665">
            <w:pPr>
              <w:pStyle w:val="32"/>
              <w:spacing w:line="360" w:lineRule="auto"/>
              <w:ind w:firstLine="480" w:firstLineChars="200"/>
              <w:rPr>
                <w:rFonts w:ascii="Times New Roman" w:cs="Times New Roman"/>
                <w:color w:val="auto"/>
                <w:highlight w:val="none"/>
              </w:rPr>
            </w:pPr>
            <w:r>
              <w:rPr>
                <w:rFonts w:ascii="Times New Roman" w:cs="Times New Roman"/>
                <w:color w:val="auto"/>
                <w:highlight w:val="none"/>
              </w:rPr>
              <w:t>根据上式计算得出，本项目射线装置在管电压为</w:t>
            </w:r>
            <w:r>
              <w:rPr>
                <w:rFonts w:hint="eastAsia" w:ascii="Times New Roman" w:cs="Times New Roman"/>
                <w:color w:val="auto"/>
                <w:highlight w:val="none"/>
              </w:rPr>
              <w:t>9</w:t>
            </w:r>
            <w:r>
              <w:rPr>
                <w:rFonts w:ascii="Times New Roman" w:cs="Times New Roman"/>
                <w:color w:val="auto"/>
                <w:highlight w:val="none"/>
              </w:rPr>
              <w:t>0kV时，θ=90°时的散射线能量约为</w:t>
            </w:r>
            <w:r>
              <w:rPr>
                <w:rFonts w:hint="eastAsia" w:ascii="Times New Roman" w:cs="Times New Roman"/>
                <w:color w:val="auto"/>
                <w:highlight w:val="none"/>
              </w:rPr>
              <w:t>77</w:t>
            </w:r>
            <w:r>
              <w:rPr>
                <w:rFonts w:ascii="Times New Roman" w:cs="Times New Roman"/>
                <w:color w:val="auto"/>
                <w:highlight w:val="none"/>
              </w:rPr>
              <w:t>kV</w:t>
            </w:r>
            <w:r>
              <w:rPr>
                <w:rFonts w:hint="eastAsia" w:ascii="Times New Roman" w:cs="Times New Roman"/>
                <w:color w:val="auto"/>
                <w:highlight w:val="none"/>
              </w:rPr>
              <w:t>，本项目近似取80</w:t>
            </w:r>
            <w:r>
              <w:rPr>
                <w:rFonts w:ascii="Times New Roman" w:cs="Times New Roman"/>
                <w:color w:val="auto"/>
                <w:highlight w:val="none"/>
              </w:rPr>
              <w:t>kV</w:t>
            </w:r>
            <w:r>
              <w:rPr>
                <w:rFonts w:hint="eastAsia" w:ascii="Times New Roman" w:cs="Times New Roman"/>
                <w:color w:val="auto"/>
                <w:highlight w:val="none"/>
              </w:rPr>
              <w:t>进行评估。</w:t>
            </w:r>
          </w:p>
          <w:p w14:paraId="5C62D188">
            <w:pPr>
              <w:pStyle w:val="32"/>
              <w:spacing w:line="360" w:lineRule="auto"/>
              <w:ind w:firstLine="480" w:firstLineChars="200"/>
              <w:jc w:val="both"/>
              <w:rPr>
                <w:rFonts w:hint="default"/>
                <w:color w:val="auto"/>
                <w:highlight w:val="none"/>
                <w:lang w:val="en-US" w:eastAsia="zh-CN"/>
              </w:rPr>
            </w:pPr>
            <w:r>
              <w:rPr>
                <w:rFonts w:hint="eastAsia" w:ascii="Times New Roman" w:cs="Times New Roman"/>
                <w:color w:val="auto"/>
                <w:highlight w:val="none"/>
              </w:rPr>
              <w:t>单位转换系数参考《外照射放射防护剂量转换系数标准》（WS/T 830-2024）表G.1，80kV数据为1.72，由80kV和100kV插值获得90kV下空气比释动能到周围剂量当量的转换系数为1.69。</w:t>
            </w:r>
          </w:p>
          <w:p w14:paraId="1E7EFA19">
            <w:pPr>
              <w:pStyle w:val="32"/>
              <w:snapToGrid w:val="0"/>
              <w:spacing w:line="360" w:lineRule="auto"/>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2.2.3 透射因子</w:t>
            </w:r>
          </w:p>
          <w:p w14:paraId="4859309F">
            <w:pPr>
              <w:pStyle w:val="65"/>
              <w:adjustRightInd w:val="0"/>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根据《放射诊断放射防护要求》（GBZ130-2020）附录文献可得不同管电压下不同材质的拟合参数，见表11-3。</w:t>
            </w:r>
          </w:p>
          <w:p w14:paraId="2E608235">
            <w:pPr>
              <w:pStyle w:val="32"/>
              <w:numPr>
                <w:ilvl w:val="0"/>
                <w:numId w:val="22"/>
              </w:numPr>
              <w:snapToGrid w:val="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 铅、混凝土不同管电压X射线辐射衰减拟合参数</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1"/>
              <w:gridCol w:w="2074"/>
              <w:gridCol w:w="2072"/>
              <w:gridCol w:w="2077"/>
            </w:tblGrid>
            <w:tr w14:paraId="1CEE5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shd w:val="clear" w:color="auto" w:fill="BEBEBE"/>
                  <w:vAlign w:val="center"/>
                </w:tcPr>
                <w:p w14:paraId="59129170">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管电压</w:t>
                  </w:r>
                  <w:r>
                    <w:rPr>
                      <w:rFonts w:hint="eastAsia" w:ascii="Times New Roman" w:hAnsi="Times New Roman" w:cs="Times New Roman"/>
                      <w:color w:val="auto"/>
                      <w:szCs w:val="21"/>
                      <w:highlight w:val="none"/>
                      <w:lang w:val="en-US" w:eastAsia="zh-CN"/>
                    </w:rPr>
                    <w:t>7</w:t>
                  </w:r>
                  <w:r>
                    <w:rPr>
                      <w:rFonts w:hint="default" w:ascii="Times New Roman" w:hAnsi="Times New Roman" w:cs="Times New Roman"/>
                      <w:color w:val="auto"/>
                      <w:szCs w:val="21"/>
                      <w:highlight w:val="none"/>
                    </w:rPr>
                    <w:t>0kV（主射线/泄漏射线）</w:t>
                  </w:r>
                </w:p>
              </w:tc>
            </w:tr>
            <w:tr w14:paraId="25D49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vAlign w:val="center"/>
                </w:tcPr>
                <w:p w14:paraId="798A9E4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拟合参数</w:t>
                  </w:r>
                </w:p>
              </w:tc>
              <w:tc>
                <w:tcPr>
                  <w:tcW w:w="1250" w:type="pct"/>
                  <w:vAlign w:val="center"/>
                </w:tcPr>
                <w:p w14:paraId="056D9EDB">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α</w:t>
                  </w:r>
                </w:p>
              </w:tc>
              <w:tc>
                <w:tcPr>
                  <w:tcW w:w="1249" w:type="pct"/>
                  <w:vAlign w:val="center"/>
                </w:tcPr>
                <w:p w14:paraId="2DCF4564">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β</w:t>
                  </w:r>
                </w:p>
              </w:tc>
              <w:tc>
                <w:tcPr>
                  <w:tcW w:w="1250" w:type="pct"/>
                  <w:vAlign w:val="center"/>
                </w:tcPr>
                <w:p w14:paraId="55CBAAA3">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γ</w:t>
                  </w:r>
                </w:p>
              </w:tc>
            </w:tr>
            <w:tr w14:paraId="3FA90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vAlign w:val="center"/>
                </w:tcPr>
                <w:p w14:paraId="2261136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铅</w:t>
                  </w:r>
                </w:p>
              </w:tc>
              <w:tc>
                <w:tcPr>
                  <w:tcW w:w="1250" w:type="pct"/>
                  <w:vAlign w:val="center"/>
                </w:tcPr>
                <w:p w14:paraId="00F8A346">
                  <w:pPr>
                    <w:widowControl/>
                    <w:adjustRightInd w:val="0"/>
                    <w:snapToGrid w:val="0"/>
                    <w:jc w:val="center"/>
                    <w:textAlignment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5.639</w:t>
                  </w:r>
                </w:p>
              </w:tc>
              <w:tc>
                <w:tcPr>
                  <w:tcW w:w="1249" w:type="pct"/>
                  <w:vAlign w:val="center"/>
                </w:tcPr>
                <w:p w14:paraId="2F74A467">
                  <w:pPr>
                    <w:widowControl/>
                    <w:adjustRightInd w:val="0"/>
                    <w:snapToGrid w:val="0"/>
                    <w:jc w:val="center"/>
                    <w:textAlignment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23.49</w:t>
                  </w:r>
                </w:p>
              </w:tc>
              <w:tc>
                <w:tcPr>
                  <w:tcW w:w="1250" w:type="pct"/>
                  <w:vAlign w:val="center"/>
                </w:tcPr>
                <w:p w14:paraId="5E2DD914">
                  <w:pPr>
                    <w:widowControl/>
                    <w:adjustRightInd w:val="0"/>
                    <w:snapToGrid w:val="0"/>
                    <w:jc w:val="center"/>
                    <w:textAlignment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0.5881</w:t>
                  </w:r>
                </w:p>
              </w:tc>
            </w:tr>
            <w:tr w14:paraId="0B73C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vAlign w:val="center"/>
                </w:tcPr>
                <w:p w14:paraId="4E41D20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混凝土</w:t>
                  </w:r>
                </w:p>
              </w:tc>
              <w:tc>
                <w:tcPr>
                  <w:tcW w:w="1250" w:type="pct"/>
                  <w:vAlign w:val="center"/>
                </w:tcPr>
                <w:p w14:paraId="1CBA0F9F">
                  <w:pPr>
                    <w:widowControl/>
                    <w:adjustRightInd w:val="0"/>
                    <w:snapToGrid w:val="0"/>
                    <w:jc w:val="center"/>
                    <w:textAlignment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0.05087</w:t>
                  </w:r>
                </w:p>
              </w:tc>
              <w:tc>
                <w:tcPr>
                  <w:tcW w:w="1249" w:type="pct"/>
                  <w:vAlign w:val="center"/>
                </w:tcPr>
                <w:p w14:paraId="396EE6E1">
                  <w:pPr>
                    <w:widowControl/>
                    <w:adjustRightInd w:val="0"/>
                    <w:snapToGrid w:val="0"/>
                    <w:jc w:val="center"/>
                    <w:textAlignment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0.1696</w:t>
                  </w:r>
                </w:p>
              </w:tc>
              <w:tc>
                <w:tcPr>
                  <w:tcW w:w="1250" w:type="pct"/>
                  <w:vAlign w:val="center"/>
                </w:tcPr>
                <w:p w14:paraId="21852F3A">
                  <w:pPr>
                    <w:widowControl/>
                    <w:adjustRightInd w:val="0"/>
                    <w:snapToGrid w:val="0"/>
                    <w:jc w:val="center"/>
                    <w:textAlignment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0.3847</w:t>
                  </w:r>
                </w:p>
              </w:tc>
            </w:tr>
            <w:tr w14:paraId="743AA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shd w:val="clear" w:color="auto" w:fill="BEBEBE"/>
                  <w:vAlign w:val="center"/>
                </w:tcPr>
                <w:p w14:paraId="4E64ED59">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管电压100kV（主射线/泄漏射线）</w:t>
                  </w:r>
                </w:p>
              </w:tc>
            </w:tr>
            <w:tr w14:paraId="5F6FE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vAlign w:val="center"/>
                </w:tcPr>
                <w:p w14:paraId="765687A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拟合参数</w:t>
                  </w:r>
                </w:p>
              </w:tc>
              <w:tc>
                <w:tcPr>
                  <w:tcW w:w="1250" w:type="pct"/>
                  <w:vAlign w:val="center"/>
                </w:tcPr>
                <w:p w14:paraId="49E6EEBD">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α</w:t>
                  </w:r>
                </w:p>
              </w:tc>
              <w:tc>
                <w:tcPr>
                  <w:tcW w:w="1249" w:type="pct"/>
                  <w:vAlign w:val="center"/>
                </w:tcPr>
                <w:p w14:paraId="17EFE19B">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β</w:t>
                  </w:r>
                </w:p>
              </w:tc>
              <w:tc>
                <w:tcPr>
                  <w:tcW w:w="1250" w:type="pct"/>
                  <w:vAlign w:val="center"/>
                </w:tcPr>
                <w:p w14:paraId="2F4041D7">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γ</w:t>
                  </w:r>
                </w:p>
              </w:tc>
            </w:tr>
            <w:tr w14:paraId="08EBE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vAlign w:val="center"/>
                </w:tcPr>
                <w:p w14:paraId="2836FCE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铅</w:t>
                  </w:r>
                </w:p>
              </w:tc>
              <w:tc>
                <w:tcPr>
                  <w:tcW w:w="1250" w:type="pct"/>
                  <w:vAlign w:val="center"/>
                </w:tcPr>
                <w:p w14:paraId="105A0E2D">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2.5</w:t>
                  </w:r>
                </w:p>
              </w:tc>
              <w:tc>
                <w:tcPr>
                  <w:tcW w:w="1249" w:type="pct"/>
                  <w:vAlign w:val="center"/>
                </w:tcPr>
                <w:p w14:paraId="07430CB4">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15.28</w:t>
                  </w:r>
                </w:p>
              </w:tc>
              <w:tc>
                <w:tcPr>
                  <w:tcW w:w="1250" w:type="pct"/>
                  <w:vAlign w:val="center"/>
                </w:tcPr>
                <w:p w14:paraId="3E368E8C">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0.7557</w:t>
                  </w:r>
                </w:p>
              </w:tc>
            </w:tr>
            <w:tr w14:paraId="0C3CB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vAlign w:val="center"/>
                </w:tcPr>
                <w:p w14:paraId="1CF97C0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混凝土</w:t>
                  </w:r>
                </w:p>
              </w:tc>
              <w:tc>
                <w:tcPr>
                  <w:tcW w:w="1250" w:type="pct"/>
                  <w:vAlign w:val="center"/>
                </w:tcPr>
                <w:p w14:paraId="24BA0BBB">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0.03925</w:t>
                  </w:r>
                </w:p>
              </w:tc>
              <w:tc>
                <w:tcPr>
                  <w:tcW w:w="1249" w:type="pct"/>
                  <w:vAlign w:val="center"/>
                </w:tcPr>
                <w:p w14:paraId="329B59C5">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0.08567</w:t>
                  </w:r>
                </w:p>
              </w:tc>
              <w:tc>
                <w:tcPr>
                  <w:tcW w:w="1250" w:type="pct"/>
                  <w:vAlign w:val="center"/>
                </w:tcPr>
                <w:p w14:paraId="3CB5F353">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0.4273</w:t>
                  </w:r>
                </w:p>
              </w:tc>
            </w:tr>
            <w:tr w14:paraId="6D1D4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shd w:val="clear" w:color="auto" w:fill="BEBEBE"/>
                  <w:vAlign w:val="center"/>
                </w:tcPr>
                <w:p w14:paraId="1CEE8FAF">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管电压70kV（散射线）</w:t>
                  </w:r>
                </w:p>
              </w:tc>
            </w:tr>
            <w:tr w14:paraId="22108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49" w:type="pct"/>
                  <w:vAlign w:val="center"/>
                </w:tcPr>
                <w:p w14:paraId="08B3C94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铅</w:t>
                  </w:r>
                </w:p>
              </w:tc>
              <w:tc>
                <w:tcPr>
                  <w:tcW w:w="1250" w:type="pct"/>
                  <w:vAlign w:val="center"/>
                </w:tcPr>
                <w:p w14:paraId="3CEDF4E5">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5.369</w:t>
                  </w:r>
                </w:p>
              </w:tc>
              <w:tc>
                <w:tcPr>
                  <w:tcW w:w="1249" w:type="pct"/>
                  <w:vAlign w:val="center"/>
                </w:tcPr>
                <w:p w14:paraId="4700B635">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23.49</w:t>
                  </w:r>
                </w:p>
              </w:tc>
              <w:tc>
                <w:tcPr>
                  <w:tcW w:w="1250" w:type="pct"/>
                  <w:vAlign w:val="center"/>
                </w:tcPr>
                <w:p w14:paraId="003CC39D">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0.5883</w:t>
                  </w:r>
                </w:p>
              </w:tc>
            </w:tr>
            <w:tr w14:paraId="77BBB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49" w:type="pct"/>
                  <w:vAlign w:val="center"/>
                </w:tcPr>
                <w:p w14:paraId="6D121B4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混凝土</w:t>
                  </w:r>
                </w:p>
              </w:tc>
              <w:tc>
                <w:tcPr>
                  <w:tcW w:w="1250" w:type="pct"/>
                  <w:vAlign w:val="center"/>
                </w:tcPr>
                <w:p w14:paraId="5319B2D5">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0.05090</w:t>
                  </w:r>
                </w:p>
              </w:tc>
              <w:tc>
                <w:tcPr>
                  <w:tcW w:w="1249" w:type="pct"/>
                  <w:vAlign w:val="center"/>
                </w:tcPr>
                <w:p w14:paraId="2520DFA7">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0.1697</w:t>
                  </w:r>
                </w:p>
              </w:tc>
              <w:tc>
                <w:tcPr>
                  <w:tcW w:w="1250" w:type="pct"/>
                  <w:vAlign w:val="center"/>
                </w:tcPr>
                <w:p w14:paraId="329AA598">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0.3849</w:t>
                  </w:r>
                </w:p>
              </w:tc>
            </w:tr>
            <w:tr w14:paraId="7488F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shd w:val="clear" w:color="auto" w:fill="BEBEBE"/>
                  <w:vAlign w:val="center"/>
                </w:tcPr>
                <w:p w14:paraId="10529FBB">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管电压100kV（散射线）</w:t>
                  </w:r>
                </w:p>
              </w:tc>
            </w:tr>
            <w:tr w14:paraId="59218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49" w:type="pct"/>
                  <w:vAlign w:val="center"/>
                </w:tcPr>
                <w:p w14:paraId="2726F86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铅</w:t>
                  </w:r>
                </w:p>
              </w:tc>
              <w:tc>
                <w:tcPr>
                  <w:tcW w:w="1250" w:type="pct"/>
                  <w:vAlign w:val="center"/>
                </w:tcPr>
                <w:p w14:paraId="7E40AB21">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2.507</w:t>
                  </w:r>
                </w:p>
              </w:tc>
              <w:tc>
                <w:tcPr>
                  <w:tcW w:w="1249" w:type="pct"/>
                  <w:vAlign w:val="center"/>
                </w:tcPr>
                <w:p w14:paraId="7CA31D37">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15.33</w:t>
                  </w:r>
                </w:p>
              </w:tc>
              <w:tc>
                <w:tcPr>
                  <w:tcW w:w="1250" w:type="pct"/>
                  <w:vAlign w:val="center"/>
                </w:tcPr>
                <w:p w14:paraId="64101C29">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0.9124</w:t>
                  </w:r>
                </w:p>
              </w:tc>
            </w:tr>
            <w:tr w14:paraId="6996F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vAlign w:val="center"/>
                </w:tcPr>
                <w:p w14:paraId="4534E03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混凝土</w:t>
                  </w:r>
                </w:p>
              </w:tc>
              <w:tc>
                <w:tcPr>
                  <w:tcW w:w="1250" w:type="pct"/>
                  <w:vAlign w:val="center"/>
                </w:tcPr>
                <w:p w14:paraId="33A1A22D">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0.03950</w:t>
                  </w:r>
                </w:p>
              </w:tc>
              <w:tc>
                <w:tcPr>
                  <w:tcW w:w="1249" w:type="pct"/>
                  <w:vAlign w:val="center"/>
                </w:tcPr>
                <w:p w14:paraId="0AB1C53D">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0.08440</w:t>
                  </w:r>
                </w:p>
              </w:tc>
              <w:tc>
                <w:tcPr>
                  <w:tcW w:w="1250" w:type="pct"/>
                  <w:vAlign w:val="center"/>
                </w:tcPr>
                <w:p w14:paraId="15E6E2B3">
                  <w:pPr>
                    <w:widowControl/>
                    <w:adjustRightInd w:val="0"/>
                    <w:snapToGri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0.5191</w:t>
                  </w:r>
                </w:p>
              </w:tc>
            </w:tr>
          </w:tbl>
          <w:p w14:paraId="4F011601">
            <w:pPr>
              <w:pStyle w:val="65"/>
              <w:adjustRightInd w:val="0"/>
              <w:snapToGrid w:val="0"/>
              <w:spacing w:line="360" w:lineRule="auto"/>
              <w:ind w:firstLine="480"/>
              <w:rPr>
                <w:rFonts w:hint="default" w:ascii="Times New Roman" w:hAnsi="Times New Roman" w:cs="Times New Roman"/>
                <w:b/>
                <w:bCs/>
                <w:color w:val="auto"/>
                <w:kern w:val="0"/>
                <w:sz w:val="24"/>
                <w:highlight w:val="none"/>
              </w:rPr>
            </w:pPr>
            <w:r>
              <w:rPr>
                <w:rFonts w:hint="default" w:ascii="Times New Roman" w:hAnsi="Times New Roman" w:cs="Times New Roman"/>
                <w:color w:val="auto"/>
                <w:sz w:val="24"/>
                <w:highlight w:val="none"/>
              </w:rPr>
              <w:t>根据《放射诊断放射防护要求》（GBZ130-2020）公式C.1计算本项目辐射透射因子。</w:t>
            </w:r>
          </w:p>
          <w:p w14:paraId="2AEB5F29">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position w:val="-24"/>
                <w:sz w:val="24"/>
                <w:highlight w:val="none"/>
              </w:rPr>
              <w:drawing>
                <wp:anchor distT="0" distB="0" distL="114300" distR="114300" simplePos="0" relativeHeight="251669504" behindDoc="0" locked="0" layoutInCell="1" allowOverlap="1">
                  <wp:simplePos x="0" y="0"/>
                  <wp:positionH relativeFrom="column">
                    <wp:posOffset>1863725</wp:posOffset>
                  </wp:positionH>
                  <wp:positionV relativeFrom="paragraph">
                    <wp:posOffset>379730</wp:posOffset>
                  </wp:positionV>
                  <wp:extent cx="1459865" cy="444500"/>
                  <wp:effectExtent l="0" t="0" r="6985" b="0"/>
                  <wp:wrapSquare wrapText="bothSides"/>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459865" cy="444500"/>
                          </a:xfrm>
                          <a:prstGeom prst="rect">
                            <a:avLst/>
                          </a:prstGeom>
                          <a:noFill/>
                        </pic:spPr>
                      </pic:pic>
                    </a:graphicData>
                  </a:graphic>
                </wp:anchor>
              </w:drawing>
            </w:r>
            <w:r>
              <w:rPr>
                <w:rFonts w:hint="default" w:ascii="Times New Roman" w:hAnsi="Times New Roman" w:cs="Times New Roman"/>
                <w:color w:val="auto"/>
                <w:sz w:val="24"/>
                <w:highlight w:val="none"/>
              </w:rPr>
              <w:t>辐射透射因子B：</w:t>
            </w:r>
          </w:p>
          <w:p w14:paraId="556F1CC5">
            <w:pPr>
              <w:adjustRightInd w:val="0"/>
              <w:snapToGrid w:val="0"/>
              <w:spacing w:line="360" w:lineRule="auto"/>
              <w:ind w:firstLine="480" w:firstLineChars="200"/>
              <w:rPr>
                <w:rFonts w:hint="default" w:ascii="Times New Roman" w:hAnsi="Times New Roman" w:cs="Times New Roman"/>
                <w:color w:val="auto"/>
                <w:sz w:val="24"/>
                <w:highlight w:val="none"/>
              </w:rPr>
            </w:pPr>
          </w:p>
          <w:p w14:paraId="12F76EC0">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------------公式3</w:t>
            </w:r>
          </w:p>
          <w:p w14:paraId="4A1B3E9F">
            <w:pPr>
              <w:adjustRightInd w:val="0"/>
              <w:snapToGrid w:val="0"/>
              <w:spacing w:line="360" w:lineRule="auto"/>
              <w:ind w:firstLine="468" w:firstLineChars="200"/>
              <w:jc w:val="left"/>
              <w:rPr>
                <w:rFonts w:hint="default" w:ascii="Times New Roman" w:hAnsi="Times New Roman" w:cs="Times New Roman"/>
                <w:color w:val="auto"/>
                <w:spacing w:val="-3"/>
                <w:kern w:val="0"/>
                <w:sz w:val="24"/>
                <w:highlight w:val="none"/>
              </w:rPr>
            </w:pPr>
            <w:r>
              <w:rPr>
                <w:rFonts w:hint="default" w:ascii="Times New Roman" w:hAnsi="Times New Roman" w:cs="Times New Roman"/>
                <w:color w:val="auto"/>
                <w:spacing w:val="-3"/>
                <w:kern w:val="0"/>
                <w:sz w:val="24"/>
                <w:highlight w:val="none"/>
              </w:rPr>
              <w:t>B——给定材质厚度的屏蔽透射因子；</w:t>
            </w:r>
          </w:p>
          <w:p w14:paraId="7B4AC431">
            <w:pPr>
              <w:adjustRightInd w:val="0"/>
              <w:snapToGrid w:val="0"/>
              <w:spacing w:line="360" w:lineRule="auto"/>
              <w:ind w:firstLine="468" w:firstLineChars="200"/>
              <w:rPr>
                <w:rFonts w:hint="default" w:ascii="Times New Roman" w:hAnsi="Times New Roman" w:cs="Times New Roman"/>
                <w:color w:val="auto"/>
                <w:spacing w:val="-3"/>
                <w:kern w:val="0"/>
                <w:sz w:val="24"/>
                <w:highlight w:val="none"/>
              </w:rPr>
            </w:pPr>
            <w:r>
              <w:rPr>
                <w:rFonts w:hint="default" w:ascii="Times New Roman" w:hAnsi="Times New Roman" w:cs="Times New Roman"/>
                <w:color w:val="auto"/>
                <w:spacing w:val="-3"/>
                <w:kern w:val="0"/>
                <w:sz w:val="24"/>
                <w:highlight w:val="none"/>
              </w:rPr>
              <w:t>X——材质厚度（mm）；</w:t>
            </w:r>
          </w:p>
          <w:p w14:paraId="779BA5CD">
            <w:pPr>
              <w:adjustRightInd w:val="0"/>
              <w:snapToGrid w:val="0"/>
              <w:spacing w:line="360" w:lineRule="auto"/>
              <w:ind w:firstLine="468" w:firstLineChars="200"/>
              <w:rPr>
                <w:rFonts w:hint="default" w:ascii="Times New Roman" w:hAnsi="Times New Roman" w:cs="Times New Roman"/>
                <w:color w:val="auto"/>
                <w:spacing w:val="-3"/>
                <w:kern w:val="0"/>
                <w:sz w:val="24"/>
                <w:highlight w:val="none"/>
              </w:rPr>
            </w:pPr>
            <w:r>
              <w:rPr>
                <w:rFonts w:hint="default" w:ascii="Times New Roman" w:hAnsi="Times New Roman" w:cs="Times New Roman"/>
                <w:color w:val="auto"/>
                <w:spacing w:val="-3"/>
                <w:kern w:val="0"/>
                <w:position w:val="-4"/>
                <w:sz w:val="24"/>
                <w:highlight w:val="none"/>
              </w:rPr>
              <w:t>α</w:t>
            </w:r>
            <w:r>
              <w:rPr>
                <w:rFonts w:hint="default" w:ascii="Times New Roman" w:hAnsi="Times New Roman" w:cs="Times New Roman"/>
                <w:color w:val="auto"/>
                <w:spacing w:val="-3"/>
                <w:kern w:val="0"/>
                <w:sz w:val="24"/>
                <w:highlight w:val="none"/>
              </w:rPr>
              <w:t>——材质对不同管电压X射线衰减的有关的拟合参数；</w:t>
            </w:r>
          </w:p>
          <w:p w14:paraId="1EA58450">
            <w:pPr>
              <w:adjustRightInd w:val="0"/>
              <w:snapToGrid w:val="0"/>
              <w:spacing w:line="360" w:lineRule="auto"/>
              <w:ind w:firstLine="468" w:firstLineChars="200"/>
              <w:rPr>
                <w:rFonts w:hint="default" w:ascii="Times New Roman" w:hAnsi="Times New Roman" w:cs="Times New Roman"/>
                <w:color w:val="auto"/>
                <w:spacing w:val="-3"/>
                <w:kern w:val="0"/>
                <w:sz w:val="24"/>
                <w:highlight w:val="none"/>
              </w:rPr>
            </w:pPr>
            <w:r>
              <w:rPr>
                <w:rFonts w:hint="default" w:ascii="Times New Roman" w:hAnsi="Times New Roman" w:cs="Times New Roman"/>
                <w:color w:val="auto"/>
                <w:spacing w:val="-3"/>
                <w:kern w:val="0"/>
                <w:sz w:val="24"/>
                <w:highlight w:val="none"/>
              </w:rPr>
              <w:t>β——材质对不同管电压X射线衰减的有关的拟合参数；</w:t>
            </w:r>
          </w:p>
          <w:p w14:paraId="28E1C04D">
            <w:pPr>
              <w:adjustRightInd w:val="0"/>
              <w:snapToGrid w:val="0"/>
              <w:spacing w:line="360" w:lineRule="auto"/>
              <w:ind w:firstLine="468" w:firstLineChars="200"/>
              <w:rPr>
                <w:rFonts w:hint="default" w:ascii="Times New Roman" w:hAnsi="Times New Roman" w:cs="Times New Roman"/>
                <w:color w:val="auto"/>
                <w:spacing w:val="-3"/>
                <w:kern w:val="0"/>
                <w:sz w:val="24"/>
                <w:highlight w:val="none"/>
              </w:rPr>
            </w:pPr>
            <w:r>
              <w:rPr>
                <w:rFonts w:hint="default" w:ascii="Times New Roman" w:hAnsi="Times New Roman" w:cs="Times New Roman"/>
                <w:color w:val="auto"/>
                <w:spacing w:val="-3"/>
                <w:kern w:val="0"/>
                <w:sz w:val="24"/>
                <w:highlight w:val="none"/>
              </w:rPr>
              <w:t>γ——材质对不同管电压X射线衰减的有关的拟合参数。</w:t>
            </w:r>
          </w:p>
          <w:p w14:paraId="3FF2B2C6">
            <w:pPr>
              <w:pStyle w:val="65"/>
              <w:adjustRightInd w:val="0"/>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表10-3以及表11-3中数据可以得出本项目屏蔽体及防护设备的透射因子，见表11-4。由于《放射诊断放射防护要求》（GBZ130-2020）中没有散射线80kV下对应的α、β、γ，因此先计算出铅和混凝土不同厚度在70kV、100kV下的透射因子，再通过插值法计算出铅和混凝土不同厚度在80kV下的透射因子。</w:t>
            </w:r>
          </w:p>
          <w:p w14:paraId="2B1591F3">
            <w:pPr>
              <w:pStyle w:val="32"/>
              <w:numPr>
                <w:ilvl w:val="0"/>
                <w:numId w:val="22"/>
              </w:numPr>
              <w:snapToGrid w:val="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 </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DSA机房屏蔽参数及辐射透射因子一览表</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753"/>
              <w:gridCol w:w="1688"/>
              <w:gridCol w:w="1437"/>
              <w:gridCol w:w="910"/>
              <w:gridCol w:w="900"/>
              <w:gridCol w:w="968"/>
              <w:gridCol w:w="882"/>
            </w:tblGrid>
            <w:tr w14:paraId="6BC55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455" w:type="pct"/>
                  <w:vMerge w:val="restart"/>
                  <w:tcBorders>
                    <w:top w:val="single" w:color="auto" w:sz="4" w:space="0"/>
                    <w:left w:val="single" w:color="auto" w:sz="4" w:space="0"/>
                    <w:right w:val="single" w:color="auto" w:sz="4" w:space="0"/>
                  </w:tcBorders>
                  <w:vAlign w:val="center"/>
                </w:tcPr>
                <w:p w14:paraId="7DF13949">
                  <w:pPr>
                    <w:pStyle w:val="65"/>
                    <w:adjustRightInd w:val="0"/>
                    <w:snapToGrid w:val="0"/>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场所</w:t>
                  </w:r>
                </w:p>
              </w:tc>
              <w:tc>
                <w:tcPr>
                  <w:tcW w:w="453" w:type="pct"/>
                  <w:vMerge w:val="restart"/>
                  <w:tcBorders>
                    <w:top w:val="single" w:color="auto" w:sz="4" w:space="0"/>
                    <w:left w:val="single" w:color="auto" w:sz="4" w:space="0"/>
                    <w:right w:val="single" w:color="auto" w:sz="4" w:space="0"/>
                  </w:tcBorders>
                  <w:vAlign w:val="center"/>
                </w:tcPr>
                <w:p w14:paraId="50F1C3DC">
                  <w:pPr>
                    <w:pStyle w:val="65"/>
                    <w:adjustRightInd w:val="0"/>
                    <w:snapToGrid w:val="0"/>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屏蔽方位</w:t>
                  </w:r>
                </w:p>
              </w:tc>
              <w:tc>
                <w:tcPr>
                  <w:tcW w:w="1017" w:type="pct"/>
                  <w:vMerge w:val="restart"/>
                  <w:tcBorders>
                    <w:top w:val="single" w:color="auto" w:sz="4" w:space="0"/>
                    <w:left w:val="single" w:color="auto" w:sz="4" w:space="0"/>
                    <w:right w:val="single" w:color="auto" w:sz="4" w:space="0"/>
                  </w:tcBorders>
                  <w:vAlign w:val="center"/>
                </w:tcPr>
                <w:p w14:paraId="4AF17779">
                  <w:pPr>
                    <w:pStyle w:val="65"/>
                    <w:adjustRightInd w:val="0"/>
                    <w:snapToGrid w:val="0"/>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实际屏蔽材料及屏蔽厚度</w:t>
                  </w:r>
                </w:p>
              </w:tc>
              <w:tc>
                <w:tcPr>
                  <w:tcW w:w="866" w:type="pct"/>
                  <w:vMerge w:val="restart"/>
                  <w:tcBorders>
                    <w:top w:val="single" w:color="auto" w:sz="4" w:space="0"/>
                    <w:left w:val="single" w:color="auto" w:sz="4" w:space="0"/>
                    <w:right w:val="single" w:color="auto" w:sz="4" w:space="0"/>
                  </w:tcBorders>
                  <w:vAlign w:val="center"/>
                </w:tcPr>
                <w:p w14:paraId="32F33A60">
                  <w:pPr>
                    <w:pStyle w:val="65"/>
                    <w:adjustRightInd w:val="0"/>
                    <w:snapToGrid w:val="0"/>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等效铅当量</w:t>
                  </w:r>
                </w:p>
              </w:tc>
              <w:tc>
                <w:tcPr>
                  <w:tcW w:w="1091" w:type="pct"/>
                  <w:gridSpan w:val="2"/>
                  <w:tcBorders>
                    <w:top w:val="single" w:color="auto" w:sz="4" w:space="0"/>
                    <w:left w:val="single" w:color="auto" w:sz="4" w:space="0"/>
                    <w:bottom w:val="single" w:color="auto" w:sz="4" w:space="0"/>
                    <w:right w:val="single" w:color="auto" w:sz="4" w:space="0"/>
                  </w:tcBorders>
                  <w:vAlign w:val="center"/>
                </w:tcPr>
                <w:p w14:paraId="508D85DD">
                  <w:pPr>
                    <w:pStyle w:val="65"/>
                    <w:adjustRightInd w:val="0"/>
                    <w:snapToGrid w:val="0"/>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透视（</w:t>
                  </w:r>
                  <w:r>
                    <w:rPr>
                      <w:rFonts w:hint="eastAsia" w:ascii="Times New Roman" w:hAnsi="Times New Roman" w:cs="Times New Roman"/>
                      <w:color w:val="auto"/>
                      <w:sz w:val="18"/>
                      <w:szCs w:val="18"/>
                      <w:highlight w:val="none"/>
                      <w:lang w:val="en-US" w:eastAsia="zh-CN"/>
                    </w:rPr>
                    <w:t>9</w:t>
                  </w:r>
                  <w:r>
                    <w:rPr>
                      <w:rFonts w:hint="default" w:ascii="Times New Roman" w:hAnsi="Times New Roman" w:cs="Times New Roman"/>
                      <w:color w:val="auto"/>
                      <w:sz w:val="18"/>
                      <w:szCs w:val="18"/>
                      <w:highlight w:val="none"/>
                    </w:rPr>
                    <w:t>0kV）</w:t>
                  </w:r>
                </w:p>
              </w:tc>
              <w:tc>
                <w:tcPr>
                  <w:tcW w:w="1115" w:type="pct"/>
                  <w:gridSpan w:val="2"/>
                  <w:tcBorders>
                    <w:top w:val="single" w:color="auto" w:sz="4" w:space="0"/>
                    <w:left w:val="single" w:color="auto" w:sz="4" w:space="0"/>
                    <w:bottom w:val="single" w:color="auto" w:sz="4" w:space="0"/>
                    <w:right w:val="single" w:color="auto" w:sz="4" w:space="0"/>
                  </w:tcBorders>
                  <w:vAlign w:val="center"/>
                </w:tcPr>
                <w:p w14:paraId="10D7830E">
                  <w:pPr>
                    <w:pStyle w:val="65"/>
                    <w:adjustRightInd w:val="0"/>
                    <w:snapToGrid w:val="0"/>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拍片（100kV）</w:t>
                  </w:r>
                </w:p>
              </w:tc>
            </w:tr>
            <w:tr w14:paraId="63EBF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455" w:type="pct"/>
                  <w:vMerge w:val="continue"/>
                  <w:tcBorders>
                    <w:left w:val="single" w:color="auto" w:sz="4" w:space="0"/>
                    <w:bottom w:val="single" w:color="auto" w:sz="4" w:space="0"/>
                    <w:right w:val="single" w:color="auto" w:sz="4" w:space="0"/>
                  </w:tcBorders>
                  <w:vAlign w:val="center"/>
                </w:tcPr>
                <w:p w14:paraId="68B64CB7">
                  <w:pPr>
                    <w:pStyle w:val="65"/>
                    <w:adjustRightInd w:val="0"/>
                    <w:snapToGrid w:val="0"/>
                    <w:ind w:firstLine="0" w:firstLineChars="0"/>
                    <w:jc w:val="center"/>
                    <w:rPr>
                      <w:rFonts w:hint="default" w:ascii="Times New Roman" w:hAnsi="Times New Roman" w:cs="Times New Roman"/>
                      <w:color w:val="auto"/>
                      <w:sz w:val="18"/>
                      <w:szCs w:val="18"/>
                      <w:highlight w:val="none"/>
                    </w:rPr>
                  </w:pPr>
                </w:p>
              </w:tc>
              <w:tc>
                <w:tcPr>
                  <w:tcW w:w="453" w:type="pct"/>
                  <w:vMerge w:val="continue"/>
                  <w:tcBorders>
                    <w:left w:val="single" w:color="auto" w:sz="4" w:space="0"/>
                    <w:bottom w:val="single" w:color="auto" w:sz="4" w:space="0"/>
                    <w:right w:val="single" w:color="auto" w:sz="4" w:space="0"/>
                  </w:tcBorders>
                  <w:vAlign w:val="center"/>
                </w:tcPr>
                <w:p w14:paraId="40A87763">
                  <w:pPr>
                    <w:pStyle w:val="65"/>
                    <w:adjustRightInd w:val="0"/>
                    <w:snapToGrid w:val="0"/>
                    <w:ind w:firstLine="0" w:firstLineChars="0"/>
                    <w:jc w:val="center"/>
                    <w:rPr>
                      <w:rFonts w:hint="default" w:ascii="Times New Roman" w:hAnsi="Times New Roman" w:cs="Times New Roman"/>
                      <w:color w:val="auto"/>
                      <w:sz w:val="18"/>
                      <w:szCs w:val="18"/>
                      <w:highlight w:val="none"/>
                    </w:rPr>
                  </w:pPr>
                </w:p>
              </w:tc>
              <w:tc>
                <w:tcPr>
                  <w:tcW w:w="1017" w:type="pct"/>
                  <w:vMerge w:val="continue"/>
                  <w:tcBorders>
                    <w:left w:val="single" w:color="auto" w:sz="4" w:space="0"/>
                    <w:bottom w:val="single" w:color="auto" w:sz="4" w:space="0"/>
                    <w:right w:val="single" w:color="auto" w:sz="4" w:space="0"/>
                  </w:tcBorders>
                  <w:vAlign w:val="center"/>
                </w:tcPr>
                <w:p w14:paraId="62FED334">
                  <w:pPr>
                    <w:pStyle w:val="65"/>
                    <w:adjustRightInd w:val="0"/>
                    <w:snapToGrid w:val="0"/>
                    <w:ind w:firstLine="0" w:firstLineChars="0"/>
                    <w:jc w:val="center"/>
                    <w:rPr>
                      <w:rFonts w:hint="default" w:ascii="Times New Roman" w:hAnsi="Times New Roman" w:cs="Times New Roman"/>
                      <w:color w:val="auto"/>
                      <w:sz w:val="18"/>
                      <w:szCs w:val="18"/>
                      <w:highlight w:val="none"/>
                    </w:rPr>
                  </w:pPr>
                </w:p>
              </w:tc>
              <w:tc>
                <w:tcPr>
                  <w:tcW w:w="866" w:type="pct"/>
                  <w:vMerge w:val="continue"/>
                  <w:tcBorders>
                    <w:left w:val="single" w:color="auto" w:sz="4" w:space="0"/>
                    <w:bottom w:val="single" w:color="auto" w:sz="4" w:space="0"/>
                    <w:right w:val="single" w:color="auto" w:sz="4" w:space="0"/>
                  </w:tcBorders>
                  <w:vAlign w:val="center"/>
                </w:tcPr>
                <w:p w14:paraId="7F9F4E46">
                  <w:pPr>
                    <w:pStyle w:val="65"/>
                    <w:adjustRightInd w:val="0"/>
                    <w:snapToGrid w:val="0"/>
                    <w:ind w:firstLine="0" w:firstLineChars="0"/>
                    <w:jc w:val="center"/>
                    <w:rPr>
                      <w:rFonts w:hint="default" w:ascii="Times New Roman" w:hAnsi="Times New Roman" w:cs="Times New Roman"/>
                      <w:color w:val="auto"/>
                      <w:sz w:val="18"/>
                      <w:szCs w:val="18"/>
                      <w:highlight w:val="none"/>
                    </w:rPr>
                  </w:pPr>
                </w:p>
              </w:tc>
              <w:tc>
                <w:tcPr>
                  <w:tcW w:w="548" w:type="pct"/>
                  <w:tcBorders>
                    <w:top w:val="single" w:color="auto" w:sz="4" w:space="0"/>
                    <w:left w:val="single" w:color="auto" w:sz="4" w:space="0"/>
                    <w:bottom w:val="single" w:color="auto" w:sz="4" w:space="0"/>
                    <w:right w:val="single" w:color="auto" w:sz="4" w:space="0"/>
                  </w:tcBorders>
                  <w:vAlign w:val="center"/>
                </w:tcPr>
                <w:p w14:paraId="2119EAEB">
                  <w:pPr>
                    <w:pStyle w:val="65"/>
                    <w:adjustRightInd w:val="0"/>
                    <w:snapToGrid w:val="0"/>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对散射线的透射因子</w:t>
                  </w:r>
                </w:p>
              </w:tc>
              <w:tc>
                <w:tcPr>
                  <w:tcW w:w="542" w:type="pct"/>
                  <w:tcBorders>
                    <w:top w:val="single" w:color="auto" w:sz="4" w:space="0"/>
                    <w:left w:val="single" w:color="auto" w:sz="4" w:space="0"/>
                    <w:bottom w:val="single" w:color="auto" w:sz="4" w:space="0"/>
                    <w:right w:val="single" w:color="auto" w:sz="4" w:space="0"/>
                  </w:tcBorders>
                  <w:vAlign w:val="center"/>
                </w:tcPr>
                <w:p w14:paraId="4BBF2F09">
                  <w:pPr>
                    <w:pStyle w:val="65"/>
                    <w:adjustRightInd w:val="0"/>
                    <w:snapToGrid w:val="0"/>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对主/泄漏射线的透射因子</w:t>
                  </w:r>
                </w:p>
              </w:tc>
              <w:tc>
                <w:tcPr>
                  <w:tcW w:w="583" w:type="pct"/>
                  <w:tcBorders>
                    <w:top w:val="single" w:color="auto" w:sz="4" w:space="0"/>
                    <w:left w:val="single" w:color="auto" w:sz="4" w:space="0"/>
                    <w:bottom w:val="single" w:color="auto" w:sz="4" w:space="0"/>
                    <w:right w:val="single" w:color="auto" w:sz="4" w:space="0"/>
                  </w:tcBorders>
                  <w:vAlign w:val="center"/>
                </w:tcPr>
                <w:p w14:paraId="3A11D89C">
                  <w:pPr>
                    <w:pStyle w:val="65"/>
                    <w:adjustRightInd w:val="0"/>
                    <w:snapToGrid w:val="0"/>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对散射线的透射因子</w:t>
                  </w:r>
                </w:p>
              </w:tc>
              <w:tc>
                <w:tcPr>
                  <w:tcW w:w="531" w:type="pct"/>
                  <w:tcBorders>
                    <w:top w:val="single" w:color="auto" w:sz="4" w:space="0"/>
                    <w:left w:val="single" w:color="auto" w:sz="4" w:space="0"/>
                    <w:bottom w:val="single" w:color="auto" w:sz="4" w:space="0"/>
                    <w:right w:val="single" w:color="auto" w:sz="4" w:space="0"/>
                  </w:tcBorders>
                  <w:vAlign w:val="center"/>
                </w:tcPr>
                <w:p w14:paraId="7F86AE86">
                  <w:pPr>
                    <w:pStyle w:val="65"/>
                    <w:adjustRightInd w:val="0"/>
                    <w:snapToGrid w:val="0"/>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对主/泄漏射线的透射因子</w:t>
                  </w:r>
                </w:p>
              </w:tc>
            </w:tr>
            <w:tr w14:paraId="03E78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5" w:type="pct"/>
                  <w:vMerge w:val="restart"/>
                  <w:tcBorders>
                    <w:left w:val="single" w:color="auto" w:sz="4" w:space="0"/>
                    <w:right w:val="single" w:color="auto" w:sz="4" w:space="0"/>
                  </w:tcBorders>
                  <w:vAlign w:val="center"/>
                </w:tcPr>
                <w:p w14:paraId="76D3B096">
                  <w:pPr>
                    <w:widowControl/>
                    <w:adjustRightInd w:val="0"/>
                    <w:snapToGrid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DSA机房</w:t>
                  </w:r>
                </w:p>
              </w:tc>
              <w:tc>
                <w:tcPr>
                  <w:tcW w:w="453" w:type="pct"/>
                  <w:tcBorders>
                    <w:top w:val="single" w:color="auto" w:sz="4" w:space="0"/>
                    <w:left w:val="single" w:color="auto" w:sz="4" w:space="0"/>
                    <w:bottom w:val="single" w:color="auto" w:sz="4" w:space="0"/>
                    <w:right w:val="single" w:color="auto" w:sz="4" w:space="0"/>
                  </w:tcBorders>
                  <w:shd w:val="clear" w:color="auto" w:fill="auto"/>
                  <w:vAlign w:val="center"/>
                </w:tcPr>
                <w:p w14:paraId="6B12A7C5">
                  <w:pPr>
                    <w:widowControl/>
                    <w:adjustRightInd w:val="0"/>
                    <w:snapToGrid w:val="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四周墙体</w:t>
                  </w:r>
                </w:p>
              </w:tc>
              <w:tc>
                <w:tcPr>
                  <w:tcW w:w="1017" w:type="pct"/>
                  <w:tcBorders>
                    <w:top w:val="single" w:color="auto" w:sz="4" w:space="0"/>
                    <w:left w:val="single" w:color="auto" w:sz="4" w:space="0"/>
                    <w:bottom w:val="single" w:color="auto" w:sz="4" w:space="0"/>
                    <w:right w:val="single" w:color="auto" w:sz="4" w:space="0"/>
                  </w:tcBorders>
                  <w:shd w:val="clear" w:color="auto" w:fill="auto"/>
                  <w:vAlign w:val="center"/>
                </w:tcPr>
                <w:p w14:paraId="7F6CC6AE">
                  <w:pPr>
                    <w:adjustRightInd w:val="0"/>
                    <w:snapToGrid w:val="0"/>
                    <w:jc w:val="center"/>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200</w:t>
                  </w:r>
                  <w:r>
                    <w:rPr>
                      <w:rFonts w:hint="default" w:ascii="Times New Roman" w:hAnsi="Times New Roman" w:cs="Times New Roman"/>
                      <w:color w:val="auto"/>
                      <w:sz w:val="18"/>
                      <w:szCs w:val="18"/>
                      <w:highlight w:val="none"/>
                      <w:lang w:val="en-US" w:eastAsia="zh-CN"/>
                    </w:rPr>
                    <w:t>mm厚实心砖砌体+22mm复合射线防护板</w:t>
                  </w:r>
                </w:p>
              </w:tc>
              <w:tc>
                <w:tcPr>
                  <w:tcW w:w="866" w:type="pct"/>
                  <w:tcBorders>
                    <w:top w:val="single" w:color="auto" w:sz="4" w:space="0"/>
                    <w:left w:val="single" w:color="auto" w:sz="4" w:space="0"/>
                    <w:bottom w:val="single" w:color="auto" w:sz="4" w:space="0"/>
                    <w:right w:val="single" w:color="auto" w:sz="4" w:space="0"/>
                  </w:tcBorders>
                  <w:shd w:val="clear" w:color="auto" w:fill="auto"/>
                  <w:vAlign w:val="center"/>
                </w:tcPr>
                <w:p w14:paraId="15C2DD67">
                  <w:pPr>
                    <w:pStyle w:val="65"/>
                    <w:adjustRightInd w:val="0"/>
                    <w:snapToGrid w:val="0"/>
                    <w:ind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eastAsia" w:ascii="Times New Roman" w:hAnsi="Times New Roman" w:cs="Times New Roman"/>
                      <w:color w:val="auto"/>
                      <w:kern w:val="0"/>
                      <w:sz w:val="18"/>
                      <w:szCs w:val="18"/>
                      <w:highlight w:val="none"/>
                      <w:lang w:val="en-US" w:eastAsia="zh-CN"/>
                    </w:rPr>
                    <w:t>1.8mmPb+3.045mmPb=4.845mmPb</w:t>
                  </w:r>
                </w:p>
              </w:tc>
              <w:tc>
                <w:tcPr>
                  <w:tcW w:w="548" w:type="pct"/>
                  <w:tcBorders>
                    <w:top w:val="single" w:color="auto" w:sz="4" w:space="0"/>
                    <w:left w:val="single" w:color="auto" w:sz="4" w:space="0"/>
                    <w:bottom w:val="single" w:color="auto" w:sz="4" w:space="0"/>
                    <w:right w:val="single" w:color="auto" w:sz="4" w:space="0"/>
                  </w:tcBorders>
                  <w:shd w:val="clear" w:color="auto" w:fill="auto"/>
                  <w:vAlign w:val="center"/>
                </w:tcPr>
                <w:p w14:paraId="12A91BDE">
                  <w:pPr>
                    <w:pStyle w:val="65"/>
                    <w:adjustRightInd w:val="0"/>
                    <w:snapToGrid w:val="0"/>
                    <w:ind w:firstLine="0" w:firstLineChars="0"/>
                    <w:jc w:val="center"/>
                    <w:rPr>
                      <w:rFonts w:hint="default" w:ascii="Times New Roman" w:hAnsi="Times New Roman" w:eastAsia="宋体" w:cs="Times New Roman"/>
                      <w:i w:val="0"/>
                      <w:iCs w:val="0"/>
                      <w:color w:val="auto"/>
                      <w:kern w:val="2"/>
                      <w:sz w:val="22"/>
                      <w:szCs w:val="22"/>
                      <w:highlight w:val="none"/>
                      <w:u w:val="none"/>
                      <w:lang w:val="en-US" w:eastAsia="zh-CN" w:bidi="ar-SA"/>
                    </w:rPr>
                  </w:pPr>
                  <w:r>
                    <w:rPr>
                      <w:rFonts w:hint="default" w:ascii="Times New Roman" w:hAnsi="Times New Roman" w:cs="Times New Roman"/>
                      <w:color w:val="auto"/>
                      <w:kern w:val="0"/>
                      <w:sz w:val="18"/>
                      <w:szCs w:val="18"/>
                      <w:highlight w:val="none"/>
                      <w:lang w:val="en-US" w:eastAsia="zh-CN"/>
                    </w:rPr>
                    <w:t>4.12E-07</w:t>
                  </w:r>
                </w:p>
              </w:tc>
              <w:tc>
                <w:tcPr>
                  <w:tcW w:w="542" w:type="pct"/>
                  <w:tcBorders>
                    <w:top w:val="single" w:color="auto" w:sz="4" w:space="0"/>
                    <w:left w:val="single" w:color="auto" w:sz="4" w:space="0"/>
                    <w:bottom w:val="single" w:color="auto" w:sz="4" w:space="0"/>
                    <w:right w:val="single" w:color="auto" w:sz="4" w:space="0"/>
                  </w:tcBorders>
                  <w:shd w:val="clear" w:color="auto" w:fill="auto"/>
                  <w:vAlign w:val="center"/>
                </w:tcPr>
                <w:p w14:paraId="51F25AAA">
                  <w:pPr>
                    <w:pStyle w:val="65"/>
                    <w:adjustRightInd w:val="0"/>
                    <w:snapToGrid w:val="0"/>
                    <w:ind w:firstLine="0" w:firstLineChars="0"/>
                    <w:jc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2.76E-08</w:t>
                  </w:r>
                </w:p>
              </w:tc>
              <w:tc>
                <w:tcPr>
                  <w:tcW w:w="583" w:type="pct"/>
                  <w:tcBorders>
                    <w:top w:val="single" w:color="auto" w:sz="4" w:space="0"/>
                    <w:left w:val="single" w:color="auto" w:sz="4" w:space="0"/>
                    <w:bottom w:val="single" w:color="auto" w:sz="4" w:space="0"/>
                    <w:right w:val="single" w:color="auto" w:sz="4" w:space="0"/>
                  </w:tcBorders>
                  <w:shd w:val="clear" w:color="auto" w:fill="auto"/>
                  <w:vAlign w:val="center"/>
                </w:tcPr>
                <w:p w14:paraId="076F7C87">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6.18E-07</w:t>
                  </w:r>
                </w:p>
              </w:tc>
              <w:tc>
                <w:tcPr>
                  <w:tcW w:w="531" w:type="pct"/>
                  <w:tcBorders>
                    <w:top w:val="single" w:color="auto" w:sz="4" w:space="0"/>
                    <w:left w:val="single" w:color="auto" w:sz="4" w:space="0"/>
                    <w:bottom w:val="single" w:color="auto" w:sz="4" w:space="0"/>
                    <w:right w:val="single" w:color="auto" w:sz="4" w:space="0"/>
                  </w:tcBorders>
                  <w:shd w:val="clear" w:color="auto" w:fill="auto"/>
                  <w:vAlign w:val="center"/>
                </w:tcPr>
                <w:p w14:paraId="6BB21EBB">
                  <w:pPr>
                    <w:pStyle w:val="65"/>
                    <w:adjustRightInd w:val="0"/>
                    <w:snapToGrid w:val="0"/>
                    <w:ind w:firstLine="0" w:firstLineChars="0"/>
                    <w:jc w:val="center"/>
                    <w:rPr>
                      <w:rFonts w:hint="default" w:ascii="Times New Roman" w:hAnsi="Times New Roman" w:eastAsia="宋体" w:cs="Times New Roman"/>
                      <w:i w:val="0"/>
                      <w:iCs w:val="0"/>
                      <w:color w:val="auto"/>
                      <w:kern w:val="2"/>
                      <w:sz w:val="22"/>
                      <w:szCs w:val="22"/>
                      <w:highlight w:val="none"/>
                      <w:u w:val="none"/>
                      <w:lang w:val="en-US" w:eastAsia="zh-CN" w:bidi="ar-SA"/>
                    </w:rPr>
                  </w:pPr>
                  <w:r>
                    <w:rPr>
                      <w:rFonts w:hint="default" w:ascii="Times New Roman" w:hAnsi="Times New Roman" w:cs="Times New Roman"/>
                      <w:color w:val="auto"/>
                      <w:kern w:val="0"/>
                      <w:sz w:val="18"/>
                      <w:szCs w:val="18"/>
                      <w:highlight w:val="none"/>
                      <w:lang w:val="en-US" w:eastAsia="zh-CN"/>
                    </w:rPr>
                    <w:t>4.09E-07</w:t>
                  </w:r>
                </w:p>
              </w:tc>
            </w:tr>
            <w:tr w14:paraId="5C8BD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5" w:type="pct"/>
                  <w:vMerge w:val="continue"/>
                  <w:tcBorders>
                    <w:left w:val="single" w:color="auto" w:sz="4" w:space="0"/>
                    <w:right w:val="single" w:color="auto" w:sz="4" w:space="0"/>
                  </w:tcBorders>
                  <w:vAlign w:val="center"/>
                </w:tcPr>
                <w:p w14:paraId="6ECE38C6">
                  <w:pPr>
                    <w:widowControl/>
                    <w:adjustRightInd w:val="0"/>
                    <w:snapToGrid w:val="0"/>
                    <w:jc w:val="center"/>
                    <w:textAlignment w:val="center"/>
                    <w:rPr>
                      <w:rFonts w:hint="default" w:ascii="Times New Roman" w:hAnsi="Times New Roman" w:cs="Times New Roman"/>
                      <w:color w:val="auto"/>
                      <w:sz w:val="18"/>
                      <w:szCs w:val="18"/>
                      <w:highlight w:val="none"/>
                    </w:rPr>
                  </w:pPr>
                </w:p>
              </w:tc>
              <w:tc>
                <w:tcPr>
                  <w:tcW w:w="453" w:type="pct"/>
                  <w:tcBorders>
                    <w:top w:val="single" w:color="auto" w:sz="4" w:space="0"/>
                    <w:left w:val="single" w:color="auto" w:sz="4" w:space="0"/>
                    <w:bottom w:val="single" w:color="auto" w:sz="4" w:space="0"/>
                    <w:right w:val="single" w:color="auto" w:sz="4" w:space="0"/>
                  </w:tcBorders>
                  <w:shd w:val="clear" w:color="auto" w:fill="auto"/>
                  <w:vAlign w:val="center"/>
                </w:tcPr>
                <w:p w14:paraId="5EBA4C44">
                  <w:pPr>
                    <w:widowControl/>
                    <w:adjustRightInd w:val="0"/>
                    <w:snapToGrid w:val="0"/>
                    <w:jc w:val="center"/>
                    <w:rPr>
                      <w:rFonts w:hint="eastAsia" w:ascii="Times New Roman" w:hAnsi="Times New Roman" w:eastAsia="宋体" w:cs="Times New Roman"/>
                      <w:color w:val="auto"/>
                      <w:kern w:val="0"/>
                      <w:sz w:val="18"/>
                      <w:szCs w:val="18"/>
                      <w:highlight w:val="none"/>
                      <w:lang w:val="en-US" w:eastAsia="zh-CN"/>
                    </w:rPr>
                  </w:pPr>
                  <w:r>
                    <w:rPr>
                      <w:rFonts w:hint="eastAsia" w:ascii="Times New Roman" w:hAnsi="Times New Roman" w:cs="Times New Roman"/>
                      <w:color w:val="auto"/>
                      <w:kern w:val="0"/>
                      <w:sz w:val="18"/>
                      <w:szCs w:val="18"/>
                      <w:highlight w:val="none"/>
                      <w:lang w:val="en-US" w:eastAsia="zh-CN"/>
                    </w:rPr>
                    <w:t>地面</w:t>
                  </w:r>
                </w:p>
              </w:tc>
              <w:tc>
                <w:tcPr>
                  <w:tcW w:w="1017" w:type="pct"/>
                  <w:tcBorders>
                    <w:top w:val="single" w:color="auto" w:sz="4" w:space="0"/>
                    <w:left w:val="single" w:color="auto" w:sz="4" w:space="0"/>
                    <w:bottom w:val="single" w:color="auto" w:sz="4" w:space="0"/>
                    <w:right w:val="single" w:color="auto" w:sz="4" w:space="0"/>
                  </w:tcBorders>
                  <w:shd w:val="clear" w:color="auto" w:fill="auto"/>
                  <w:vAlign w:val="center"/>
                </w:tcPr>
                <w:p w14:paraId="08A56F2E">
                  <w:pPr>
                    <w:adjustRightInd w:val="0"/>
                    <w:snapToGrid w:val="0"/>
                    <w:jc w:val="center"/>
                    <w:rPr>
                      <w:rFonts w:hint="eastAsia"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150mm混凝土+45mm硫酸钡水泥</w:t>
                  </w:r>
                </w:p>
              </w:tc>
              <w:tc>
                <w:tcPr>
                  <w:tcW w:w="866" w:type="pct"/>
                  <w:tcBorders>
                    <w:top w:val="single" w:color="auto" w:sz="4" w:space="0"/>
                    <w:left w:val="single" w:color="auto" w:sz="4" w:space="0"/>
                    <w:bottom w:val="single" w:color="auto" w:sz="4" w:space="0"/>
                    <w:right w:val="single" w:color="auto" w:sz="4" w:space="0"/>
                  </w:tcBorders>
                  <w:shd w:val="clear" w:color="auto" w:fill="auto"/>
                  <w:vAlign w:val="center"/>
                </w:tcPr>
                <w:p w14:paraId="0F42EB1B">
                  <w:pPr>
                    <w:pStyle w:val="65"/>
                    <w:adjustRightInd w:val="0"/>
                    <w:snapToGrid w:val="0"/>
                    <w:ind w:firstLine="0" w:firstLineChars="0"/>
                    <w:jc w:val="center"/>
                    <w:rPr>
                      <w:rFonts w:hint="eastAsia" w:ascii="Times New Roman" w:hAnsi="Times New Roman" w:cs="Times New Roman"/>
                      <w:color w:val="auto"/>
                      <w:kern w:val="0"/>
                      <w:sz w:val="18"/>
                      <w:szCs w:val="18"/>
                      <w:highlight w:val="none"/>
                      <w:lang w:val="en-US" w:eastAsia="zh-CN"/>
                    </w:rPr>
                  </w:pPr>
                  <w:r>
                    <w:rPr>
                      <w:rFonts w:hint="eastAsia" w:ascii="Times New Roman" w:hAnsi="Times New Roman" w:cs="Times New Roman"/>
                      <w:color w:val="auto"/>
                      <w:kern w:val="0"/>
                      <w:sz w:val="18"/>
                      <w:szCs w:val="18"/>
                      <w:highlight w:val="none"/>
                      <w:lang w:val="en-US" w:eastAsia="zh-CN"/>
                    </w:rPr>
                    <w:t>1.87mmPb+3.47mmPb=5.34mmPb</w:t>
                  </w:r>
                </w:p>
              </w:tc>
              <w:tc>
                <w:tcPr>
                  <w:tcW w:w="548" w:type="pct"/>
                  <w:tcBorders>
                    <w:top w:val="single" w:color="auto" w:sz="4" w:space="0"/>
                    <w:left w:val="single" w:color="auto" w:sz="4" w:space="0"/>
                    <w:bottom w:val="single" w:color="auto" w:sz="4" w:space="0"/>
                    <w:right w:val="single" w:color="auto" w:sz="4" w:space="0"/>
                  </w:tcBorders>
                  <w:shd w:val="clear" w:color="auto" w:fill="auto"/>
                  <w:vAlign w:val="center"/>
                </w:tcPr>
                <w:p w14:paraId="08AE35BE">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1.19E-07</w:t>
                  </w:r>
                </w:p>
              </w:tc>
              <w:tc>
                <w:tcPr>
                  <w:tcW w:w="542" w:type="pct"/>
                  <w:tcBorders>
                    <w:top w:val="single" w:color="auto" w:sz="4" w:space="0"/>
                    <w:left w:val="single" w:color="auto" w:sz="4" w:space="0"/>
                    <w:bottom w:val="single" w:color="auto" w:sz="4" w:space="0"/>
                    <w:right w:val="single" w:color="auto" w:sz="4" w:space="0"/>
                  </w:tcBorders>
                  <w:shd w:val="clear" w:color="auto" w:fill="auto"/>
                  <w:vAlign w:val="center"/>
                </w:tcPr>
                <w:p w14:paraId="3FAD1EC9">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6.06E-09</w:t>
                  </w:r>
                </w:p>
              </w:tc>
              <w:tc>
                <w:tcPr>
                  <w:tcW w:w="583" w:type="pct"/>
                  <w:tcBorders>
                    <w:top w:val="single" w:color="auto" w:sz="4" w:space="0"/>
                    <w:left w:val="single" w:color="auto" w:sz="4" w:space="0"/>
                    <w:bottom w:val="single" w:color="auto" w:sz="4" w:space="0"/>
                    <w:right w:val="single" w:color="auto" w:sz="4" w:space="0"/>
                  </w:tcBorders>
                  <w:shd w:val="clear" w:color="auto" w:fill="auto"/>
                  <w:vAlign w:val="center"/>
                </w:tcPr>
                <w:p w14:paraId="46567D6E">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1.79E-07</w:t>
                  </w:r>
                </w:p>
              </w:tc>
              <w:tc>
                <w:tcPr>
                  <w:tcW w:w="531" w:type="pct"/>
                  <w:tcBorders>
                    <w:top w:val="single" w:color="auto" w:sz="4" w:space="0"/>
                    <w:left w:val="single" w:color="auto" w:sz="4" w:space="0"/>
                    <w:bottom w:val="single" w:color="auto" w:sz="4" w:space="0"/>
                    <w:right w:val="single" w:color="auto" w:sz="4" w:space="0"/>
                  </w:tcBorders>
                  <w:shd w:val="clear" w:color="auto" w:fill="auto"/>
                  <w:vAlign w:val="center"/>
                </w:tcPr>
                <w:p w14:paraId="54D117F5">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1.19E-07</w:t>
                  </w:r>
                </w:p>
              </w:tc>
            </w:tr>
            <w:tr w14:paraId="6BE4C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Merge w:val="continue"/>
                  <w:tcBorders>
                    <w:left w:val="single" w:color="auto" w:sz="4" w:space="0"/>
                    <w:right w:val="single" w:color="auto" w:sz="4" w:space="0"/>
                  </w:tcBorders>
                  <w:vAlign w:val="center"/>
                </w:tcPr>
                <w:p w14:paraId="29CA8EA2">
                  <w:pPr>
                    <w:adjustRightInd w:val="0"/>
                    <w:snapToGrid w:val="0"/>
                    <w:jc w:val="center"/>
                    <w:rPr>
                      <w:rFonts w:hint="default" w:ascii="Times New Roman" w:hAnsi="Times New Roman" w:cs="Times New Roman"/>
                      <w:color w:val="auto"/>
                      <w:sz w:val="18"/>
                      <w:szCs w:val="18"/>
                      <w:highlight w:val="none"/>
                    </w:rPr>
                  </w:pPr>
                </w:p>
              </w:tc>
              <w:tc>
                <w:tcPr>
                  <w:tcW w:w="453" w:type="pct"/>
                  <w:tcBorders>
                    <w:top w:val="single" w:color="auto" w:sz="4" w:space="0"/>
                    <w:left w:val="single" w:color="auto" w:sz="4" w:space="0"/>
                    <w:bottom w:val="single" w:color="auto" w:sz="4" w:space="0"/>
                    <w:right w:val="single" w:color="auto" w:sz="4" w:space="0"/>
                  </w:tcBorders>
                  <w:shd w:val="clear" w:color="auto" w:fill="auto"/>
                  <w:vAlign w:val="center"/>
                </w:tcPr>
                <w:p w14:paraId="529E1B15">
                  <w:pPr>
                    <w:widowControl/>
                    <w:adjustRightInd w:val="0"/>
                    <w:snapToGrid w:val="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屋顶</w:t>
                  </w:r>
                </w:p>
              </w:tc>
              <w:tc>
                <w:tcPr>
                  <w:tcW w:w="1017" w:type="pct"/>
                  <w:tcBorders>
                    <w:top w:val="single" w:color="auto" w:sz="4" w:space="0"/>
                    <w:left w:val="single" w:color="auto" w:sz="4" w:space="0"/>
                    <w:bottom w:val="single" w:color="auto" w:sz="4" w:space="0"/>
                    <w:right w:val="single" w:color="auto" w:sz="4" w:space="0"/>
                  </w:tcBorders>
                  <w:shd w:val="clear" w:color="auto" w:fill="auto"/>
                  <w:vAlign w:val="center"/>
                </w:tcPr>
                <w:p w14:paraId="1904CA1F">
                  <w:pPr>
                    <w:adjustRightInd w:val="0"/>
                    <w:snapToGrid w:val="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s="Times New Roman"/>
                      <w:color w:val="auto"/>
                      <w:sz w:val="18"/>
                      <w:szCs w:val="18"/>
                      <w:highlight w:val="none"/>
                      <w:lang w:val="en-US" w:eastAsia="zh-CN"/>
                    </w:rPr>
                    <w:t>150mm混凝土+22mm复合射线防护板</w:t>
                  </w:r>
                </w:p>
              </w:tc>
              <w:tc>
                <w:tcPr>
                  <w:tcW w:w="866" w:type="pct"/>
                  <w:tcBorders>
                    <w:top w:val="single" w:color="auto" w:sz="4" w:space="0"/>
                    <w:left w:val="single" w:color="auto" w:sz="4" w:space="0"/>
                    <w:bottom w:val="single" w:color="auto" w:sz="4" w:space="0"/>
                    <w:right w:val="single" w:color="auto" w:sz="4" w:space="0"/>
                  </w:tcBorders>
                  <w:shd w:val="clear" w:color="auto" w:fill="auto"/>
                  <w:vAlign w:val="center"/>
                </w:tcPr>
                <w:p w14:paraId="1CE35165">
                  <w:pPr>
                    <w:pStyle w:val="65"/>
                    <w:adjustRightInd w:val="0"/>
                    <w:snapToGrid w:val="0"/>
                    <w:ind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eastAsia" w:ascii="Times New Roman" w:hAnsi="Times New Roman" w:cs="Times New Roman"/>
                      <w:color w:val="auto"/>
                      <w:kern w:val="0"/>
                      <w:sz w:val="18"/>
                      <w:szCs w:val="18"/>
                      <w:highlight w:val="none"/>
                      <w:lang w:val="en-US" w:eastAsia="zh-CN"/>
                    </w:rPr>
                    <w:t>1.87mmPb+3.045mmPb=4.915mmPb</w:t>
                  </w:r>
                </w:p>
              </w:tc>
              <w:tc>
                <w:tcPr>
                  <w:tcW w:w="548" w:type="pct"/>
                  <w:tcBorders>
                    <w:top w:val="single" w:color="auto" w:sz="4" w:space="0"/>
                    <w:left w:val="single" w:color="auto" w:sz="4" w:space="0"/>
                    <w:bottom w:val="single" w:color="auto" w:sz="4" w:space="0"/>
                    <w:right w:val="single" w:color="auto" w:sz="4" w:space="0"/>
                  </w:tcBorders>
                  <w:shd w:val="clear" w:color="auto" w:fill="auto"/>
                  <w:vAlign w:val="center"/>
                </w:tcPr>
                <w:p w14:paraId="528DB255">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3.46E-07</w:t>
                  </w:r>
                </w:p>
              </w:tc>
              <w:tc>
                <w:tcPr>
                  <w:tcW w:w="542" w:type="pct"/>
                  <w:tcBorders>
                    <w:top w:val="single" w:color="auto" w:sz="4" w:space="0"/>
                    <w:left w:val="single" w:color="auto" w:sz="4" w:space="0"/>
                    <w:bottom w:val="single" w:color="auto" w:sz="4" w:space="0"/>
                    <w:right w:val="single" w:color="auto" w:sz="4" w:space="0"/>
                  </w:tcBorders>
                  <w:shd w:val="clear" w:color="auto" w:fill="auto"/>
                  <w:vAlign w:val="center"/>
                </w:tcPr>
                <w:p w14:paraId="03DA45C1">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2.23E-08</w:t>
                  </w:r>
                </w:p>
              </w:tc>
              <w:tc>
                <w:tcPr>
                  <w:tcW w:w="583" w:type="pct"/>
                  <w:tcBorders>
                    <w:top w:val="single" w:color="auto" w:sz="4" w:space="0"/>
                    <w:left w:val="single" w:color="auto" w:sz="4" w:space="0"/>
                    <w:bottom w:val="single" w:color="auto" w:sz="4" w:space="0"/>
                    <w:right w:val="single" w:color="auto" w:sz="4" w:space="0"/>
                  </w:tcBorders>
                  <w:shd w:val="clear" w:color="auto" w:fill="auto"/>
                  <w:vAlign w:val="center"/>
                </w:tcPr>
                <w:p w14:paraId="786E4DB7">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5.18E-07</w:t>
                  </w:r>
                </w:p>
              </w:tc>
              <w:tc>
                <w:tcPr>
                  <w:tcW w:w="531" w:type="pct"/>
                  <w:tcBorders>
                    <w:top w:val="single" w:color="auto" w:sz="4" w:space="0"/>
                    <w:left w:val="single" w:color="auto" w:sz="4" w:space="0"/>
                    <w:bottom w:val="single" w:color="auto" w:sz="4" w:space="0"/>
                    <w:right w:val="single" w:color="auto" w:sz="4" w:space="0"/>
                  </w:tcBorders>
                  <w:shd w:val="clear" w:color="auto" w:fill="auto"/>
                  <w:vAlign w:val="center"/>
                </w:tcPr>
                <w:p w14:paraId="6020E7ED">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3.44E-07</w:t>
                  </w:r>
                </w:p>
              </w:tc>
            </w:tr>
            <w:tr w14:paraId="1B889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Merge w:val="continue"/>
                  <w:tcBorders>
                    <w:left w:val="single" w:color="auto" w:sz="4" w:space="0"/>
                    <w:right w:val="single" w:color="auto" w:sz="4" w:space="0"/>
                  </w:tcBorders>
                  <w:vAlign w:val="center"/>
                </w:tcPr>
                <w:p w14:paraId="5C249ADE">
                  <w:pPr>
                    <w:adjustRightInd w:val="0"/>
                    <w:snapToGrid w:val="0"/>
                    <w:jc w:val="center"/>
                    <w:rPr>
                      <w:rFonts w:hint="default" w:ascii="Times New Roman" w:hAnsi="Times New Roman" w:cs="Times New Roman"/>
                      <w:color w:val="auto"/>
                      <w:sz w:val="18"/>
                      <w:szCs w:val="18"/>
                      <w:highlight w:val="none"/>
                    </w:rPr>
                  </w:pPr>
                </w:p>
              </w:tc>
              <w:tc>
                <w:tcPr>
                  <w:tcW w:w="453" w:type="pct"/>
                  <w:tcBorders>
                    <w:top w:val="single" w:color="auto" w:sz="4" w:space="0"/>
                    <w:left w:val="single" w:color="auto" w:sz="4" w:space="0"/>
                    <w:bottom w:val="single" w:color="auto" w:sz="4" w:space="0"/>
                    <w:right w:val="single" w:color="auto" w:sz="4" w:space="0"/>
                  </w:tcBorders>
                  <w:shd w:val="clear" w:color="auto" w:fill="auto"/>
                  <w:vAlign w:val="center"/>
                </w:tcPr>
                <w:p w14:paraId="2B6C7399">
                  <w:pPr>
                    <w:widowControl/>
                    <w:adjustRightInd w:val="0"/>
                    <w:snapToGrid w:val="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观察窗</w:t>
                  </w:r>
                </w:p>
              </w:tc>
              <w:tc>
                <w:tcPr>
                  <w:tcW w:w="1017" w:type="pct"/>
                  <w:tcBorders>
                    <w:top w:val="single" w:color="auto" w:sz="4" w:space="0"/>
                    <w:left w:val="single" w:color="auto" w:sz="4" w:space="0"/>
                    <w:bottom w:val="single" w:color="auto" w:sz="4" w:space="0"/>
                    <w:right w:val="single" w:color="auto" w:sz="4" w:space="0"/>
                  </w:tcBorders>
                  <w:shd w:val="clear" w:color="auto" w:fill="auto"/>
                  <w:vAlign w:val="center"/>
                </w:tcPr>
                <w:p w14:paraId="22847195">
                  <w:pPr>
                    <w:adjustRightInd w:val="0"/>
                    <w:snapToGrid w:val="0"/>
                    <w:jc w:val="center"/>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3mmPb铅观察窗</w:t>
                  </w:r>
                </w:p>
              </w:tc>
              <w:tc>
                <w:tcPr>
                  <w:tcW w:w="866" w:type="pct"/>
                  <w:tcBorders>
                    <w:top w:val="single" w:color="auto" w:sz="4" w:space="0"/>
                    <w:left w:val="single" w:color="auto" w:sz="4" w:space="0"/>
                    <w:bottom w:val="single" w:color="auto" w:sz="4" w:space="0"/>
                    <w:right w:val="single" w:color="auto" w:sz="4" w:space="0"/>
                  </w:tcBorders>
                  <w:shd w:val="clear" w:color="auto" w:fill="auto"/>
                  <w:vAlign w:val="center"/>
                </w:tcPr>
                <w:p w14:paraId="109C0B38">
                  <w:pPr>
                    <w:pStyle w:val="65"/>
                    <w:adjustRightInd w:val="0"/>
                    <w:snapToGrid w:val="0"/>
                    <w:ind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eastAsia" w:ascii="Times New Roman" w:hAnsi="Times New Roman" w:cs="Times New Roman"/>
                      <w:color w:val="auto"/>
                      <w:kern w:val="0"/>
                      <w:sz w:val="18"/>
                      <w:szCs w:val="18"/>
                      <w:highlight w:val="none"/>
                      <w:lang w:val="en-US" w:eastAsia="zh-CN"/>
                    </w:rPr>
                    <w:t>3mmPb</w:t>
                  </w:r>
                </w:p>
              </w:tc>
              <w:tc>
                <w:tcPr>
                  <w:tcW w:w="548" w:type="pct"/>
                  <w:tcBorders>
                    <w:top w:val="single" w:color="auto" w:sz="4" w:space="0"/>
                    <w:left w:val="single" w:color="auto" w:sz="4" w:space="0"/>
                    <w:bottom w:val="single" w:color="auto" w:sz="4" w:space="0"/>
                    <w:right w:val="single" w:color="auto" w:sz="4" w:space="0"/>
                  </w:tcBorders>
                  <w:vAlign w:val="center"/>
                </w:tcPr>
                <w:p w14:paraId="31A4C8D9">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4.21E-05</w:t>
                  </w:r>
                </w:p>
              </w:tc>
              <w:tc>
                <w:tcPr>
                  <w:tcW w:w="542" w:type="pct"/>
                  <w:tcBorders>
                    <w:top w:val="single" w:color="auto" w:sz="4" w:space="0"/>
                    <w:left w:val="single" w:color="auto" w:sz="4" w:space="0"/>
                    <w:bottom w:val="single" w:color="auto" w:sz="4" w:space="0"/>
                    <w:right w:val="single" w:color="auto" w:sz="4" w:space="0"/>
                  </w:tcBorders>
                  <w:shd w:val="clear" w:color="auto" w:fill="auto"/>
                  <w:vAlign w:val="center"/>
                </w:tcPr>
                <w:p w14:paraId="37FBEE2A">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7.93E-06</w:t>
                  </w:r>
                </w:p>
              </w:tc>
              <w:tc>
                <w:tcPr>
                  <w:tcW w:w="583" w:type="pct"/>
                  <w:tcBorders>
                    <w:top w:val="single" w:color="auto" w:sz="4" w:space="0"/>
                    <w:left w:val="single" w:color="auto" w:sz="4" w:space="0"/>
                    <w:bottom w:val="single" w:color="auto" w:sz="4" w:space="0"/>
                    <w:right w:val="single" w:color="auto" w:sz="4" w:space="0"/>
                  </w:tcBorders>
                  <w:shd w:val="clear" w:color="auto" w:fill="auto"/>
                  <w:vAlign w:val="center"/>
                </w:tcPr>
                <w:p w14:paraId="406B0F18">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6.31E-05</w:t>
                  </w:r>
                </w:p>
              </w:tc>
              <w:tc>
                <w:tcPr>
                  <w:tcW w:w="531" w:type="pct"/>
                  <w:tcBorders>
                    <w:top w:val="single" w:color="auto" w:sz="4" w:space="0"/>
                    <w:left w:val="single" w:color="auto" w:sz="4" w:space="0"/>
                    <w:bottom w:val="single" w:color="auto" w:sz="4" w:space="0"/>
                    <w:right w:val="single" w:color="auto" w:sz="4" w:space="0"/>
                  </w:tcBorders>
                  <w:shd w:val="clear" w:color="auto" w:fill="auto"/>
                  <w:vAlign w:val="center"/>
                </w:tcPr>
                <w:p w14:paraId="5C78B5FE">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4.14E-05</w:t>
                  </w:r>
                </w:p>
              </w:tc>
            </w:tr>
            <w:tr w14:paraId="217AB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455" w:type="pct"/>
                  <w:vMerge w:val="continue"/>
                  <w:tcBorders>
                    <w:left w:val="single" w:color="auto" w:sz="4" w:space="0"/>
                    <w:right w:val="single" w:color="auto" w:sz="4" w:space="0"/>
                  </w:tcBorders>
                  <w:vAlign w:val="center"/>
                </w:tcPr>
                <w:p w14:paraId="64E749D3">
                  <w:pPr>
                    <w:adjustRightInd w:val="0"/>
                    <w:snapToGrid w:val="0"/>
                    <w:jc w:val="center"/>
                    <w:rPr>
                      <w:rFonts w:hint="default" w:ascii="Times New Roman" w:hAnsi="Times New Roman" w:cs="Times New Roman"/>
                      <w:color w:val="auto"/>
                      <w:sz w:val="18"/>
                      <w:szCs w:val="18"/>
                      <w:highlight w:val="none"/>
                    </w:rPr>
                  </w:pPr>
                </w:p>
              </w:tc>
              <w:tc>
                <w:tcPr>
                  <w:tcW w:w="453" w:type="pct"/>
                  <w:tcBorders>
                    <w:top w:val="single" w:color="auto" w:sz="4" w:space="0"/>
                    <w:left w:val="single" w:color="auto" w:sz="4" w:space="0"/>
                    <w:bottom w:val="single" w:color="auto" w:sz="4" w:space="0"/>
                    <w:right w:val="single" w:color="auto" w:sz="4" w:space="0"/>
                  </w:tcBorders>
                  <w:shd w:val="clear" w:color="auto" w:fill="auto"/>
                  <w:vAlign w:val="center"/>
                </w:tcPr>
                <w:p w14:paraId="2CED3D84">
                  <w:pPr>
                    <w:widowControl/>
                    <w:adjustRightInd w:val="0"/>
                    <w:snapToGrid w:val="0"/>
                    <w:jc w:val="center"/>
                    <w:rPr>
                      <w:rFonts w:hint="default" w:ascii="Times New Roman" w:hAnsi="Times New Roman" w:eastAsia="宋体" w:cs="Times New Roman"/>
                      <w:color w:val="auto"/>
                      <w:kern w:val="0"/>
                      <w:sz w:val="18"/>
                      <w:szCs w:val="18"/>
                      <w:highlight w:val="none"/>
                      <w:lang w:val="en-US" w:eastAsia="zh-CN" w:bidi="ar-SA"/>
                    </w:rPr>
                  </w:pPr>
                  <w:r>
                    <w:rPr>
                      <w:rFonts w:hint="eastAsia" w:ascii="Times New Roman" w:hAnsi="Times New Roman" w:cs="Times New Roman"/>
                      <w:color w:val="auto"/>
                      <w:kern w:val="0"/>
                      <w:sz w:val="18"/>
                      <w:szCs w:val="18"/>
                      <w:highlight w:val="none"/>
                      <w:lang w:val="en-US" w:eastAsia="zh-CN"/>
                    </w:rPr>
                    <w:t>防护门</w:t>
                  </w:r>
                </w:p>
              </w:tc>
              <w:tc>
                <w:tcPr>
                  <w:tcW w:w="1017" w:type="pct"/>
                  <w:tcBorders>
                    <w:top w:val="single" w:color="auto" w:sz="4" w:space="0"/>
                    <w:left w:val="single" w:color="auto" w:sz="4" w:space="0"/>
                    <w:bottom w:val="single" w:color="auto" w:sz="4" w:space="0"/>
                    <w:right w:val="single" w:color="auto" w:sz="4" w:space="0"/>
                  </w:tcBorders>
                  <w:shd w:val="clear" w:color="auto" w:fill="auto"/>
                  <w:vAlign w:val="center"/>
                </w:tcPr>
                <w:p w14:paraId="1859C99C">
                  <w:pPr>
                    <w:adjustRightInd w:val="0"/>
                    <w:snapToGrid w:val="0"/>
                    <w:jc w:val="center"/>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3mmPb铅防护门</w:t>
                  </w:r>
                </w:p>
              </w:tc>
              <w:tc>
                <w:tcPr>
                  <w:tcW w:w="866" w:type="pct"/>
                  <w:tcBorders>
                    <w:top w:val="single" w:color="auto" w:sz="4" w:space="0"/>
                    <w:left w:val="single" w:color="auto" w:sz="4" w:space="0"/>
                    <w:bottom w:val="single" w:color="auto" w:sz="4" w:space="0"/>
                    <w:right w:val="single" w:color="auto" w:sz="4" w:space="0"/>
                  </w:tcBorders>
                  <w:shd w:val="clear" w:color="auto" w:fill="auto"/>
                  <w:vAlign w:val="center"/>
                </w:tcPr>
                <w:p w14:paraId="5427A8AD">
                  <w:pPr>
                    <w:pStyle w:val="65"/>
                    <w:adjustRightInd w:val="0"/>
                    <w:snapToGrid w:val="0"/>
                    <w:ind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eastAsia" w:ascii="Times New Roman" w:hAnsi="Times New Roman" w:cs="Times New Roman"/>
                      <w:color w:val="auto"/>
                      <w:kern w:val="0"/>
                      <w:sz w:val="18"/>
                      <w:szCs w:val="18"/>
                      <w:highlight w:val="none"/>
                      <w:lang w:val="en-US" w:eastAsia="zh-CN"/>
                    </w:rPr>
                    <w:t>3mmPb</w:t>
                  </w:r>
                </w:p>
              </w:tc>
              <w:tc>
                <w:tcPr>
                  <w:tcW w:w="548" w:type="pct"/>
                  <w:tcBorders>
                    <w:top w:val="single" w:color="auto" w:sz="4" w:space="0"/>
                    <w:left w:val="single" w:color="auto" w:sz="4" w:space="0"/>
                    <w:bottom w:val="single" w:color="auto" w:sz="4" w:space="0"/>
                    <w:right w:val="single" w:color="auto" w:sz="4" w:space="0"/>
                  </w:tcBorders>
                  <w:vAlign w:val="center"/>
                </w:tcPr>
                <w:p w14:paraId="3E7B8DC2">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4.21E-05</w:t>
                  </w:r>
                </w:p>
              </w:tc>
              <w:tc>
                <w:tcPr>
                  <w:tcW w:w="542" w:type="pct"/>
                  <w:tcBorders>
                    <w:top w:val="single" w:color="auto" w:sz="4" w:space="0"/>
                    <w:left w:val="single" w:color="auto" w:sz="4" w:space="0"/>
                    <w:bottom w:val="single" w:color="auto" w:sz="4" w:space="0"/>
                    <w:right w:val="single" w:color="auto" w:sz="4" w:space="0"/>
                  </w:tcBorders>
                  <w:shd w:val="clear" w:color="auto" w:fill="auto"/>
                  <w:vAlign w:val="center"/>
                </w:tcPr>
                <w:p w14:paraId="24CF4607">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7.93E-06</w:t>
                  </w:r>
                </w:p>
              </w:tc>
              <w:tc>
                <w:tcPr>
                  <w:tcW w:w="583" w:type="pct"/>
                  <w:tcBorders>
                    <w:top w:val="single" w:color="auto" w:sz="4" w:space="0"/>
                    <w:left w:val="single" w:color="auto" w:sz="4" w:space="0"/>
                    <w:bottom w:val="single" w:color="auto" w:sz="4" w:space="0"/>
                    <w:right w:val="single" w:color="auto" w:sz="4" w:space="0"/>
                  </w:tcBorders>
                  <w:vAlign w:val="center"/>
                </w:tcPr>
                <w:p w14:paraId="5BF60B5B">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6.31E-05</w:t>
                  </w:r>
                </w:p>
              </w:tc>
              <w:tc>
                <w:tcPr>
                  <w:tcW w:w="531" w:type="pct"/>
                  <w:tcBorders>
                    <w:top w:val="single" w:color="auto" w:sz="4" w:space="0"/>
                    <w:left w:val="single" w:color="auto" w:sz="4" w:space="0"/>
                    <w:bottom w:val="single" w:color="auto" w:sz="4" w:space="0"/>
                    <w:right w:val="single" w:color="auto" w:sz="4" w:space="0"/>
                  </w:tcBorders>
                  <w:vAlign w:val="center"/>
                </w:tcPr>
                <w:p w14:paraId="22AAFDFF">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4.14E-05</w:t>
                  </w:r>
                </w:p>
              </w:tc>
            </w:tr>
            <w:tr w14:paraId="2D216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55" w:type="pct"/>
                  <w:vMerge w:val="restart"/>
                  <w:tcBorders>
                    <w:left w:val="single" w:color="auto" w:sz="4" w:space="0"/>
                    <w:right w:val="single" w:color="auto" w:sz="4" w:space="0"/>
                  </w:tcBorders>
                  <w:vAlign w:val="center"/>
                </w:tcPr>
                <w:p w14:paraId="41E2F6FA">
                  <w:pPr>
                    <w:widowControl/>
                    <w:adjustRightInd w:val="0"/>
                    <w:snapToGrid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防护用品</w:t>
                  </w:r>
                </w:p>
              </w:tc>
              <w:tc>
                <w:tcPr>
                  <w:tcW w:w="453" w:type="pct"/>
                  <w:tcBorders>
                    <w:top w:val="single" w:color="auto" w:sz="4" w:space="0"/>
                    <w:left w:val="single" w:color="auto" w:sz="4" w:space="0"/>
                    <w:bottom w:val="single" w:color="auto" w:sz="4" w:space="0"/>
                    <w:right w:val="single" w:color="auto" w:sz="4" w:space="0"/>
                  </w:tcBorders>
                  <w:vAlign w:val="center"/>
                </w:tcPr>
                <w:p w14:paraId="777C3576">
                  <w:pPr>
                    <w:widowControl/>
                    <w:adjustRightInd w:val="0"/>
                    <w:snapToGrid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铅帘</w:t>
                  </w:r>
                </w:p>
              </w:tc>
              <w:tc>
                <w:tcPr>
                  <w:tcW w:w="1017" w:type="pct"/>
                  <w:tcBorders>
                    <w:top w:val="single" w:color="auto" w:sz="4" w:space="0"/>
                    <w:left w:val="single" w:color="auto" w:sz="4" w:space="0"/>
                    <w:bottom w:val="single" w:color="auto" w:sz="4" w:space="0"/>
                    <w:right w:val="single" w:color="auto" w:sz="4" w:space="0"/>
                  </w:tcBorders>
                  <w:vAlign w:val="center"/>
                </w:tcPr>
                <w:p w14:paraId="21831FE3">
                  <w:pPr>
                    <w:widowControl/>
                    <w:adjustRightInd w:val="0"/>
                    <w:snapToGrid w:val="0"/>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0.5mm</w:t>
                  </w:r>
                  <w:r>
                    <w:rPr>
                      <w:rFonts w:hint="eastAsia" w:ascii="Times New Roman" w:hAnsi="Times New Roman" w:cs="Times New Roman"/>
                      <w:color w:val="auto"/>
                      <w:kern w:val="0"/>
                      <w:sz w:val="18"/>
                      <w:szCs w:val="18"/>
                      <w:highlight w:val="none"/>
                      <w:lang w:val="en-US" w:eastAsia="zh-CN"/>
                    </w:rPr>
                    <w:t>Pb</w:t>
                  </w:r>
                </w:p>
              </w:tc>
              <w:tc>
                <w:tcPr>
                  <w:tcW w:w="866" w:type="pct"/>
                  <w:tcBorders>
                    <w:top w:val="single" w:color="auto" w:sz="4" w:space="0"/>
                    <w:left w:val="single" w:color="auto" w:sz="4" w:space="0"/>
                    <w:bottom w:val="single" w:color="auto" w:sz="4" w:space="0"/>
                    <w:right w:val="single" w:color="auto" w:sz="4" w:space="0"/>
                  </w:tcBorders>
                  <w:shd w:val="clear" w:color="auto" w:fill="auto"/>
                  <w:vAlign w:val="center"/>
                </w:tcPr>
                <w:p w14:paraId="583E51DD">
                  <w:pPr>
                    <w:widowControl/>
                    <w:adjustRightInd w:val="0"/>
                    <w:snapToGrid w:val="0"/>
                    <w:jc w:val="center"/>
                    <w:textAlignment w:val="center"/>
                    <w:rPr>
                      <w:rFonts w:hint="default" w:ascii="Times New Roman" w:hAnsi="Times New Roman" w:cs="Times New Roman"/>
                      <w:color w:val="auto"/>
                      <w:sz w:val="18"/>
                      <w:szCs w:val="18"/>
                      <w:highlight w:val="none"/>
                    </w:rPr>
                  </w:pPr>
                  <w:r>
                    <w:rPr>
                      <w:rFonts w:hint="eastAsia" w:ascii="Times New Roman" w:hAnsi="Times New Roman" w:cs="Times New Roman"/>
                      <w:color w:val="auto"/>
                      <w:sz w:val="18"/>
                      <w:szCs w:val="18"/>
                      <w:highlight w:val="none"/>
                      <w:lang w:val="en-US" w:eastAsia="zh-CN"/>
                    </w:rPr>
                    <w:t>0.5mm</w:t>
                  </w:r>
                  <w:r>
                    <w:rPr>
                      <w:rFonts w:hint="eastAsia" w:ascii="Times New Roman" w:hAnsi="Times New Roman" w:cs="Times New Roman"/>
                      <w:color w:val="auto"/>
                      <w:kern w:val="0"/>
                      <w:sz w:val="18"/>
                      <w:szCs w:val="18"/>
                      <w:highlight w:val="none"/>
                      <w:lang w:val="en-US" w:eastAsia="zh-CN"/>
                    </w:rPr>
                    <w:t>Pb</w:t>
                  </w:r>
                </w:p>
              </w:tc>
              <w:tc>
                <w:tcPr>
                  <w:tcW w:w="548" w:type="pct"/>
                  <w:tcBorders>
                    <w:top w:val="single" w:color="auto" w:sz="4" w:space="0"/>
                    <w:left w:val="single" w:color="auto" w:sz="4" w:space="0"/>
                    <w:bottom w:val="single" w:color="auto" w:sz="4" w:space="0"/>
                    <w:right w:val="single" w:color="auto" w:sz="4" w:space="0"/>
                  </w:tcBorders>
                  <w:vAlign w:val="center"/>
                </w:tcPr>
                <w:p w14:paraId="0A56515B">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3.32E-02</w:t>
                  </w:r>
                </w:p>
              </w:tc>
              <w:tc>
                <w:tcPr>
                  <w:tcW w:w="542" w:type="pct"/>
                  <w:tcBorders>
                    <w:top w:val="single" w:color="auto" w:sz="4" w:space="0"/>
                    <w:left w:val="single" w:color="auto" w:sz="4" w:space="0"/>
                    <w:bottom w:val="single" w:color="auto" w:sz="4" w:space="0"/>
                    <w:right w:val="single" w:color="auto" w:sz="4" w:space="0"/>
                  </w:tcBorders>
                  <w:vAlign w:val="center"/>
                </w:tcPr>
                <w:p w14:paraId="3801EBA3">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2.52E-02</w:t>
                  </w:r>
                </w:p>
              </w:tc>
              <w:tc>
                <w:tcPr>
                  <w:tcW w:w="583" w:type="pct"/>
                  <w:tcBorders>
                    <w:top w:val="single" w:color="auto" w:sz="4" w:space="0"/>
                    <w:left w:val="single" w:color="auto" w:sz="4" w:space="0"/>
                    <w:bottom w:val="single" w:color="auto" w:sz="4" w:space="0"/>
                    <w:right w:val="single" w:color="auto" w:sz="4" w:space="0"/>
                  </w:tcBorders>
                  <w:vAlign w:val="center"/>
                </w:tcPr>
                <w:p w14:paraId="3EBAF0F4">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4.72E-02</w:t>
                  </w:r>
                </w:p>
              </w:tc>
              <w:tc>
                <w:tcPr>
                  <w:tcW w:w="531" w:type="pct"/>
                  <w:tcBorders>
                    <w:top w:val="single" w:color="auto" w:sz="4" w:space="0"/>
                    <w:left w:val="single" w:color="auto" w:sz="4" w:space="0"/>
                    <w:bottom w:val="single" w:color="auto" w:sz="4" w:space="0"/>
                    <w:right w:val="single" w:color="auto" w:sz="4" w:space="0"/>
                  </w:tcBorders>
                  <w:vAlign w:val="center"/>
                </w:tcPr>
                <w:p w14:paraId="3DA2C24F">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3.66E-02</w:t>
                  </w:r>
                </w:p>
              </w:tc>
            </w:tr>
            <w:tr w14:paraId="0F6F0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455" w:type="pct"/>
                  <w:vMerge w:val="continue"/>
                  <w:tcBorders>
                    <w:left w:val="single" w:color="auto" w:sz="4" w:space="0"/>
                    <w:right w:val="single" w:color="auto" w:sz="4" w:space="0"/>
                  </w:tcBorders>
                  <w:vAlign w:val="center"/>
                </w:tcPr>
                <w:p w14:paraId="0E091336">
                  <w:pPr>
                    <w:adjustRightInd w:val="0"/>
                    <w:snapToGrid w:val="0"/>
                    <w:jc w:val="center"/>
                    <w:rPr>
                      <w:rFonts w:hint="default" w:ascii="Times New Roman" w:hAnsi="Times New Roman" w:cs="Times New Roman"/>
                      <w:color w:val="auto"/>
                      <w:sz w:val="18"/>
                      <w:szCs w:val="18"/>
                      <w:highlight w:val="none"/>
                    </w:rPr>
                  </w:pPr>
                </w:p>
              </w:tc>
              <w:tc>
                <w:tcPr>
                  <w:tcW w:w="453" w:type="pct"/>
                  <w:tcBorders>
                    <w:top w:val="single" w:color="auto" w:sz="4" w:space="0"/>
                    <w:left w:val="single" w:color="auto" w:sz="4" w:space="0"/>
                    <w:bottom w:val="single" w:color="auto" w:sz="4" w:space="0"/>
                    <w:right w:val="single" w:color="auto" w:sz="4" w:space="0"/>
                  </w:tcBorders>
                  <w:vAlign w:val="center"/>
                </w:tcPr>
                <w:p w14:paraId="5115270F">
                  <w:pPr>
                    <w:widowControl/>
                    <w:adjustRightInd w:val="0"/>
                    <w:snapToGrid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铅手套</w:t>
                  </w:r>
                </w:p>
              </w:tc>
              <w:tc>
                <w:tcPr>
                  <w:tcW w:w="1017" w:type="pct"/>
                  <w:tcBorders>
                    <w:top w:val="single" w:color="auto" w:sz="4" w:space="0"/>
                    <w:left w:val="single" w:color="auto" w:sz="4" w:space="0"/>
                    <w:bottom w:val="single" w:color="auto" w:sz="4" w:space="0"/>
                    <w:right w:val="single" w:color="auto" w:sz="4" w:space="0"/>
                  </w:tcBorders>
                  <w:vAlign w:val="center"/>
                </w:tcPr>
                <w:p w14:paraId="48BD30E2">
                  <w:pPr>
                    <w:widowControl/>
                    <w:adjustRightInd w:val="0"/>
                    <w:snapToGrid w:val="0"/>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0.1mm</w:t>
                  </w:r>
                  <w:r>
                    <w:rPr>
                      <w:rFonts w:hint="eastAsia" w:ascii="Times New Roman" w:hAnsi="Times New Roman" w:cs="Times New Roman"/>
                      <w:color w:val="auto"/>
                      <w:kern w:val="0"/>
                      <w:sz w:val="18"/>
                      <w:szCs w:val="18"/>
                      <w:highlight w:val="none"/>
                      <w:lang w:val="en-US" w:eastAsia="zh-CN"/>
                    </w:rPr>
                    <w:t>Pb</w:t>
                  </w:r>
                </w:p>
              </w:tc>
              <w:tc>
                <w:tcPr>
                  <w:tcW w:w="866" w:type="pct"/>
                  <w:tcBorders>
                    <w:top w:val="single" w:color="auto" w:sz="4" w:space="0"/>
                    <w:left w:val="single" w:color="auto" w:sz="4" w:space="0"/>
                    <w:bottom w:val="single" w:color="auto" w:sz="4" w:space="0"/>
                    <w:right w:val="single" w:color="auto" w:sz="4" w:space="0"/>
                  </w:tcBorders>
                  <w:shd w:val="clear" w:color="auto" w:fill="auto"/>
                  <w:vAlign w:val="center"/>
                </w:tcPr>
                <w:p w14:paraId="43C2771E">
                  <w:pPr>
                    <w:widowControl/>
                    <w:adjustRightInd w:val="0"/>
                    <w:snapToGrid w:val="0"/>
                    <w:jc w:val="center"/>
                    <w:textAlignment w:val="center"/>
                    <w:rPr>
                      <w:rFonts w:hint="default" w:ascii="Times New Roman" w:hAnsi="Times New Roman" w:cs="Times New Roman"/>
                      <w:color w:val="auto"/>
                      <w:sz w:val="18"/>
                      <w:szCs w:val="18"/>
                      <w:highlight w:val="none"/>
                    </w:rPr>
                  </w:pPr>
                  <w:r>
                    <w:rPr>
                      <w:rFonts w:hint="eastAsia" w:ascii="Times New Roman" w:hAnsi="Times New Roman" w:cs="Times New Roman"/>
                      <w:color w:val="auto"/>
                      <w:sz w:val="18"/>
                      <w:szCs w:val="18"/>
                      <w:highlight w:val="none"/>
                      <w:lang w:val="en-US" w:eastAsia="zh-CN"/>
                    </w:rPr>
                    <w:t>0.1mm</w:t>
                  </w:r>
                  <w:r>
                    <w:rPr>
                      <w:rFonts w:hint="eastAsia" w:ascii="Times New Roman" w:hAnsi="Times New Roman" w:cs="Times New Roman"/>
                      <w:color w:val="auto"/>
                      <w:kern w:val="0"/>
                      <w:sz w:val="18"/>
                      <w:szCs w:val="18"/>
                      <w:highlight w:val="none"/>
                      <w:lang w:val="en-US" w:eastAsia="zh-CN"/>
                    </w:rPr>
                    <w:t>Pb</w:t>
                  </w:r>
                </w:p>
              </w:tc>
              <w:tc>
                <w:tcPr>
                  <w:tcW w:w="548" w:type="pct"/>
                  <w:tcBorders>
                    <w:top w:val="single" w:color="auto" w:sz="4" w:space="0"/>
                    <w:left w:val="single" w:color="auto" w:sz="4" w:space="0"/>
                    <w:bottom w:val="single" w:color="auto" w:sz="4" w:space="0"/>
                    <w:right w:val="single" w:color="auto" w:sz="4" w:space="0"/>
                  </w:tcBorders>
                  <w:vAlign w:val="center"/>
                </w:tcPr>
                <w:p w14:paraId="3A8467A4">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2.65E-01</w:t>
                  </w:r>
                </w:p>
              </w:tc>
              <w:tc>
                <w:tcPr>
                  <w:tcW w:w="542" w:type="pct"/>
                  <w:tcBorders>
                    <w:top w:val="single" w:color="auto" w:sz="4" w:space="0"/>
                    <w:left w:val="single" w:color="auto" w:sz="4" w:space="0"/>
                    <w:bottom w:val="single" w:color="auto" w:sz="4" w:space="0"/>
                    <w:right w:val="single" w:color="auto" w:sz="4" w:space="0"/>
                  </w:tcBorders>
                  <w:vAlign w:val="center"/>
                </w:tcPr>
                <w:p w14:paraId="1564CFAC">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2.51E-01</w:t>
                  </w:r>
                </w:p>
              </w:tc>
              <w:tc>
                <w:tcPr>
                  <w:tcW w:w="583" w:type="pct"/>
                  <w:tcBorders>
                    <w:top w:val="single" w:color="auto" w:sz="4" w:space="0"/>
                    <w:left w:val="single" w:color="auto" w:sz="4" w:space="0"/>
                    <w:right w:val="single" w:color="auto" w:sz="4" w:space="0"/>
                  </w:tcBorders>
                  <w:vAlign w:val="center"/>
                </w:tcPr>
                <w:p w14:paraId="0E051A52">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3.20E-01</w:t>
                  </w:r>
                </w:p>
              </w:tc>
              <w:tc>
                <w:tcPr>
                  <w:tcW w:w="531" w:type="pct"/>
                  <w:tcBorders>
                    <w:top w:val="single" w:color="auto" w:sz="4" w:space="0"/>
                    <w:left w:val="single" w:color="auto" w:sz="4" w:space="0"/>
                    <w:right w:val="single" w:color="auto" w:sz="4" w:space="0"/>
                  </w:tcBorders>
                  <w:vAlign w:val="center"/>
                </w:tcPr>
                <w:p w14:paraId="675355F1">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3.01E-01</w:t>
                  </w:r>
                </w:p>
              </w:tc>
            </w:tr>
            <w:tr w14:paraId="7A614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455" w:type="pct"/>
                  <w:vMerge w:val="continue"/>
                  <w:tcBorders>
                    <w:left w:val="single" w:color="auto" w:sz="4" w:space="0"/>
                    <w:right w:val="single" w:color="auto" w:sz="4" w:space="0"/>
                  </w:tcBorders>
                  <w:vAlign w:val="center"/>
                </w:tcPr>
                <w:p w14:paraId="227EF715">
                  <w:pPr>
                    <w:adjustRightInd w:val="0"/>
                    <w:snapToGrid w:val="0"/>
                    <w:jc w:val="center"/>
                    <w:rPr>
                      <w:rFonts w:hint="default" w:ascii="Times New Roman" w:hAnsi="Times New Roman" w:cs="Times New Roman"/>
                      <w:color w:val="auto"/>
                      <w:sz w:val="18"/>
                      <w:szCs w:val="18"/>
                      <w:highlight w:val="none"/>
                    </w:rPr>
                  </w:pPr>
                </w:p>
              </w:tc>
              <w:tc>
                <w:tcPr>
                  <w:tcW w:w="453" w:type="pct"/>
                  <w:tcBorders>
                    <w:top w:val="single" w:color="auto" w:sz="4" w:space="0"/>
                    <w:left w:val="single" w:color="auto" w:sz="4" w:space="0"/>
                    <w:bottom w:val="single" w:color="auto" w:sz="4" w:space="0"/>
                    <w:right w:val="single" w:color="auto" w:sz="4" w:space="0"/>
                  </w:tcBorders>
                  <w:vAlign w:val="center"/>
                </w:tcPr>
                <w:p w14:paraId="7B29F57E">
                  <w:pPr>
                    <w:widowControl/>
                    <w:adjustRightInd w:val="0"/>
                    <w:snapToGrid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铅衣+铅帘</w:t>
                  </w:r>
                </w:p>
              </w:tc>
              <w:tc>
                <w:tcPr>
                  <w:tcW w:w="1017" w:type="pct"/>
                  <w:tcBorders>
                    <w:top w:val="single" w:color="auto" w:sz="4" w:space="0"/>
                    <w:left w:val="single" w:color="auto" w:sz="4" w:space="0"/>
                    <w:bottom w:val="single" w:color="auto" w:sz="4" w:space="0"/>
                    <w:right w:val="single" w:color="auto" w:sz="4" w:space="0"/>
                  </w:tcBorders>
                  <w:vAlign w:val="center"/>
                </w:tcPr>
                <w:p w14:paraId="754CC9A7">
                  <w:pPr>
                    <w:widowControl/>
                    <w:adjustRightInd w:val="0"/>
                    <w:snapToGrid w:val="0"/>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1mm</w:t>
                  </w:r>
                  <w:r>
                    <w:rPr>
                      <w:rFonts w:hint="eastAsia" w:ascii="Times New Roman" w:hAnsi="Times New Roman" w:cs="Times New Roman"/>
                      <w:color w:val="auto"/>
                      <w:kern w:val="0"/>
                      <w:sz w:val="18"/>
                      <w:szCs w:val="18"/>
                      <w:highlight w:val="none"/>
                      <w:lang w:val="en-US" w:eastAsia="zh-CN"/>
                    </w:rPr>
                    <w:t>Pb</w:t>
                  </w:r>
                </w:p>
              </w:tc>
              <w:tc>
                <w:tcPr>
                  <w:tcW w:w="866" w:type="pct"/>
                  <w:tcBorders>
                    <w:top w:val="single" w:color="auto" w:sz="4" w:space="0"/>
                    <w:left w:val="single" w:color="auto" w:sz="4" w:space="0"/>
                    <w:bottom w:val="single" w:color="auto" w:sz="4" w:space="0"/>
                    <w:right w:val="single" w:color="auto" w:sz="4" w:space="0"/>
                  </w:tcBorders>
                  <w:vAlign w:val="center"/>
                </w:tcPr>
                <w:p w14:paraId="14B22646">
                  <w:pPr>
                    <w:widowControl/>
                    <w:jc w:val="center"/>
                    <w:textAlignment w:val="center"/>
                    <w:rPr>
                      <w:rFonts w:hint="default" w:ascii="Times New Roman" w:hAnsi="Times New Roman" w:cs="Times New Roman"/>
                      <w:color w:val="auto"/>
                      <w:kern w:val="0"/>
                      <w:sz w:val="18"/>
                      <w:szCs w:val="18"/>
                      <w:highlight w:val="none"/>
                      <w:lang w:bidi="ar"/>
                    </w:rPr>
                  </w:pPr>
                  <w:r>
                    <w:rPr>
                      <w:rFonts w:hint="eastAsia" w:ascii="Times New Roman" w:hAnsi="Times New Roman" w:cs="Times New Roman"/>
                      <w:color w:val="auto"/>
                      <w:sz w:val="18"/>
                      <w:szCs w:val="18"/>
                      <w:highlight w:val="none"/>
                      <w:lang w:val="en-US" w:eastAsia="zh-CN"/>
                    </w:rPr>
                    <w:t>1mm</w:t>
                  </w:r>
                  <w:r>
                    <w:rPr>
                      <w:rFonts w:hint="eastAsia" w:ascii="Times New Roman" w:hAnsi="Times New Roman" w:cs="Times New Roman"/>
                      <w:color w:val="auto"/>
                      <w:kern w:val="0"/>
                      <w:sz w:val="18"/>
                      <w:szCs w:val="18"/>
                      <w:highlight w:val="none"/>
                      <w:lang w:val="en-US" w:eastAsia="zh-CN"/>
                    </w:rPr>
                    <w:t>Pb</w:t>
                  </w:r>
                </w:p>
              </w:tc>
              <w:tc>
                <w:tcPr>
                  <w:tcW w:w="548" w:type="pct"/>
                  <w:tcBorders>
                    <w:top w:val="single" w:color="auto" w:sz="4" w:space="0"/>
                    <w:left w:val="single" w:color="auto" w:sz="4" w:space="0"/>
                    <w:bottom w:val="single" w:color="auto" w:sz="4" w:space="0"/>
                    <w:right w:val="single" w:color="auto" w:sz="4" w:space="0"/>
                  </w:tcBorders>
                  <w:vAlign w:val="center"/>
                </w:tcPr>
                <w:p w14:paraId="06E6A913">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7.09E-03</w:t>
                  </w:r>
                </w:p>
              </w:tc>
              <w:tc>
                <w:tcPr>
                  <w:tcW w:w="542" w:type="pct"/>
                  <w:tcBorders>
                    <w:top w:val="single" w:color="auto" w:sz="4" w:space="0"/>
                    <w:left w:val="single" w:color="auto" w:sz="4" w:space="0"/>
                    <w:bottom w:val="single" w:color="auto" w:sz="4" w:space="0"/>
                    <w:right w:val="single" w:color="auto" w:sz="4" w:space="0"/>
                  </w:tcBorders>
                  <w:shd w:val="clear" w:color="auto" w:fill="auto"/>
                  <w:vAlign w:val="center"/>
                </w:tcPr>
                <w:p w14:paraId="0796DCA4">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4.08E-03</w:t>
                  </w:r>
                </w:p>
              </w:tc>
              <w:tc>
                <w:tcPr>
                  <w:tcW w:w="583" w:type="pct"/>
                  <w:tcBorders>
                    <w:left w:val="single" w:color="auto" w:sz="4" w:space="0"/>
                    <w:right w:val="single" w:color="auto" w:sz="4" w:space="0"/>
                  </w:tcBorders>
                  <w:vAlign w:val="center"/>
                </w:tcPr>
                <w:p w14:paraId="13BDE722">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1.05E-02</w:t>
                  </w:r>
                </w:p>
              </w:tc>
              <w:tc>
                <w:tcPr>
                  <w:tcW w:w="531" w:type="pct"/>
                  <w:tcBorders>
                    <w:left w:val="single" w:color="auto" w:sz="4" w:space="0"/>
                    <w:right w:val="single" w:color="auto" w:sz="4" w:space="0"/>
                  </w:tcBorders>
                  <w:vAlign w:val="center"/>
                </w:tcPr>
                <w:p w14:paraId="6892B9BB">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7.36E-03</w:t>
                  </w:r>
                </w:p>
              </w:tc>
            </w:tr>
            <w:tr w14:paraId="47195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455" w:type="pct"/>
                  <w:vMerge w:val="continue"/>
                  <w:tcBorders>
                    <w:left w:val="single" w:color="auto" w:sz="4" w:space="0"/>
                    <w:right w:val="single" w:color="auto" w:sz="4" w:space="0"/>
                  </w:tcBorders>
                  <w:vAlign w:val="center"/>
                </w:tcPr>
                <w:p w14:paraId="3BC3D8AF">
                  <w:pPr>
                    <w:adjustRightInd w:val="0"/>
                    <w:snapToGrid w:val="0"/>
                    <w:jc w:val="center"/>
                    <w:rPr>
                      <w:rFonts w:hint="default" w:ascii="Times New Roman" w:hAnsi="Times New Roman" w:cs="Times New Roman"/>
                      <w:color w:val="auto"/>
                      <w:sz w:val="18"/>
                      <w:szCs w:val="18"/>
                      <w:highlight w:val="none"/>
                    </w:rPr>
                  </w:pPr>
                </w:p>
              </w:tc>
              <w:tc>
                <w:tcPr>
                  <w:tcW w:w="453" w:type="pct"/>
                  <w:tcBorders>
                    <w:top w:val="single" w:color="auto" w:sz="4" w:space="0"/>
                    <w:left w:val="single" w:color="auto" w:sz="4" w:space="0"/>
                    <w:bottom w:val="single" w:color="auto" w:sz="4" w:space="0"/>
                    <w:right w:val="single" w:color="auto" w:sz="4" w:space="0"/>
                  </w:tcBorders>
                  <w:vAlign w:val="center"/>
                </w:tcPr>
                <w:p w14:paraId="1039081E">
                  <w:pPr>
                    <w:widowControl/>
                    <w:adjustRightInd w:val="0"/>
                    <w:snapToGrid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铅衣</w:t>
                  </w:r>
                </w:p>
              </w:tc>
              <w:tc>
                <w:tcPr>
                  <w:tcW w:w="1017" w:type="pct"/>
                  <w:tcBorders>
                    <w:top w:val="single" w:color="auto" w:sz="4" w:space="0"/>
                    <w:left w:val="single" w:color="auto" w:sz="4" w:space="0"/>
                    <w:bottom w:val="single" w:color="auto" w:sz="4" w:space="0"/>
                    <w:right w:val="single" w:color="auto" w:sz="4" w:space="0"/>
                  </w:tcBorders>
                  <w:vAlign w:val="center"/>
                </w:tcPr>
                <w:p w14:paraId="04C6F013">
                  <w:pPr>
                    <w:widowControl/>
                    <w:adjustRightInd w:val="0"/>
                    <w:snapToGrid w:val="0"/>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0.5mm</w:t>
                  </w:r>
                  <w:r>
                    <w:rPr>
                      <w:rFonts w:hint="eastAsia" w:ascii="Times New Roman" w:hAnsi="Times New Roman" w:cs="Times New Roman"/>
                      <w:color w:val="auto"/>
                      <w:kern w:val="0"/>
                      <w:sz w:val="18"/>
                      <w:szCs w:val="18"/>
                      <w:highlight w:val="none"/>
                      <w:lang w:val="en-US" w:eastAsia="zh-CN"/>
                    </w:rPr>
                    <w:t>Pb</w:t>
                  </w:r>
                </w:p>
              </w:tc>
              <w:tc>
                <w:tcPr>
                  <w:tcW w:w="866" w:type="pct"/>
                  <w:tcBorders>
                    <w:top w:val="single" w:color="auto" w:sz="4" w:space="0"/>
                    <w:left w:val="single" w:color="auto" w:sz="4" w:space="0"/>
                    <w:bottom w:val="single" w:color="auto" w:sz="4" w:space="0"/>
                    <w:right w:val="single" w:color="auto" w:sz="4" w:space="0"/>
                  </w:tcBorders>
                  <w:vAlign w:val="center"/>
                </w:tcPr>
                <w:p w14:paraId="005E202B">
                  <w:pPr>
                    <w:widowControl/>
                    <w:jc w:val="center"/>
                    <w:textAlignment w:val="center"/>
                    <w:rPr>
                      <w:rFonts w:hint="default" w:ascii="Times New Roman" w:hAnsi="Times New Roman" w:cs="Times New Roman"/>
                      <w:color w:val="auto"/>
                      <w:kern w:val="0"/>
                      <w:sz w:val="18"/>
                      <w:szCs w:val="18"/>
                      <w:highlight w:val="none"/>
                      <w:lang w:bidi="ar"/>
                    </w:rPr>
                  </w:pPr>
                  <w:r>
                    <w:rPr>
                      <w:rFonts w:hint="eastAsia" w:ascii="Times New Roman" w:hAnsi="Times New Roman" w:cs="Times New Roman"/>
                      <w:color w:val="auto"/>
                      <w:sz w:val="18"/>
                      <w:szCs w:val="18"/>
                      <w:highlight w:val="none"/>
                      <w:lang w:val="en-US" w:eastAsia="zh-CN"/>
                    </w:rPr>
                    <w:t>0.5mm</w:t>
                  </w:r>
                  <w:r>
                    <w:rPr>
                      <w:rFonts w:hint="eastAsia" w:ascii="Times New Roman" w:hAnsi="Times New Roman" w:cs="Times New Roman"/>
                      <w:color w:val="auto"/>
                      <w:kern w:val="0"/>
                      <w:sz w:val="18"/>
                      <w:szCs w:val="18"/>
                      <w:highlight w:val="none"/>
                      <w:lang w:val="en-US" w:eastAsia="zh-CN"/>
                    </w:rPr>
                    <w:t>Pb</w:t>
                  </w:r>
                </w:p>
              </w:tc>
              <w:tc>
                <w:tcPr>
                  <w:tcW w:w="548" w:type="pct"/>
                  <w:tcBorders>
                    <w:top w:val="single" w:color="auto" w:sz="4" w:space="0"/>
                    <w:left w:val="single" w:color="auto" w:sz="4" w:space="0"/>
                    <w:bottom w:val="single" w:color="auto" w:sz="4" w:space="0"/>
                    <w:right w:val="single" w:color="auto" w:sz="4" w:space="0"/>
                  </w:tcBorders>
                  <w:vAlign w:val="center"/>
                </w:tcPr>
                <w:p w14:paraId="0482BF22">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3.32E-02</w:t>
                  </w:r>
                </w:p>
              </w:tc>
              <w:tc>
                <w:tcPr>
                  <w:tcW w:w="542" w:type="pct"/>
                  <w:tcBorders>
                    <w:top w:val="single" w:color="auto" w:sz="4" w:space="0"/>
                    <w:left w:val="single" w:color="auto" w:sz="4" w:space="0"/>
                    <w:bottom w:val="single" w:color="auto" w:sz="4" w:space="0"/>
                    <w:right w:val="single" w:color="auto" w:sz="4" w:space="0"/>
                  </w:tcBorders>
                  <w:vAlign w:val="center"/>
                </w:tcPr>
                <w:p w14:paraId="3C069D5D">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2.52E-02</w:t>
                  </w:r>
                </w:p>
              </w:tc>
              <w:tc>
                <w:tcPr>
                  <w:tcW w:w="583" w:type="pct"/>
                  <w:tcBorders>
                    <w:left w:val="single" w:color="auto" w:sz="4" w:space="0"/>
                    <w:right w:val="single" w:color="auto" w:sz="4" w:space="0"/>
                  </w:tcBorders>
                  <w:vAlign w:val="center"/>
                </w:tcPr>
                <w:p w14:paraId="1D6E117D">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4.72E-02</w:t>
                  </w:r>
                </w:p>
              </w:tc>
              <w:tc>
                <w:tcPr>
                  <w:tcW w:w="531" w:type="pct"/>
                  <w:tcBorders>
                    <w:left w:val="single" w:color="auto" w:sz="4" w:space="0"/>
                    <w:right w:val="single" w:color="auto" w:sz="4" w:space="0"/>
                  </w:tcBorders>
                  <w:vAlign w:val="center"/>
                </w:tcPr>
                <w:p w14:paraId="003402B1">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3.66E-02</w:t>
                  </w:r>
                </w:p>
              </w:tc>
            </w:tr>
          </w:tbl>
          <w:p w14:paraId="76DA9470">
            <w:pPr>
              <w:pStyle w:val="32"/>
              <w:snapToGrid w:val="0"/>
              <w:spacing w:line="360" w:lineRule="auto"/>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2.2.4 利用因子和居留因子</w:t>
            </w:r>
          </w:p>
          <w:p w14:paraId="509A7075">
            <w:pPr>
              <w:pStyle w:val="32"/>
              <w:snapToGrid w:val="0"/>
              <w:spacing w:line="360" w:lineRule="auto"/>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计算时按照射线装置机头拟放置位置确定到达关注点距离，根据《放射医学中的辐射防护》（Radiation Protection in Medical Radiography, Mary Alice Statkiewicz Sherer, 6th Edition. Mosby, 032010,p300）对于利用因子一律取1。另根据NCRP147号报告P31的表4.1 医疗场所居留因子建议值对本项目保护目标所在场所的居留因子进行取值。</w:t>
            </w:r>
          </w:p>
          <w:p w14:paraId="566362A5">
            <w:pPr>
              <w:pStyle w:val="32"/>
              <w:numPr>
                <w:ilvl w:val="0"/>
                <w:numId w:val="22"/>
              </w:numPr>
              <w:snapToGrid w:val="0"/>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  </w:t>
            </w:r>
            <w:r>
              <w:rPr>
                <w:rFonts w:hint="eastAsia" w:ascii="Times New Roman" w:hAnsi="Times New Roman" w:eastAsia="宋体" w:cs="Times New Roman"/>
                <w:color w:val="auto"/>
                <w:sz w:val="21"/>
                <w:szCs w:val="21"/>
                <w:highlight w:val="none"/>
              </w:rPr>
              <w:t>本项目居留因子取值一览表</w:t>
            </w:r>
          </w:p>
          <w:tbl>
            <w:tblPr>
              <w:tblStyle w:val="23"/>
              <w:tblW w:w="83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4"/>
              <w:gridCol w:w="2807"/>
              <w:gridCol w:w="1971"/>
              <w:gridCol w:w="2462"/>
            </w:tblGrid>
            <w:tr w14:paraId="24B91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4" w:type="dxa"/>
                  <w:vAlign w:val="center"/>
                </w:tcPr>
                <w:p w14:paraId="7CAF4FD3">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序号</w:t>
                  </w:r>
                </w:p>
              </w:tc>
              <w:tc>
                <w:tcPr>
                  <w:tcW w:w="2807" w:type="dxa"/>
                  <w:vAlign w:val="center"/>
                </w:tcPr>
                <w:p w14:paraId="5ACAF09F">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位置</w:t>
                  </w:r>
                </w:p>
              </w:tc>
              <w:tc>
                <w:tcPr>
                  <w:tcW w:w="1971" w:type="dxa"/>
                  <w:vAlign w:val="center"/>
                </w:tcPr>
                <w:p w14:paraId="707BA1AD">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居留因子</w:t>
                  </w:r>
                </w:p>
              </w:tc>
              <w:tc>
                <w:tcPr>
                  <w:tcW w:w="2462" w:type="dxa"/>
                  <w:vAlign w:val="center"/>
                </w:tcPr>
                <w:p w14:paraId="5E810EBF">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备注</w:t>
                  </w:r>
                </w:p>
              </w:tc>
            </w:tr>
            <w:tr w14:paraId="2E344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4" w:type="dxa"/>
                  <w:vAlign w:val="center"/>
                </w:tcPr>
                <w:p w14:paraId="7CB177B1">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w:t>
                  </w:r>
                </w:p>
              </w:tc>
              <w:tc>
                <w:tcPr>
                  <w:tcW w:w="2807" w:type="dxa"/>
                  <w:vAlign w:val="center"/>
                </w:tcPr>
                <w:p w14:paraId="4D617935">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患者卫生间30cm处</w:t>
                  </w:r>
                </w:p>
              </w:tc>
              <w:tc>
                <w:tcPr>
                  <w:tcW w:w="1971" w:type="dxa"/>
                  <w:vAlign w:val="center"/>
                </w:tcPr>
                <w:p w14:paraId="71398AA2">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 /4</w:t>
                  </w:r>
                </w:p>
              </w:tc>
              <w:tc>
                <w:tcPr>
                  <w:tcW w:w="2462" w:type="dxa"/>
                  <w:vAlign w:val="center"/>
                </w:tcPr>
                <w:p w14:paraId="705EB732">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部分居留典型值</w:t>
                  </w:r>
                </w:p>
              </w:tc>
            </w:tr>
            <w:tr w14:paraId="1D765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4" w:type="dxa"/>
                  <w:vAlign w:val="center"/>
                </w:tcPr>
                <w:p w14:paraId="76021BE0">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2</w:t>
                  </w:r>
                </w:p>
              </w:tc>
              <w:tc>
                <w:tcPr>
                  <w:tcW w:w="2807" w:type="dxa"/>
                  <w:vAlign w:val="center"/>
                </w:tcPr>
                <w:p w14:paraId="157BAE81">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患者缓冲区屏蔽墙30cm处</w:t>
                  </w:r>
                </w:p>
              </w:tc>
              <w:tc>
                <w:tcPr>
                  <w:tcW w:w="1971" w:type="dxa"/>
                  <w:vAlign w:val="center"/>
                </w:tcPr>
                <w:p w14:paraId="37C6B93E">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 /4</w:t>
                  </w:r>
                </w:p>
              </w:tc>
              <w:tc>
                <w:tcPr>
                  <w:tcW w:w="2462" w:type="dxa"/>
                  <w:vAlign w:val="center"/>
                </w:tcPr>
                <w:p w14:paraId="1FFFD1F5">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部分居留典型值</w:t>
                  </w:r>
                </w:p>
              </w:tc>
            </w:tr>
            <w:tr w14:paraId="7511C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4" w:type="dxa"/>
                  <w:vAlign w:val="center"/>
                </w:tcPr>
                <w:p w14:paraId="63ED6D70">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3</w:t>
                  </w:r>
                </w:p>
              </w:tc>
              <w:tc>
                <w:tcPr>
                  <w:tcW w:w="2807" w:type="dxa"/>
                  <w:vAlign w:val="center"/>
                </w:tcPr>
                <w:p w14:paraId="58384240">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患者缓冲区电动推拉门30cm处</w:t>
                  </w:r>
                </w:p>
              </w:tc>
              <w:tc>
                <w:tcPr>
                  <w:tcW w:w="1971" w:type="dxa"/>
                  <w:vAlign w:val="center"/>
                </w:tcPr>
                <w:p w14:paraId="22FDB7AD">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1/4</w:t>
                  </w:r>
                </w:p>
              </w:tc>
              <w:tc>
                <w:tcPr>
                  <w:tcW w:w="2462" w:type="dxa"/>
                  <w:vAlign w:val="center"/>
                </w:tcPr>
                <w:p w14:paraId="10FEED7E">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部分居留典型值</w:t>
                  </w:r>
                </w:p>
              </w:tc>
            </w:tr>
            <w:tr w14:paraId="12986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4" w:type="dxa"/>
                  <w:vAlign w:val="center"/>
                </w:tcPr>
                <w:p w14:paraId="6F9AF58E">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4</w:t>
                  </w:r>
                </w:p>
              </w:tc>
              <w:tc>
                <w:tcPr>
                  <w:tcW w:w="2807" w:type="dxa"/>
                  <w:vAlign w:val="center"/>
                </w:tcPr>
                <w:p w14:paraId="59C31116">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高值耗材存放处屏蔽墙30cm处</w:t>
                  </w:r>
                </w:p>
              </w:tc>
              <w:tc>
                <w:tcPr>
                  <w:tcW w:w="1971" w:type="dxa"/>
                  <w:vAlign w:val="center"/>
                </w:tcPr>
                <w:p w14:paraId="68B2198F">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1/16</w:t>
                  </w:r>
                </w:p>
              </w:tc>
              <w:tc>
                <w:tcPr>
                  <w:tcW w:w="2462" w:type="dxa"/>
                  <w:vAlign w:val="center"/>
                </w:tcPr>
                <w:p w14:paraId="7D359F05">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偶然居留典型值</w:t>
                  </w:r>
                </w:p>
              </w:tc>
            </w:tr>
            <w:tr w14:paraId="46948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4" w:type="dxa"/>
                  <w:vAlign w:val="center"/>
                </w:tcPr>
                <w:p w14:paraId="428CD3D1">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5</w:t>
                  </w:r>
                </w:p>
              </w:tc>
              <w:tc>
                <w:tcPr>
                  <w:tcW w:w="2807" w:type="dxa"/>
                  <w:vAlign w:val="center"/>
                </w:tcPr>
                <w:p w14:paraId="4DE45589">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高值耗材存放处平开门30cm处</w:t>
                  </w:r>
                </w:p>
              </w:tc>
              <w:tc>
                <w:tcPr>
                  <w:tcW w:w="1971" w:type="dxa"/>
                  <w:vAlign w:val="center"/>
                </w:tcPr>
                <w:p w14:paraId="7212A009">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1/16</w:t>
                  </w:r>
                </w:p>
              </w:tc>
              <w:tc>
                <w:tcPr>
                  <w:tcW w:w="2462" w:type="dxa"/>
                  <w:vAlign w:val="center"/>
                </w:tcPr>
                <w:p w14:paraId="67313A1F">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偶然居留典型值</w:t>
                  </w:r>
                </w:p>
              </w:tc>
            </w:tr>
            <w:tr w14:paraId="38607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4" w:type="dxa"/>
                  <w:vAlign w:val="center"/>
                </w:tcPr>
                <w:p w14:paraId="34D57FA9">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6</w:t>
                  </w:r>
                </w:p>
              </w:tc>
              <w:tc>
                <w:tcPr>
                  <w:tcW w:w="2807" w:type="dxa"/>
                  <w:vAlign w:val="center"/>
                </w:tcPr>
                <w:p w14:paraId="0AFD7C82">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控制室观察窗30cm处</w:t>
                  </w:r>
                </w:p>
              </w:tc>
              <w:tc>
                <w:tcPr>
                  <w:tcW w:w="1971" w:type="dxa"/>
                  <w:vAlign w:val="center"/>
                </w:tcPr>
                <w:p w14:paraId="19507533">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w:t>
                  </w:r>
                </w:p>
              </w:tc>
              <w:tc>
                <w:tcPr>
                  <w:tcW w:w="2462" w:type="dxa"/>
                  <w:vAlign w:val="center"/>
                </w:tcPr>
                <w:p w14:paraId="18436A97">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全居留</w:t>
                  </w:r>
                </w:p>
              </w:tc>
            </w:tr>
            <w:tr w14:paraId="70CA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4" w:type="dxa"/>
                  <w:vAlign w:val="center"/>
                </w:tcPr>
                <w:p w14:paraId="5EF7AAC9">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7</w:t>
                  </w:r>
                </w:p>
              </w:tc>
              <w:tc>
                <w:tcPr>
                  <w:tcW w:w="2807" w:type="dxa"/>
                  <w:vAlign w:val="center"/>
                </w:tcPr>
                <w:p w14:paraId="40941164">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控制室屏蔽墙30cm处</w:t>
                  </w:r>
                </w:p>
              </w:tc>
              <w:tc>
                <w:tcPr>
                  <w:tcW w:w="1971" w:type="dxa"/>
                  <w:vAlign w:val="center"/>
                </w:tcPr>
                <w:p w14:paraId="174091E1">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w:t>
                  </w:r>
                </w:p>
              </w:tc>
              <w:tc>
                <w:tcPr>
                  <w:tcW w:w="2462" w:type="dxa"/>
                  <w:vAlign w:val="center"/>
                </w:tcPr>
                <w:p w14:paraId="4183FBA4">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全居留</w:t>
                  </w:r>
                </w:p>
              </w:tc>
            </w:tr>
            <w:tr w14:paraId="289BA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4" w:type="dxa"/>
                  <w:vAlign w:val="center"/>
                </w:tcPr>
                <w:p w14:paraId="7CF3ED70">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8</w:t>
                  </w:r>
                </w:p>
              </w:tc>
              <w:tc>
                <w:tcPr>
                  <w:tcW w:w="2807" w:type="dxa"/>
                  <w:vAlign w:val="center"/>
                </w:tcPr>
                <w:p w14:paraId="63F0F69B">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控制室平开门30cm处</w:t>
                  </w:r>
                </w:p>
              </w:tc>
              <w:tc>
                <w:tcPr>
                  <w:tcW w:w="1971" w:type="dxa"/>
                  <w:vAlign w:val="center"/>
                </w:tcPr>
                <w:p w14:paraId="6F3E2B0C">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w:t>
                  </w:r>
                </w:p>
              </w:tc>
              <w:tc>
                <w:tcPr>
                  <w:tcW w:w="2462" w:type="dxa"/>
                  <w:vAlign w:val="center"/>
                </w:tcPr>
                <w:p w14:paraId="16A9CCD6">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全居留</w:t>
                  </w:r>
                </w:p>
              </w:tc>
            </w:tr>
            <w:tr w14:paraId="3877C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4" w:type="dxa"/>
                  <w:vAlign w:val="center"/>
                </w:tcPr>
                <w:p w14:paraId="16899B03">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9</w:t>
                  </w:r>
                </w:p>
              </w:tc>
              <w:tc>
                <w:tcPr>
                  <w:tcW w:w="2807" w:type="dxa"/>
                  <w:vAlign w:val="center"/>
                </w:tcPr>
                <w:p w14:paraId="36358ECC">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污物间屏蔽墙30cm处</w:t>
                  </w:r>
                </w:p>
              </w:tc>
              <w:tc>
                <w:tcPr>
                  <w:tcW w:w="1971" w:type="dxa"/>
                  <w:vAlign w:val="center"/>
                </w:tcPr>
                <w:p w14:paraId="20289635">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1/16</w:t>
                  </w:r>
                </w:p>
              </w:tc>
              <w:tc>
                <w:tcPr>
                  <w:tcW w:w="2462" w:type="dxa"/>
                  <w:vAlign w:val="center"/>
                </w:tcPr>
                <w:p w14:paraId="3A10E3BD">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偶然居留典型值</w:t>
                  </w:r>
                </w:p>
              </w:tc>
            </w:tr>
            <w:tr w14:paraId="71A55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4" w:type="dxa"/>
                  <w:vAlign w:val="center"/>
                </w:tcPr>
                <w:p w14:paraId="40279664">
                  <w:pPr>
                    <w:widowControl/>
                    <w:adjustRightInd w:val="0"/>
                    <w:snapToGrid w:val="0"/>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10</w:t>
                  </w:r>
                </w:p>
              </w:tc>
              <w:tc>
                <w:tcPr>
                  <w:tcW w:w="2807" w:type="dxa"/>
                  <w:vAlign w:val="center"/>
                </w:tcPr>
                <w:p w14:paraId="2B6B748F">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污物间平开门30cm处</w:t>
                  </w:r>
                </w:p>
              </w:tc>
              <w:tc>
                <w:tcPr>
                  <w:tcW w:w="1971" w:type="dxa"/>
                  <w:vAlign w:val="center"/>
                </w:tcPr>
                <w:p w14:paraId="601F8E5F">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1/16</w:t>
                  </w:r>
                </w:p>
              </w:tc>
              <w:tc>
                <w:tcPr>
                  <w:tcW w:w="2462" w:type="dxa"/>
                  <w:vAlign w:val="center"/>
                </w:tcPr>
                <w:p w14:paraId="59CD70AD">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偶然居留典型值</w:t>
                  </w:r>
                </w:p>
              </w:tc>
            </w:tr>
            <w:tr w14:paraId="314E2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4" w:type="dxa"/>
                  <w:vAlign w:val="center"/>
                </w:tcPr>
                <w:p w14:paraId="245F42C4">
                  <w:pPr>
                    <w:widowControl/>
                    <w:adjustRightInd w:val="0"/>
                    <w:snapToGrid w:val="0"/>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11</w:t>
                  </w:r>
                </w:p>
              </w:tc>
              <w:tc>
                <w:tcPr>
                  <w:tcW w:w="2807" w:type="dxa"/>
                  <w:vAlign w:val="center"/>
                </w:tcPr>
                <w:p w14:paraId="2C9FAAF2">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设备间屏蔽墙30cm处</w:t>
                  </w:r>
                </w:p>
              </w:tc>
              <w:tc>
                <w:tcPr>
                  <w:tcW w:w="1971" w:type="dxa"/>
                  <w:vAlign w:val="center"/>
                </w:tcPr>
                <w:p w14:paraId="0B95F888">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1/16</w:t>
                  </w:r>
                </w:p>
              </w:tc>
              <w:tc>
                <w:tcPr>
                  <w:tcW w:w="2462" w:type="dxa"/>
                  <w:vAlign w:val="center"/>
                </w:tcPr>
                <w:p w14:paraId="58FB7B30">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偶然居留典型值</w:t>
                  </w:r>
                </w:p>
              </w:tc>
            </w:tr>
            <w:tr w14:paraId="6C029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4" w:type="dxa"/>
                  <w:vAlign w:val="center"/>
                </w:tcPr>
                <w:p w14:paraId="275FE32C">
                  <w:pPr>
                    <w:widowControl/>
                    <w:adjustRightInd w:val="0"/>
                    <w:snapToGrid w:val="0"/>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12</w:t>
                  </w:r>
                </w:p>
              </w:tc>
              <w:tc>
                <w:tcPr>
                  <w:tcW w:w="2807" w:type="dxa"/>
                  <w:vAlign w:val="center"/>
                </w:tcPr>
                <w:p w14:paraId="1B92C522">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设备间平开门30cm处</w:t>
                  </w:r>
                </w:p>
              </w:tc>
              <w:tc>
                <w:tcPr>
                  <w:tcW w:w="1971" w:type="dxa"/>
                  <w:vAlign w:val="center"/>
                </w:tcPr>
                <w:p w14:paraId="7DF22C51">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1/16</w:t>
                  </w:r>
                </w:p>
              </w:tc>
              <w:tc>
                <w:tcPr>
                  <w:tcW w:w="2462" w:type="dxa"/>
                  <w:vAlign w:val="center"/>
                </w:tcPr>
                <w:p w14:paraId="4CC06960">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偶然居留典型值</w:t>
                  </w:r>
                </w:p>
              </w:tc>
            </w:tr>
            <w:tr w14:paraId="39A6E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4" w:type="dxa"/>
                  <w:vAlign w:val="center"/>
                </w:tcPr>
                <w:p w14:paraId="20891874">
                  <w:pPr>
                    <w:widowControl/>
                    <w:adjustRightInd w:val="0"/>
                    <w:snapToGrid w:val="0"/>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13</w:t>
                  </w:r>
                </w:p>
              </w:tc>
              <w:tc>
                <w:tcPr>
                  <w:tcW w:w="2807" w:type="dxa"/>
                  <w:vAlign w:val="center"/>
                </w:tcPr>
                <w:p w14:paraId="06AFC85D">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DSA机头楼下30cm处</w:t>
                  </w:r>
                </w:p>
              </w:tc>
              <w:tc>
                <w:tcPr>
                  <w:tcW w:w="1971" w:type="dxa"/>
                  <w:vAlign w:val="center"/>
                </w:tcPr>
                <w:p w14:paraId="7B2636E1">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w:t>
                  </w:r>
                </w:p>
              </w:tc>
              <w:tc>
                <w:tcPr>
                  <w:tcW w:w="2462" w:type="dxa"/>
                  <w:vAlign w:val="center"/>
                </w:tcPr>
                <w:p w14:paraId="622BFCB4">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全居留</w:t>
                  </w:r>
                </w:p>
              </w:tc>
            </w:tr>
            <w:tr w14:paraId="5908B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4" w:type="dxa"/>
                  <w:vAlign w:val="center"/>
                </w:tcPr>
                <w:p w14:paraId="6E4865E8">
                  <w:pPr>
                    <w:widowControl/>
                    <w:adjustRightInd w:val="0"/>
                    <w:snapToGrid w:val="0"/>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14</w:t>
                  </w:r>
                </w:p>
              </w:tc>
              <w:tc>
                <w:tcPr>
                  <w:tcW w:w="2807" w:type="dxa"/>
                  <w:vAlign w:val="center"/>
                </w:tcPr>
                <w:p w14:paraId="421702E6">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1#医疗综合楼办公室</w:t>
                  </w:r>
                </w:p>
              </w:tc>
              <w:tc>
                <w:tcPr>
                  <w:tcW w:w="1971" w:type="dxa"/>
                  <w:vAlign w:val="center"/>
                </w:tcPr>
                <w:p w14:paraId="408447E9">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w:t>
                  </w:r>
                </w:p>
              </w:tc>
              <w:tc>
                <w:tcPr>
                  <w:tcW w:w="2462" w:type="dxa"/>
                  <w:vAlign w:val="center"/>
                </w:tcPr>
                <w:p w14:paraId="54635CC3">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全居留</w:t>
                  </w:r>
                </w:p>
              </w:tc>
            </w:tr>
            <w:tr w14:paraId="3259E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4" w:type="dxa"/>
                  <w:vAlign w:val="center"/>
                </w:tcPr>
                <w:p w14:paraId="3877C0EE">
                  <w:pPr>
                    <w:widowControl/>
                    <w:adjustRightInd w:val="0"/>
                    <w:snapToGrid w:val="0"/>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15</w:t>
                  </w:r>
                </w:p>
              </w:tc>
              <w:tc>
                <w:tcPr>
                  <w:tcW w:w="2807" w:type="dxa"/>
                  <w:vAlign w:val="center"/>
                </w:tcPr>
                <w:p w14:paraId="09B1CBAC">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血液科观察室</w:t>
                  </w:r>
                </w:p>
              </w:tc>
              <w:tc>
                <w:tcPr>
                  <w:tcW w:w="1971" w:type="dxa"/>
                  <w:vAlign w:val="center"/>
                </w:tcPr>
                <w:p w14:paraId="5B7279FF">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w:t>
                  </w:r>
                </w:p>
              </w:tc>
              <w:tc>
                <w:tcPr>
                  <w:tcW w:w="2462" w:type="dxa"/>
                  <w:vAlign w:val="center"/>
                </w:tcPr>
                <w:p w14:paraId="06AC6A4E">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全居留</w:t>
                  </w:r>
                </w:p>
              </w:tc>
            </w:tr>
            <w:tr w14:paraId="28209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4" w:type="dxa"/>
                  <w:vAlign w:val="center"/>
                </w:tcPr>
                <w:p w14:paraId="5C9B5F41">
                  <w:pPr>
                    <w:widowControl/>
                    <w:adjustRightInd w:val="0"/>
                    <w:snapToGrid w:val="0"/>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16</w:t>
                  </w:r>
                </w:p>
              </w:tc>
              <w:tc>
                <w:tcPr>
                  <w:tcW w:w="2807" w:type="dxa"/>
                  <w:vAlign w:val="center"/>
                </w:tcPr>
                <w:p w14:paraId="565B2CB9">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血液透析大厅患者走廊</w:t>
                  </w:r>
                </w:p>
              </w:tc>
              <w:tc>
                <w:tcPr>
                  <w:tcW w:w="1971" w:type="dxa"/>
                  <w:vAlign w:val="center"/>
                </w:tcPr>
                <w:p w14:paraId="7C1B75EF">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4</w:t>
                  </w:r>
                </w:p>
              </w:tc>
              <w:tc>
                <w:tcPr>
                  <w:tcW w:w="2462" w:type="dxa"/>
                  <w:vAlign w:val="center"/>
                </w:tcPr>
                <w:p w14:paraId="545A26B7">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部分居留典型值</w:t>
                  </w:r>
                </w:p>
              </w:tc>
            </w:tr>
            <w:tr w14:paraId="61A6D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4" w:type="dxa"/>
                  <w:vAlign w:val="center"/>
                </w:tcPr>
                <w:p w14:paraId="29951C59">
                  <w:pPr>
                    <w:widowControl/>
                    <w:adjustRightInd w:val="0"/>
                    <w:snapToGrid w:val="0"/>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17</w:t>
                  </w:r>
                </w:p>
              </w:tc>
              <w:tc>
                <w:tcPr>
                  <w:tcW w:w="2807" w:type="dxa"/>
                  <w:vAlign w:val="center"/>
                </w:tcPr>
                <w:p w14:paraId="33E9EA18">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体检中心</w:t>
                  </w:r>
                </w:p>
              </w:tc>
              <w:tc>
                <w:tcPr>
                  <w:tcW w:w="1971" w:type="dxa"/>
                  <w:vAlign w:val="center"/>
                </w:tcPr>
                <w:p w14:paraId="3915266E">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4</w:t>
                  </w:r>
                </w:p>
              </w:tc>
              <w:tc>
                <w:tcPr>
                  <w:tcW w:w="2462" w:type="dxa"/>
                  <w:vAlign w:val="center"/>
                </w:tcPr>
                <w:p w14:paraId="0452ABB2">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部分居留典型值</w:t>
                  </w:r>
                </w:p>
              </w:tc>
            </w:tr>
            <w:tr w14:paraId="7D29C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4" w:type="dxa"/>
                  <w:vAlign w:val="center"/>
                </w:tcPr>
                <w:p w14:paraId="4251930D">
                  <w:pPr>
                    <w:widowControl/>
                    <w:adjustRightInd w:val="0"/>
                    <w:snapToGrid w:val="0"/>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18</w:t>
                  </w:r>
                </w:p>
              </w:tc>
              <w:tc>
                <w:tcPr>
                  <w:tcW w:w="2807" w:type="dxa"/>
                  <w:vAlign w:val="center"/>
                </w:tcPr>
                <w:p w14:paraId="011F9500">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电梯厅</w:t>
                  </w:r>
                </w:p>
              </w:tc>
              <w:tc>
                <w:tcPr>
                  <w:tcW w:w="1971" w:type="dxa"/>
                  <w:vAlign w:val="center"/>
                </w:tcPr>
                <w:p w14:paraId="3DE983B8">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4</w:t>
                  </w:r>
                </w:p>
              </w:tc>
              <w:tc>
                <w:tcPr>
                  <w:tcW w:w="2462" w:type="dxa"/>
                  <w:vAlign w:val="center"/>
                </w:tcPr>
                <w:p w14:paraId="1E276D80">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部分居留典型值</w:t>
                  </w:r>
                </w:p>
              </w:tc>
            </w:tr>
            <w:tr w14:paraId="13424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4" w:type="dxa"/>
                  <w:vAlign w:val="center"/>
                </w:tcPr>
                <w:p w14:paraId="18AC8A16">
                  <w:pPr>
                    <w:widowControl/>
                    <w:adjustRightInd w:val="0"/>
                    <w:snapToGrid w:val="0"/>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19</w:t>
                  </w:r>
                </w:p>
              </w:tc>
              <w:tc>
                <w:tcPr>
                  <w:tcW w:w="2807" w:type="dxa"/>
                  <w:vAlign w:val="center"/>
                </w:tcPr>
                <w:p w14:paraId="6F5DCE70">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一楼北侧出入口</w:t>
                  </w:r>
                </w:p>
              </w:tc>
              <w:tc>
                <w:tcPr>
                  <w:tcW w:w="1971" w:type="dxa"/>
                  <w:vAlign w:val="center"/>
                </w:tcPr>
                <w:p w14:paraId="370B79B4">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4</w:t>
                  </w:r>
                </w:p>
              </w:tc>
              <w:tc>
                <w:tcPr>
                  <w:tcW w:w="2462" w:type="dxa"/>
                  <w:vAlign w:val="center"/>
                </w:tcPr>
                <w:p w14:paraId="4319E60C">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部分居留典型值</w:t>
                  </w:r>
                </w:p>
              </w:tc>
            </w:tr>
            <w:tr w14:paraId="58635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4" w:type="dxa"/>
                  <w:vAlign w:val="center"/>
                </w:tcPr>
                <w:p w14:paraId="4280A5BC">
                  <w:pPr>
                    <w:widowControl/>
                    <w:adjustRightInd w:val="0"/>
                    <w:snapToGrid w:val="0"/>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20</w:t>
                  </w:r>
                </w:p>
              </w:tc>
              <w:tc>
                <w:tcPr>
                  <w:tcW w:w="2807" w:type="dxa"/>
                  <w:vAlign w:val="center"/>
                </w:tcPr>
                <w:p w14:paraId="2259D8F6">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一楼东侧出入口</w:t>
                  </w:r>
                </w:p>
              </w:tc>
              <w:tc>
                <w:tcPr>
                  <w:tcW w:w="1971" w:type="dxa"/>
                  <w:vAlign w:val="center"/>
                </w:tcPr>
                <w:p w14:paraId="05E513F2">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1/4</w:t>
                  </w:r>
                </w:p>
              </w:tc>
              <w:tc>
                <w:tcPr>
                  <w:tcW w:w="2462" w:type="dxa"/>
                  <w:vAlign w:val="center"/>
                </w:tcPr>
                <w:p w14:paraId="1F42F657">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部分居留典型值</w:t>
                  </w:r>
                </w:p>
              </w:tc>
            </w:tr>
            <w:tr w14:paraId="3CA13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4" w:type="dxa"/>
                  <w:vAlign w:val="center"/>
                </w:tcPr>
                <w:p w14:paraId="7C4B8CBE">
                  <w:pPr>
                    <w:widowControl/>
                    <w:adjustRightInd w:val="0"/>
                    <w:snapToGrid w:val="0"/>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21</w:t>
                  </w:r>
                </w:p>
              </w:tc>
              <w:tc>
                <w:tcPr>
                  <w:tcW w:w="2807" w:type="dxa"/>
                  <w:vAlign w:val="center"/>
                </w:tcPr>
                <w:p w14:paraId="17C7A6E2">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一楼体育场</w:t>
                  </w:r>
                </w:p>
              </w:tc>
              <w:tc>
                <w:tcPr>
                  <w:tcW w:w="1971" w:type="dxa"/>
                  <w:vAlign w:val="center"/>
                </w:tcPr>
                <w:p w14:paraId="276B61AF">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1/16</w:t>
                  </w:r>
                </w:p>
              </w:tc>
              <w:tc>
                <w:tcPr>
                  <w:tcW w:w="2462" w:type="dxa"/>
                  <w:vAlign w:val="center"/>
                </w:tcPr>
                <w:p w14:paraId="7F41A711">
                  <w:pPr>
                    <w:widowControl/>
                    <w:adjustRightInd w:val="0"/>
                    <w:snapToGrid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偶然居留典型值</w:t>
                  </w:r>
                </w:p>
              </w:tc>
            </w:tr>
          </w:tbl>
          <w:p w14:paraId="20C92898">
            <w:pPr>
              <w:pStyle w:val="32"/>
              <w:snapToGrid w:val="0"/>
              <w:spacing w:line="360" w:lineRule="auto"/>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2.2.5 计算公式</w:t>
            </w:r>
          </w:p>
          <w:p w14:paraId="484C5989">
            <w:pPr>
              <w:pStyle w:val="32"/>
              <w:numPr>
                <w:ilvl w:val="0"/>
                <w:numId w:val="23"/>
              </w:numPr>
              <w:snapToGrid w:val="0"/>
              <w:spacing w:line="360" w:lineRule="auto"/>
              <w:ind w:firstLine="480"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主射线辐射影响计算公式</w:t>
            </w:r>
          </w:p>
          <w:p w14:paraId="7DB5DB78">
            <w:pPr>
              <w:pStyle w:val="32"/>
              <w:snapToGrid w:val="0"/>
              <w:spacing w:line="360" w:lineRule="auto"/>
              <w:ind w:firstLine="480"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本项目DSA机房上方主要考虑主射线影响，四周主要考虑散射线和泄漏射线影响。采用《辐射防护手册》（第一分册，李德平、潘自强主编）中10.3对于X射线机的屏蔽计算公式10.8和10.10进行推导：</w:t>
            </w:r>
          </w:p>
          <w:p w14:paraId="744F2A8C">
            <w:pPr>
              <w:tabs>
                <w:tab w:val="left" w:pos="426"/>
              </w:tabs>
              <w:adjustRightInd w:val="0"/>
              <w:snapToGrid w:val="0"/>
              <w:spacing w:line="360" w:lineRule="auto"/>
              <w:ind w:firstLine="480" w:firstLineChars="20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pict>
                <v:shape id="Object 400" o:spid="_x0000_s1112" o:spt="75" type="#_x0000_t75" style="position:absolute;left:0pt;margin-left:154.3pt;margin-top:14.6pt;height:41.55pt;width:85.25pt;mso-wrap-distance-bottom:0pt;mso-wrap-distance-left:9pt;mso-wrap-distance-right:9pt;mso-wrap-distance-top:0pt;z-index:-251652096;mso-width-relative:page;mso-height-relative:page;" o:ole="t" filled="f" o:preferrelative="t" stroked="f" coordsize="21600,21600">
                  <v:path/>
                  <v:fill on="f" focussize="0,0"/>
                  <v:stroke on="f" joinstyle="miter"/>
                  <v:imagedata r:id="rId40" o:title=""/>
                  <o:lock v:ext="edit" aspectratio="t"/>
                  <w10:wrap type="square"/>
                </v:shape>
                <o:OLEObject Type="Embed" ProgID="Equation.3" ShapeID="Object 400" DrawAspect="Content" ObjectID="_1468075726" r:id="rId39">
                  <o:LockedField>false</o:LockedField>
                </o:OLEObject>
              </w:pict>
            </w:r>
            <w:r>
              <w:rPr>
                <w:rFonts w:hint="default" w:ascii="Times New Roman" w:hAnsi="Times New Roman" w:cs="Times New Roman"/>
                <w:color w:val="auto"/>
                <w:sz w:val="24"/>
                <w:highlight w:val="none"/>
              </w:rPr>
              <w:t xml:space="preserve">      </w:t>
            </w:r>
          </w:p>
          <w:p w14:paraId="6F14E638">
            <w:pPr>
              <w:tabs>
                <w:tab w:val="left" w:pos="426"/>
              </w:tabs>
              <w:adjustRightInd w:val="0"/>
              <w:snapToGrid w:val="0"/>
              <w:spacing w:line="360" w:lineRule="auto"/>
              <w:ind w:firstLine="480" w:firstLineChars="200"/>
              <w:jc w:val="center"/>
              <w:rPr>
                <w:rFonts w:hint="default" w:ascii="Times New Roman" w:hAnsi="Times New Roman" w:cs="Times New Roman"/>
                <w:color w:val="auto"/>
                <w:sz w:val="24"/>
                <w:highlight w:val="none"/>
              </w:rPr>
            </w:pPr>
          </w:p>
          <w:p w14:paraId="575DA6E7">
            <w:pPr>
              <w:adjustRightInd w:val="0"/>
              <w:snapToGrid w:val="0"/>
              <w:spacing w:line="360" w:lineRule="auto"/>
              <w:ind w:firstLine="1200" w:firstLineChars="5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                                ------------公式4</w:t>
            </w:r>
          </w:p>
          <w:p w14:paraId="72CB55B6">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H</w:t>
            </w:r>
            <w:r>
              <w:rPr>
                <w:rFonts w:hint="default" w:ascii="Times New Roman" w:hAnsi="Times New Roman" w:cs="Times New Roman"/>
                <w:color w:val="auto"/>
                <w:sz w:val="24"/>
                <w:highlight w:val="none"/>
                <w:vertAlign w:val="subscript"/>
              </w:rPr>
              <w:t>pr</w:t>
            </w:r>
            <w:r>
              <w:rPr>
                <w:rFonts w:hint="default" w:ascii="Times New Roman" w:hAnsi="Times New Roman" w:cs="Times New Roman"/>
                <w:color w:val="auto"/>
                <w:sz w:val="24"/>
                <w:highlight w:val="none"/>
              </w:rPr>
              <w:t>：关注点处的主射线的空气比释动能率，μGy/h，根据 NCRP147 报告，患者和接收器对初始线束的减弱倍数为10倍~100倍，因此本次预测主射方向照射量率保守取主射束的10%；</w:t>
            </w:r>
          </w:p>
          <w:p w14:paraId="215109E3">
            <w:pPr>
              <w:pStyle w:val="32"/>
              <w:snapToGrid w:val="0"/>
              <w:spacing w:line="360" w:lineRule="auto"/>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H</w:t>
            </w:r>
            <w:r>
              <w:rPr>
                <w:rFonts w:hint="default" w:ascii="Times New Roman" w:hAnsi="Times New Roman" w:cs="Times New Roman"/>
                <w:color w:val="auto"/>
                <w:highlight w:val="none"/>
                <w:vertAlign w:val="subscript"/>
              </w:rPr>
              <w:t>1m</w:t>
            </w:r>
            <w:r>
              <w:rPr>
                <w:rFonts w:hint="default" w:ascii="Times New Roman" w:hAnsi="Times New Roman" w:cs="Times New Roman"/>
                <w:color w:val="auto"/>
                <w:highlight w:val="none"/>
              </w:rPr>
              <w:t>：距离靶点1m处空气比释动能率，μGy/h，</w:t>
            </w:r>
          </w:p>
          <w:p w14:paraId="1A879AFA">
            <w:pPr>
              <w:pStyle w:val="32"/>
              <w:snapToGrid w:val="0"/>
              <w:spacing w:line="360" w:lineRule="auto"/>
              <w:ind w:firstLine="480"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B：屏蔽透射因子；</w:t>
            </w:r>
          </w:p>
          <w:p w14:paraId="7477355A">
            <w:pPr>
              <w:pStyle w:val="65"/>
              <w:adjustRightInd w:val="0"/>
              <w:snapToGrid w:val="0"/>
              <w:spacing w:line="360" w:lineRule="auto"/>
              <w:ind w:firstLine="48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rx：离球管1m处至关注点的距离，m。</w:t>
            </w:r>
          </w:p>
          <w:p w14:paraId="2DD94A8C">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（2）散射线辐射影响计算公式</w:t>
            </w:r>
          </w:p>
          <w:p w14:paraId="03C7670C">
            <w:pPr>
              <w:adjustRightInd w:val="0"/>
              <w:snapToGrid w:val="0"/>
              <w:spacing w:line="360" w:lineRule="auto"/>
              <w:ind w:firstLine="420" w:firstLineChars="200"/>
              <w:jc w:val="center"/>
              <w:rPr>
                <w:rFonts w:hint="default" w:ascii="Times New Roman" w:hAnsi="Times New Roman" w:cs="Times New Roman"/>
                <w:color w:val="auto"/>
                <w:sz w:val="24"/>
                <w:highlight w:val="none"/>
              </w:rPr>
            </w:pPr>
            <w:r>
              <w:rPr>
                <w:rFonts w:hint="default" w:ascii="Times New Roman" w:hAnsi="Times New Roman" w:cs="Times New Roman"/>
                <w:color w:val="auto"/>
                <w:highlight w:val="none"/>
              </w:rPr>
              <w:drawing>
                <wp:inline distT="0" distB="0" distL="114300" distR="114300">
                  <wp:extent cx="1362075" cy="628650"/>
                  <wp:effectExtent l="0" t="0" r="9525" b="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41"/>
                          <a:stretch>
                            <a:fillRect/>
                          </a:stretch>
                        </pic:blipFill>
                        <pic:spPr>
                          <a:xfrm>
                            <a:off x="0" y="0"/>
                            <a:ext cx="1362075" cy="628650"/>
                          </a:xfrm>
                          <a:prstGeom prst="rect">
                            <a:avLst/>
                          </a:prstGeom>
                          <a:noFill/>
                          <a:ln>
                            <a:noFill/>
                          </a:ln>
                        </pic:spPr>
                      </pic:pic>
                    </a:graphicData>
                  </a:graphic>
                </wp:inline>
              </w:drawing>
            </w:r>
          </w:p>
          <w:p w14:paraId="7254B6D2">
            <w:pPr>
              <w:pStyle w:val="32"/>
              <w:snapToGrid w:val="0"/>
              <w:spacing w:line="360" w:lineRule="auto"/>
              <w:ind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H</w:t>
            </w:r>
            <w:r>
              <w:rPr>
                <w:rFonts w:hint="default" w:ascii="Times New Roman" w:hAnsi="Times New Roman" w:cs="Times New Roman"/>
                <w:color w:val="auto"/>
                <w:highlight w:val="none"/>
                <w:vertAlign w:val="subscript"/>
              </w:rPr>
              <w:t>sr</w:t>
            </w:r>
            <w:r>
              <w:rPr>
                <w:rFonts w:hint="default" w:ascii="Times New Roman" w:hAnsi="Times New Roman" w:cs="Times New Roman"/>
                <w:color w:val="auto"/>
                <w:highlight w:val="none"/>
              </w:rPr>
              <w:t>：关注点处的散射线的空气比释动能率，μGy/h；</w:t>
            </w:r>
          </w:p>
          <w:p w14:paraId="5E92A86E">
            <w:pPr>
              <w:pStyle w:val="32"/>
              <w:snapToGrid w:val="0"/>
              <w:spacing w:line="360" w:lineRule="auto"/>
              <w:ind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H</w:t>
            </w:r>
            <w:r>
              <w:rPr>
                <w:rFonts w:hint="default" w:ascii="Times New Roman" w:hAnsi="Times New Roman" w:cs="Times New Roman"/>
                <w:color w:val="auto"/>
                <w:highlight w:val="none"/>
                <w:vertAlign w:val="subscript"/>
                <w:lang w:val="en-US" w:eastAsia="zh-CN"/>
              </w:rPr>
              <w:t>0</w:t>
            </w:r>
            <w:r>
              <w:rPr>
                <w:rFonts w:hint="default" w:ascii="Times New Roman" w:hAnsi="Times New Roman" w:cs="Times New Roman"/>
                <w:color w:val="auto"/>
                <w:highlight w:val="none"/>
              </w:rPr>
              <w:t>：距靶点1m处空气比释动能率，μGy/h；</w:t>
            </w:r>
          </w:p>
          <w:p w14:paraId="0F378A9C">
            <w:pPr>
              <w:pStyle w:val="65"/>
              <w:adjustRightInd w:val="0"/>
              <w:snapToGrid w:val="0"/>
              <w:spacing w:line="360" w:lineRule="auto"/>
              <w:ind w:firstLine="48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B：屏蔽墙对散射线的屏蔽透射因子；</w:t>
            </w:r>
          </w:p>
          <w:p w14:paraId="4BB6ABFD">
            <w:pPr>
              <w:pStyle w:val="65"/>
              <w:adjustRightInd w:val="0"/>
              <w:snapToGrid w:val="0"/>
              <w:spacing w:line="360" w:lineRule="auto"/>
              <w:ind w:firstLine="48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a——患者对X射线的散射比；根据《辐射防护手册》（第一分册）表10.1查表取得当400cm</w:t>
            </w:r>
            <w:r>
              <w:rPr>
                <w:rFonts w:hint="default" w:ascii="Times New Roman" w:hAnsi="Times New Roman" w:cs="Times New Roman"/>
                <w:color w:val="auto"/>
                <w:sz w:val="24"/>
                <w:highlight w:val="none"/>
                <w:vertAlign w:val="superscript"/>
              </w:rPr>
              <w:t>2</w:t>
            </w:r>
            <w:r>
              <w:rPr>
                <w:rFonts w:hint="default" w:ascii="Times New Roman" w:hAnsi="Times New Roman" w:cs="Times New Roman"/>
                <w:color w:val="auto"/>
                <w:sz w:val="24"/>
                <w:highlight w:val="none"/>
              </w:rPr>
              <w:t>散射面积时，a=1.3×10</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；故当1cm</w:t>
            </w:r>
            <w:r>
              <w:rPr>
                <w:rFonts w:hint="default" w:ascii="Times New Roman" w:hAnsi="Times New Roman" w:cs="Times New Roman"/>
                <w:color w:val="auto"/>
                <w:sz w:val="24"/>
                <w:highlight w:val="none"/>
                <w:vertAlign w:val="superscript"/>
                <w:lang w:val="en-US" w:eastAsia="zh-CN"/>
              </w:rPr>
              <w:t>2</w:t>
            </w:r>
            <w:r>
              <w:rPr>
                <w:rFonts w:hint="default" w:ascii="Times New Roman" w:hAnsi="Times New Roman" w:cs="Times New Roman"/>
                <w:color w:val="auto"/>
                <w:sz w:val="24"/>
                <w:highlight w:val="none"/>
              </w:rPr>
              <w:t>散射面积时，a=3.25×10</w:t>
            </w:r>
            <w:r>
              <w:rPr>
                <w:rFonts w:hint="default" w:ascii="Times New Roman" w:hAnsi="Times New Roman" w:cs="Times New Roman"/>
                <w:color w:val="auto"/>
                <w:sz w:val="24"/>
                <w:highlight w:val="none"/>
                <w:vertAlign w:val="superscript"/>
              </w:rPr>
              <w:t>-6</w:t>
            </w:r>
            <w:r>
              <w:rPr>
                <w:rFonts w:hint="default" w:ascii="Times New Roman" w:hAnsi="Times New Roman" w:cs="Times New Roman"/>
                <w:color w:val="auto"/>
                <w:sz w:val="24"/>
                <w:highlight w:val="none"/>
                <w:vertAlign w:val="baseline"/>
                <w:lang w:eastAsia="zh-CN"/>
              </w:rPr>
              <w:t>。</w:t>
            </w:r>
            <w:r>
              <w:rPr>
                <w:rFonts w:hint="default" w:ascii="Times New Roman" w:hAnsi="Times New Roman" w:cs="Times New Roman"/>
                <w:color w:val="auto"/>
                <w:sz w:val="24"/>
                <w:highlight w:val="none"/>
              </w:rPr>
              <w:t>（90°散射）；</w:t>
            </w:r>
          </w:p>
          <w:p w14:paraId="640FCC5D">
            <w:pPr>
              <w:pStyle w:val="65"/>
              <w:adjustRightInd w:val="0"/>
              <w:snapToGrid w:val="0"/>
              <w:spacing w:line="360" w:lineRule="auto"/>
              <w:ind w:firstLine="48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s——散射面积，cm</w:t>
            </w:r>
            <w:r>
              <w:rPr>
                <w:rFonts w:hint="default" w:ascii="Times New Roman" w:hAnsi="Times New Roman" w:cs="Times New Roman"/>
                <w:color w:val="auto"/>
                <w:sz w:val="24"/>
                <w:highlight w:val="none"/>
                <w:vertAlign w:val="superscript"/>
              </w:rPr>
              <w:t>2</w:t>
            </w:r>
            <w:r>
              <w:rPr>
                <w:rFonts w:hint="default" w:ascii="Times New Roman" w:hAnsi="Times New Roman" w:cs="Times New Roman"/>
                <w:color w:val="auto"/>
                <w:sz w:val="24"/>
                <w:highlight w:val="none"/>
              </w:rPr>
              <w:t>，取100cm</w:t>
            </w:r>
            <w:r>
              <w:rPr>
                <w:rFonts w:hint="default" w:ascii="Times New Roman" w:hAnsi="Times New Roman" w:cs="Times New Roman"/>
                <w:color w:val="auto"/>
                <w:sz w:val="24"/>
                <w:highlight w:val="none"/>
                <w:vertAlign w:val="superscript"/>
              </w:rPr>
              <w:t>2</w:t>
            </w:r>
            <w:r>
              <w:rPr>
                <w:rFonts w:hint="default" w:ascii="Times New Roman" w:hAnsi="Times New Roman" w:cs="Times New Roman"/>
                <w:color w:val="auto"/>
                <w:sz w:val="24"/>
                <w:highlight w:val="none"/>
              </w:rPr>
              <w:t>；</w:t>
            </w:r>
          </w:p>
          <w:p w14:paraId="38AEADD7">
            <w:pPr>
              <w:pStyle w:val="65"/>
              <w:adjustRightInd w:val="0"/>
              <w:snapToGrid w:val="0"/>
              <w:spacing w:line="360" w:lineRule="auto"/>
              <w:ind w:firstLine="48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d0——源与病人的距离，m，</w:t>
            </w:r>
            <w:r>
              <w:rPr>
                <w:rFonts w:hint="default" w:ascii="Times New Roman" w:hAnsi="Times New Roman" w:cs="Times New Roman"/>
                <w:color w:val="auto"/>
                <w:sz w:val="24"/>
                <w:highlight w:val="none"/>
                <w:lang w:val="en-US" w:eastAsia="zh-CN"/>
              </w:rPr>
              <w:t>取</w:t>
            </w:r>
            <w:r>
              <w:rPr>
                <w:rFonts w:hint="default" w:ascii="Times New Roman" w:hAnsi="Times New Roman" w:cs="Times New Roman"/>
                <w:color w:val="auto"/>
                <w:sz w:val="24"/>
                <w:highlight w:val="none"/>
              </w:rPr>
              <w:t>1m；</w:t>
            </w:r>
          </w:p>
          <w:p w14:paraId="6B957A12">
            <w:pPr>
              <w:pStyle w:val="65"/>
              <w:adjustRightInd w:val="0"/>
              <w:snapToGrid w:val="0"/>
              <w:spacing w:line="360" w:lineRule="auto"/>
              <w:ind w:firstLine="48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ds——与预测点的距离，m；</w:t>
            </w:r>
          </w:p>
          <w:p w14:paraId="71CDB8A5">
            <w:pPr>
              <w:pStyle w:val="65"/>
              <w:adjustRightInd w:val="0"/>
              <w:snapToGrid w:val="0"/>
              <w:spacing w:line="360" w:lineRule="auto"/>
              <w:ind w:firstLine="48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（3）泄漏射线辐射影响参数</w:t>
            </w:r>
          </w:p>
          <w:p w14:paraId="5BF30749">
            <w:pPr>
              <w:pStyle w:val="32"/>
              <w:snapToGrid w:val="0"/>
              <w:spacing w:line="360" w:lineRule="auto"/>
              <w:ind w:firstLine="480"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泄漏射线对于屏蔽体外关注点的辐射影响计算公式为：</w:t>
            </w:r>
          </w:p>
          <w:p w14:paraId="1CE3D732">
            <w:pPr>
              <w:pStyle w:val="32"/>
              <w:snapToGrid w:val="0"/>
              <w:spacing w:line="360" w:lineRule="auto"/>
              <w:ind w:firstLine="480" w:firstLineChars="20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      </w:t>
            </w:r>
          </w:p>
          <w:p w14:paraId="15D7F199">
            <w:pPr>
              <w:pStyle w:val="32"/>
              <w:snapToGrid w:val="0"/>
              <w:spacing w:line="360" w:lineRule="auto"/>
              <w:ind w:firstLine="480" w:firstLineChars="20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pict>
                <v:shape id="对象 61" o:spid="_x0000_s1113" o:spt="75" type="#_x0000_t75" style="position:absolute;left:0pt;margin-left:170.45pt;margin-top:0.8pt;height:36.6pt;width:82.6pt;mso-wrap-distance-bottom:0pt;mso-wrap-distance-left:9pt;mso-wrap-distance-right:9pt;mso-wrap-distance-top:0pt;z-index:-251653120;mso-width-relative:page;mso-height-relative:page;" o:ole="t" filled="f" o:preferrelative="t" stroked="f" coordsize="21600,21600">
                  <v:path/>
                  <v:fill on="f" focussize="0,0"/>
                  <v:stroke on="f" joinstyle="miter"/>
                  <v:imagedata r:id="rId43" o:title=""/>
                  <o:lock v:ext="edit" aspectratio="t"/>
                  <w10:wrap type="square"/>
                </v:shape>
                <o:OLEObject Type="Embed" ProgID="Equation.3" ShapeID="对象 61" DrawAspect="Content" ObjectID="_1468075727" r:id="rId42">
                  <o:LockedField>false</o:LockedField>
                </o:OLEObject>
              </w:pict>
            </w:r>
            <w:r>
              <w:rPr>
                <w:rFonts w:hint="default" w:ascii="Times New Roman" w:hAnsi="Times New Roman" w:cs="Times New Roman"/>
                <w:color w:val="auto"/>
                <w:highlight w:val="none"/>
              </w:rPr>
              <w:t xml:space="preserve">      </w:t>
            </w:r>
          </w:p>
          <w:p w14:paraId="7E63D79A">
            <w:pPr>
              <w:pStyle w:val="32"/>
              <w:snapToGrid w:val="0"/>
              <w:spacing w:line="360" w:lineRule="auto"/>
              <w:ind w:firstLine="480" w:firstLineChars="20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                             ------------公式6</w:t>
            </w:r>
          </w:p>
          <w:p w14:paraId="14BD4601">
            <w:pPr>
              <w:adjustRightInd w:val="0"/>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w:t>
            </w:r>
          </w:p>
          <w:p w14:paraId="1B6D4BC0">
            <w:pPr>
              <w:pStyle w:val="32"/>
              <w:snapToGrid w:val="0"/>
              <w:spacing w:line="360" w:lineRule="auto"/>
              <w:ind w:firstLine="480"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HLR：关注点处的泄漏辐射空气比释动能率，μGy/h；</w:t>
            </w:r>
          </w:p>
          <w:p w14:paraId="6D80F977">
            <w:pPr>
              <w:pStyle w:val="32"/>
              <w:snapToGrid w:val="0"/>
              <w:spacing w:line="360" w:lineRule="auto"/>
              <w:ind w:firstLine="480"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HL：距靶点1m处泄漏射线的剂量率，μGy/h；</w:t>
            </w:r>
          </w:p>
          <w:p w14:paraId="71E7BDC0">
            <w:pPr>
              <w:pStyle w:val="32"/>
              <w:snapToGrid w:val="0"/>
              <w:spacing w:line="360" w:lineRule="auto"/>
              <w:ind w:firstLine="480"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B：屏蔽透射因子；</w:t>
            </w:r>
          </w:p>
          <w:p w14:paraId="6C2402CD">
            <w:pPr>
              <w:pStyle w:val="32"/>
              <w:snapToGrid w:val="0"/>
              <w:spacing w:line="360" w:lineRule="auto"/>
              <w:ind w:firstLine="480"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r：离球管1m处至关注点的距离，m。</w:t>
            </w:r>
          </w:p>
          <w:p w14:paraId="79480217">
            <w:pPr>
              <w:pStyle w:val="32"/>
              <w:snapToGrid w:val="0"/>
              <w:spacing w:line="360" w:lineRule="auto"/>
              <w:ind w:firstLine="480"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根据上述公式计算DSA机房周围关注点和术者位在开机时的周围剂量当量率，结果见</w:t>
            </w:r>
            <w:r>
              <w:rPr>
                <w:rFonts w:hint="default" w:ascii="Times New Roman" w:hAnsi="Times New Roman" w:cs="Times New Roman"/>
                <w:color w:val="auto"/>
                <w:highlight w:val="none"/>
                <w:lang w:val="en-US" w:eastAsia="zh-CN"/>
              </w:rPr>
              <w:t>下表。</w:t>
            </w:r>
            <w:r>
              <w:rPr>
                <w:rFonts w:hint="default" w:ascii="Times New Roman" w:hAnsi="Times New Roman" w:cs="Times New Roman"/>
                <w:color w:val="auto"/>
                <w:highlight w:val="none"/>
              </w:rPr>
              <w:t>关注点位图见</w:t>
            </w:r>
            <w:r>
              <w:rPr>
                <w:rFonts w:hint="default" w:ascii="Times New Roman" w:hAnsi="Times New Roman" w:cs="Times New Roman"/>
                <w:color w:val="auto"/>
                <w:highlight w:val="none"/>
                <w:lang w:val="en-US" w:eastAsia="zh-CN"/>
              </w:rPr>
              <w:t>下图</w:t>
            </w:r>
            <w:r>
              <w:rPr>
                <w:rFonts w:hint="default" w:ascii="Times New Roman" w:hAnsi="Times New Roman" w:cs="Times New Roman"/>
                <w:color w:val="auto"/>
                <w:highlight w:val="none"/>
              </w:rPr>
              <w:t>。</w:t>
            </w:r>
          </w:p>
          <w:p w14:paraId="43C69744">
            <w:pPr>
              <w:pStyle w:val="34"/>
              <w:rPr>
                <w:rFonts w:hint="default" w:ascii="Times New Roman" w:hAnsi="Times New Roman" w:cs="Times New Roman"/>
                <w:color w:val="auto"/>
                <w:highlight w:val="none"/>
              </w:rPr>
            </w:pPr>
          </w:p>
          <w:p w14:paraId="52CA0F73">
            <w:pPr>
              <w:rPr>
                <w:rFonts w:hint="default" w:ascii="Times New Roman" w:hAnsi="Times New Roman" w:cs="Times New Roman"/>
                <w:color w:val="auto"/>
                <w:highlight w:val="none"/>
              </w:rPr>
            </w:pPr>
          </w:p>
          <w:p w14:paraId="1858E734">
            <w:pPr>
              <w:rPr>
                <w:rFonts w:hint="default" w:ascii="Times New Roman" w:hAnsi="Times New Roman" w:cs="Times New Roman"/>
                <w:color w:val="auto"/>
                <w:highlight w:val="none"/>
              </w:rPr>
            </w:pPr>
          </w:p>
          <w:p w14:paraId="694DE080">
            <w:pPr>
              <w:rPr>
                <w:rFonts w:hint="default" w:ascii="Times New Roman" w:hAnsi="Times New Roman" w:cs="Times New Roman"/>
                <w:color w:val="auto"/>
                <w:highlight w:val="none"/>
              </w:rPr>
            </w:pPr>
          </w:p>
          <w:p w14:paraId="51C296B9">
            <w:pPr>
              <w:rPr>
                <w:rFonts w:hint="default" w:ascii="Times New Roman" w:hAnsi="Times New Roman" w:cs="Times New Roman"/>
                <w:color w:val="auto"/>
                <w:highlight w:val="none"/>
              </w:rPr>
            </w:pPr>
          </w:p>
          <w:p w14:paraId="6F1B98AD">
            <w:pPr>
              <w:rPr>
                <w:rFonts w:hint="default" w:ascii="Times New Roman" w:hAnsi="Times New Roman" w:cs="Times New Roman"/>
                <w:color w:val="auto"/>
                <w:highlight w:val="none"/>
              </w:rPr>
            </w:pPr>
          </w:p>
          <w:p w14:paraId="45FB08BA">
            <w:pPr>
              <w:rPr>
                <w:rFonts w:hint="default" w:ascii="Times New Roman" w:hAnsi="Times New Roman" w:cs="Times New Roman"/>
                <w:color w:val="auto"/>
                <w:highlight w:val="none"/>
              </w:rPr>
            </w:pPr>
          </w:p>
          <w:p w14:paraId="4568C257">
            <w:pPr>
              <w:rPr>
                <w:rFonts w:hint="default" w:ascii="Times New Roman" w:hAnsi="Times New Roman" w:cs="Times New Roman"/>
                <w:color w:val="auto"/>
                <w:highlight w:val="none"/>
              </w:rPr>
            </w:pPr>
          </w:p>
          <w:p w14:paraId="7DF29E97">
            <w:pPr>
              <w:rPr>
                <w:rFonts w:hint="default" w:ascii="Times New Roman" w:hAnsi="Times New Roman" w:cs="Times New Roman"/>
                <w:color w:val="auto"/>
                <w:highlight w:val="none"/>
              </w:rPr>
            </w:pPr>
          </w:p>
        </w:tc>
      </w:tr>
    </w:tbl>
    <w:p w14:paraId="4E148354">
      <w:pPr>
        <w:adjustRightInd w:val="0"/>
        <w:snapToGrid w:val="0"/>
        <w:rPr>
          <w:rFonts w:hint="default" w:ascii="Times New Roman" w:hAnsi="Times New Roman" w:cs="Times New Roman"/>
          <w:color w:val="auto"/>
          <w:highlight w:val="none"/>
        </w:rPr>
        <w:sectPr>
          <w:pgSz w:w="11907" w:h="16840"/>
          <w:pgMar w:top="1440" w:right="1803" w:bottom="1440" w:left="1800" w:header="851" w:footer="850" w:gutter="0"/>
          <w:pgBorders>
            <w:top w:val="none" w:sz="0" w:space="0"/>
            <w:left w:val="none" w:sz="0" w:space="0"/>
            <w:bottom w:val="none" w:sz="0" w:space="0"/>
            <w:right w:val="none" w:sz="0" w:space="0"/>
          </w:pgBorders>
          <w:cols w:space="720" w:num="1"/>
          <w:docGrid w:type="linesAndChars" w:linePitch="319" w:charSpace="0"/>
        </w:sectPr>
      </w:pP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22"/>
      </w:tblGrid>
      <w:tr w14:paraId="1B677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2" w:hRule="atLeast"/>
          <w:jc w:val="center"/>
        </w:trPr>
        <w:tc>
          <w:tcPr>
            <w:tcW w:w="5000" w:type="pct"/>
            <w:vAlign w:val="center"/>
          </w:tcPr>
          <w:p w14:paraId="50570967">
            <w:pPr>
              <w:adjustRightInd w:val="0"/>
              <w:snapToGrid w:val="0"/>
              <w:jc w:val="center"/>
              <w:rPr>
                <w:rFonts w:hint="default" w:ascii="Times New Roman" w:hAnsi="Times New Roman" w:eastAsia="宋体" w:cs="Times New Roman"/>
                <w:color w:val="auto"/>
                <w:sz w:val="24"/>
                <w:highlight w:val="none"/>
                <w:lang w:eastAsia="zh-CN"/>
              </w:rPr>
            </w:pPr>
          </w:p>
          <w:p w14:paraId="4A2840B8">
            <w:pPr>
              <w:adjustRightInd w:val="0"/>
              <w:snapToGrid w:val="0"/>
              <w:jc w:val="center"/>
              <w:rPr>
                <w:rFonts w:hint="default" w:ascii="Times New Roman" w:hAnsi="Times New Roman" w:eastAsia="宋体" w:cs="Times New Roman"/>
                <w:color w:val="auto"/>
                <w:sz w:val="24"/>
                <w:highlight w:val="none"/>
                <w:lang w:eastAsia="zh-CN"/>
              </w:rPr>
            </w:pPr>
          </w:p>
          <w:p w14:paraId="19428124">
            <w:pPr>
              <w:adjustRightInd w:val="0"/>
              <w:snapToGrid w:val="0"/>
              <w:jc w:val="center"/>
              <w:rPr>
                <w:rFonts w:hint="default" w:ascii="Times New Roman" w:hAnsi="Times New Roman" w:eastAsia="宋体" w:cs="Times New Roman"/>
                <w:color w:val="auto"/>
                <w:sz w:val="24"/>
                <w:highlight w:val="none"/>
                <w:lang w:eastAsia="zh-CN"/>
              </w:rPr>
            </w:pPr>
          </w:p>
          <w:p w14:paraId="713ABCCF">
            <w:pPr>
              <w:adjustRightInd w:val="0"/>
              <w:snapToGrid w:val="0"/>
              <w:jc w:val="center"/>
              <w:rPr>
                <w:rFonts w:hint="default" w:ascii="Times New Roman" w:hAnsi="Times New Roman" w:eastAsia="宋体" w:cs="Times New Roman"/>
                <w:color w:val="auto"/>
                <w:sz w:val="24"/>
                <w:highlight w:val="none"/>
                <w:lang w:eastAsia="zh-CN"/>
              </w:rPr>
            </w:pPr>
            <w:r>
              <w:rPr>
                <w:color w:val="auto"/>
                <w:highlight w:val="none"/>
              </w:rPr>
              <w:drawing>
                <wp:anchor distT="0" distB="0" distL="114300" distR="114300" simplePos="0" relativeHeight="251671552" behindDoc="0" locked="0" layoutInCell="1" allowOverlap="1">
                  <wp:simplePos x="0" y="0"/>
                  <wp:positionH relativeFrom="column">
                    <wp:posOffset>248285</wp:posOffset>
                  </wp:positionH>
                  <wp:positionV relativeFrom="paragraph">
                    <wp:posOffset>97790</wp:posOffset>
                  </wp:positionV>
                  <wp:extent cx="4355465" cy="3177540"/>
                  <wp:effectExtent l="0" t="0" r="6985" b="3810"/>
                  <wp:wrapSquare wrapText="bothSides"/>
                  <wp:docPr id="4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
                          <pic:cNvPicPr>
                            <a:picLocks noChangeAspect="1"/>
                          </pic:cNvPicPr>
                        </pic:nvPicPr>
                        <pic:blipFill>
                          <a:blip r:embed="rId44"/>
                          <a:stretch>
                            <a:fillRect/>
                          </a:stretch>
                        </pic:blipFill>
                        <pic:spPr>
                          <a:xfrm>
                            <a:off x="0" y="0"/>
                            <a:ext cx="4355465" cy="3177540"/>
                          </a:xfrm>
                          <a:prstGeom prst="rect">
                            <a:avLst/>
                          </a:prstGeom>
                          <a:noFill/>
                          <a:ln>
                            <a:noFill/>
                          </a:ln>
                        </pic:spPr>
                      </pic:pic>
                    </a:graphicData>
                  </a:graphic>
                </wp:anchor>
              </w:drawing>
            </w:r>
          </w:p>
          <w:p w14:paraId="1C919511">
            <w:pPr>
              <w:adjustRightInd w:val="0"/>
              <w:snapToGrid w:val="0"/>
              <w:jc w:val="center"/>
              <w:rPr>
                <w:rFonts w:hint="default" w:ascii="Times New Roman" w:hAnsi="Times New Roman" w:eastAsia="宋体" w:cs="Times New Roman"/>
                <w:color w:val="auto"/>
                <w:sz w:val="24"/>
                <w:highlight w:val="none"/>
                <w:lang w:eastAsia="zh-CN"/>
              </w:rPr>
            </w:pPr>
            <w:r>
              <w:rPr>
                <w:color w:val="auto"/>
                <w:highlight w:val="none"/>
              </w:rPr>
              <w:drawing>
                <wp:anchor distT="0" distB="0" distL="114300" distR="114300" simplePos="0" relativeHeight="251672576" behindDoc="0" locked="0" layoutInCell="1" allowOverlap="1">
                  <wp:simplePos x="0" y="0"/>
                  <wp:positionH relativeFrom="column">
                    <wp:posOffset>262890</wp:posOffset>
                  </wp:positionH>
                  <wp:positionV relativeFrom="paragraph">
                    <wp:posOffset>98425</wp:posOffset>
                  </wp:positionV>
                  <wp:extent cx="3893820" cy="2840990"/>
                  <wp:effectExtent l="0" t="0" r="11430" b="16510"/>
                  <wp:wrapSquare wrapText="bothSides"/>
                  <wp:docPr id="4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5"/>
                          <pic:cNvPicPr>
                            <a:picLocks noChangeAspect="1"/>
                          </pic:cNvPicPr>
                        </pic:nvPicPr>
                        <pic:blipFill>
                          <a:blip r:embed="rId44"/>
                          <a:stretch>
                            <a:fillRect/>
                          </a:stretch>
                        </pic:blipFill>
                        <pic:spPr>
                          <a:xfrm>
                            <a:off x="0" y="0"/>
                            <a:ext cx="3893820" cy="2840990"/>
                          </a:xfrm>
                          <a:prstGeom prst="rect">
                            <a:avLst/>
                          </a:prstGeom>
                          <a:noFill/>
                          <a:ln>
                            <a:noFill/>
                          </a:ln>
                        </pic:spPr>
                      </pic:pic>
                    </a:graphicData>
                  </a:graphic>
                </wp:anchor>
              </w:drawing>
            </w:r>
          </w:p>
          <w:p w14:paraId="74B08D4D">
            <w:pPr>
              <w:adjustRightInd w:val="0"/>
              <w:snapToGrid w:val="0"/>
              <w:jc w:val="center"/>
              <w:rPr>
                <w:rFonts w:hint="default" w:ascii="Times New Roman" w:hAnsi="Times New Roman" w:eastAsia="宋体" w:cs="Times New Roman"/>
                <w:color w:val="auto"/>
                <w:sz w:val="24"/>
                <w:highlight w:val="none"/>
                <w:lang w:eastAsia="zh-CN"/>
              </w:rPr>
            </w:pPr>
          </w:p>
          <w:p w14:paraId="74F2AC00">
            <w:pPr>
              <w:adjustRightInd w:val="0"/>
              <w:snapToGrid w:val="0"/>
              <w:jc w:val="center"/>
              <w:rPr>
                <w:rFonts w:hint="default" w:ascii="Times New Roman" w:hAnsi="Times New Roman" w:eastAsia="宋体" w:cs="Times New Roman"/>
                <w:color w:val="auto"/>
                <w:sz w:val="24"/>
                <w:highlight w:val="none"/>
                <w:lang w:eastAsia="zh-CN"/>
              </w:rPr>
            </w:pPr>
          </w:p>
          <w:p w14:paraId="007FA094">
            <w:pPr>
              <w:adjustRightInd w:val="0"/>
              <w:snapToGrid w:val="0"/>
              <w:jc w:val="center"/>
              <w:rPr>
                <w:rFonts w:hint="default" w:ascii="Times New Roman" w:hAnsi="Times New Roman" w:eastAsia="宋体" w:cs="Times New Roman"/>
                <w:color w:val="auto"/>
                <w:sz w:val="24"/>
                <w:highlight w:val="none"/>
                <w:lang w:eastAsia="zh-CN"/>
              </w:rPr>
            </w:pPr>
          </w:p>
          <w:p w14:paraId="45B8188B">
            <w:pPr>
              <w:adjustRightInd w:val="0"/>
              <w:snapToGrid w:val="0"/>
              <w:jc w:val="center"/>
              <w:rPr>
                <w:rFonts w:hint="default" w:ascii="Times New Roman" w:hAnsi="Times New Roman" w:eastAsia="宋体" w:cs="Times New Roman"/>
                <w:color w:val="auto"/>
                <w:sz w:val="24"/>
                <w:highlight w:val="none"/>
                <w:lang w:eastAsia="zh-CN"/>
              </w:rPr>
            </w:pPr>
          </w:p>
          <w:p w14:paraId="20BE9BF5">
            <w:pPr>
              <w:adjustRightInd w:val="0"/>
              <w:snapToGrid w:val="0"/>
              <w:jc w:val="center"/>
              <w:rPr>
                <w:rFonts w:hint="default" w:ascii="Times New Roman" w:hAnsi="Times New Roman" w:eastAsia="宋体" w:cs="Times New Roman"/>
                <w:color w:val="auto"/>
                <w:sz w:val="24"/>
                <w:highlight w:val="none"/>
                <w:lang w:eastAsia="zh-CN"/>
              </w:rPr>
            </w:pPr>
          </w:p>
          <w:p w14:paraId="010FF7FB">
            <w:pPr>
              <w:pStyle w:val="32"/>
              <w:snapToGrid w:val="0"/>
              <w:ind w:firstLine="960" w:firstLineChars="400"/>
              <w:jc w:val="both"/>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图11-1 本项目DSA机房点位图</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点位与靶点距离</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图11-</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 xml:space="preserve"> 本项目DSA机房点位图</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点位与散射点距离</w:t>
            </w:r>
            <w:r>
              <w:rPr>
                <w:rFonts w:hint="default" w:ascii="Times New Roman" w:hAnsi="Times New Roman" w:cs="Times New Roman"/>
                <w:color w:val="auto"/>
                <w:highlight w:val="none"/>
                <w:lang w:eastAsia="zh-CN"/>
              </w:rPr>
              <w:t>）</w:t>
            </w:r>
          </w:p>
          <w:p w14:paraId="34F9DBD4">
            <w:pPr>
              <w:pStyle w:val="34"/>
              <w:rPr>
                <w:rFonts w:hint="default" w:ascii="Times New Roman" w:hAnsi="Times New Roman" w:cs="Times New Roman"/>
                <w:color w:val="auto"/>
                <w:highlight w:val="none"/>
                <w:lang w:eastAsia="zh-CN"/>
              </w:rPr>
            </w:pPr>
          </w:p>
          <w:p w14:paraId="49C3A382">
            <w:pPr>
              <w:pStyle w:val="32"/>
              <w:snapToGrid w:val="0"/>
              <w:jc w:val="center"/>
              <w:rPr>
                <w:rFonts w:hint="default" w:ascii="Times New Roman" w:hAnsi="Times New Roman" w:cs="Times New Roman"/>
                <w:color w:val="auto"/>
                <w:highlight w:val="none"/>
              </w:rPr>
            </w:pPr>
          </w:p>
          <w:p w14:paraId="76AF0A32">
            <w:pPr>
              <w:pStyle w:val="32"/>
              <w:numPr>
                <w:ilvl w:val="0"/>
                <w:numId w:val="22"/>
              </w:numPr>
              <w:snapToGrid w:val="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 </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不同介入诊疗条件下主射线方向周围剂量当量率估算结果</w:t>
            </w:r>
          </w:p>
          <w:tbl>
            <w:tblPr>
              <w:tblStyle w:val="23"/>
              <w:tblW w:w="139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6"/>
              <w:gridCol w:w="1641"/>
              <w:gridCol w:w="1075"/>
              <w:gridCol w:w="800"/>
              <w:gridCol w:w="3078"/>
              <w:gridCol w:w="1981"/>
              <w:gridCol w:w="1951"/>
              <w:gridCol w:w="1201"/>
              <w:gridCol w:w="1279"/>
            </w:tblGrid>
            <w:tr w14:paraId="2B840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986" w:type="dxa"/>
                  <w:vAlign w:val="center"/>
                </w:tcPr>
                <w:p w14:paraId="28F1CE2C">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关注点</w:t>
                  </w:r>
                </w:p>
              </w:tc>
              <w:tc>
                <w:tcPr>
                  <w:tcW w:w="1641" w:type="dxa"/>
                  <w:vAlign w:val="center"/>
                </w:tcPr>
                <w:p w14:paraId="445BA3C8">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预测点</w:t>
                  </w:r>
                </w:p>
              </w:tc>
              <w:tc>
                <w:tcPr>
                  <w:tcW w:w="1075" w:type="dxa"/>
                  <w:vAlign w:val="center"/>
                </w:tcPr>
                <w:p w14:paraId="0328DA26">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模式</w:t>
                  </w:r>
                </w:p>
              </w:tc>
              <w:tc>
                <w:tcPr>
                  <w:tcW w:w="800" w:type="dxa"/>
                  <w:vAlign w:val="center"/>
                </w:tcPr>
                <w:p w14:paraId="27A25927">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距离（m）</w:t>
                  </w:r>
                </w:p>
              </w:tc>
              <w:tc>
                <w:tcPr>
                  <w:tcW w:w="3078" w:type="dxa"/>
                  <w:vAlign w:val="center"/>
                </w:tcPr>
                <w:p w14:paraId="7648F0C8">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屏蔽材料</w:t>
                  </w:r>
                </w:p>
              </w:tc>
              <w:tc>
                <w:tcPr>
                  <w:tcW w:w="1981" w:type="dxa"/>
                  <w:vAlign w:val="center"/>
                </w:tcPr>
                <w:p w14:paraId="6F9C57E6">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透射因子</w:t>
                  </w:r>
                </w:p>
              </w:tc>
              <w:tc>
                <w:tcPr>
                  <w:tcW w:w="1951" w:type="dxa"/>
                  <w:vAlign w:val="center"/>
                </w:tcPr>
                <w:p w14:paraId="3D2AE535">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周围剂量当量率（μSv/h）</w:t>
                  </w:r>
                </w:p>
              </w:tc>
              <w:tc>
                <w:tcPr>
                  <w:tcW w:w="1201" w:type="dxa"/>
                  <w:vAlign w:val="center"/>
                </w:tcPr>
                <w:p w14:paraId="5B3BE055">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标准值</w:t>
                  </w:r>
                  <w:r>
                    <w:rPr>
                      <w:rFonts w:hint="default" w:ascii="Times New Roman" w:hAnsi="Times New Roman" w:cs="Times New Roman"/>
                      <w:color w:val="auto"/>
                      <w:sz w:val="21"/>
                      <w:szCs w:val="21"/>
                      <w:highlight w:val="none"/>
                    </w:rPr>
                    <w:t>（μSv/h）</w:t>
                  </w:r>
                </w:p>
              </w:tc>
              <w:tc>
                <w:tcPr>
                  <w:tcW w:w="1279" w:type="dxa"/>
                  <w:vAlign w:val="center"/>
                </w:tcPr>
                <w:p w14:paraId="1C0CFB9E">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是否满足</w:t>
                  </w:r>
                </w:p>
                <w:p w14:paraId="7D9CAD4F">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限值</w:t>
                  </w:r>
                </w:p>
              </w:tc>
            </w:tr>
            <w:tr w14:paraId="0133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6" w:type="dxa"/>
                  <w:vMerge w:val="restart"/>
                  <w:vAlign w:val="center"/>
                </w:tcPr>
                <w:p w14:paraId="17B2C890">
                  <w:pPr>
                    <w:pStyle w:val="32"/>
                    <w:snapToGrid w:val="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1</w:t>
                  </w:r>
                </w:p>
              </w:tc>
              <w:tc>
                <w:tcPr>
                  <w:tcW w:w="1641" w:type="dxa"/>
                  <w:vMerge w:val="restart"/>
                  <w:vAlign w:val="center"/>
                </w:tcPr>
                <w:p w14:paraId="52CD0915">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楼上30cm处</w:t>
                  </w:r>
                </w:p>
              </w:tc>
              <w:tc>
                <w:tcPr>
                  <w:tcW w:w="1075" w:type="dxa"/>
                  <w:vAlign w:val="center"/>
                </w:tcPr>
                <w:p w14:paraId="5B606F92">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透视</w:t>
                  </w:r>
                </w:p>
              </w:tc>
              <w:tc>
                <w:tcPr>
                  <w:tcW w:w="800" w:type="dxa"/>
                  <w:vMerge w:val="restart"/>
                  <w:vAlign w:val="center"/>
                </w:tcPr>
                <w:p w14:paraId="7FF8536F">
                  <w:pPr>
                    <w:pStyle w:val="32"/>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3.9</w:t>
                  </w:r>
                </w:p>
              </w:tc>
              <w:tc>
                <w:tcPr>
                  <w:tcW w:w="3078" w:type="dxa"/>
                  <w:vMerge w:val="restart"/>
                  <w:vAlign w:val="center"/>
                </w:tcPr>
                <w:p w14:paraId="2B900B80">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150mm混凝土+22mm复合射线防护板</w:t>
                  </w:r>
                </w:p>
              </w:tc>
              <w:tc>
                <w:tcPr>
                  <w:tcW w:w="1981" w:type="dxa"/>
                  <w:vAlign w:val="center"/>
                </w:tcPr>
                <w:p w14:paraId="016982FC">
                  <w:pPr>
                    <w:widowControl/>
                    <w:jc w:val="center"/>
                    <w:textAlignment w:val="center"/>
                    <w:rPr>
                      <w:rFonts w:hint="default" w:ascii="Times New Roman" w:hAnsi="Times New Roman" w:cs="Times New Roman"/>
                      <w:color w:val="auto"/>
                      <w:kern w:val="0"/>
                      <w:szCs w:val="21"/>
                      <w:highlight w:val="none"/>
                      <w:lang w:val="en-US" w:bidi="ar"/>
                    </w:rPr>
                  </w:pPr>
                  <w:r>
                    <w:rPr>
                      <w:rFonts w:hint="default" w:ascii="Times New Roman" w:hAnsi="Times New Roman" w:eastAsia="宋体" w:cs="Times New Roman"/>
                      <w:i w:val="0"/>
                      <w:iCs w:val="0"/>
                      <w:color w:val="auto"/>
                      <w:kern w:val="0"/>
                      <w:sz w:val="18"/>
                      <w:szCs w:val="18"/>
                      <w:highlight w:val="none"/>
                      <w:u w:val="none"/>
                      <w:lang w:val="en-US" w:eastAsia="zh-CN" w:bidi="ar"/>
                    </w:rPr>
                    <w:t>2.23E-08</w:t>
                  </w:r>
                </w:p>
              </w:tc>
              <w:tc>
                <w:tcPr>
                  <w:tcW w:w="1951" w:type="dxa"/>
                  <w:vAlign w:val="top"/>
                </w:tcPr>
                <w:p w14:paraId="190DB688">
                  <w:pPr>
                    <w:keepNext w:val="0"/>
                    <w:keepLines w:val="0"/>
                    <w:widowControl/>
                    <w:suppressLineNumbers w:val="0"/>
                    <w:jc w:val="center"/>
                    <w:textAlignment w:val="top"/>
                    <w:rPr>
                      <w:rFonts w:hint="default" w:ascii="Times New Roman" w:hAnsi="Times New Roman" w:cs="Times New Roman"/>
                      <w:color w:val="auto"/>
                      <w:kern w:val="0"/>
                      <w:szCs w:val="21"/>
                      <w:highlight w:val="none"/>
                      <w:lang w:bidi="ar"/>
                    </w:rPr>
                  </w:pPr>
                  <w:r>
                    <w:rPr>
                      <w:rFonts w:hint="default" w:ascii="Times New Roman" w:hAnsi="Times New Roman" w:eastAsia="宋体" w:cs="Times New Roman"/>
                      <w:i w:val="0"/>
                      <w:iCs w:val="0"/>
                      <w:color w:val="auto"/>
                      <w:kern w:val="0"/>
                      <w:sz w:val="20"/>
                      <w:szCs w:val="20"/>
                      <w:highlight w:val="none"/>
                      <w:u w:val="none"/>
                      <w:lang w:val="en-US" w:eastAsia="zh-CN" w:bidi="ar"/>
                    </w:rPr>
                    <w:t>1.93E-03</w:t>
                  </w:r>
                </w:p>
              </w:tc>
              <w:tc>
                <w:tcPr>
                  <w:tcW w:w="1201" w:type="dxa"/>
                  <w:vAlign w:val="center"/>
                </w:tcPr>
                <w:p w14:paraId="78916C19">
                  <w:pPr>
                    <w:widowControl/>
                    <w:adjustRightInd w:val="0"/>
                    <w:snapToGrid w:val="0"/>
                    <w:jc w:val="center"/>
                    <w:textAlignment w:val="center"/>
                    <w:rPr>
                      <w:rFonts w:hint="default" w:ascii="Times New Roman" w:hAnsi="Times New Roman" w:eastAsia="宋体" w:cs="Times New Roman"/>
                      <w:b/>
                      <w:bCs/>
                      <w:color w:val="auto"/>
                      <w:kern w:val="0"/>
                      <w:szCs w:val="21"/>
                      <w:highlight w:val="none"/>
                      <w:lang w:val="en-US" w:eastAsia="zh-CN" w:bidi="ar"/>
                    </w:rPr>
                  </w:pPr>
                  <w:r>
                    <w:rPr>
                      <w:rFonts w:hint="default" w:ascii="Times New Roman" w:hAnsi="Times New Roman" w:cs="Times New Roman"/>
                      <w:b/>
                      <w:bCs/>
                      <w:color w:val="auto"/>
                      <w:kern w:val="0"/>
                      <w:szCs w:val="21"/>
                      <w:highlight w:val="none"/>
                      <w:lang w:val="en-US" w:eastAsia="zh-CN" w:bidi="ar"/>
                    </w:rPr>
                    <w:t>2.5</w:t>
                  </w:r>
                </w:p>
              </w:tc>
              <w:tc>
                <w:tcPr>
                  <w:tcW w:w="1279" w:type="dxa"/>
                  <w:vAlign w:val="center"/>
                </w:tcPr>
                <w:p w14:paraId="56A4C6B1">
                  <w:pPr>
                    <w:widowControl/>
                    <w:adjustRightInd w:val="0"/>
                    <w:snapToGrid w:val="0"/>
                    <w:jc w:val="center"/>
                    <w:textAlignment w:val="center"/>
                    <w:rPr>
                      <w:rFonts w:hint="default" w:ascii="Times New Roman" w:hAnsi="Times New Roman" w:cs="Times New Roman"/>
                      <w:b/>
                      <w:bCs/>
                      <w:color w:val="auto"/>
                      <w:kern w:val="0"/>
                      <w:szCs w:val="21"/>
                      <w:highlight w:val="none"/>
                      <w:lang w:bidi="ar"/>
                    </w:rPr>
                  </w:pPr>
                  <w:r>
                    <w:rPr>
                      <w:rFonts w:hint="default" w:ascii="Times New Roman" w:hAnsi="Times New Roman" w:cs="Times New Roman"/>
                      <w:b/>
                      <w:bCs/>
                      <w:color w:val="auto"/>
                      <w:kern w:val="0"/>
                      <w:szCs w:val="21"/>
                      <w:highlight w:val="none"/>
                      <w:lang w:bidi="ar"/>
                    </w:rPr>
                    <w:t>满足</w:t>
                  </w:r>
                </w:p>
              </w:tc>
            </w:tr>
            <w:tr w14:paraId="08224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986" w:type="dxa"/>
                  <w:vMerge w:val="continue"/>
                  <w:vAlign w:val="center"/>
                </w:tcPr>
                <w:p w14:paraId="60A8A88E">
                  <w:pPr>
                    <w:pStyle w:val="32"/>
                    <w:snapToGrid w:val="0"/>
                    <w:jc w:val="center"/>
                    <w:rPr>
                      <w:rFonts w:hint="default" w:ascii="Times New Roman" w:hAnsi="Times New Roman" w:cs="Times New Roman"/>
                      <w:color w:val="auto"/>
                      <w:sz w:val="21"/>
                      <w:szCs w:val="21"/>
                      <w:highlight w:val="none"/>
                    </w:rPr>
                  </w:pPr>
                </w:p>
              </w:tc>
              <w:tc>
                <w:tcPr>
                  <w:tcW w:w="1641" w:type="dxa"/>
                  <w:vMerge w:val="continue"/>
                  <w:vAlign w:val="center"/>
                </w:tcPr>
                <w:p w14:paraId="7C6365BC">
                  <w:pPr>
                    <w:pStyle w:val="32"/>
                    <w:snapToGrid w:val="0"/>
                    <w:jc w:val="center"/>
                    <w:rPr>
                      <w:rFonts w:hint="default" w:ascii="Times New Roman" w:hAnsi="Times New Roman" w:cs="Times New Roman"/>
                      <w:color w:val="auto"/>
                      <w:sz w:val="21"/>
                      <w:szCs w:val="21"/>
                      <w:highlight w:val="none"/>
                    </w:rPr>
                  </w:pPr>
                </w:p>
              </w:tc>
              <w:tc>
                <w:tcPr>
                  <w:tcW w:w="1075" w:type="dxa"/>
                  <w:vAlign w:val="center"/>
                </w:tcPr>
                <w:p w14:paraId="13E22208">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拍片</w:t>
                  </w:r>
                </w:p>
              </w:tc>
              <w:tc>
                <w:tcPr>
                  <w:tcW w:w="800" w:type="dxa"/>
                  <w:vMerge w:val="continue"/>
                  <w:vAlign w:val="center"/>
                </w:tcPr>
                <w:p w14:paraId="4AF73F2E">
                  <w:pPr>
                    <w:pStyle w:val="32"/>
                    <w:snapToGrid w:val="0"/>
                    <w:jc w:val="center"/>
                    <w:rPr>
                      <w:rFonts w:hint="default" w:ascii="Times New Roman" w:hAnsi="Times New Roman" w:cs="Times New Roman"/>
                      <w:color w:val="auto"/>
                      <w:sz w:val="21"/>
                      <w:szCs w:val="21"/>
                      <w:highlight w:val="none"/>
                    </w:rPr>
                  </w:pPr>
                </w:p>
              </w:tc>
              <w:tc>
                <w:tcPr>
                  <w:tcW w:w="3078" w:type="dxa"/>
                  <w:vMerge w:val="continue"/>
                  <w:vAlign w:val="center"/>
                </w:tcPr>
                <w:p w14:paraId="44D45BBE">
                  <w:pPr>
                    <w:pStyle w:val="32"/>
                    <w:snapToGrid w:val="0"/>
                    <w:jc w:val="center"/>
                    <w:rPr>
                      <w:rFonts w:hint="default" w:ascii="Times New Roman" w:hAnsi="Times New Roman" w:cs="Times New Roman"/>
                      <w:color w:val="auto"/>
                      <w:sz w:val="21"/>
                      <w:szCs w:val="21"/>
                      <w:highlight w:val="none"/>
                    </w:rPr>
                  </w:pPr>
                </w:p>
              </w:tc>
              <w:tc>
                <w:tcPr>
                  <w:tcW w:w="1981" w:type="dxa"/>
                  <w:vAlign w:val="center"/>
                </w:tcPr>
                <w:p w14:paraId="2C170AA2">
                  <w:pPr>
                    <w:widowControl/>
                    <w:jc w:val="center"/>
                    <w:textAlignment w:val="center"/>
                    <w:rPr>
                      <w:rFonts w:hint="default" w:ascii="Times New Roman" w:hAnsi="Times New Roman" w:cs="Times New Roman"/>
                      <w:color w:val="auto"/>
                      <w:kern w:val="0"/>
                      <w:szCs w:val="21"/>
                      <w:highlight w:val="none"/>
                      <w:lang w:val="en-US" w:bidi="ar"/>
                    </w:rPr>
                  </w:pPr>
                  <w:r>
                    <w:rPr>
                      <w:rFonts w:hint="default" w:ascii="Times New Roman" w:hAnsi="Times New Roman" w:eastAsia="宋体" w:cs="Times New Roman"/>
                      <w:i w:val="0"/>
                      <w:iCs w:val="0"/>
                      <w:color w:val="auto"/>
                      <w:kern w:val="0"/>
                      <w:sz w:val="18"/>
                      <w:szCs w:val="18"/>
                      <w:highlight w:val="none"/>
                      <w:u w:val="none"/>
                      <w:lang w:val="en-US" w:eastAsia="zh-CN" w:bidi="ar"/>
                    </w:rPr>
                    <w:t>3.44E-07</w:t>
                  </w:r>
                </w:p>
              </w:tc>
              <w:tc>
                <w:tcPr>
                  <w:tcW w:w="1951" w:type="dxa"/>
                  <w:vAlign w:val="top"/>
                </w:tcPr>
                <w:p w14:paraId="2608E8A5">
                  <w:pPr>
                    <w:keepNext w:val="0"/>
                    <w:keepLines w:val="0"/>
                    <w:widowControl/>
                    <w:suppressLineNumbers w:val="0"/>
                    <w:jc w:val="center"/>
                    <w:textAlignment w:val="top"/>
                    <w:rPr>
                      <w:rFonts w:hint="default" w:ascii="Times New Roman" w:hAnsi="Times New Roman" w:cs="Times New Roman"/>
                      <w:color w:val="auto"/>
                      <w:kern w:val="0"/>
                      <w:szCs w:val="21"/>
                      <w:highlight w:val="none"/>
                      <w:lang w:bidi="ar"/>
                    </w:rPr>
                  </w:pPr>
                  <w:r>
                    <w:rPr>
                      <w:rFonts w:hint="default" w:ascii="Times New Roman" w:hAnsi="Times New Roman" w:eastAsia="宋体" w:cs="Times New Roman"/>
                      <w:i w:val="0"/>
                      <w:iCs w:val="0"/>
                      <w:color w:val="auto"/>
                      <w:kern w:val="0"/>
                      <w:sz w:val="20"/>
                      <w:szCs w:val="20"/>
                      <w:highlight w:val="none"/>
                      <w:u w:val="none"/>
                      <w:lang w:val="en-US" w:eastAsia="zh-CN" w:bidi="ar"/>
                    </w:rPr>
                    <w:t>8.40E-01</w:t>
                  </w:r>
                </w:p>
              </w:tc>
              <w:tc>
                <w:tcPr>
                  <w:tcW w:w="1201" w:type="dxa"/>
                  <w:vAlign w:val="center"/>
                </w:tcPr>
                <w:p w14:paraId="3C0A9AB4">
                  <w:pPr>
                    <w:widowControl/>
                    <w:adjustRightInd w:val="0"/>
                    <w:snapToGrid w:val="0"/>
                    <w:jc w:val="center"/>
                    <w:textAlignment w:val="center"/>
                    <w:rPr>
                      <w:rFonts w:hint="default" w:ascii="Times New Roman" w:hAnsi="Times New Roman" w:eastAsia="宋体" w:cs="Times New Roman"/>
                      <w:b/>
                      <w:bCs/>
                      <w:color w:val="auto"/>
                      <w:kern w:val="0"/>
                      <w:szCs w:val="21"/>
                      <w:highlight w:val="none"/>
                      <w:lang w:val="en-US" w:eastAsia="zh-CN" w:bidi="ar"/>
                    </w:rPr>
                  </w:pPr>
                  <w:r>
                    <w:rPr>
                      <w:rFonts w:hint="default" w:ascii="Times New Roman" w:hAnsi="Times New Roman" w:cs="Times New Roman"/>
                      <w:b/>
                      <w:bCs/>
                      <w:color w:val="auto"/>
                      <w:kern w:val="0"/>
                      <w:szCs w:val="21"/>
                      <w:highlight w:val="none"/>
                      <w:lang w:val="en-US" w:eastAsia="zh-CN" w:bidi="ar"/>
                    </w:rPr>
                    <w:t>2.5</w:t>
                  </w:r>
                </w:p>
              </w:tc>
              <w:tc>
                <w:tcPr>
                  <w:tcW w:w="1279" w:type="dxa"/>
                  <w:vAlign w:val="center"/>
                </w:tcPr>
                <w:p w14:paraId="37A75AAF">
                  <w:pPr>
                    <w:widowControl/>
                    <w:adjustRightInd w:val="0"/>
                    <w:snapToGrid w:val="0"/>
                    <w:jc w:val="center"/>
                    <w:textAlignment w:val="center"/>
                    <w:rPr>
                      <w:rFonts w:hint="default" w:ascii="Times New Roman" w:hAnsi="Times New Roman" w:cs="Times New Roman"/>
                      <w:b/>
                      <w:bCs/>
                      <w:color w:val="auto"/>
                      <w:kern w:val="0"/>
                      <w:szCs w:val="21"/>
                      <w:highlight w:val="none"/>
                      <w:lang w:bidi="ar"/>
                    </w:rPr>
                  </w:pPr>
                  <w:r>
                    <w:rPr>
                      <w:rFonts w:hint="default" w:ascii="Times New Roman" w:hAnsi="Times New Roman" w:cs="Times New Roman"/>
                      <w:b/>
                      <w:bCs/>
                      <w:color w:val="auto"/>
                      <w:kern w:val="0"/>
                      <w:szCs w:val="21"/>
                      <w:highlight w:val="none"/>
                      <w:lang w:bidi="ar"/>
                    </w:rPr>
                    <w:t>满足</w:t>
                  </w:r>
                </w:p>
              </w:tc>
            </w:tr>
          </w:tbl>
          <w:p w14:paraId="5CC09DE3">
            <w:pPr>
              <w:pStyle w:val="32"/>
              <w:snapToGrid w:val="0"/>
              <w:jc w:val="both"/>
              <w:rPr>
                <w:rFonts w:hint="default" w:ascii="Times New Roman" w:hAnsi="Times New Roman" w:cs="Times New Roman"/>
                <w:color w:val="auto"/>
                <w:highlight w:val="none"/>
              </w:rPr>
            </w:pPr>
            <w:r>
              <w:rPr>
                <w:rFonts w:hint="default" w:ascii="Times New Roman" w:hAnsi="Times New Roman" w:cs="Times New Roman"/>
                <w:b/>
                <w:bCs/>
                <w:color w:val="auto"/>
                <w:sz w:val="18"/>
                <w:szCs w:val="18"/>
                <w:highlight w:val="none"/>
              </w:rPr>
              <w:t>注：根据《外照射放射防护剂量转换系数标准》（WS/T830-2024）表G.1中100kV下空气比释动能到周围剂量当量的转换系数为1.65;</w:t>
            </w:r>
            <w:r>
              <w:rPr>
                <w:rFonts w:hint="eastAsia" w:ascii="Times New Roman" w:hAnsi="Times New Roman" w:cs="Times New Roman"/>
                <w:b/>
                <w:bCs/>
                <w:color w:val="auto"/>
                <w:sz w:val="18"/>
                <w:szCs w:val="18"/>
                <w:highlight w:val="none"/>
                <w:lang w:val="en-US" w:eastAsia="zh-CN"/>
              </w:rPr>
              <w:t>9</w:t>
            </w:r>
            <w:r>
              <w:rPr>
                <w:rFonts w:hint="default" w:ascii="Times New Roman" w:hAnsi="Times New Roman" w:cs="Times New Roman"/>
                <w:b/>
                <w:bCs/>
                <w:color w:val="auto"/>
                <w:sz w:val="18"/>
                <w:szCs w:val="18"/>
                <w:highlight w:val="none"/>
              </w:rPr>
              <w:t>0kV下空气比释动能到周围剂量当量的转换系数为1.</w:t>
            </w:r>
            <w:r>
              <w:rPr>
                <w:rFonts w:hint="eastAsia" w:ascii="Times New Roman" w:hAnsi="Times New Roman" w:cs="Times New Roman"/>
                <w:b/>
                <w:bCs/>
                <w:color w:val="auto"/>
                <w:sz w:val="18"/>
                <w:szCs w:val="18"/>
                <w:highlight w:val="none"/>
                <w:lang w:val="en-US" w:eastAsia="zh-CN"/>
              </w:rPr>
              <w:t>69</w:t>
            </w:r>
            <w:r>
              <w:rPr>
                <w:rFonts w:hint="default" w:ascii="Times New Roman" w:hAnsi="Times New Roman" w:cs="Times New Roman"/>
                <w:b/>
                <w:bCs/>
                <w:color w:val="auto"/>
                <w:sz w:val="18"/>
                <w:szCs w:val="18"/>
                <w:highlight w:val="none"/>
              </w:rPr>
              <w:t>；</w:t>
            </w:r>
          </w:p>
          <w:p w14:paraId="532C4AF1">
            <w:pPr>
              <w:pStyle w:val="32"/>
              <w:numPr>
                <w:ilvl w:val="0"/>
                <w:numId w:val="22"/>
              </w:numPr>
              <w:snapToGrid w:val="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 </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不同介入诊疗条件下非主射线方向周围剂量当量率估算结果</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泄露射线</w:t>
            </w:r>
            <w:r>
              <w:rPr>
                <w:rFonts w:hint="default" w:ascii="Times New Roman" w:hAnsi="Times New Roman" w:eastAsia="宋体" w:cs="Times New Roman"/>
                <w:color w:val="auto"/>
                <w:sz w:val="21"/>
                <w:szCs w:val="21"/>
                <w:highlight w:val="none"/>
                <w:lang w:eastAsia="zh-CN"/>
              </w:rPr>
              <w:t>）</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1"/>
              <w:gridCol w:w="2729"/>
              <w:gridCol w:w="1060"/>
              <w:gridCol w:w="1164"/>
              <w:gridCol w:w="3162"/>
              <w:gridCol w:w="1260"/>
              <w:gridCol w:w="1788"/>
              <w:gridCol w:w="1792"/>
            </w:tblGrid>
            <w:tr w14:paraId="0854F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3996" w:type="dxa"/>
                  <w:gridSpan w:val="8"/>
                  <w:shd w:val="clear" w:color="auto" w:fill="EBF1DE" w:themeFill="accent3" w:themeFillTint="32"/>
                  <w:vAlign w:val="center"/>
                </w:tcPr>
                <w:p w14:paraId="32FC5AD2">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DSA机房</w:t>
                  </w:r>
                </w:p>
              </w:tc>
            </w:tr>
            <w:tr w14:paraId="3A2A8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41" w:type="dxa"/>
                  <w:vMerge w:val="restart"/>
                  <w:vAlign w:val="center"/>
                </w:tcPr>
                <w:p w14:paraId="4E7F577E">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关注点</w:t>
                  </w:r>
                </w:p>
              </w:tc>
              <w:tc>
                <w:tcPr>
                  <w:tcW w:w="2729" w:type="dxa"/>
                  <w:vMerge w:val="restart"/>
                  <w:vAlign w:val="center"/>
                </w:tcPr>
                <w:p w14:paraId="05695806">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预测点</w:t>
                  </w:r>
                </w:p>
              </w:tc>
              <w:tc>
                <w:tcPr>
                  <w:tcW w:w="1060" w:type="dxa"/>
                  <w:vMerge w:val="restart"/>
                  <w:vAlign w:val="center"/>
                </w:tcPr>
                <w:p w14:paraId="1DE31421">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模式</w:t>
                  </w:r>
                </w:p>
              </w:tc>
              <w:tc>
                <w:tcPr>
                  <w:tcW w:w="1164" w:type="dxa"/>
                  <w:vMerge w:val="restart"/>
                  <w:vAlign w:val="center"/>
                </w:tcPr>
                <w:p w14:paraId="44D530A7">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距离</w:t>
                  </w:r>
                </w:p>
                <w:p w14:paraId="661A447A">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（m）</w:t>
                  </w:r>
                </w:p>
              </w:tc>
              <w:tc>
                <w:tcPr>
                  <w:tcW w:w="3162" w:type="dxa"/>
                  <w:vMerge w:val="restart"/>
                  <w:vAlign w:val="center"/>
                </w:tcPr>
                <w:p w14:paraId="466685D1">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屏蔽材料</w:t>
                  </w:r>
                </w:p>
              </w:tc>
              <w:tc>
                <w:tcPr>
                  <w:tcW w:w="1260" w:type="dxa"/>
                  <w:vMerge w:val="restart"/>
                  <w:vAlign w:val="center"/>
                </w:tcPr>
                <w:p w14:paraId="6F5E06CD">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利用因子</w:t>
                  </w:r>
                </w:p>
              </w:tc>
              <w:tc>
                <w:tcPr>
                  <w:tcW w:w="3580" w:type="dxa"/>
                  <w:gridSpan w:val="2"/>
                  <w:vAlign w:val="center"/>
                </w:tcPr>
                <w:p w14:paraId="3EF5AEA2">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泄漏射线</w:t>
                  </w:r>
                </w:p>
              </w:tc>
            </w:tr>
            <w:tr w14:paraId="46758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41" w:type="dxa"/>
                  <w:vMerge w:val="continue"/>
                  <w:vAlign w:val="center"/>
                </w:tcPr>
                <w:p w14:paraId="23CE6227">
                  <w:pPr>
                    <w:pStyle w:val="32"/>
                    <w:snapToGrid w:val="0"/>
                    <w:jc w:val="center"/>
                    <w:rPr>
                      <w:rFonts w:hint="default" w:ascii="Times New Roman" w:hAnsi="Times New Roman" w:cs="Times New Roman"/>
                      <w:bCs/>
                      <w:color w:val="auto"/>
                      <w:sz w:val="21"/>
                      <w:szCs w:val="21"/>
                      <w:highlight w:val="none"/>
                    </w:rPr>
                  </w:pPr>
                </w:p>
              </w:tc>
              <w:tc>
                <w:tcPr>
                  <w:tcW w:w="2729" w:type="dxa"/>
                  <w:vMerge w:val="continue"/>
                  <w:vAlign w:val="center"/>
                </w:tcPr>
                <w:p w14:paraId="76C92148">
                  <w:pPr>
                    <w:pStyle w:val="32"/>
                    <w:snapToGrid w:val="0"/>
                    <w:jc w:val="center"/>
                    <w:rPr>
                      <w:rFonts w:hint="default" w:ascii="Times New Roman" w:hAnsi="Times New Roman" w:cs="Times New Roman"/>
                      <w:bCs/>
                      <w:color w:val="auto"/>
                      <w:sz w:val="21"/>
                      <w:szCs w:val="21"/>
                      <w:highlight w:val="none"/>
                    </w:rPr>
                  </w:pPr>
                </w:p>
              </w:tc>
              <w:tc>
                <w:tcPr>
                  <w:tcW w:w="1060" w:type="dxa"/>
                  <w:vMerge w:val="continue"/>
                  <w:vAlign w:val="center"/>
                </w:tcPr>
                <w:p w14:paraId="0E37C412">
                  <w:pPr>
                    <w:pStyle w:val="32"/>
                    <w:snapToGrid w:val="0"/>
                    <w:jc w:val="center"/>
                    <w:rPr>
                      <w:rFonts w:hint="default" w:ascii="Times New Roman" w:hAnsi="Times New Roman" w:cs="Times New Roman"/>
                      <w:bCs/>
                      <w:color w:val="auto"/>
                      <w:sz w:val="21"/>
                      <w:szCs w:val="21"/>
                      <w:highlight w:val="none"/>
                    </w:rPr>
                  </w:pPr>
                </w:p>
              </w:tc>
              <w:tc>
                <w:tcPr>
                  <w:tcW w:w="1164" w:type="dxa"/>
                  <w:vMerge w:val="continue"/>
                  <w:vAlign w:val="center"/>
                </w:tcPr>
                <w:p w14:paraId="1021CD9D">
                  <w:pPr>
                    <w:pStyle w:val="32"/>
                    <w:snapToGrid w:val="0"/>
                    <w:jc w:val="center"/>
                    <w:rPr>
                      <w:rFonts w:hint="default" w:ascii="Times New Roman" w:hAnsi="Times New Roman" w:cs="Times New Roman"/>
                      <w:bCs/>
                      <w:color w:val="auto"/>
                      <w:sz w:val="21"/>
                      <w:szCs w:val="21"/>
                      <w:highlight w:val="none"/>
                    </w:rPr>
                  </w:pPr>
                </w:p>
              </w:tc>
              <w:tc>
                <w:tcPr>
                  <w:tcW w:w="3162" w:type="dxa"/>
                  <w:vMerge w:val="continue"/>
                  <w:vAlign w:val="center"/>
                </w:tcPr>
                <w:p w14:paraId="4BB2060D">
                  <w:pPr>
                    <w:pStyle w:val="32"/>
                    <w:snapToGrid w:val="0"/>
                    <w:jc w:val="center"/>
                    <w:rPr>
                      <w:rFonts w:hint="default" w:ascii="Times New Roman" w:hAnsi="Times New Roman" w:cs="Times New Roman"/>
                      <w:bCs/>
                      <w:color w:val="auto"/>
                      <w:sz w:val="21"/>
                      <w:szCs w:val="21"/>
                      <w:highlight w:val="none"/>
                    </w:rPr>
                  </w:pPr>
                </w:p>
              </w:tc>
              <w:tc>
                <w:tcPr>
                  <w:tcW w:w="1260" w:type="dxa"/>
                  <w:vMerge w:val="continue"/>
                  <w:vAlign w:val="center"/>
                </w:tcPr>
                <w:p w14:paraId="6C675F4C">
                  <w:pPr>
                    <w:pStyle w:val="32"/>
                    <w:snapToGrid w:val="0"/>
                    <w:jc w:val="center"/>
                    <w:rPr>
                      <w:rFonts w:hint="default" w:ascii="Times New Roman" w:hAnsi="Times New Roman" w:cs="Times New Roman"/>
                      <w:bCs/>
                      <w:color w:val="auto"/>
                      <w:sz w:val="21"/>
                      <w:szCs w:val="21"/>
                      <w:highlight w:val="none"/>
                    </w:rPr>
                  </w:pPr>
                </w:p>
              </w:tc>
              <w:tc>
                <w:tcPr>
                  <w:tcW w:w="1788" w:type="dxa"/>
                  <w:vAlign w:val="center"/>
                </w:tcPr>
                <w:p w14:paraId="76489B71">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透射因子</w:t>
                  </w:r>
                </w:p>
              </w:tc>
              <w:tc>
                <w:tcPr>
                  <w:tcW w:w="1792" w:type="dxa"/>
                  <w:vAlign w:val="center"/>
                </w:tcPr>
                <w:p w14:paraId="71B933FB">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周围剂量当量率(μSv/h)</w:t>
                  </w:r>
                </w:p>
              </w:tc>
            </w:tr>
            <w:tr w14:paraId="46518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41" w:type="dxa"/>
                  <w:vMerge w:val="restart"/>
                  <w:vAlign w:val="center"/>
                </w:tcPr>
                <w:p w14:paraId="5A45CA31">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w:t>
                  </w:r>
                </w:p>
              </w:tc>
              <w:tc>
                <w:tcPr>
                  <w:tcW w:w="2729" w:type="dxa"/>
                  <w:vMerge w:val="restart"/>
                  <w:vAlign w:val="center"/>
                </w:tcPr>
                <w:p w14:paraId="546CC2FA">
                  <w:pPr>
                    <w:widowControl/>
                    <w:adjustRightInd w:val="0"/>
                    <w:snapToGrid w:val="0"/>
                    <w:jc w:val="center"/>
                    <w:textAlignment w:val="center"/>
                    <w:rPr>
                      <w:rStyle w:val="67"/>
                      <w:rFonts w:hint="default" w:ascii="Times New Roman" w:hAnsi="Times New Roman" w:eastAsia="宋体" w:cs="Times New Roman"/>
                      <w:bCs/>
                      <w:color w:val="auto"/>
                      <w:sz w:val="21"/>
                      <w:szCs w:val="21"/>
                      <w:highlight w:val="none"/>
                      <w:lang w:val="en-US" w:eastAsia="zh-CN" w:bidi="ar"/>
                    </w:rPr>
                  </w:pPr>
                  <w:r>
                    <w:rPr>
                      <w:rStyle w:val="67"/>
                      <w:rFonts w:hint="eastAsia" w:ascii="Times New Roman" w:hAnsi="Times New Roman" w:cs="Times New Roman"/>
                      <w:bCs/>
                      <w:color w:val="auto"/>
                      <w:sz w:val="21"/>
                      <w:szCs w:val="21"/>
                      <w:highlight w:val="none"/>
                      <w:lang w:val="en-US" w:eastAsia="zh-CN" w:bidi="ar"/>
                    </w:rPr>
                    <w:t>患者卫生间30cm处</w:t>
                  </w:r>
                </w:p>
              </w:tc>
              <w:tc>
                <w:tcPr>
                  <w:tcW w:w="1060" w:type="dxa"/>
                  <w:vAlign w:val="center"/>
                </w:tcPr>
                <w:p w14:paraId="2B5ED821">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1164" w:type="dxa"/>
                  <w:vMerge w:val="restart"/>
                  <w:vAlign w:val="center"/>
                </w:tcPr>
                <w:p w14:paraId="144385D8">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4.1</w:t>
                  </w:r>
                </w:p>
              </w:tc>
              <w:tc>
                <w:tcPr>
                  <w:tcW w:w="3162" w:type="dxa"/>
                  <w:vMerge w:val="restart"/>
                  <w:vAlign w:val="center"/>
                </w:tcPr>
                <w:p w14:paraId="0C5C3B0D">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200</w:t>
                  </w:r>
                  <w:r>
                    <w:rPr>
                      <w:rFonts w:hint="default" w:ascii="Times New Roman" w:hAnsi="Times New Roman" w:cs="Times New Roman"/>
                      <w:color w:val="auto"/>
                      <w:sz w:val="21"/>
                      <w:szCs w:val="21"/>
                      <w:highlight w:val="none"/>
                      <w:lang w:val="en-US" w:eastAsia="zh-CN"/>
                    </w:rPr>
                    <w:t>mm厚实心砖砌体+22mm复合射线防护板</w:t>
                  </w:r>
                </w:p>
              </w:tc>
              <w:tc>
                <w:tcPr>
                  <w:tcW w:w="1260" w:type="dxa"/>
                  <w:vMerge w:val="restart"/>
                  <w:vAlign w:val="center"/>
                </w:tcPr>
                <w:p w14:paraId="3BCC5785">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788" w:type="dxa"/>
                  <w:shd w:val="clear" w:color="auto" w:fill="auto"/>
                  <w:vAlign w:val="center"/>
                </w:tcPr>
                <w:p w14:paraId="793E601B">
                  <w:pPr>
                    <w:widowControl/>
                    <w:jc w:val="center"/>
                    <w:textAlignment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 w:val="18"/>
                      <w:szCs w:val="18"/>
                      <w:highlight w:val="none"/>
                      <w:lang w:val="en-US" w:eastAsia="zh-CN"/>
                    </w:rPr>
                    <w:t>2.76E-08</w:t>
                  </w:r>
                </w:p>
              </w:tc>
              <w:tc>
                <w:tcPr>
                  <w:tcW w:w="1792" w:type="dxa"/>
                  <w:shd w:val="clear" w:color="auto" w:fill="auto"/>
                  <w:vAlign w:val="center"/>
                </w:tcPr>
                <w:p w14:paraId="6EAA26CE">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2.77E-06</w:t>
                  </w:r>
                </w:p>
              </w:tc>
            </w:tr>
            <w:tr w14:paraId="25EB6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41" w:type="dxa"/>
                  <w:vMerge w:val="continue"/>
                  <w:vAlign w:val="center"/>
                </w:tcPr>
                <w:p w14:paraId="5295DCED">
                  <w:pPr>
                    <w:pStyle w:val="32"/>
                    <w:snapToGrid w:val="0"/>
                    <w:jc w:val="center"/>
                    <w:rPr>
                      <w:rFonts w:hint="default" w:ascii="Times New Roman" w:hAnsi="Times New Roman" w:cs="Times New Roman"/>
                      <w:bCs/>
                      <w:color w:val="auto"/>
                      <w:sz w:val="21"/>
                      <w:szCs w:val="21"/>
                      <w:highlight w:val="none"/>
                    </w:rPr>
                  </w:pPr>
                </w:p>
              </w:tc>
              <w:tc>
                <w:tcPr>
                  <w:tcW w:w="2729" w:type="dxa"/>
                  <w:vMerge w:val="continue"/>
                  <w:vAlign w:val="center"/>
                </w:tcPr>
                <w:p w14:paraId="7E18F9AC">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1060" w:type="dxa"/>
                  <w:vAlign w:val="center"/>
                </w:tcPr>
                <w:p w14:paraId="49713D9B">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1164" w:type="dxa"/>
                  <w:vMerge w:val="continue"/>
                  <w:vAlign w:val="center"/>
                </w:tcPr>
                <w:p w14:paraId="713733C5">
                  <w:pPr>
                    <w:widowControl/>
                    <w:adjustRightInd w:val="0"/>
                    <w:snapToGrid w:val="0"/>
                    <w:jc w:val="center"/>
                    <w:textAlignment w:val="center"/>
                    <w:rPr>
                      <w:rFonts w:hint="default" w:ascii="Times New Roman" w:hAnsi="Times New Roman" w:cs="Times New Roman"/>
                      <w:bCs/>
                      <w:color w:val="auto"/>
                      <w:sz w:val="21"/>
                      <w:szCs w:val="21"/>
                      <w:highlight w:val="none"/>
                    </w:rPr>
                  </w:pPr>
                </w:p>
              </w:tc>
              <w:tc>
                <w:tcPr>
                  <w:tcW w:w="3162" w:type="dxa"/>
                  <w:vMerge w:val="continue"/>
                  <w:vAlign w:val="center"/>
                </w:tcPr>
                <w:p w14:paraId="758C8986">
                  <w:pPr>
                    <w:pStyle w:val="32"/>
                    <w:snapToGrid w:val="0"/>
                    <w:jc w:val="center"/>
                    <w:rPr>
                      <w:rFonts w:hint="default" w:ascii="Times New Roman" w:hAnsi="Times New Roman" w:cs="Times New Roman"/>
                      <w:bCs/>
                      <w:color w:val="auto"/>
                      <w:sz w:val="21"/>
                      <w:szCs w:val="21"/>
                      <w:highlight w:val="none"/>
                    </w:rPr>
                  </w:pPr>
                </w:p>
              </w:tc>
              <w:tc>
                <w:tcPr>
                  <w:tcW w:w="1260" w:type="dxa"/>
                  <w:vMerge w:val="continue"/>
                  <w:vAlign w:val="center"/>
                </w:tcPr>
                <w:p w14:paraId="7780EAA5">
                  <w:pPr>
                    <w:pStyle w:val="32"/>
                    <w:snapToGrid w:val="0"/>
                    <w:jc w:val="center"/>
                    <w:rPr>
                      <w:rFonts w:hint="default" w:ascii="Times New Roman" w:hAnsi="Times New Roman" w:cs="Times New Roman"/>
                      <w:bCs/>
                      <w:color w:val="auto"/>
                      <w:sz w:val="21"/>
                      <w:szCs w:val="21"/>
                      <w:highlight w:val="none"/>
                    </w:rPr>
                  </w:pPr>
                </w:p>
              </w:tc>
              <w:tc>
                <w:tcPr>
                  <w:tcW w:w="1788" w:type="dxa"/>
                  <w:shd w:val="clear" w:color="auto" w:fill="auto"/>
                  <w:vAlign w:val="center"/>
                </w:tcPr>
                <w:p w14:paraId="2E361DD2">
                  <w:pPr>
                    <w:widowControl/>
                    <w:jc w:val="center"/>
                    <w:textAlignment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 w:val="18"/>
                      <w:szCs w:val="18"/>
                      <w:highlight w:val="none"/>
                      <w:lang w:val="en-US" w:eastAsia="zh-CN"/>
                    </w:rPr>
                    <w:t>4.09E-07</w:t>
                  </w:r>
                </w:p>
              </w:tc>
              <w:tc>
                <w:tcPr>
                  <w:tcW w:w="1792" w:type="dxa"/>
                  <w:vAlign w:val="center"/>
                </w:tcPr>
                <w:p w14:paraId="71849119">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4.11E-05</w:t>
                  </w:r>
                </w:p>
              </w:tc>
            </w:tr>
            <w:tr w14:paraId="42027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41" w:type="dxa"/>
                  <w:vMerge w:val="restart"/>
                  <w:vAlign w:val="center"/>
                </w:tcPr>
                <w:p w14:paraId="5DD19DAF">
                  <w:pPr>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2</w:t>
                  </w:r>
                </w:p>
              </w:tc>
              <w:tc>
                <w:tcPr>
                  <w:tcW w:w="2729" w:type="dxa"/>
                  <w:vMerge w:val="restart"/>
                  <w:vAlign w:val="center"/>
                </w:tcPr>
                <w:p w14:paraId="2E9443C8">
                  <w:pPr>
                    <w:widowControl/>
                    <w:adjustRightInd w:val="0"/>
                    <w:snapToGrid w:val="0"/>
                    <w:jc w:val="center"/>
                    <w:textAlignment w:val="center"/>
                    <w:rPr>
                      <w:rStyle w:val="67"/>
                      <w:rFonts w:hint="default" w:ascii="Times New Roman" w:hAnsi="Times New Roman" w:eastAsia="宋体" w:cs="Times New Roman"/>
                      <w:bCs/>
                      <w:color w:val="auto"/>
                      <w:sz w:val="21"/>
                      <w:szCs w:val="21"/>
                      <w:highlight w:val="none"/>
                      <w:lang w:val="en-US" w:eastAsia="zh-CN" w:bidi="ar"/>
                    </w:rPr>
                  </w:pPr>
                  <w:r>
                    <w:rPr>
                      <w:rStyle w:val="67"/>
                      <w:rFonts w:hint="eastAsia" w:ascii="Times New Roman" w:hAnsi="Times New Roman" w:cs="Times New Roman"/>
                      <w:bCs/>
                      <w:color w:val="auto"/>
                      <w:sz w:val="21"/>
                      <w:szCs w:val="21"/>
                      <w:highlight w:val="none"/>
                      <w:lang w:val="en-US" w:eastAsia="zh-CN" w:bidi="ar"/>
                    </w:rPr>
                    <w:t>患者缓冲区屏蔽墙30cm处</w:t>
                  </w:r>
                </w:p>
              </w:tc>
              <w:tc>
                <w:tcPr>
                  <w:tcW w:w="1060" w:type="dxa"/>
                  <w:vAlign w:val="center"/>
                </w:tcPr>
                <w:p w14:paraId="22E905A1">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1164" w:type="dxa"/>
                  <w:vMerge w:val="restart"/>
                  <w:vAlign w:val="center"/>
                </w:tcPr>
                <w:p w14:paraId="0918A7DC">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4.0</w:t>
                  </w:r>
                </w:p>
              </w:tc>
              <w:tc>
                <w:tcPr>
                  <w:tcW w:w="3162" w:type="dxa"/>
                  <w:vMerge w:val="restart"/>
                  <w:vAlign w:val="center"/>
                </w:tcPr>
                <w:p w14:paraId="79C2D3E0">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200</w:t>
                  </w:r>
                  <w:r>
                    <w:rPr>
                      <w:rFonts w:hint="default" w:ascii="Times New Roman" w:hAnsi="Times New Roman" w:cs="Times New Roman"/>
                      <w:color w:val="auto"/>
                      <w:sz w:val="21"/>
                      <w:szCs w:val="21"/>
                      <w:highlight w:val="none"/>
                      <w:lang w:val="en-US" w:eastAsia="zh-CN"/>
                    </w:rPr>
                    <w:t>mm厚实心砖砌体+22mm复合射线防护板</w:t>
                  </w:r>
                </w:p>
              </w:tc>
              <w:tc>
                <w:tcPr>
                  <w:tcW w:w="1260" w:type="dxa"/>
                  <w:vMerge w:val="restart"/>
                  <w:vAlign w:val="center"/>
                </w:tcPr>
                <w:p w14:paraId="083AF0ED">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788" w:type="dxa"/>
                  <w:shd w:val="clear" w:color="auto" w:fill="auto"/>
                  <w:vAlign w:val="center"/>
                </w:tcPr>
                <w:p w14:paraId="79D07CA5">
                  <w:pPr>
                    <w:widowControl/>
                    <w:jc w:val="center"/>
                    <w:textAlignment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 w:val="18"/>
                      <w:szCs w:val="18"/>
                      <w:highlight w:val="none"/>
                      <w:lang w:val="en-US" w:eastAsia="zh-CN"/>
                    </w:rPr>
                    <w:t>2.76E-08</w:t>
                  </w:r>
                </w:p>
              </w:tc>
              <w:tc>
                <w:tcPr>
                  <w:tcW w:w="1792" w:type="dxa"/>
                  <w:shd w:val="clear" w:color="auto" w:fill="auto"/>
                  <w:vAlign w:val="center"/>
                </w:tcPr>
                <w:p w14:paraId="21F59D56">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2.92E-06</w:t>
                  </w:r>
                </w:p>
              </w:tc>
            </w:tr>
            <w:tr w14:paraId="1F0A4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41" w:type="dxa"/>
                  <w:vMerge w:val="continue"/>
                  <w:vAlign w:val="center"/>
                </w:tcPr>
                <w:p w14:paraId="239900EF">
                  <w:pPr>
                    <w:pStyle w:val="32"/>
                    <w:snapToGrid w:val="0"/>
                    <w:jc w:val="center"/>
                    <w:rPr>
                      <w:rFonts w:hint="default" w:ascii="Times New Roman" w:hAnsi="Times New Roman" w:cs="Times New Roman"/>
                      <w:bCs/>
                      <w:color w:val="auto"/>
                      <w:sz w:val="21"/>
                      <w:szCs w:val="21"/>
                      <w:highlight w:val="none"/>
                    </w:rPr>
                  </w:pPr>
                </w:p>
              </w:tc>
              <w:tc>
                <w:tcPr>
                  <w:tcW w:w="2729" w:type="dxa"/>
                  <w:vMerge w:val="continue"/>
                  <w:vAlign w:val="center"/>
                </w:tcPr>
                <w:p w14:paraId="493164DC">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1060" w:type="dxa"/>
                  <w:vAlign w:val="center"/>
                </w:tcPr>
                <w:p w14:paraId="4919EC5B">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1164" w:type="dxa"/>
                  <w:vMerge w:val="continue"/>
                  <w:vAlign w:val="center"/>
                </w:tcPr>
                <w:p w14:paraId="3EEE9637">
                  <w:pPr>
                    <w:widowControl/>
                    <w:adjustRightInd w:val="0"/>
                    <w:snapToGrid w:val="0"/>
                    <w:jc w:val="center"/>
                    <w:textAlignment w:val="center"/>
                    <w:rPr>
                      <w:rFonts w:hint="default" w:ascii="Times New Roman" w:hAnsi="Times New Roman" w:cs="Times New Roman"/>
                      <w:bCs/>
                      <w:color w:val="auto"/>
                      <w:sz w:val="21"/>
                      <w:szCs w:val="21"/>
                      <w:highlight w:val="none"/>
                    </w:rPr>
                  </w:pPr>
                </w:p>
              </w:tc>
              <w:tc>
                <w:tcPr>
                  <w:tcW w:w="3162" w:type="dxa"/>
                  <w:vMerge w:val="continue"/>
                  <w:vAlign w:val="center"/>
                </w:tcPr>
                <w:p w14:paraId="24738952">
                  <w:pPr>
                    <w:pStyle w:val="32"/>
                    <w:snapToGrid w:val="0"/>
                    <w:jc w:val="center"/>
                    <w:rPr>
                      <w:rFonts w:hint="default" w:ascii="Times New Roman" w:hAnsi="Times New Roman" w:cs="Times New Roman"/>
                      <w:bCs/>
                      <w:color w:val="auto"/>
                      <w:sz w:val="21"/>
                      <w:szCs w:val="21"/>
                      <w:highlight w:val="none"/>
                    </w:rPr>
                  </w:pPr>
                </w:p>
              </w:tc>
              <w:tc>
                <w:tcPr>
                  <w:tcW w:w="1260" w:type="dxa"/>
                  <w:vMerge w:val="continue"/>
                  <w:vAlign w:val="center"/>
                </w:tcPr>
                <w:p w14:paraId="618840CE">
                  <w:pPr>
                    <w:pStyle w:val="32"/>
                    <w:snapToGrid w:val="0"/>
                    <w:jc w:val="center"/>
                    <w:rPr>
                      <w:rFonts w:hint="default" w:ascii="Times New Roman" w:hAnsi="Times New Roman" w:cs="Times New Roman"/>
                      <w:bCs/>
                      <w:color w:val="auto"/>
                      <w:sz w:val="21"/>
                      <w:szCs w:val="21"/>
                      <w:highlight w:val="none"/>
                    </w:rPr>
                  </w:pPr>
                </w:p>
              </w:tc>
              <w:tc>
                <w:tcPr>
                  <w:tcW w:w="1788" w:type="dxa"/>
                  <w:shd w:val="clear" w:color="auto" w:fill="auto"/>
                  <w:vAlign w:val="center"/>
                </w:tcPr>
                <w:p w14:paraId="727C46C4">
                  <w:pPr>
                    <w:widowControl/>
                    <w:jc w:val="center"/>
                    <w:textAlignment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 w:val="18"/>
                      <w:szCs w:val="18"/>
                      <w:highlight w:val="none"/>
                      <w:lang w:val="en-US" w:eastAsia="zh-CN"/>
                    </w:rPr>
                    <w:t>4.09E-07</w:t>
                  </w:r>
                </w:p>
              </w:tc>
              <w:tc>
                <w:tcPr>
                  <w:tcW w:w="1792" w:type="dxa"/>
                  <w:vAlign w:val="center"/>
                </w:tcPr>
                <w:p w14:paraId="4FF9C250">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4.32E-05</w:t>
                  </w:r>
                </w:p>
              </w:tc>
            </w:tr>
            <w:tr w14:paraId="0EE01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41" w:type="dxa"/>
                  <w:vMerge w:val="restart"/>
                  <w:vAlign w:val="center"/>
                </w:tcPr>
                <w:p w14:paraId="4BAAFD67">
                  <w:pPr>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3</w:t>
                  </w:r>
                </w:p>
              </w:tc>
              <w:tc>
                <w:tcPr>
                  <w:tcW w:w="2729" w:type="dxa"/>
                  <w:vMerge w:val="restart"/>
                  <w:vAlign w:val="center"/>
                </w:tcPr>
                <w:p w14:paraId="098ECED3">
                  <w:pPr>
                    <w:widowControl/>
                    <w:adjustRightInd w:val="0"/>
                    <w:snapToGrid w:val="0"/>
                    <w:jc w:val="center"/>
                    <w:textAlignment w:val="center"/>
                    <w:rPr>
                      <w:rStyle w:val="67"/>
                      <w:rFonts w:hint="default" w:ascii="Times New Roman" w:hAnsi="Times New Roman" w:eastAsia="宋体" w:cs="Times New Roman"/>
                      <w:bCs/>
                      <w:color w:val="auto"/>
                      <w:sz w:val="21"/>
                      <w:szCs w:val="21"/>
                      <w:highlight w:val="none"/>
                      <w:lang w:val="en-US" w:eastAsia="zh-CN" w:bidi="ar"/>
                    </w:rPr>
                  </w:pPr>
                  <w:r>
                    <w:rPr>
                      <w:rStyle w:val="67"/>
                      <w:rFonts w:hint="eastAsia" w:ascii="Times New Roman" w:hAnsi="Times New Roman" w:cs="Times New Roman"/>
                      <w:bCs/>
                      <w:color w:val="auto"/>
                      <w:sz w:val="21"/>
                      <w:szCs w:val="21"/>
                      <w:highlight w:val="none"/>
                      <w:lang w:val="en-US" w:eastAsia="zh-CN" w:bidi="ar"/>
                    </w:rPr>
                    <w:t>患者缓冲区电动推拉门30cm处</w:t>
                  </w:r>
                </w:p>
              </w:tc>
              <w:tc>
                <w:tcPr>
                  <w:tcW w:w="1060" w:type="dxa"/>
                  <w:vAlign w:val="center"/>
                </w:tcPr>
                <w:p w14:paraId="51DCC99C">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1164" w:type="dxa"/>
                  <w:vMerge w:val="restart"/>
                  <w:vAlign w:val="center"/>
                </w:tcPr>
                <w:p w14:paraId="77531E8F">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3.9</w:t>
                  </w:r>
                </w:p>
              </w:tc>
              <w:tc>
                <w:tcPr>
                  <w:tcW w:w="3162" w:type="dxa"/>
                  <w:vMerge w:val="restart"/>
                  <w:vAlign w:val="center"/>
                </w:tcPr>
                <w:p w14:paraId="3513F5D4">
                  <w:pPr>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3mmPb铅防护门</w:t>
                  </w:r>
                </w:p>
              </w:tc>
              <w:tc>
                <w:tcPr>
                  <w:tcW w:w="1260" w:type="dxa"/>
                  <w:vMerge w:val="restart"/>
                  <w:vAlign w:val="center"/>
                </w:tcPr>
                <w:p w14:paraId="76C38D7D">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788" w:type="dxa"/>
                  <w:shd w:val="clear" w:color="auto" w:fill="auto"/>
                  <w:vAlign w:val="center"/>
                </w:tcPr>
                <w:p w14:paraId="6D207C52">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7.93E-06</w:t>
                  </w:r>
                </w:p>
              </w:tc>
              <w:tc>
                <w:tcPr>
                  <w:tcW w:w="1792" w:type="dxa"/>
                  <w:vAlign w:val="center"/>
                </w:tcPr>
                <w:p w14:paraId="2BE16FD5">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8.81E-04</w:t>
                  </w:r>
                </w:p>
              </w:tc>
            </w:tr>
            <w:tr w14:paraId="3CF9E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41" w:type="dxa"/>
                  <w:vMerge w:val="continue"/>
                  <w:vAlign w:val="center"/>
                </w:tcPr>
                <w:p w14:paraId="55C99AE6">
                  <w:pPr>
                    <w:pStyle w:val="32"/>
                    <w:snapToGrid w:val="0"/>
                    <w:jc w:val="center"/>
                    <w:rPr>
                      <w:rFonts w:hint="default" w:ascii="Times New Roman" w:hAnsi="Times New Roman" w:cs="Times New Roman"/>
                      <w:bCs/>
                      <w:color w:val="auto"/>
                      <w:sz w:val="21"/>
                      <w:szCs w:val="21"/>
                      <w:highlight w:val="none"/>
                    </w:rPr>
                  </w:pPr>
                </w:p>
              </w:tc>
              <w:tc>
                <w:tcPr>
                  <w:tcW w:w="2729" w:type="dxa"/>
                  <w:vMerge w:val="continue"/>
                  <w:vAlign w:val="center"/>
                </w:tcPr>
                <w:p w14:paraId="288E789E">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1060" w:type="dxa"/>
                  <w:vAlign w:val="center"/>
                </w:tcPr>
                <w:p w14:paraId="0A1AF46A">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1164" w:type="dxa"/>
                  <w:vMerge w:val="continue"/>
                  <w:vAlign w:val="center"/>
                </w:tcPr>
                <w:p w14:paraId="17E49373">
                  <w:pPr>
                    <w:widowControl/>
                    <w:adjustRightInd w:val="0"/>
                    <w:snapToGrid w:val="0"/>
                    <w:jc w:val="center"/>
                    <w:textAlignment w:val="center"/>
                    <w:rPr>
                      <w:rFonts w:hint="default" w:ascii="Times New Roman" w:hAnsi="Times New Roman" w:cs="Times New Roman"/>
                      <w:bCs/>
                      <w:color w:val="auto"/>
                      <w:sz w:val="21"/>
                      <w:szCs w:val="21"/>
                      <w:highlight w:val="none"/>
                    </w:rPr>
                  </w:pPr>
                </w:p>
              </w:tc>
              <w:tc>
                <w:tcPr>
                  <w:tcW w:w="3162" w:type="dxa"/>
                  <w:vMerge w:val="continue"/>
                  <w:vAlign w:val="center"/>
                </w:tcPr>
                <w:p w14:paraId="28E018E9">
                  <w:pPr>
                    <w:pStyle w:val="32"/>
                    <w:snapToGrid w:val="0"/>
                    <w:jc w:val="center"/>
                    <w:rPr>
                      <w:rFonts w:hint="default" w:ascii="Times New Roman" w:hAnsi="Times New Roman" w:cs="Times New Roman"/>
                      <w:bCs/>
                      <w:color w:val="auto"/>
                      <w:sz w:val="21"/>
                      <w:szCs w:val="21"/>
                      <w:highlight w:val="none"/>
                    </w:rPr>
                  </w:pPr>
                </w:p>
              </w:tc>
              <w:tc>
                <w:tcPr>
                  <w:tcW w:w="1260" w:type="dxa"/>
                  <w:vMerge w:val="continue"/>
                  <w:vAlign w:val="center"/>
                </w:tcPr>
                <w:p w14:paraId="1FEEF513">
                  <w:pPr>
                    <w:pStyle w:val="32"/>
                    <w:snapToGrid w:val="0"/>
                    <w:jc w:val="center"/>
                    <w:rPr>
                      <w:rFonts w:hint="default" w:ascii="Times New Roman" w:hAnsi="Times New Roman" w:cs="Times New Roman"/>
                      <w:bCs/>
                      <w:color w:val="auto"/>
                      <w:sz w:val="21"/>
                      <w:szCs w:val="21"/>
                      <w:highlight w:val="none"/>
                    </w:rPr>
                  </w:pPr>
                </w:p>
              </w:tc>
              <w:tc>
                <w:tcPr>
                  <w:tcW w:w="1788" w:type="dxa"/>
                  <w:shd w:val="clear" w:color="auto" w:fill="auto"/>
                  <w:vAlign w:val="center"/>
                </w:tcPr>
                <w:p w14:paraId="25D02FE4">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4.14E-05</w:t>
                  </w:r>
                </w:p>
              </w:tc>
              <w:tc>
                <w:tcPr>
                  <w:tcW w:w="1792" w:type="dxa"/>
                  <w:vAlign w:val="center"/>
                </w:tcPr>
                <w:p w14:paraId="76B1EA8D">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4.60E-03</w:t>
                  </w:r>
                </w:p>
              </w:tc>
            </w:tr>
            <w:tr w14:paraId="3F592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41" w:type="dxa"/>
                  <w:vMerge w:val="restart"/>
                  <w:vAlign w:val="center"/>
                </w:tcPr>
                <w:p w14:paraId="32EAA8A8">
                  <w:pPr>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4</w:t>
                  </w:r>
                </w:p>
              </w:tc>
              <w:tc>
                <w:tcPr>
                  <w:tcW w:w="2729" w:type="dxa"/>
                  <w:vMerge w:val="restart"/>
                  <w:vAlign w:val="center"/>
                </w:tcPr>
                <w:p w14:paraId="4691F5E7">
                  <w:pPr>
                    <w:widowControl/>
                    <w:adjustRightInd w:val="0"/>
                    <w:snapToGrid w:val="0"/>
                    <w:jc w:val="center"/>
                    <w:textAlignment w:val="center"/>
                    <w:rPr>
                      <w:rStyle w:val="67"/>
                      <w:rFonts w:hint="default" w:ascii="Times New Roman" w:hAnsi="Times New Roman" w:eastAsia="宋体" w:cs="Times New Roman"/>
                      <w:bCs/>
                      <w:color w:val="auto"/>
                      <w:sz w:val="21"/>
                      <w:szCs w:val="21"/>
                      <w:highlight w:val="none"/>
                      <w:lang w:val="en-US" w:eastAsia="zh-CN" w:bidi="ar"/>
                    </w:rPr>
                  </w:pPr>
                  <w:r>
                    <w:rPr>
                      <w:rStyle w:val="67"/>
                      <w:rFonts w:hint="eastAsia" w:ascii="Times New Roman" w:hAnsi="Times New Roman" w:cs="Times New Roman"/>
                      <w:bCs/>
                      <w:color w:val="auto"/>
                      <w:sz w:val="21"/>
                      <w:szCs w:val="21"/>
                      <w:highlight w:val="none"/>
                      <w:lang w:val="en-US" w:eastAsia="zh-CN" w:bidi="ar"/>
                    </w:rPr>
                    <w:t>高值耗材存放处屏蔽墙30cm处</w:t>
                  </w:r>
                </w:p>
              </w:tc>
              <w:tc>
                <w:tcPr>
                  <w:tcW w:w="1060" w:type="dxa"/>
                  <w:vAlign w:val="center"/>
                </w:tcPr>
                <w:p w14:paraId="109F56AC">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1164" w:type="dxa"/>
                  <w:vMerge w:val="restart"/>
                  <w:vAlign w:val="center"/>
                </w:tcPr>
                <w:p w14:paraId="7DEA329B">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4.3</w:t>
                  </w:r>
                </w:p>
              </w:tc>
              <w:tc>
                <w:tcPr>
                  <w:tcW w:w="3162" w:type="dxa"/>
                  <w:vMerge w:val="restart"/>
                  <w:vAlign w:val="center"/>
                </w:tcPr>
                <w:p w14:paraId="3A845EB1">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200</w:t>
                  </w:r>
                  <w:r>
                    <w:rPr>
                      <w:rFonts w:hint="default" w:ascii="Times New Roman" w:hAnsi="Times New Roman" w:cs="Times New Roman"/>
                      <w:color w:val="auto"/>
                      <w:sz w:val="21"/>
                      <w:szCs w:val="21"/>
                      <w:highlight w:val="none"/>
                      <w:lang w:val="en-US" w:eastAsia="zh-CN"/>
                    </w:rPr>
                    <w:t>mm厚实心砖砌体+22mm复合射线防护板</w:t>
                  </w:r>
                </w:p>
              </w:tc>
              <w:tc>
                <w:tcPr>
                  <w:tcW w:w="1260" w:type="dxa"/>
                  <w:vMerge w:val="restart"/>
                  <w:vAlign w:val="center"/>
                </w:tcPr>
                <w:p w14:paraId="0BB05CF0">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788" w:type="dxa"/>
                  <w:shd w:val="clear" w:color="auto" w:fill="auto"/>
                  <w:vAlign w:val="center"/>
                </w:tcPr>
                <w:p w14:paraId="6FA1CD04">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2.76E-08</w:t>
                  </w:r>
                </w:p>
              </w:tc>
              <w:tc>
                <w:tcPr>
                  <w:tcW w:w="1792" w:type="dxa"/>
                  <w:vAlign w:val="center"/>
                </w:tcPr>
                <w:p w14:paraId="63564980">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2.52E-06</w:t>
                  </w:r>
                </w:p>
              </w:tc>
            </w:tr>
            <w:tr w14:paraId="39DA2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41" w:type="dxa"/>
                  <w:vMerge w:val="continue"/>
                  <w:vAlign w:val="center"/>
                </w:tcPr>
                <w:p w14:paraId="45D6B15E">
                  <w:pPr>
                    <w:pStyle w:val="32"/>
                    <w:snapToGrid w:val="0"/>
                    <w:jc w:val="center"/>
                    <w:rPr>
                      <w:rFonts w:hint="default" w:ascii="Times New Roman" w:hAnsi="Times New Roman" w:cs="Times New Roman"/>
                      <w:bCs/>
                      <w:color w:val="auto"/>
                      <w:sz w:val="21"/>
                      <w:szCs w:val="21"/>
                      <w:highlight w:val="none"/>
                    </w:rPr>
                  </w:pPr>
                </w:p>
              </w:tc>
              <w:tc>
                <w:tcPr>
                  <w:tcW w:w="2729" w:type="dxa"/>
                  <w:vMerge w:val="continue"/>
                  <w:vAlign w:val="center"/>
                </w:tcPr>
                <w:p w14:paraId="441C589D">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1060" w:type="dxa"/>
                  <w:vAlign w:val="center"/>
                </w:tcPr>
                <w:p w14:paraId="3B011901">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1164" w:type="dxa"/>
                  <w:vMerge w:val="continue"/>
                  <w:vAlign w:val="center"/>
                </w:tcPr>
                <w:p w14:paraId="71D065E9">
                  <w:pPr>
                    <w:widowControl/>
                    <w:adjustRightInd w:val="0"/>
                    <w:snapToGrid w:val="0"/>
                    <w:jc w:val="center"/>
                    <w:textAlignment w:val="center"/>
                    <w:rPr>
                      <w:rFonts w:hint="default" w:ascii="Times New Roman" w:hAnsi="Times New Roman" w:cs="Times New Roman"/>
                      <w:bCs/>
                      <w:color w:val="auto"/>
                      <w:sz w:val="21"/>
                      <w:szCs w:val="21"/>
                      <w:highlight w:val="none"/>
                    </w:rPr>
                  </w:pPr>
                </w:p>
              </w:tc>
              <w:tc>
                <w:tcPr>
                  <w:tcW w:w="3162" w:type="dxa"/>
                  <w:vMerge w:val="continue"/>
                  <w:vAlign w:val="center"/>
                </w:tcPr>
                <w:p w14:paraId="56029162">
                  <w:pPr>
                    <w:pStyle w:val="32"/>
                    <w:snapToGrid w:val="0"/>
                    <w:jc w:val="center"/>
                    <w:rPr>
                      <w:rFonts w:hint="default" w:ascii="Times New Roman" w:hAnsi="Times New Roman" w:cs="Times New Roman"/>
                      <w:bCs/>
                      <w:color w:val="auto"/>
                      <w:sz w:val="21"/>
                      <w:szCs w:val="21"/>
                      <w:highlight w:val="none"/>
                    </w:rPr>
                  </w:pPr>
                </w:p>
              </w:tc>
              <w:tc>
                <w:tcPr>
                  <w:tcW w:w="1260" w:type="dxa"/>
                  <w:vMerge w:val="continue"/>
                  <w:vAlign w:val="center"/>
                </w:tcPr>
                <w:p w14:paraId="450AEA7C">
                  <w:pPr>
                    <w:pStyle w:val="32"/>
                    <w:snapToGrid w:val="0"/>
                    <w:jc w:val="center"/>
                    <w:rPr>
                      <w:rFonts w:hint="default" w:ascii="Times New Roman" w:hAnsi="Times New Roman" w:cs="Times New Roman"/>
                      <w:bCs/>
                      <w:color w:val="auto"/>
                      <w:sz w:val="21"/>
                      <w:szCs w:val="21"/>
                      <w:highlight w:val="none"/>
                    </w:rPr>
                  </w:pPr>
                </w:p>
              </w:tc>
              <w:tc>
                <w:tcPr>
                  <w:tcW w:w="1788" w:type="dxa"/>
                  <w:shd w:val="clear" w:color="auto" w:fill="auto"/>
                  <w:vAlign w:val="center"/>
                </w:tcPr>
                <w:p w14:paraId="05BFA0F9">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4.09E-07</w:t>
                  </w:r>
                </w:p>
              </w:tc>
              <w:tc>
                <w:tcPr>
                  <w:tcW w:w="1792" w:type="dxa"/>
                  <w:vAlign w:val="center"/>
                </w:tcPr>
                <w:p w14:paraId="06D22C24">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3.74E-05</w:t>
                  </w:r>
                </w:p>
              </w:tc>
            </w:tr>
            <w:tr w14:paraId="60857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41" w:type="dxa"/>
                  <w:vMerge w:val="restart"/>
                  <w:vAlign w:val="center"/>
                </w:tcPr>
                <w:p w14:paraId="34F40C7A">
                  <w:pPr>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5</w:t>
                  </w:r>
                </w:p>
              </w:tc>
              <w:tc>
                <w:tcPr>
                  <w:tcW w:w="2729" w:type="dxa"/>
                  <w:vMerge w:val="restart"/>
                  <w:vAlign w:val="center"/>
                </w:tcPr>
                <w:p w14:paraId="4F11A02B">
                  <w:pPr>
                    <w:widowControl/>
                    <w:adjustRightInd w:val="0"/>
                    <w:snapToGrid w:val="0"/>
                    <w:jc w:val="center"/>
                    <w:textAlignment w:val="center"/>
                    <w:rPr>
                      <w:rStyle w:val="67"/>
                      <w:rFonts w:hint="default" w:ascii="Times New Roman" w:hAnsi="Times New Roman" w:eastAsia="宋体" w:cs="Times New Roman"/>
                      <w:bCs/>
                      <w:color w:val="auto"/>
                      <w:sz w:val="21"/>
                      <w:szCs w:val="21"/>
                      <w:highlight w:val="none"/>
                      <w:lang w:val="en-US" w:eastAsia="zh-CN" w:bidi="ar"/>
                    </w:rPr>
                  </w:pPr>
                  <w:r>
                    <w:rPr>
                      <w:rStyle w:val="67"/>
                      <w:rFonts w:hint="eastAsia" w:ascii="Times New Roman" w:hAnsi="Times New Roman" w:cs="Times New Roman"/>
                      <w:bCs/>
                      <w:color w:val="auto"/>
                      <w:sz w:val="21"/>
                      <w:szCs w:val="21"/>
                      <w:highlight w:val="none"/>
                      <w:lang w:val="en-US" w:eastAsia="zh-CN" w:bidi="ar"/>
                    </w:rPr>
                    <w:t>高值耗材存放处平开门30cm处</w:t>
                  </w:r>
                </w:p>
              </w:tc>
              <w:tc>
                <w:tcPr>
                  <w:tcW w:w="1060" w:type="dxa"/>
                  <w:vAlign w:val="center"/>
                </w:tcPr>
                <w:p w14:paraId="2E2382EB">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1164" w:type="dxa"/>
                  <w:vMerge w:val="restart"/>
                  <w:vAlign w:val="center"/>
                </w:tcPr>
                <w:p w14:paraId="0CACE856">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3.6</w:t>
                  </w:r>
                </w:p>
              </w:tc>
              <w:tc>
                <w:tcPr>
                  <w:tcW w:w="3162" w:type="dxa"/>
                  <w:vMerge w:val="restart"/>
                  <w:vAlign w:val="center"/>
                </w:tcPr>
                <w:p w14:paraId="0BEEE603">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3mmPb铅防护门</w:t>
                  </w:r>
                </w:p>
              </w:tc>
              <w:tc>
                <w:tcPr>
                  <w:tcW w:w="1260" w:type="dxa"/>
                  <w:vMerge w:val="restart"/>
                  <w:vAlign w:val="center"/>
                </w:tcPr>
                <w:p w14:paraId="79E26FEB">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788" w:type="dxa"/>
                  <w:shd w:val="clear" w:color="auto" w:fill="auto"/>
                  <w:vAlign w:val="center"/>
                </w:tcPr>
                <w:p w14:paraId="5CCB5BD8">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7.93E-06</w:t>
                  </w:r>
                </w:p>
              </w:tc>
              <w:tc>
                <w:tcPr>
                  <w:tcW w:w="1792" w:type="dxa"/>
                  <w:vAlign w:val="center"/>
                </w:tcPr>
                <w:p w14:paraId="6C9BE37A">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1.03E-03</w:t>
                  </w:r>
                </w:p>
              </w:tc>
            </w:tr>
            <w:tr w14:paraId="326AB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41" w:type="dxa"/>
                  <w:vMerge w:val="continue"/>
                  <w:vAlign w:val="center"/>
                </w:tcPr>
                <w:p w14:paraId="5DA426ED">
                  <w:pPr>
                    <w:pStyle w:val="32"/>
                    <w:snapToGrid w:val="0"/>
                    <w:jc w:val="center"/>
                    <w:rPr>
                      <w:rFonts w:hint="default" w:ascii="Times New Roman" w:hAnsi="Times New Roman" w:cs="Times New Roman"/>
                      <w:bCs/>
                      <w:color w:val="auto"/>
                      <w:sz w:val="21"/>
                      <w:szCs w:val="21"/>
                      <w:highlight w:val="none"/>
                    </w:rPr>
                  </w:pPr>
                </w:p>
              </w:tc>
              <w:tc>
                <w:tcPr>
                  <w:tcW w:w="2729" w:type="dxa"/>
                  <w:vMerge w:val="continue"/>
                  <w:vAlign w:val="center"/>
                </w:tcPr>
                <w:p w14:paraId="7FDCA357">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1060" w:type="dxa"/>
                  <w:vAlign w:val="center"/>
                </w:tcPr>
                <w:p w14:paraId="138D1744">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1164" w:type="dxa"/>
                  <w:vMerge w:val="continue"/>
                  <w:vAlign w:val="center"/>
                </w:tcPr>
                <w:p w14:paraId="15986F5E">
                  <w:pPr>
                    <w:widowControl/>
                    <w:adjustRightInd w:val="0"/>
                    <w:snapToGrid w:val="0"/>
                    <w:jc w:val="center"/>
                    <w:textAlignment w:val="center"/>
                    <w:rPr>
                      <w:rFonts w:hint="default" w:ascii="Times New Roman" w:hAnsi="Times New Roman" w:cs="Times New Roman"/>
                      <w:bCs/>
                      <w:color w:val="auto"/>
                      <w:sz w:val="21"/>
                      <w:szCs w:val="21"/>
                      <w:highlight w:val="none"/>
                    </w:rPr>
                  </w:pPr>
                </w:p>
              </w:tc>
              <w:tc>
                <w:tcPr>
                  <w:tcW w:w="3162" w:type="dxa"/>
                  <w:vMerge w:val="continue"/>
                  <w:vAlign w:val="center"/>
                </w:tcPr>
                <w:p w14:paraId="1C6936F7">
                  <w:pPr>
                    <w:pStyle w:val="32"/>
                    <w:snapToGrid w:val="0"/>
                    <w:jc w:val="center"/>
                    <w:rPr>
                      <w:rFonts w:hint="default" w:ascii="Times New Roman" w:hAnsi="Times New Roman" w:cs="Times New Roman"/>
                      <w:bCs/>
                      <w:color w:val="auto"/>
                      <w:sz w:val="21"/>
                      <w:szCs w:val="21"/>
                      <w:highlight w:val="none"/>
                    </w:rPr>
                  </w:pPr>
                </w:p>
              </w:tc>
              <w:tc>
                <w:tcPr>
                  <w:tcW w:w="1260" w:type="dxa"/>
                  <w:vMerge w:val="continue"/>
                  <w:vAlign w:val="center"/>
                </w:tcPr>
                <w:p w14:paraId="1FBF2CD7">
                  <w:pPr>
                    <w:pStyle w:val="32"/>
                    <w:snapToGrid w:val="0"/>
                    <w:jc w:val="center"/>
                    <w:rPr>
                      <w:rFonts w:hint="default" w:ascii="Times New Roman" w:hAnsi="Times New Roman" w:cs="Times New Roman"/>
                      <w:bCs/>
                      <w:color w:val="auto"/>
                      <w:sz w:val="21"/>
                      <w:szCs w:val="21"/>
                      <w:highlight w:val="none"/>
                    </w:rPr>
                  </w:pPr>
                </w:p>
              </w:tc>
              <w:tc>
                <w:tcPr>
                  <w:tcW w:w="1788" w:type="dxa"/>
                  <w:shd w:val="clear" w:color="auto" w:fill="auto"/>
                  <w:vAlign w:val="center"/>
                </w:tcPr>
                <w:p w14:paraId="011384EB">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4.14E-05</w:t>
                  </w:r>
                </w:p>
              </w:tc>
              <w:tc>
                <w:tcPr>
                  <w:tcW w:w="1792" w:type="dxa"/>
                  <w:vAlign w:val="center"/>
                </w:tcPr>
                <w:p w14:paraId="701BAF1B">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5.40E-03</w:t>
                  </w:r>
                </w:p>
              </w:tc>
            </w:tr>
            <w:tr w14:paraId="05C9E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41" w:type="dxa"/>
                  <w:vMerge w:val="restart"/>
                  <w:vAlign w:val="center"/>
                </w:tcPr>
                <w:p w14:paraId="140C5951">
                  <w:pPr>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6</w:t>
                  </w:r>
                </w:p>
              </w:tc>
              <w:tc>
                <w:tcPr>
                  <w:tcW w:w="2729" w:type="dxa"/>
                  <w:vMerge w:val="restart"/>
                  <w:shd w:val="clear" w:color="auto" w:fill="auto"/>
                  <w:vAlign w:val="center"/>
                </w:tcPr>
                <w:p w14:paraId="757DDB70">
                  <w:pPr>
                    <w:widowControl/>
                    <w:adjustRightInd w:val="0"/>
                    <w:snapToGrid w:val="0"/>
                    <w:jc w:val="center"/>
                    <w:textAlignment w:val="center"/>
                    <w:rPr>
                      <w:rStyle w:val="67"/>
                      <w:rFonts w:hint="default" w:ascii="Times New Roman" w:hAnsi="Times New Roman" w:eastAsia="宋体" w:cs="Times New Roman"/>
                      <w:bCs/>
                      <w:color w:val="auto"/>
                      <w:sz w:val="21"/>
                      <w:szCs w:val="21"/>
                      <w:highlight w:val="none"/>
                      <w:lang w:val="en-US" w:eastAsia="zh-CN" w:bidi="ar"/>
                    </w:rPr>
                  </w:pPr>
                  <w:r>
                    <w:rPr>
                      <w:rStyle w:val="67"/>
                      <w:rFonts w:hint="eastAsia" w:ascii="Times New Roman" w:hAnsi="Times New Roman" w:cs="Times New Roman"/>
                      <w:bCs/>
                      <w:color w:val="auto"/>
                      <w:sz w:val="21"/>
                      <w:szCs w:val="21"/>
                      <w:highlight w:val="none"/>
                      <w:lang w:val="en-US" w:eastAsia="zh-CN" w:bidi="ar"/>
                    </w:rPr>
                    <w:t>控制室观察窗30cm处</w:t>
                  </w:r>
                </w:p>
              </w:tc>
              <w:tc>
                <w:tcPr>
                  <w:tcW w:w="1060" w:type="dxa"/>
                  <w:vAlign w:val="center"/>
                </w:tcPr>
                <w:p w14:paraId="7C431580">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1164" w:type="dxa"/>
                  <w:vMerge w:val="restart"/>
                  <w:vAlign w:val="center"/>
                </w:tcPr>
                <w:p w14:paraId="51C657DE">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3.6</w:t>
                  </w:r>
                </w:p>
              </w:tc>
              <w:tc>
                <w:tcPr>
                  <w:tcW w:w="3162" w:type="dxa"/>
                  <w:vMerge w:val="restart"/>
                  <w:vAlign w:val="center"/>
                </w:tcPr>
                <w:p w14:paraId="31C1B004">
                  <w:pPr>
                    <w:pStyle w:val="32"/>
                    <w:snapToGrid w:val="0"/>
                    <w:jc w:val="center"/>
                    <w:rPr>
                      <w:rFonts w:hint="default" w:ascii="Times New Roman" w:hAnsi="Times New Roman" w:cs="Times New Roman"/>
                      <w:bCs/>
                      <w:color w:val="auto"/>
                      <w:sz w:val="21"/>
                      <w:szCs w:val="21"/>
                      <w:highlight w:val="none"/>
                      <w:lang w:val="en-US"/>
                    </w:rPr>
                  </w:pPr>
                  <w:r>
                    <w:rPr>
                      <w:rFonts w:hint="eastAsia" w:ascii="Times New Roman" w:hAnsi="Times New Roman" w:cs="Times New Roman"/>
                      <w:color w:val="auto"/>
                      <w:sz w:val="21"/>
                      <w:szCs w:val="21"/>
                      <w:highlight w:val="none"/>
                      <w:lang w:val="en-US" w:eastAsia="zh-CN"/>
                    </w:rPr>
                    <w:t>3mmPb观察窗</w:t>
                  </w:r>
                </w:p>
              </w:tc>
              <w:tc>
                <w:tcPr>
                  <w:tcW w:w="1260" w:type="dxa"/>
                  <w:vMerge w:val="restart"/>
                  <w:vAlign w:val="center"/>
                </w:tcPr>
                <w:p w14:paraId="778878D8">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788" w:type="dxa"/>
                  <w:shd w:val="clear" w:color="auto" w:fill="auto"/>
                  <w:vAlign w:val="center"/>
                </w:tcPr>
                <w:p w14:paraId="4453E085">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7.93E-06</w:t>
                  </w:r>
                </w:p>
              </w:tc>
              <w:tc>
                <w:tcPr>
                  <w:tcW w:w="1792" w:type="dxa"/>
                  <w:vAlign w:val="center"/>
                </w:tcPr>
                <w:p w14:paraId="56A0956F">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1.03E-03</w:t>
                  </w:r>
                </w:p>
              </w:tc>
            </w:tr>
            <w:tr w14:paraId="0E8E0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41" w:type="dxa"/>
                  <w:vMerge w:val="continue"/>
                  <w:vAlign w:val="center"/>
                </w:tcPr>
                <w:p w14:paraId="3BBD0740">
                  <w:pPr>
                    <w:adjustRightInd w:val="0"/>
                    <w:snapToGrid w:val="0"/>
                    <w:jc w:val="center"/>
                    <w:rPr>
                      <w:rFonts w:hint="default" w:ascii="Times New Roman" w:hAnsi="Times New Roman" w:cs="Times New Roman"/>
                      <w:bCs/>
                      <w:color w:val="auto"/>
                      <w:sz w:val="21"/>
                      <w:szCs w:val="21"/>
                      <w:highlight w:val="none"/>
                    </w:rPr>
                  </w:pPr>
                </w:p>
              </w:tc>
              <w:tc>
                <w:tcPr>
                  <w:tcW w:w="2729" w:type="dxa"/>
                  <w:vMerge w:val="continue"/>
                  <w:vAlign w:val="center"/>
                </w:tcPr>
                <w:p w14:paraId="231C6AF6">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1060" w:type="dxa"/>
                  <w:vAlign w:val="center"/>
                </w:tcPr>
                <w:p w14:paraId="5769657F">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1164" w:type="dxa"/>
                  <w:vMerge w:val="continue"/>
                  <w:vAlign w:val="center"/>
                </w:tcPr>
                <w:p w14:paraId="0ACFEC2F">
                  <w:pPr>
                    <w:widowControl/>
                    <w:adjustRightInd w:val="0"/>
                    <w:snapToGrid w:val="0"/>
                    <w:jc w:val="center"/>
                    <w:textAlignment w:val="center"/>
                    <w:rPr>
                      <w:rFonts w:hint="default" w:ascii="Times New Roman" w:hAnsi="Times New Roman" w:cs="Times New Roman"/>
                      <w:bCs/>
                      <w:color w:val="auto"/>
                      <w:sz w:val="21"/>
                      <w:szCs w:val="21"/>
                      <w:highlight w:val="none"/>
                    </w:rPr>
                  </w:pPr>
                </w:p>
              </w:tc>
              <w:tc>
                <w:tcPr>
                  <w:tcW w:w="3162" w:type="dxa"/>
                  <w:vMerge w:val="continue"/>
                  <w:vAlign w:val="center"/>
                </w:tcPr>
                <w:p w14:paraId="400D1A38">
                  <w:pPr>
                    <w:pStyle w:val="32"/>
                    <w:snapToGrid w:val="0"/>
                    <w:jc w:val="center"/>
                    <w:rPr>
                      <w:rFonts w:hint="default" w:ascii="Times New Roman" w:hAnsi="Times New Roman" w:cs="Times New Roman"/>
                      <w:bCs/>
                      <w:color w:val="auto"/>
                      <w:sz w:val="21"/>
                      <w:szCs w:val="21"/>
                      <w:highlight w:val="none"/>
                    </w:rPr>
                  </w:pPr>
                </w:p>
              </w:tc>
              <w:tc>
                <w:tcPr>
                  <w:tcW w:w="1260" w:type="dxa"/>
                  <w:vMerge w:val="continue"/>
                  <w:vAlign w:val="center"/>
                </w:tcPr>
                <w:p w14:paraId="7868BB10">
                  <w:pPr>
                    <w:pStyle w:val="32"/>
                    <w:snapToGrid w:val="0"/>
                    <w:jc w:val="center"/>
                    <w:rPr>
                      <w:rFonts w:hint="default" w:ascii="Times New Roman" w:hAnsi="Times New Roman" w:cs="Times New Roman"/>
                      <w:bCs/>
                      <w:color w:val="auto"/>
                      <w:sz w:val="21"/>
                      <w:szCs w:val="21"/>
                      <w:highlight w:val="none"/>
                    </w:rPr>
                  </w:pPr>
                </w:p>
              </w:tc>
              <w:tc>
                <w:tcPr>
                  <w:tcW w:w="1788" w:type="dxa"/>
                  <w:shd w:val="clear" w:color="auto" w:fill="auto"/>
                  <w:vAlign w:val="center"/>
                </w:tcPr>
                <w:p w14:paraId="1EB4A4A1">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4.14E-05</w:t>
                  </w:r>
                </w:p>
              </w:tc>
              <w:tc>
                <w:tcPr>
                  <w:tcW w:w="1792" w:type="dxa"/>
                  <w:vAlign w:val="center"/>
                </w:tcPr>
                <w:p w14:paraId="51023747">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5.40E-03</w:t>
                  </w:r>
                </w:p>
              </w:tc>
            </w:tr>
            <w:tr w14:paraId="42F25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41" w:type="dxa"/>
                  <w:vMerge w:val="restart"/>
                  <w:vAlign w:val="center"/>
                </w:tcPr>
                <w:p w14:paraId="142AD26D">
                  <w:pPr>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7</w:t>
                  </w:r>
                </w:p>
              </w:tc>
              <w:tc>
                <w:tcPr>
                  <w:tcW w:w="2729" w:type="dxa"/>
                  <w:vMerge w:val="restart"/>
                  <w:shd w:val="clear" w:color="auto" w:fill="auto"/>
                  <w:vAlign w:val="center"/>
                </w:tcPr>
                <w:p w14:paraId="0EA57EBA">
                  <w:pPr>
                    <w:widowControl/>
                    <w:adjustRightInd w:val="0"/>
                    <w:snapToGrid w:val="0"/>
                    <w:jc w:val="center"/>
                    <w:textAlignment w:val="center"/>
                    <w:rPr>
                      <w:rStyle w:val="67"/>
                      <w:rFonts w:hint="default" w:ascii="Times New Roman" w:hAnsi="Times New Roman" w:eastAsia="宋体" w:cs="Times New Roman"/>
                      <w:bCs/>
                      <w:color w:val="auto"/>
                      <w:sz w:val="21"/>
                      <w:szCs w:val="21"/>
                      <w:highlight w:val="none"/>
                      <w:lang w:val="en-US" w:eastAsia="zh-CN" w:bidi="ar"/>
                    </w:rPr>
                  </w:pPr>
                  <w:r>
                    <w:rPr>
                      <w:rStyle w:val="67"/>
                      <w:rFonts w:hint="eastAsia" w:ascii="Times New Roman" w:hAnsi="Times New Roman" w:cs="Times New Roman"/>
                      <w:bCs/>
                      <w:color w:val="auto"/>
                      <w:sz w:val="21"/>
                      <w:szCs w:val="21"/>
                      <w:highlight w:val="none"/>
                      <w:lang w:val="en-US" w:eastAsia="zh-CN" w:bidi="ar"/>
                    </w:rPr>
                    <w:t>控制室屏蔽墙30cm处</w:t>
                  </w:r>
                </w:p>
              </w:tc>
              <w:tc>
                <w:tcPr>
                  <w:tcW w:w="1060" w:type="dxa"/>
                  <w:vAlign w:val="center"/>
                </w:tcPr>
                <w:p w14:paraId="6BB6F2D9">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1164" w:type="dxa"/>
                  <w:vMerge w:val="restart"/>
                  <w:vAlign w:val="center"/>
                </w:tcPr>
                <w:p w14:paraId="55A3CEA9">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4.3</w:t>
                  </w:r>
                </w:p>
              </w:tc>
              <w:tc>
                <w:tcPr>
                  <w:tcW w:w="3162" w:type="dxa"/>
                  <w:vMerge w:val="restart"/>
                  <w:vAlign w:val="center"/>
                </w:tcPr>
                <w:p w14:paraId="08E4C13C">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200</w:t>
                  </w:r>
                  <w:r>
                    <w:rPr>
                      <w:rFonts w:hint="default" w:ascii="Times New Roman" w:hAnsi="Times New Roman" w:cs="Times New Roman"/>
                      <w:color w:val="auto"/>
                      <w:sz w:val="21"/>
                      <w:szCs w:val="21"/>
                      <w:highlight w:val="none"/>
                      <w:lang w:val="en-US" w:eastAsia="zh-CN"/>
                    </w:rPr>
                    <w:t>mm厚实心砖砌体+22mm复合射线防护板</w:t>
                  </w:r>
                </w:p>
              </w:tc>
              <w:tc>
                <w:tcPr>
                  <w:tcW w:w="1260" w:type="dxa"/>
                  <w:vMerge w:val="restart"/>
                  <w:vAlign w:val="center"/>
                </w:tcPr>
                <w:p w14:paraId="24487AEF">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788" w:type="dxa"/>
                  <w:shd w:val="clear" w:color="auto" w:fill="auto"/>
                  <w:vAlign w:val="center"/>
                </w:tcPr>
                <w:p w14:paraId="32843A2C">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2.76E-08</w:t>
                  </w:r>
                </w:p>
              </w:tc>
              <w:tc>
                <w:tcPr>
                  <w:tcW w:w="1792" w:type="dxa"/>
                  <w:vAlign w:val="center"/>
                </w:tcPr>
                <w:p w14:paraId="05173623">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2.52E-06</w:t>
                  </w:r>
                </w:p>
              </w:tc>
            </w:tr>
            <w:tr w14:paraId="285BF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41" w:type="dxa"/>
                  <w:vMerge w:val="continue"/>
                  <w:vAlign w:val="center"/>
                </w:tcPr>
                <w:p w14:paraId="691574E8">
                  <w:pPr>
                    <w:adjustRightInd w:val="0"/>
                    <w:snapToGrid w:val="0"/>
                    <w:jc w:val="center"/>
                    <w:rPr>
                      <w:rFonts w:hint="default" w:ascii="Times New Roman" w:hAnsi="Times New Roman" w:cs="Times New Roman"/>
                      <w:bCs/>
                      <w:color w:val="auto"/>
                      <w:sz w:val="21"/>
                      <w:szCs w:val="21"/>
                      <w:highlight w:val="none"/>
                    </w:rPr>
                  </w:pPr>
                </w:p>
              </w:tc>
              <w:tc>
                <w:tcPr>
                  <w:tcW w:w="2729" w:type="dxa"/>
                  <w:vMerge w:val="continue"/>
                  <w:vAlign w:val="center"/>
                </w:tcPr>
                <w:p w14:paraId="2E080F7C">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1060" w:type="dxa"/>
                  <w:vAlign w:val="center"/>
                </w:tcPr>
                <w:p w14:paraId="3A6DD96B">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1164" w:type="dxa"/>
                  <w:vMerge w:val="continue"/>
                  <w:vAlign w:val="center"/>
                </w:tcPr>
                <w:p w14:paraId="6DB0BE7D">
                  <w:pPr>
                    <w:widowControl/>
                    <w:adjustRightInd w:val="0"/>
                    <w:snapToGrid w:val="0"/>
                    <w:jc w:val="center"/>
                    <w:textAlignment w:val="center"/>
                    <w:rPr>
                      <w:rFonts w:hint="default" w:ascii="Times New Roman" w:hAnsi="Times New Roman" w:cs="Times New Roman"/>
                      <w:bCs/>
                      <w:color w:val="auto"/>
                      <w:sz w:val="21"/>
                      <w:szCs w:val="21"/>
                      <w:highlight w:val="none"/>
                    </w:rPr>
                  </w:pPr>
                </w:p>
              </w:tc>
              <w:tc>
                <w:tcPr>
                  <w:tcW w:w="3162" w:type="dxa"/>
                  <w:vMerge w:val="continue"/>
                  <w:vAlign w:val="center"/>
                </w:tcPr>
                <w:p w14:paraId="6E044405">
                  <w:pPr>
                    <w:pStyle w:val="32"/>
                    <w:snapToGrid w:val="0"/>
                    <w:jc w:val="center"/>
                    <w:rPr>
                      <w:rFonts w:hint="default" w:ascii="Times New Roman" w:hAnsi="Times New Roman" w:cs="Times New Roman"/>
                      <w:bCs/>
                      <w:color w:val="auto"/>
                      <w:sz w:val="21"/>
                      <w:szCs w:val="21"/>
                      <w:highlight w:val="none"/>
                    </w:rPr>
                  </w:pPr>
                </w:p>
              </w:tc>
              <w:tc>
                <w:tcPr>
                  <w:tcW w:w="1260" w:type="dxa"/>
                  <w:vMerge w:val="continue"/>
                  <w:vAlign w:val="center"/>
                </w:tcPr>
                <w:p w14:paraId="373B728F">
                  <w:pPr>
                    <w:pStyle w:val="32"/>
                    <w:snapToGrid w:val="0"/>
                    <w:jc w:val="center"/>
                    <w:rPr>
                      <w:rFonts w:hint="default" w:ascii="Times New Roman" w:hAnsi="Times New Roman" w:cs="Times New Roman"/>
                      <w:bCs/>
                      <w:color w:val="auto"/>
                      <w:sz w:val="21"/>
                      <w:szCs w:val="21"/>
                      <w:highlight w:val="none"/>
                    </w:rPr>
                  </w:pPr>
                </w:p>
              </w:tc>
              <w:tc>
                <w:tcPr>
                  <w:tcW w:w="1788" w:type="dxa"/>
                  <w:shd w:val="clear" w:color="auto" w:fill="auto"/>
                  <w:vAlign w:val="center"/>
                </w:tcPr>
                <w:p w14:paraId="50C44DB5">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4.09E-07</w:t>
                  </w:r>
                </w:p>
              </w:tc>
              <w:tc>
                <w:tcPr>
                  <w:tcW w:w="1792" w:type="dxa"/>
                  <w:vAlign w:val="center"/>
                </w:tcPr>
                <w:p w14:paraId="2C034756">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3.74E-05</w:t>
                  </w:r>
                </w:p>
              </w:tc>
            </w:tr>
            <w:tr w14:paraId="7FC96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41" w:type="dxa"/>
                  <w:vMerge w:val="restart"/>
                  <w:vAlign w:val="center"/>
                </w:tcPr>
                <w:p w14:paraId="665868D3">
                  <w:pPr>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8</w:t>
                  </w:r>
                </w:p>
              </w:tc>
              <w:tc>
                <w:tcPr>
                  <w:tcW w:w="2729" w:type="dxa"/>
                  <w:vMerge w:val="restart"/>
                  <w:shd w:val="clear" w:color="auto" w:fill="auto"/>
                  <w:vAlign w:val="center"/>
                </w:tcPr>
                <w:p w14:paraId="2EA0B944">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bidi="ar"/>
                    </w:rPr>
                  </w:pPr>
                  <w:r>
                    <w:rPr>
                      <w:rFonts w:hint="eastAsia" w:ascii="Times New Roman" w:hAnsi="Times New Roman" w:cs="Times New Roman"/>
                      <w:bCs/>
                      <w:color w:val="auto"/>
                      <w:sz w:val="21"/>
                      <w:szCs w:val="21"/>
                      <w:highlight w:val="none"/>
                      <w:lang w:val="en-US" w:eastAsia="zh-CN" w:bidi="ar"/>
                    </w:rPr>
                    <w:t>控制室平开门30cm处</w:t>
                  </w:r>
                </w:p>
              </w:tc>
              <w:tc>
                <w:tcPr>
                  <w:tcW w:w="1060" w:type="dxa"/>
                  <w:vAlign w:val="center"/>
                </w:tcPr>
                <w:p w14:paraId="01C1635A">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1164" w:type="dxa"/>
                  <w:vMerge w:val="restart"/>
                  <w:vAlign w:val="center"/>
                </w:tcPr>
                <w:p w14:paraId="4680980C">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5.1</w:t>
                  </w:r>
                </w:p>
              </w:tc>
              <w:tc>
                <w:tcPr>
                  <w:tcW w:w="3162" w:type="dxa"/>
                  <w:vMerge w:val="restart"/>
                  <w:vAlign w:val="center"/>
                </w:tcPr>
                <w:p w14:paraId="037C0B2C">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3mmPb铅防护门</w:t>
                  </w:r>
                </w:p>
              </w:tc>
              <w:tc>
                <w:tcPr>
                  <w:tcW w:w="1260" w:type="dxa"/>
                  <w:vMerge w:val="restart"/>
                  <w:vAlign w:val="center"/>
                </w:tcPr>
                <w:p w14:paraId="5C6EA0EA">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788" w:type="dxa"/>
                  <w:shd w:val="clear" w:color="auto" w:fill="auto"/>
                  <w:vAlign w:val="center"/>
                </w:tcPr>
                <w:p w14:paraId="19E9EE7D">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7.93E-06</w:t>
                  </w:r>
                </w:p>
              </w:tc>
              <w:tc>
                <w:tcPr>
                  <w:tcW w:w="1792" w:type="dxa"/>
                  <w:vAlign w:val="center"/>
                </w:tcPr>
                <w:p w14:paraId="46300B35">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5.15E-04</w:t>
                  </w:r>
                </w:p>
              </w:tc>
            </w:tr>
            <w:tr w14:paraId="1D08D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41" w:type="dxa"/>
                  <w:vMerge w:val="continue"/>
                  <w:vAlign w:val="center"/>
                </w:tcPr>
                <w:p w14:paraId="1AABB362">
                  <w:pPr>
                    <w:adjustRightInd w:val="0"/>
                    <w:snapToGrid w:val="0"/>
                    <w:jc w:val="center"/>
                    <w:rPr>
                      <w:rFonts w:hint="default" w:ascii="Times New Roman" w:hAnsi="Times New Roman" w:cs="Times New Roman"/>
                      <w:bCs/>
                      <w:color w:val="auto"/>
                      <w:sz w:val="21"/>
                      <w:szCs w:val="21"/>
                      <w:highlight w:val="none"/>
                    </w:rPr>
                  </w:pPr>
                </w:p>
              </w:tc>
              <w:tc>
                <w:tcPr>
                  <w:tcW w:w="2729" w:type="dxa"/>
                  <w:vMerge w:val="continue"/>
                  <w:vAlign w:val="center"/>
                </w:tcPr>
                <w:p w14:paraId="58CAC827">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1060" w:type="dxa"/>
                  <w:vAlign w:val="center"/>
                </w:tcPr>
                <w:p w14:paraId="68AE9C0F">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1164" w:type="dxa"/>
                  <w:vMerge w:val="continue"/>
                  <w:vAlign w:val="center"/>
                </w:tcPr>
                <w:p w14:paraId="01D69B46">
                  <w:pPr>
                    <w:widowControl/>
                    <w:adjustRightInd w:val="0"/>
                    <w:snapToGrid w:val="0"/>
                    <w:jc w:val="center"/>
                    <w:textAlignment w:val="center"/>
                    <w:rPr>
                      <w:rFonts w:hint="default" w:ascii="Times New Roman" w:hAnsi="Times New Roman" w:cs="Times New Roman"/>
                      <w:bCs/>
                      <w:color w:val="auto"/>
                      <w:sz w:val="21"/>
                      <w:szCs w:val="21"/>
                      <w:highlight w:val="none"/>
                    </w:rPr>
                  </w:pPr>
                </w:p>
              </w:tc>
              <w:tc>
                <w:tcPr>
                  <w:tcW w:w="3162" w:type="dxa"/>
                  <w:vMerge w:val="continue"/>
                  <w:vAlign w:val="center"/>
                </w:tcPr>
                <w:p w14:paraId="36A65701">
                  <w:pPr>
                    <w:pStyle w:val="32"/>
                    <w:snapToGrid w:val="0"/>
                    <w:jc w:val="center"/>
                    <w:rPr>
                      <w:rFonts w:hint="default" w:ascii="Times New Roman" w:hAnsi="Times New Roman" w:cs="Times New Roman"/>
                      <w:bCs/>
                      <w:color w:val="auto"/>
                      <w:sz w:val="21"/>
                      <w:szCs w:val="21"/>
                      <w:highlight w:val="none"/>
                    </w:rPr>
                  </w:pPr>
                </w:p>
              </w:tc>
              <w:tc>
                <w:tcPr>
                  <w:tcW w:w="1260" w:type="dxa"/>
                  <w:vMerge w:val="continue"/>
                  <w:vAlign w:val="center"/>
                </w:tcPr>
                <w:p w14:paraId="0BB2B80B">
                  <w:pPr>
                    <w:pStyle w:val="32"/>
                    <w:snapToGrid w:val="0"/>
                    <w:jc w:val="center"/>
                    <w:rPr>
                      <w:rFonts w:hint="default" w:ascii="Times New Roman" w:hAnsi="Times New Roman" w:cs="Times New Roman"/>
                      <w:bCs/>
                      <w:color w:val="auto"/>
                      <w:sz w:val="21"/>
                      <w:szCs w:val="21"/>
                      <w:highlight w:val="none"/>
                    </w:rPr>
                  </w:pPr>
                </w:p>
              </w:tc>
              <w:tc>
                <w:tcPr>
                  <w:tcW w:w="1788" w:type="dxa"/>
                  <w:shd w:val="clear" w:color="auto" w:fill="auto"/>
                  <w:vAlign w:val="center"/>
                </w:tcPr>
                <w:p w14:paraId="4AF46BA1">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4.14E-05</w:t>
                  </w:r>
                </w:p>
              </w:tc>
              <w:tc>
                <w:tcPr>
                  <w:tcW w:w="1792" w:type="dxa"/>
                  <w:vAlign w:val="center"/>
                </w:tcPr>
                <w:p w14:paraId="136C830E">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2.69E-03</w:t>
                  </w:r>
                </w:p>
              </w:tc>
            </w:tr>
            <w:tr w14:paraId="35BD2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41" w:type="dxa"/>
                  <w:vMerge w:val="restart"/>
                  <w:vAlign w:val="center"/>
                </w:tcPr>
                <w:p w14:paraId="340BCADF">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9</w:t>
                  </w:r>
                </w:p>
              </w:tc>
              <w:tc>
                <w:tcPr>
                  <w:tcW w:w="2729" w:type="dxa"/>
                  <w:vMerge w:val="restart"/>
                  <w:shd w:val="clear" w:color="auto" w:fill="auto"/>
                  <w:vAlign w:val="center"/>
                </w:tcPr>
                <w:p w14:paraId="32C4A4E5">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污物间屏蔽墙30cm处</w:t>
                  </w:r>
                </w:p>
              </w:tc>
              <w:tc>
                <w:tcPr>
                  <w:tcW w:w="1060" w:type="dxa"/>
                  <w:vAlign w:val="center"/>
                </w:tcPr>
                <w:p w14:paraId="0ABDC999">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1164" w:type="dxa"/>
                  <w:vMerge w:val="restart"/>
                  <w:vAlign w:val="center"/>
                </w:tcPr>
                <w:p w14:paraId="24786F87">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5.9</w:t>
                  </w:r>
                </w:p>
              </w:tc>
              <w:tc>
                <w:tcPr>
                  <w:tcW w:w="3162" w:type="dxa"/>
                  <w:vMerge w:val="restart"/>
                  <w:vAlign w:val="center"/>
                </w:tcPr>
                <w:p w14:paraId="2EEFE718">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200</w:t>
                  </w:r>
                  <w:r>
                    <w:rPr>
                      <w:rFonts w:hint="default" w:ascii="Times New Roman" w:hAnsi="Times New Roman" w:cs="Times New Roman"/>
                      <w:color w:val="auto"/>
                      <w:sz w:val="21"/>
                      <w:szCs w:val="21"/>
                      <w:highlight w:val="none"/>
                      <w:lang w:val="en-US" w:eastAsia="zh-CN"/>
                    </w:rPr>
                    <w:t>mm厚实心砖砌体+22mm复合射线防护板</w:t>
                  </w:r>
                </w:p>
              </w:tc>
              <w:tc>
                <w:tcPr>
                  <w:tcW w:w="1260" w:type="dxa"/>
                  <w:vMerge w:val="restart"/>
                  <w:vAlign w:val="center"/>
                </w:tcPr>
                <w:p w14:paraId="7E7452AA">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788" w:type="dxa"/>
                  <w:shd w:val="clear" w:color="auto" w:fill="auto"/>
                  <w:vAlign w:val="center"/>
                </w:tcPr>
                <w:p w14:paraId="0B56E25C">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2.76E-08</w:t>
                  </w:r>
                </w:p>
              </w:tc>
              <w:tc>
                <w:tcPr>
                  <w:tcW w:w="1792" w:type="dxa"/>
                  <w:vAlign w:val="center"/>
                </w:tcPr>
                <w:p w14:paraId="00E36167">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1.34E-06</w:t>
                  </w:r>
                </w:p>
              </w:tc>
            </w:tr>
            <w:tr w14:paraId="5D8D2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41" w:type="dxa"/>
                  <w:vMerge w:val="continue"/>
                  <w:vAlign w:val="center"/>
                </w:tcPr>
                <w:p w14:paraId="37A33E0B">
                  <w:pPr>
                    <w:pStyle w:val="32"/>
                    <w:snapToGrid w:val="0"/>
                    <w:jc w:val="center"/>
                    <w:rPr>
                      <w:rFonts w:hint="default" w:ascii="Times New Roman" w:hAnsi="Times New Roman" w:cs="Times New Roman"/>
                      <w:bCs/>
                      <w:color w:val="auto"/>
                      <w:sz w:val="21"/>
                      <w:szCs w:val="21"/>
                      <w:highlight w:val="none"/>
                    </w:rPr>
                  </w:pPr>
                </w:p>
              </w:tc>
              <w:tc>
                <w:tcPr>
                  <w:tcW w:w="2729" w:type="dxa"/>
                  <w:vMerge w:val="continue"/>
                  <w:vAlign w:val="center"/>
                </w:tcPr>
                <w:p w14:paraId="3E4C3957">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1060" w:type="dxa"/>
                  <w:vAlign w:val="center"/>
                </w:tcPr>
                <w:p w14:paraId="38624DAC">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1164" w:type="dxa"/>
                  <w:vMerge w:val="continue"/>
                  <w:vAlign w:val="center"/>
                </w:tcPr>
                <w:p w14:paraId="65398317">
                  <w:pPr>
                    <w:widowControl/>
                    <w:adjustRightInd w:val="0"/>
                    <w:snapToGrid w:val="0"/>
                    <w:jc w:val="center"/>
                    <w:textAlignment w:val="center"/>
                    <w:rPr>
                      <w:rFonts w:hint="default" w:ascii="Times New Roman" w:hAnsi="Times New Roman" w:cs="Times New Roman"/>
                      <w:bCs/>
                      <w:color w:val="auto"/>
                      <w:sz w:val="21"/>
                      <w:szCs w:val="21"/>
                      <w:highlight w:val="none"/>
                    </w:rPr>
                  </w:pPr>
                </w:p>
              </w:tc>
              <w:tc>
                <w:tcPr>
                  <w:tcW w:w="3162" w:type="dxa"/>
                  <w:vMerge w:val="continue"/>
                  <w:vAlign w:val="center"/>
                </w:tcPr>
                <w:p w14:paraId="219FE80F">
                  <w:pPr>
                    <w:pStyle w:val="32"/>
                    <w:snapToGrid w:val="0"/>
                    <w:jc w:val="center"/>
                    <w:rPr>
                      <w:rFonts w:hint="default" w:ascii="Times New Roman" w:hAnsi="Times New Roman" w:cs="Times New Roman"/>
                      <w:bCs/>
                      <w:color w:val="auto"/>
                      <w:sz w:val="21"/>
                      <w:szCs w:val="21"/>
                      <w:highlight w:val="none"/>
                    </w:rPr>
                  </w:pPr>
                </w:p>
              </w:tc>
              <w:tc>
                <w:tcPr>
                  <w:tcW w:w="1260" w:type="dxa"/>
                  <w:vMerge w:val="continue"/>
                  <w:vAlign w:val="center"/>
                </w:tcPr>
                <w:p w14:paraId="76983C3B">
                  <w:pPr>
                    <w:pStyle w:val="32"/>
                    <w:snapToGrid w:val="0"/>
                    <w:jc w:val="center"/>
                    <w:rPr>
                      <w:rFonts w:hint="default" w:ascii="Times New Roman" w:hAnsi="Times New Roman" w:cs="Times New Roman"/>
                      <w:bCs/>
                      <w:color w:val="auto"/>
                      <w:sz w:val="21"/>
                      <w:szCs w:val="21"/>
                      <w:highlight w:val="none"/>
                    </w:rPr>
                  </w:pPr>
                </w:p>
              </w:tc>
              <w:tc>
                <w:tcPr>
                  <w:tcW w:w="1788" w:type="dxa"/>
                  <w:shd w:val="clear" w:color="auto" w:fill="auto"/>
                  <w:vAlign w:val="center"/>
                </w:tcPr>
                <w:p w14:paraId="3052326E">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4.09E-07</w:t>
                  </w:r>
                </w:p>
              </w:tc>
              <w:tc>
                <w:tcPr>
                  <w:tcW w:w="1792" w:type="dxa"/>
                  <w:vAlign w:val="center"/>
                </w:tcPr>
                <w:p w14:paraId="58B1647F">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1.99E-05</w:t>
                  </w:r>
                </w:p>
              </w:tc>
            </w:tr>
            <w:tr w14:paraId="6F6FA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41" w:type="dxa"/>
                  <w:vMerge w:val="restart"/>
                  <w:vAlign w:val="center"/>
                </w:tcPr>
                <w:p w14:paraId="7514ABD7">
                  <w:pPr>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10</w:t>
                  </w:r>
                </w:p>
              </w:tc>
              <w:tc>
                <w:tcPr>
                  <w:tcW w:w="2729" w:type="dxa"/>
                  <w:vMerge w:val="restart"/>
                  <w:shd w:val="clear" w:color="auto" w:fill="auto"/>
                  <w:vAlign w:val="center"/>
                </w:tcPr>
                <w:p w14:paraId="3213372D">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污物间平开门30cm处</w:t>
                  </w:r>
                </w:p>
              </w:tc>
              <w:tc>
                <w:tcPr>
                  <w:tcW w:w="1060" w:type="dxa"/>
                  <w:shd w:val="clear" w:color="auto" w:fill="auto"/>
                  <w:vAlign w:val="center"/>
                </w:tcPr>
                <w:p w14:paraId="422C02F5">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1164" w:type="dxa"/>
                  <w:vMerge w:val="restart"/>
                  <w:vAlign w:val="center"/>
                </w:tcPr>
                <w:p w14:paraId="0C8F5273">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5.5</w:t>
                  </w:r>
                </w:p>
              </w:tc>
              <w:tc>
                <w:tcPr>
                  <w:tcW w:w="3162" w:type="dxa"/>
                  <w:vMerge w:val="restart"/>
                  <w:vAlign w:val="center"/>
                </w:tcPr>
                <w:p w14:paraId="38D35054">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3mmPb铅防护门</w:t>
                  </w:r>
                </w:p>
              </w:tc>
              <w:tc>
                <w:tcPr>
                  <w:tcW w:w="1260" w:type="dxa"/>
                  <w:vMerge w:val="restart"/>
                  <w:vAlign w:val="center"/>
                </w:tcPr>
                <w:p w14:paraId="3237DB77">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788" w:type="dxa"/>
                  <w:shd w:val="clear" w:color="auto" w:fill="auto"/>
                  <w:vAlign w:val="center"/>
                </w:tcPr>
                <w:p w14:paraId="50D8955D">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7.93E-06</w:t>
                  </w:r>
                </w:p>
              </w:tc>
              <w:tc>
                <w:tcPr>
                  <w:tcW w:w="1792" w:type="dxa"/>
                  <w:vAlign w:val="center"/>
                </w:tcPr>
                <w:p w14:paraId="01A29EC0">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4.43E-04</w:t>
                  </w:r>
                </w:p>
              </w:tc>
            </w:tr>
            <w:tr w14:paraId="7D18D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41" w:type="dxa"/>
                  <w:vMerge w:val="continue"/>
                  <w:vAlign w:val="center"/>
                </w:tcPr>
                <w:p w14:paraId="7BD9EF07">
                  <w:pPr>
                    <w:pStyle w:val="32"/>
                    <w:snapToGrid w:val="0"/>
                    <w:jc w:val="center"/>
                    <w:rPr>
                      <w:rFonts w:hint="default" w:ascii="Times New Roman" w:hAnsi="Times New Roman" w:cs="Times New Roman"/>
                      <w:bCs/>
                      <w:color w:val="auto"/>
                      <w:sz w:val="21"/>
                      <w:szCs w:val="21"/>
                      <w:highlight w:val="none"/>
                    </w:rPr>
                  </w:pPr>
                </w:p>
              </w:tc>
              <w:tc>
                <w:tcPr>
                  <w:tcW w:w="2729" w:type="dxa"/>
                  <w:vMerge w:val="continue"/>
                  <w:shd w:val="clear" w:color="auto" w:fill="auto"/>
                  <w:vAlign w:val="center"/>
                </w:tcPr>
                <w:p w14:paraId="5ACF4B35">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1060" w:type="dxa"/>
                  <w:shd w:val="clear" w:color="auto" w:fill="auto"/>
                  <w:vAlign w:val="center"/>
                </w:tcPr>
                <w:p w14:paraId="7FB4BF31">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1164" w:type="dxa"/>
                  <w:vMerge w:val="continue"/>
                  <w:vAlign w:val="center"/>
                </w:tcPr>
                <w:p w14:paraId="6F69973E">
                  <w:pPr>
                    <w:widowControl/>
                    <w:adjustRightInd w:val="0"/>
                    <w:snapToGrid w:val="0"/>
                    <w:jc w:val="center"/>
                    <w:textAlignment w:val="center"/>
                    <w:rPr>
                      <w:rFonts w:hint="default" w:ascii="Times New Roman" w:hAnsi="Times New Roman" w:cs="Times New Roman"/>
                      <w:bCs/>
                      <w:color w:val="auto"/>
                      <w:sz w:val="21"/>
                      <w:szCs w:val="21"/>
                      <w:highlight w:val="none"/>
                    </w:rPr>
                  </w:pPr>
                </w:p>
              </w:tc>
              <w:tc>
                <w:tcPr>
                  <w:tcW w:w="3162" w:type="dxa"/>
                  <w:vMerge w:val="continue"/>
                  <w:vAlign w:val="center"/>
                </w:tcPr>
                <w:p w14:paraId="6F4617D2">
                  <w:pPr>
                    <w:pStyle w:val="32"/>
                    <w:snapToGrid w:val="0"/>
                    <w:jc w:val="center"/>
                    <w:rPr>
                      <w:rFonts w:hint="default" w:ascii="Times New Roman" w:hAnsi="Times New Roman" w:cs="Times New Roman"/>
                      <w:bCs/>
                      <w:color w:val="auto"/>
                      <w:sz w:val="21"/>
                      <w:szCs w:val="21"/>
                      <w:highlight w:val="none"/>
                    </w:rPr>
                  </w:pPr>
                </w:p>
              </w:tc>
              <w:tc>
                <w:tcPr>
                  <w:tcW w:w="1260" w:type="dxa"/>
                  <w:vMerge w:val="continue"/>
                  <w:vAlign w:val="center"/>
                </w:tcPr>
                <w:p w14:paraId="6935E40D">
                  <w:pPr>
                    <w:pStyle w:val="32"/>
                    <w:snapToGrid w:val="0"/>
                    <w:jc w:val="center"/>
                    <w:rPr>
                      <w:rFonts w:hint="default" w:ascii="Times New Roman" w:hAnsi="Times New Roman" w:cs="Times New Roman"/>
                      <w:bCs/>
                      <w:color w:val="auto"/>
                      <w:sz w:val="21"/>
                      <w:szCs w:val="21"/>
                      <w:highlight w:val="none"/>
                    </w:rPr>
                  </w:pPr>
                </w:p>
              </w:tc>
              <w:tc>
                <w:tcPr>
                  <w:tcW w:w="1788" w:type="dxa"/>
                  <w:shd w:val="clear" w:color="auto" w:fill="auto"/>
                  <w:vAlign w:val="center"/>
                </w:tcPr>
                <w:p w14:paraId="22DC9A04">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4.14E-05</w:t>
                  </w:r>
                </w:p>
              </w:tc>
              <w:tc>
                <w:tcPr>
                  <w:tcW w:w="1792" w:type="dxa"/>
                  <w:vAlign w:val="center"/>
                </w:tcPr>
                <w:p w14:paraId="0FC76C04">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2.31E-03</w:t>
                  </w:r>
                </w:p>
              </w:tc>
            </w:tr>
            <w:tr w14:paraId="56BB7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41" w:type="dxa"/>
                  <w:vMerge w:val="restart"/>
                  <w:vAlign w:val="center"/>
                </w:tcPr>
                <w:p w14:paraId="161A62C3">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11</w:t>
                  </w:r>
                </w:p>
              </w:tc>
              <w:tc>
                <w:tcPr>
                  <w:tcW w:w="2729" w:type="dxa"/>
                  <w:vMerge w:val="restart"/>
                  <w:shd w:val="clear" w:color="auto" w:fill="auto"/>
                  <w:vAlign w:val="center"/>
                </w:tcPr>
                <w:p w14:paraId="0171F9BA">
                  <w:pPr>
                    <w:widowControl/>
                    <w:adjustRightInd w:val="0"/>
                    <w:snapToGrid w:val="0"/>
                    <w:jc w:val="center"/>
                    <w:textAlignment w:val="center"/>
                    <w:rPr>
                      <w:rStyle w:val="67"/>
                      <w:rFonts w:hint="default" w:ascii="Times New Roman" w:hAnsi="Times New Roman" w:eastAsia="宋体" w:cs="Times New Roman"/>
                      <w:bCs/>
                      <w:color w:val="auto"/>
                      <w:sz w:val="21"/>
                      <w:szCs w:val="21"/>
                      <w:highlight w:val="none"/>
                      <w:lang w:val="en-US" w:eastAsia="zh-CN" w:bidi="ar"/>
                    </w:rPr>
                  </w:pPr>
                  <w:r>
                    <w:rPr>
                      <w:rStyle w:val="67"/>
                      <w:rFonts w:hint="eastAsia" w:ascii="Times New Roman" w:hAnsi="Times New Roman" w:cs="Times New Roman"/>
                      <w:bCs/>
                      <w:color w:val="auto"/>
                      <w:sz w:val="21"/>
                      <w:szCs w:val="21"/>
                      <w:highlight w:val="none"/>
                      <w:lang w:val="en-US" w:eastAsia="zh-CN" w:bidi="ar"/>
                    </w:rPr>
                    <w:t>设备间屏蔽墙30cm处</w:t>
                  </w:r>
                </w:p>
              </w:tc>
              <w:tc>
                <w:tcPr>
                  <w:tcW w:w="1060" w:type="dxa"/>
                  <w:shd w:val="clear" w:color="auto" w:fill="auto"/>
                  <w:vAlign w:val="center"/>
                </w:tcPr>
                <w:p w14:paraId="3CD021F2">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1164" w:type="dxa"/>
                  <w:vMerge w:val="restart"/>
                  <w:vAlign w:val="center"/>
                </w:tcPr>
                <w:p w14:paraId="148F37D6">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5.4</w:t>
                  </w:r>
                </w:p>
              </w:tc>
              <w:tc>
                <w:tcPr>
                  <w:tcW w:w="3162" w:type="dxa"/>
                  <w:vMerge w:val="restart"/>
                  <w:vAlign w:val="center"/>
                </w:tcPr>
                <w:p w14:paraId="4D761C06">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200</w:t>
                  </w:r>
                  <w:r>
                    <w:rPr>
                      <w:rFonts w:hint="default" w:ascii="Times New Roman" w:hAnsi="Times New Roman" w:cs="Times New Roman"/>
                      <w:color w:val="auto"/>
                      <w:sz w:val="21"/>
                      <w:szCs w:val="21"/>
                      <w:highlight w:val="none"/>
                      <w:lang w:val="en-US" w:eastAsia="zh-CN"/>
                    </w:rPr>
                    <w:t>mm厚实心砖砌体+22mm复合射线防护板</w:t>
                  </w:r>
                </w:p>
              </w:tc>
              <w:tc>
                <w:tcPr>
                  <w:tcW w:w="1260" w:type="dxa"/>
                  <w:vMerge w:val="restart"/>
                  <w:vAlign w:val="center"/>
                </w:tcPr>
                <w:p w14:paraId="5BD5E71E">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w:t>
                  </w:r>
                </w:p>
              </w:tc>
              <w:tc>
                <w:tcPr>
                  <w:tcW w:w="1788" w:type="dxa"/>
                  <w:shd w:val="clear" w:color="auto" w:fill="auto"/>
                  <w:vAlign w:val="center"/>
                </w:tcPr>
                <w:p w14:paraId="705BA4B7">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2.76E-08</w:t>
                  </w:r>
                </w:p>
              </w:tc>
              <w:tc>
                <w:tcPr>
                  <w:tcW w:w="1792" w:type="dxa"/>
                  <w:vAlign w:val="center"/>
                </w:tcPr>
                <w:p w14:paraId="41D94B7A">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1.60E-06</w:t>
                  </w:r>
                </w:p>
              </w:tc>
            </w:tr>
            <w:tr w14:paraId="4E515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41" w:type="dxa"/>
                  <w:vMerge w:val="continue"/>
                  <w:vAlign w:val="center"/>
                </w:tcPr>
                <w:p w14:paraId="00283863">
                  <w:pPr>
                    <w:pStyle w:val="32"/>
                    <w:snapToGrid w:val="0"/>
                    <w:jc w:val="center"/>
                    <w:rPr>
                      <w:rFonts w:hint="default" w:ascii="Times New Roman" w:hAnsi="Times New Roman" w:cs="Times New Roman"/>
                      <w:bCs/>
                      <w:color w:val="auto"/>
                      <w:sz w:val="21"/>
                      <w:szCs w:val="21"/>
                      <w:highlight w:val="none"/>
                    </w:rPr>
                  </w:pPr>
                </w:p>
              </w:tc>
              <w:tc>
                <w:tcPr>
                  <w:tcW w:w="2729" w:type="dxa"/>
                  <w:vMerge w:val="continue"/>
                  <w:shd w:val="clear" w:color="auto" w:fill="auto"/>
                  <w:vAlign w:val="center"/>
                </w:tcPr>
                <w:p w14:paraId="663697D5">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1060" w:type="dxa"/>
                  <w:shd w:val="clear" w:color="auto" w:fill="auto"/>
                  <w:vAlign w:val="center"/>
                </w:tcPr>
                <w:p w14:paraId="2E1B6C77">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1164" w:type="dxa"/>
                  <w:vMerge w:val="continue"/>
                  <w:vAlign w:val="center"/>
                </w:tcPr>
                <w:p w14:paraId="3178A805">
                  <w:pPr>
                    <w:widowControl/>
                    <w:adjustRightInd w:val="0"/>
                    <w:snapToGrid w:val="0"/>
                    <w:jc w:val="center"/>
                    <w:textAlignment w:val="center"/>
                    <w:rPr>
                      <w:rFonts w:hint="default" w:ascii="Times New Roman" w:hAnsi="Times New Roman" w:cs="Times New Roman"/>
                      <w:bCs/>
                      <w:color w:val="auto"/>
                      <w:sz w:val="21"/>
                      <w:szCs w:val="21"/>
                      <w:highlight w:val="none"/>
                    </w:rPr>
                  </w:pPr>
                </w:p>
              </w:tc>
              <w:tc>
                <w:tcPr>
                  <w:tcW w:w="3162" w:type="dxa"/>
                  <w:vMerge w:val="continue"/>
                  <w:vAlign w:val="center"/>
                </w:tcPr>
                <w:p w14:paraId="6D5A97A9">
                  <w:pPr>
                    <w:pStyle w:val="32"/>
                    <w:snapToGrid w:val="0"/>
                    <w:jc w:val="center"/>
                    <w:rPr>
                      <w:rFonts w:hint="default" w:ascii="Times New Roman" w:hAnsi="Times New Roman" w:cs="Times New Roman"/>
                      <w:bCs/>
                      <w:color w:val="auto"/>
                      <w:sz w:val="21"/>
                      <w:szCs w:val="21"/>
                      <w:highlight w:val="none"/>
                    </w:rPr>
                  </w:pPr>
                </w:p>
              </w:tc>
              <w:tc>
                <w:tcPr>
                  <w:tcW w:w="1260" w:type="dxa"/>
                  <w:vMerge w:val="continue"/>
                  <w:vAlign w:val="center"/>
                </w:tcPr>
                <w:p w14:paraId="02620F2D">
                  <w:pPr>
                    <w:pStyle w:val="32"/>
                    <w:snapToGrid w:val="0"/>
                    <w:jc w:val="center"/>
                    <w:rPr>
                      <w:rFonts w:hint="default" w:ascii="Times New Roman" w:hAnsi="Times New Roman" w:cs="Times New Roman"/>
                      <w:bCs/>
                      <w:color w:val="auto"/>
                      <w:sz w:val="21"/>
                      <w:szCs w:val="21"/>
                      <w:highlight w:val="none"/>
                    </w:rPr>
                  </w:pPr>
                </w:p>
              </w:tc>
              <w:tc>
                <w:tcPr>
                  <w:tcW w:w="1788" w:type="dxa"/>
                  <w:shd w:val="clear" w:color="auto" w:fill="auto"/>
                  <w:vAlign w:val="center"/>
                </w:tcPr>
                <w:p w14:paraId="3199D1EF">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4.09E-07</w:t>
                  </w:r>
                </w:p>
              </w:tc>
              <w:tc>
                <w:tcPr>
                  <w:tcW w:w="1792" w:type="dxa"/>
                  <w:vAlign w:val="center"/>
                </w:tcPr>
                <w:p w14:paraId="3476F028">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2.37E-05</w:t>
                  </w:r>
                </w:p>
              </w:tc>
            </w:tr>
            <w:tr w14:paraId="06FF1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41" w:type="dxa"/>
                  <w:vMerge w:val="restart"/>
                  <w:vAlign w:val="center"/>
                </w:tcPr>
                <w:p w14:paraId="7C4DF3B5">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12</w:t>
                  </w:r>
                </w:p>
              </w:tc>
              <w:tc>
                <w:tcPr>
                  <w:tcW w:w="2729" w:type="dxa"/>
                  <w:vMerge w:val="restart"/>
                  <w:shd w:val="clear" w:color="auto" w:fill="auto"/>
                  <w:vAlign w:val="center"/>
                </w:tcPr>
                <w:p w14:paraId="4F3BCA51">
                  <w:pPr>
                    <w:widowControl/>
                    <w:adjustRightInd w:val="0"/>
                    <w:snapToGrid w:val="0"/>
                    <w:jc w:val="center"/>
                    <w:textAlignment w:val="center"/>
                    <w:rPr>
                      <w:rStyle w:val="67"/>
                      <w:rFonts w:hint="default" w:ascii="Times New Roman" w:hAnsi="Times New Roman" w:eastAsia="宋体" w:cs="Times New Roman"/>
                      <w:bCs/>
                      <w:color w:val="auto"/>
                      <w:sz w:val="21"/>
                      <w:szCs w:val="21"/>
                      <w:highlight w:val="none"/>
                      <w:lang w:val="en-US" w:eastAsia="zh-CN" w:bidi="ar"/>
                    </w:rPr>
                  </w:pPr>
                  <w:r>
                    <w:rPr>
                      <w:rStyle w:val="67"/>
                      <w:rFonts w:hint="eastAsia" w:ascii="Times New Roman" w:hAnsi="Times New Roman" w:cs="Times New Roman"/>
                      <w:bCs/>
                      <w:color w:val="auto"/>
                      <w:sz w:val="21"/>
                      <w:szCs w:val="21"/>
                      <w:highlight w:val="none"/>
                      <w:lang w:val="en-US" w:eastAsia="zh-CN" w:bidi="ar"/>
                    </w:rPr>
                    <w:t>设备间平开门30cm处</w:t>
                  </w:r>
                </w:p>
              </w:tc>
              <w:tc>
                <w:tcPr>
                  <w:tcW w:w="1060" w:type="dxa"/>
                  <w:shd w:val="clear" w:color="auto" w:fill="auto"/>
                  <w:vAlign w:val="center"/>
                </w:tcPr>
                <w:p w14:paraId="3B95C851">
                  <w:pPr>
                    <w:pStyle w:val="32"/>
                    <w:snapToGrid w:val="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透视</w:t>
                  </w:r>
                </w:p>
              </w:tc>
              <w:tc>
                <w:tcPr>
                  <w:tcW w:w="1164" w:type="dxa"/>
                  <w:vMerge w:val="restart"/>
                  <w:vAlign w:val="center"/>
                </w:tcPr>
                <w:p w14:paraId="0732089B">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5.5</w:t>
                  </w:r>
                </w:p>
              </w:tc>
              <w:tc>
                <w:tcPr>
                  <w:tcW w:w="3162" w:type="dxa"/>
                  <w:vMerge w:val="restart"/>
                  <w:vAlign w:val="center"/>
                </w:tcPr>
                <w:p w14:paraId="45D14DF2">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3mmPb铅防护门</w:t>
                  </w:r>
                </w:p>
              </w:tc>
              <w:tc>
                <w:tcPr>
                  <w:tcW w:w="1260" w:type="dxa"/>
                  <w:vMerge w:val="restart"/>
                  <w:vAlign w:val="center"/>
                </w:tcPr>
                <w:p w14:paraId="1B8D370A">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w:t>
                  </w:r>
                </w:p>
              </w:tc>
              <w:tc>
                <w:tcPr>
                  <w:tcW w:w="1788" w:type="dxa"/>
                  <w:shd w:val="clear" w:color="auto" w:fill="auto"/>
                  <w:vAlign w:val="center"/>
                </w:tcPr>
                <w:p w14:paraId="1DD15E99">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7.93E-06</w:t>
                  </w:r>
                </w:p>
              </w:tc>
              <w:tc>
                <w:tcPr>
                  <w:tcW w:w="1792" w:type="dxa"/>
                  <w:vAlign w:val="center"/>
                </w:tcPr>
                <w:p w14:paraId="64780982">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4.43E-04</w:t>
                  </w:r>
                </w:p>
              </w:tc>
            </w:tr>
            <w:tr w14:paraId="727BE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41" w:type="dxa"/>
                  <w:vMerge w:val="continue"/>
                  <w:vAlign w:val="center"/>
                </w:tcPr>
                <w:p w14:paraId="5FA34691">
                  <w:pPr>
                    <w:pStyle w:val="32"/>
                    <w:snapToGrid w:val="0"/>
                    <w:jc w:val="center"/>
                    <w:rPr>
                      <w:rFonts w:hint="default" w:ascii="Times New Roman" w:hAnsi="Times New Roman" w:cs="Times New Roman"/>
                      <w:bCs/>
                      <w:color w:val="auto"/>
                      <w:sz w:val="21"/>
                      <w:szCs w:val="21"/>
                      <w:highlight w:val="none"/>
                    </w:rPr>
                  </w:pPr>
                </w:p>
              </w:tc>
              <w:tc>
                <w:tcPr>
                  <w:tcW w:w="2729" w:type="dxa"/>
                  <w:vMerge w:val="continue"/>
                  <w:shd w:val="clear" w:color="auto" w:fill="auto"/>
                  <w:vAlign w:val="center"/>
                </w:tcPr>
                <w:p w14:paraId="2A426C1F">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1060" w:type="dxa"/>
                  <w:shd w:val="clear" w:color="auto" w:fill="auto"/>
                  <w:vAlign w:val="center"/>
                </w:tcPr>
                <w:p w14:paraId="2C121C73">
                  <w:pPr>
                    <w:pStyle w:val="32"/>
                    <w:snapToGrid w:val="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拍片</w:t>
                  </w:r>
                </w:p>
              </w:tc>
              <w:tc>
                <w:tcPr>
                  <w:tcW w:w="1164" w:type="dxa"/>
                  <w:vMerge w:val="continue"/>
                  <w:vAlign w:val="center"/>
                </w:tcPr>
                <w:p w14:paraId="28C13B57">
                  <w:pPr>
                    <w:widowControl/>
                    <w:adjustRightInd w:val="0"/>
                    <w:snapToGrid w:val="0"/>
                    <w:jc w:val="center"/>
                    <w:textAlignment w:val="center"/>
                    <w:rPr>
                      <w:rFonts w:hint="default" w:ascii="Times New Roman" w:hAnsi="Times New Roman" w:cs="Times New Roman"/>
                      <w:bCs/>
                      <w:color w:val="auto"/>
                      <w:sz w:val="21"/>
                      <w:szCs w:val="21"/>
                      <w:highlight w:val="none"/>
                    </w:rPr>
                  </w:pPr>
                </w:p>
              </w:tc>
              <w:tc>
                <w:tcPr>
                  <w:tcW w:w="3162" w:type="dxa"/>
                  <w:vMerge w:val="continue"/>
                  <w:vAlign w:val="center"/>
                </w:tcPr>
                <w:p w14:paraId="1CC513F3">
                  <w:pPr>
                    <w:pStyle w:val="32"/>
                    <w:snapToGrid w:val="0"/>
                    <w:jc w:val="center"/>
                    <w:rPr>
                      <w:rFonts w:hint="default" w:ascii="Times New Roman" w:hAnsi="Times New Roman" w:cs="Times New Roman"/>
                      <w:bCs/>
                      <w:color w:val="auto"/>
                      <w:sz w:val="21"/>
                      <w:szCs w:val="21"/>
                      <w:highlight w:val="none"/>
                    </w:rPr>
                  </w:pPr>
                </w:p>
              </w:tc>
              <w:tc>
                <w:tcPr>
                  <w:tcW w:w="1260" w:type="dxa"/>
                  <w:vMerge w:val="continue"/>
                  <w:vAlign w:val="center"/>
                </w:tcPr>
                <w:p w14:paraId="7A2D4887">
                  <w:pPr>
                    <w:pStyle w:val="32"/>
                    <w:snapToGrid w:val="0"/>
                    <w:jc w:val="center"/>
                    <w:rPr>
                      <w:rFonts w:hint="default" w:ascii="Times New Roman" w:hAnsi="Times New Roman" w:cs="Times New Roman"/>
                      <w:bCs/>
                      <w:color w:val="auto"/>
                      <w:sz w:val="21"/>
                      <w:szCs w:val="21"/>
                      <w:highlight w:val="none"/>
                    </w:rPr>
                  </w:pPr>
                </w:p>
              </w:tc>
              <w:tc>
                <w:tcPr>
                  <w:tcW w:w="1788" w:type="dxa"/>
                  <w:shd w:val="clear" w:color="auto" w:fill="auto"/>
                  <w:vAlign w:val="center"/>
                </w:tcPr>
                <w:p w14:paraId="76673749">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4.14E-05</w:t>
                  </w:r>
                </w:p>
              </w:tc>
              <w:tc>
                <w:tcPr>
                  <w:tcW w:w="1792" w:type="dxa"/>
                  <w:vAlign w:val="center"/>
                </w:tcPr>
                <w:p w14:paraId="1116CE78">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2.31E-03</w:t>
                  </w:r>
                </w:p>
              </w:tc>
            </w:tr>
            <w:tr w14:paraId="5F472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41" w:type="dxa"/>
                  <w:vMerge w:val="restart"/>
                  <w:shd w:val="clear" w:color="auto" w:fill="auto"/>
                  <w:vAlign w:val="center"/>
                </w:tcPr>
                <w:p w14:paraId="630AB2EA">
                  <w:pPr>
                    <w:pStyle w:val="32"/>
                    <w:snapToGrid w:val="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13</w:t>
                  </w:r>
                </w:p>
                <w:p w14:paraId="7F91BEE2">
                  <w:pPr>
                    <w:pStyle w:val="32"/>
                    <w:snapToGrid w:val="0"/>
                    <w:jc w:val="center"/>
                    <w:rPr>
                      <w:rFonts w:hint="default" w:ascii="Times New Roman" w:hAnsi="Times New Roman" w:cs="Times New Roman"/>
                      <w:bCs/>
                      <w:color w:val="auto"/>
                      <w:sz w:val="21"/>
                      <w:szCs w:val="21"/>
                      <w:highlight w:val="none"/>
                    </w:rPr>
                  </w:pPr>
                </w:p>
              </w:tc>
              <w:tc>
                <w:tcPr>
                  <w:tcW w:w="2729" w:type="dxa"/>
                  <w:vMerge w:val="restart"/>
                  <w:shd w:val="clear" w:color="auto" w:fill="auto"/>
                  <w:vAlign w:val="center"/>
                </w:tcPr>
                <w:p w14:paraId="60659725">
                  <w:pPr>
                    <w:widowControl/>
                    <w:adjustRightInd w:val="0"/>
                    <w:snapToGrid w:val="0"/>
                    <w:jc w:val="center"/>
                    <w:textAlignment w:val="center"/>
                    <w:rPr>
                      <w:rFonts w:hint="default" w:ascii="Times New Roman" w:hAnsi="Times New Roman" w:eastAsia="宋体" w:cs="Times New Roman"/>
                      <w:bCs/>
                      <w:color w:val="auto"/>
                      <w:kern w:val="2"/>
                      <w:sz w:val="21"/>
                      <w:szCs w:val="21"/>
                      <w:highlight w:val="none"/>
                      <w:u w:val="none"/>
                      <w:lang w:val="en-US" w:eastAsia="zh-CN" w:bidi="ar"/>
                    </w:rPr>
                  </w:pPr>
                  <w:r>
                    <w:rPr>
                      <w:rStyle w:val="67"/>
                      <w:rFonts w:hint="eastAsia" w:ascii="Times New Roman" w:hAnsi="Times New Roman" w:cs="Times New Roman"/>
                      <w:bCs/>
                      <w:color w:val="auto"/>
                      <w:sz w:val="21"/>
                      <w:szCs w:val="21"/>
                      <w:highlight w:val="none"/>
                      <w:lang w:val="en-US" w:eastAsia="zh-CN" w:bidi="ar"/>
                    </w:rPr>
                    <w:t>DSA机头楼下30cm处</w:t>
                  </w:r>
                </w:p>
                <w:p w14:paraId="264AB051">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1060" w:type="dxa"/>
                  <w:shd w:val="clear" w:color="auto" w:fill="auto"/>
                  <w:vAlign w:val="center"/>
                </w:tcPr>
                <w:p w14:paraId="43C8016B">
                  <w:pPr>
                    <w:pStyle w:val="32"/>
                    <w:snapToGrid w:val="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透视</w:t>
                  </w:r>
                </w:p>
              </w:tc>
              <w:tc>
                <w:tcPr>
                  <w:tcW w:w="1164" w:type="dxa"/>
                  <w:vMerge w:val="restart"/>
                  <w:vAlign w:val="center"/>
                </w:tcPr>
                <w:p w14:paraId="1B3C55D3">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0.85</w:t>
                  </w:r>
                </w:p>
              </w:tc>
              <w:tc>
                <w:tcPr>
                  <w:tcW w:w="3162" w:type="dxa"/>
                  <w:vMerge w:val="restart"/>
                  <w:vAlign w:val="center"/>
                </w:tcPr>
                <w:p w14:paraId="06230153">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150mm混凝土+45mm硫酸钡水泥</w:t>
                  </w:r>
                </w:p>
              </w:tc>
              <w:tc>
                <w:tcPr>
                  <w:tcW w:w="1260" w:type="dxa"/>
                  <w:vMerge w:val="restart"/>
                  <w:vAlign w:val="center"/>
                </w:tcPr>
                <w:p w14:paraId="3A25F666">
                  <w:pPr>
                    <w:pStyle w:val="32"/>
                    <w:snapToGrid w:val="0"/>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1788" w:type="dxa"/>
                  <w:shd w:val="clear" w:color="auto" w:fill="auto"/>
                  <w:vAlign w:val="center"/>
                </w:tcPr>
                <w:p w14:paraId="2C10C0DC">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6.06E-09</w:t>
                  </w:r>
                </w:p>
              </w:tc>
              <w:tc>
                <w:tcPr>
                  <w:tcW w:w="1792" w:type="dxa"/>
                  <w:vAlign w:val="center"/>
                </w:tcPr>
                <w:p w14:paraId="4BFDD36E">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1.42E-05</w:t>
                  </w:r>
                </w:p>
              </w:tc>
            </w:tr>
            <w:tr w14:paraId="49026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41" w:type="dxa"/>
                  <w:vMerge w:val="continue"/>
                  <w:vAlign w:val="center"/>
                </w:tcPr>
                <w:p w14:paraId="6CC97242">
                  <w:pPr>
                    <w:pStyle w:val="32"/>
                    <w:snapToGrid w:val="0"/>
                    <w:jc w:val="center"/>
                    <w:rPr>
                      <w:rFonts w:hint="default" w:ascii="Times New Roman" w:hAnsi="Times New Roman" w:cs="Times New Roman"/>
                      <w:bCs/>
                      <w:color w:val="auto"/>
                      <w:sz w:val="21"/>
                      <w:szCs w:val="21"/>
                      <w:highlight w:val="none"/>
                    </w:rPr>
                  </w:pPr>
                </w:p>
              </w:tc>
              <w:tc>
                <w:tcPr>
                  <w:tcW w:w="2729" w:type="dxa"/>
                  <w:vMerge w:val="continue"/>
                  <w:shd w:val="clear" w:color="auto" w:fill="auto"/>
                  <w:vAlign w:val="center"/>
                </w:tcPr>
                <w:p w14:paraId="503ACE0C">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1060" w:type="dxa"/>
                  <w:shd w:val="clear" w:color="auto" w:fill="auto"/>
                  <w:vAlign w:val="center"/>
                </w:tcPr>
                <w:p w14:paraId="12764BFB">
                  <w:pPr>
                    <w:pStyle w:val="32"/>
                    <w:snapToGrid w:val="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拍片</w:t>
                  </w:r>
                </w:p>
              </w:tc>
              <w:tc>
                <w:tcPr>
                  <w:tcW w:w="1164" w:type="dxa"/>
                  <w:vMerge w:val="continue"/>
                  <w:vAlign w:val="center"/>
                </w:tcPr>
                <w:p w14:paraId="1D5E87DB">
                  <w:pPr>
                    <w:widowControl/>
                    <w:adjustRightInd w:val="0"/>
                    <w:snapToGrid w:val="0"/>
                    <w:jc w:val="center"/>
                    <w:textAlignment w:val="center"/>
                    <w:rPr>
                      <w:rFonts w:hint="default" w:ascii="Times New Roman" w:hAnsi="Times New Roman" w:cs="Times New Roman"/>
                      <w:bCs/>
                      <w:color w:val="auto"/>
                      <w:sz w:val="21"/>
                      <w:szCs w:val="21"/>
                      <w:highlight w:val="none"/>
                    </w:rPr>
                  </w:pPr>
                </w:p>
              </w:tc>
              <w:tc>
                <w:tcPr>
                  <w:tcW w:w="3162" w:type="dxa"/>
                  <w:vMerge w:val="continue"/>
                  <w:vAlign w:val="center"/>
                </w:tcPr>
                <w:p w14:paraId="1A08AF04">
                  <w:pPr>
                    <w:pStyle w:val="32"/>
                    <w:snapToGrid w:val="0"/>
                    <w:jc w:val="center"/>
                    <w:rPr>
                      <w:rFonts w:hint="default" w:ascii="Times New Roman" w:hAnsi="Times New Roman" w:cs="Times New Roman"/>
                      <w:bCs/>
                      <w:color w:val="auto"/>
                      <w:sz w:val="21"/>
                      <w:szCs w:val="21"/>
                      <w:highlight w:val="none"/>
                    </w:rPr>
                  </w:pPr>
                </w:p>
              </w:tc>
              <w:tc>
                <w:tcPr>
                  <w:tcW w:w="1260" w:type="dxa"/>
                  <w:vMerge w:val="continue"/>
                  <w:vAlign w:val="center"/>
                </w:tcPr>
                <w:p w14:paraId="0399C82C">
                  <w:pPr>
                    <w:pStyle w:val="32"/>
                    <w:snapToGrid w:val="0"/>
                    <w:jc w:val="center"/>
                    <w:rPr>
                      <w:rFonts w:hint="default" w:ascii="Times New Roman" w:hAnsi="Times New Roman" w:cs="Times New Roman"/>
                      <w:bCs/>
                      <w:color w:val="auto"/>
                      <w:sz w:val="21"/>
                      <w:szCs w:val="21"/>
                      <w:highlight w:val="none"/>
                    </w:rPr>
                  </w:pPr>
                </w:p>
              </w:tc>
              <w:tc>
                <w:tcPr>
                  <w:tcW w:w="1788" w:type="dxa"/>
                  <w:shd w:val="clear" w:color="auto" w:fill="auto"/>
                  <w:vAlign w:val="center"/>
                </w:tcPr>
                <w:p w14:paraId="59023703">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1.19E-07</w:t>
                  </w:r>
                </w:p>
              </w:tc>
              <w:tc>
                <w:tcPr>
                  <w:tcW w:w="1792" w:type="dxa"/>
                  <w:vAlign w:val="center"/>
                </w:tcPr>
                <w:p w14:paraId="0D12768D">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2.78E-04</w:t>
                  </w:r>
                </w:p>
              </w:tc>
            </w:tr>
          </w:tbl>
          <w:p w14:paraId="6ABDA91F">
            <w:pPr>
              <w:pStyle w:val="32"/>
              <w:snapToGrid w:val="0"/>
              <w:jc w:val="both"/>
              <w:rPr>
                <w:rFonts w:hint="default" w:ascii="Times New Roman" w:hAnsi="Times New Roman" w:cs="Times New Roman"/>
                <w:color w:val="auto"/>
                <w:highlight w:val="none"/>
              </w:rPr>
            </w:pPr>
            <w:r>
              <w:rPr>
                <w:rFonts w:hint="default" w:ascii="Times New Roman" w:hAnsi="Times New Roman" w:cs="Times New Roman"/>
                <w:b/>
                <w:bCs/>
                <w:color w:val="auto"/>
                <w:sz w:val="18"/>
                <w:szCs w:val="18"/>
                <w:highlight w:val="none"/>
              </w:rPr>
              <w:t>注：根据《外照射放射防护剂量转换系数标准》（WS/T830-2024）表G.1中100kV下空气比释动能到周围剂量当量的转换系数为1.65;</w:t>
            </w:r>
            <w:r>
              <w:rPr>
                <w:rFonts w:hint="eastAsia" w:ascii="Times New Roman" w:hAnsi="Times New Roman" w:cs="Times New Roman"/>
                <w:b/>
                <w:bCs/>
                <w:color w:val="auto"/>
                <w:sz w:val="18"/>
                <w:szCs w:val="18"/>
                <w:highlight w:val="none"/>
                <w:lang w:val="en-US" w:eastAsia="zh-CN"/>
              </w:rPr>
              <w:t>9</w:t>
            </w:r>
            <w:r>
              <w:rPr>
                <w:rFonts w:hint="default" w:ascii="Times New Roman" w:hAnsi="Times New Roman" w:cs="Times New Roman"/>
                <w:b/>
                <w:bCs/>
                <w:color w:val="auto"/>
                <w:sz w:val="18"/>
                <w:szCs w:val="18"/>
                <w:highlight w:val="none"/>
              </w:rPr>
              <w:t>0kV下空气比释动能到周围剂量当量的转换系数为1.</w:t>
            </w:r>
            <w:r>
              <w:rPr>
                <w:rFonts w:hint="eastAsia" w:ascii="Times New Roman" w:hAnsi="Times New Roman" w:cs="Times New Roman"/>
                <w:b/>
                <w:bCs/>
                <w:color w:val="auto"/>
                <w:sz w:val="18"/>
                <w:szCs w:val="18"/>
                <w:highlight w:val="none"/>
                <w:lang w:val="en-US" w:eastAsia="zh-CN"/>
              </w:rPr>
              <w:t>69</w:t>
            </w:r>
            <w:r>
              <w:rPr>
                <w:rFonts w:hint="default" w:ascii="Times New Roman" w:hAnsi="Times New Roman" w:cs="Times New Roman"/>
                <w:b/>
                <w:bCs/>
                <w:color w:val="auto"/>
                <w:sz w:val="18"/>
                <w:szCs w:val="18"/>
                <w:highlight w:val="none"/>
              </w:rPr>
              <w:t>；</w:t>
            </w:r>
          </w:p>
          <w:p w14:paraId="0BBDB7B6">
            <w:pPr>
              <w:pStyle w:val="34"/>
              <w:rPr>
                <w:rFonts w:hint="default" w:ascii="Times New Roman" w:hAnsi="Times New Roman" w:cs="Times New Roman"/>
                <w:b/>
                <w:bCs/>
                <w:color w:val="auto"/>
                <w:sz w:val="18"/>
                <w:szCs w:val="18"/>
                <w:highlight w:val="none"/>
              </w:rPr>
            </w:pPr>
          </w:p>
          <w:p w14:paraId="7394F9C9">
            <w:pPr>
              <w:pStyle w:val="32"/>
              <w:numPr>
                <w:ilvl w:val="0"/>
                <w:numId w:val="22"/>
              </w:numPr>
              <w:snapToGrid w:val="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不同介入诊疗条件下非主射线方向周围剂量当量率估算结果</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散射线</w:t>
            </w:r>
            <w:r>
              <w:rPr>
                <w:rFonts w:hint="default" w:ascii="Times New Roman" w:hAnsi="Times New Roman" w:eastAsia="宋体" w:cs="Times New Roman"/>
                <w:color w:val="auto"/>
                <w:sz w:val="21"/>
                <w:szCs w:val="21"/>
                <w:highlight w:val="none"/>
                <w:lang w:eastAsia="zh-CN"/>
              </w:rPr>
              <w:t>）</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1"/>
              <w:gridCol w:w="2727"/>
              <w:gridCol w:w="1060"/>
              <w:gridCol w:w="1162"/>
              <w:gridCol w:w="3503"/>
              <w:gridCol w:w="918"/>
              <w:gridCol w:w="1788"/>
              <w:gridCol w:w="1789"/>
              <w:gridCol w:w="8"/>
            </w:tblGrid>
            <w:tr w14:paraId="42C8B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3996" w:type="dxa"/>
                  <w:gridSpan w:val="9"/>
                  <w:shd w:val="clear" w:color="auto" w:fill="EBF1DE" w:themeFill="accent3" w:themeFillTint="32"/>
                  <w:vAlign w:val="center"/>
                </w:tcPr>
                <w:p w14:paraId="6CB62455">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DSA机房</w:t>
                  </w:r>
                </w:p>
              </w:tc>
            </w:tr>
            <w:tr w14:paraId="206F3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restart"/>
                  <w:vAlign w:val="center"/>
                </w:tcPr>
                <w:p w14:paraId="00C12707">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关注点</w:t>
                  </w:r>
                </w:p>
              </w:tc>
              <w:tc>
                <w:tcPr>
                  <w:tcW w:w="2727" w:type="dxa"/>
                  <w:vMerge w:val="restart"/>
                  <w:vAlign w:val="center"/>
                </w:tcPr>
                <w:p w14:paraId="7294F17F">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预测点</w:t>
                  </w:r>
                </w:p>
              </w:tc>
              <w:tc>
                <w:tcPr>
                  <w:tcW w:w="1060" w:type="dxa"/>
                  <w:vMerge w:val="restart"/>
                  <w:vAlign w:val="center"/>
                </w:tcPr>
                <w:p w14:paraId="64BB6178">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模式</w:t>
                  </w:r>
                </w:p>
              </w:tc>
              <w:tc>
                <w:tcPr>
                  <w:tcW w:w="1162" w:type="dxa"/>
                  <w:vMerge w:val="restart"/>
                  <w:vAlign w:val="center"/>
                </w:tcPr>
                <w:p w14:paraId="4111C3E9">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距离</w:t>
                  </w:r>
                </w:p>
                <w:p w14:paraId="74E140E7">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（m）</w:t>
                  </w:r>
                </w:p>
              </w:tc>
              <w:tc>
                <w:tcPr>
                  <w:tcW w:w="3503" w:type="dxa"/>
                  <w:vMerge w:val="restart"/>
                  <w:vAlign w:val="center"/>
                </w:tcPr>
                <w:p w14:paraId="68B920B7">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屏蔽材料</w:t>
                  </w:r>
                </w:p>
              </w:tc>
              <w:tc>
                <w:tcPr>
                  <w:tcW w:w="918" w:type="dxa"/>
                  <w:vMerge w:val="restart"/>
                  <w:vAlign w:val="center"/>
                </w:tcPr>
                <w:p w14:paraId="230897F9">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利用因子</w:t>
                  </w:r>
                </w:p>
              </w:tc>
              <w:tc>
                <w:tcPr>
                  <w:tcW w:w="3577" w:type="dxa"/>
                  <w:gridSpan w:val="2"/>
                  <w:vAlign w:val="center"/>
                </w:tcPr>
                <w:p w14:paraId="312BFF08">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散射线</w:t>
                  </w:r>
                </w:p>
              </w:tc>
            </w:tr>
            <w:tr w14:paraId="4A44F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continue"/>
                  <w:vAlign w:val="center"/>
                </w:tcPr>
                <w:p w14:paraId="12C2E915">
                  <w:pPr>
                    <w:pStyle w:val="32"/>
                    <w:snapToGrid w:val="0"/>
                    <w:jc w:val="center"/>
                    <w:rPr>
                      <w:rFonts w:hint="default" w:ascii="Times New Roman" w:hAnsi="Times New Roman" w:cs="Times New Roman"/>
                      <w:bCs/>
                      <w:color w:val="auto"/>
                      <w:sz w:val="21"/>
                      <w:szCs w:val="21"/>
                      <w:highlight w:val="none"/>
                    </w:rPr>
                  </w:pPr>
                </w:p>
              </w:tc>
              <w:tc>
                <w:tcPr>
                  <w:tcW w:w="2727" w:type="dxa"/>
                  <w:vMerge w:val="continue"/>
                  <w:vAlign w:val="center"/>
                </w:tcPr>
                <w:p w14:paraId="76F5A952">
                  <w:pPr>
                    <w:pStyle w:val="32"/>
                    <w:snapToGrid w:val="0"/>
                    <w:jc w:val="center"/>
                    <w:rPr>
                      <w:rFonts w:hint="default" w:ascii="Times New Roman" w:hAnsi="Times New Roman" w:cs="Times New Roman"/>
                      <w:bCs/>
                      <w:color w:val="auto"/>
                      <w:sz w:val="21"/>
                      <w:szCs w:val="21"/>
                      <w:highlight w:val="none"/>
                    </w:rPr>
                  </w:pPr>
                </w:p>
              </w:tc>
              <w:tc>
                <w:tcPr>
                  <w:tcW w:w="1060" w:type="dxa"/>
                  <w:vMerge w:val="continue"/>
                  <w:vAlign w:val="center"/>
                </w:tcPr>
                <w:p w14:paraId="3744A509">
                  <w:pPr>
                    <w:pStyle w:val="32"/>
                    <w:snapToGrid w:val="0"/>
                    <w:jc w:val="center"/>
                    <w:rPr>
                      <w:rFonts w:hint="default" w:ascii="Times New Roman" w:hAnsi="Times New Roman" w:cs="Times New Roman"/>
                      <w:bCs/>
                      <w:color w:val="auto"/>
                      <w:sz w:val="21"/>
                      <w:szCs w:val="21"/>
                      <w:highlight w:val="none"/>
                    </w:rPr>
                  </w:pPr>
                </w:p>
              </w:tc>
              <w:tc>
                <w:tcPr>
                  <w:tcW w:w="1162" w:type="dxa"/>
                  <w:vMerge w:val="continue"/>
                  <w:vAlign w:val="center"/>
                </w:tcPr>
                <w:p w14:paraId="541C2745">
                  <w:pPr>
                    <w:pStyle w:val="32"/>
                    <w:snapToGrid w:val="0"/>
                    <w:jc w:val="center"/>
                    <w:rPr>
                      <w:rFonts w:hint="default" w:ascii="Times New Roman" w:hAnsi="Times New Roman" w:cs="Times New Roman"/>
                      <w:bCs/>
                      <w:color w:val="auto"/>
                      <w:sz w:val="21"/>
                      <w:szCs w:val="21"/>
                      <w:highlight w:val="none"/>
                    </w:rPr>
                  </w:pPr>
                </w:p>
              </w:tc>
              <w:tc>
                <w:tcPr>
                  <w:tcW w:w="3503" w:type="dxa"/>
                  <w:vMerge w:val="continue"/>
                  <w:vAlign w:val="center"/>
                </w:tcPr>
                <w:p w14:paraId="760FECC4">
                  <w:pPr>
                    <w:pStyle w:val="32"/>
                    <w:snapToGrid w:val="0"/>
                    <w:jc w:val="center"/>
                    <w:rPr>
                      <w:rFonts w:hint="default" w:ascii="Times New Roman" w:hAnsi="Times New Roman" w:cs="Times New Roman"/>
                      <w:bCs/>
                      <w:color w:val="auto"/>
                      <w:sz w:val="21"/>
                      <w:szCs w:val="21"/>
                      <w:highlight w:val="none"/>
                    </w:rPr>
                  </w:pPr>
                </w:p>
              </w:tc>
              <w:tc>
                <w:tcPr>
                  <w:tcW w:w="918" w:type="dxa"/>
                  <w:vMerge w:val="continue"/>
                  <w:vAlign w:val="center"/>
                </w:tcPr>
                <w:p w14:paraId="3624D1BC">
                  <w:pPr>
                    <w:pStyle w:val="32"/>
                    <w:snapToGrid w:val="0"/>
                    <w:jc w:val="center"/>
                    <w:rPr>
                      <w:rFonts w:hint="default" w:ascii="Times New Roman" w:hAnsi="Times New Roman" w:cs="Times New Roman"/>
                      <w:bCs/>
                      <w:color w:val="auto"/>
                      <w:sz w:val="21"/>
                      <w:szCs w:val="21"/>
                      <w:highlight w:val="none"/>
                    </w:rPr>
                  </w:pPr>
                </w:p>
              </w:tc>
              <w:tc>
                <w:tcPr>
                  <w:tcW w:w="1788" w:type="dxa"/>
                  <w:vAlign w:val="center"/>
                </w:tcPr>
                <w:p w14:paraId="3F9F6D4D">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透射因子</w:t>
                  </w:r>
                </w:p>
              </w:tc>
              <w:tc>
                <w:tcPr>
                  <w:tcW w:w="1789" w:type="dxa"/>
                  <w:vAlign w:val="center"/>
                </w:tcPr>
                <w:p w14:paraId="6D7F3186">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周围剂量当量率(μSv/h)</w:t>
                  </w:r>
                </w:p>
              </w:tc>
            </w:tr>
            <w:tr w14:paraId="172FF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restart"/>
                  <w:vAlign w:val="center"/>
                </w:tcPr>
                <w:p w14:paraId="58E03153">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w:t>
                  </w:r>
                </w:p>
              </w:tc>
              <w:tc>
                <w:tcPr>
                  <w:tcW w:w="2727" w:type="dxa"/>
                  <w:vMerge w:val="restart"/>
                  <w:shd w:val="clear" w:color="auto" w:fill="auto"/>
                  <w:vAlign w:val="center"/>
                </w:tcPr>
                <w:p w14:paraId="57EF3409">
                  <w:pPr>
                    <w:widowControl/>
                    <w:adjustRightInd w:val="0"/>
                    <w:snapToGrid w:val="0"/>
                    <w:jc w:val="center"/>
                    <w:textAlignment w:val="center"/>
                    <w:rPr>
                      <w:rStyle w:val="67"/>
                      <w:rFonts w:hint="default" w:ascii="Times New Roman" w:hAnsi="Times New Roman" w:eastAsia="宋体" w:cs="Times New Roman"/>
                      <w:bCs/>
                      <w:color w:val="auto"/>
                      <w:sz w:val="21"/>
                      <w:szCs w:val="21"/>
                      <w:highlight w:val="none"/>
                      <w:lang w:eastAsia="zh-CN" w:bidi="ar"/>
                    </w:rPr>
                  </w:pPr>
                  <w:r>
                    <w:rPr>
                      <w:rStyle w:val="67"/>
                      <w:rFonts w:hint="eastAsia" w:ascii="Times New Roman" w:hAnsi="Times New Roman" w:cs="Times New Roman"/>
                      <w:bCs/>
                      <w:color w:val="auto"/>
                      <w:sz w:val="21"/>
                      <w:szCs w:val="21"/>
                      <w:highlight w:val="none"/>
                      <w:lang w:val="en-US" w:eastAsia="zh-CN" w:bidi="ar"/>
                    </w:rPr>
                    <w:t>患者卫生间30cm处</w:t>
                  </w:r>
                </w:p>
              </w:tc>
              <w:tc>
                <w:tcPr>
                  <w:tcW w:w="1060" w:type="dxa"/>
                  <w:vAlign w:val="center"/>
                </w:tcPr>
                <w:p w14:paraId="431F5F12">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1162" w:type="dxa"/>
                  <w:vMerge w:val="restart"/>
                  <w:vAlign w:val="center"/>
                </w:tcPr>
                <w:p w14:paraId="4A447243">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4.0</w:t>
                  </w:r>
                </w:p>
              </w:tc>
              <w:tc>
                <w:tcPr>
                  <w:tcW w:w="3503" w:type="dxa"/>
                  <w:vMerge w:val="restart"/>
                  <w:vAlign w:val="center"/>
                </w:tcPr>
                <w:p w14:paraId="4527B594">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200</w:t>
                  </w:r>
                  <w:r>
                    <w:rPr>
                      <w:rFonts w:hint="default" w:ascii="Times New Roman" w:hAnsi="Times New Roman" w:cs="Times New Roman"/>
                      <w:color w:val="auto"/>
                      <w:sz w:val="21"/>
                      <w:szCs w:val="21"/>
                      <w:highlight w:val="none"/>
                      <w:lang w:val="en-US" w:eastAsia="zh-CN"/>
                    </w:rPr>
                    <w:t>mm厚实心砖砌体+22mm复合射线防护板</w:t>
                  </w:r>
                </w:p>
              </w:tc>
              <w:tc>
                <w:tcPr>
                  <w:tcW w:w="918" w:type="dxa"/>
                  <w:vMerge w:val="restart"/>
                  <w:vAlign w:val="center"/>
                </w:tcPr>
                <w:p w14:paraId="0B6D9A22">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788" w:type="dxa"/>
                  <w:shd w:val="clear" w:color="auto" w:fill="auto"/>
                  <w:vAlign w:val="center"/>
                </w:tcPr>
                <w:p w14:paraId="62C8A996">
                  <w:pPr>
                    <w:widowControl/>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18"/>
                      <w:szCs w:val="18"/>
                      <w:highlight w:val="none"/>
                      <w:lang w:val="en-US" w:eastAsia="zh-CN"/>
                    </w:rPr>
                    <w:t>4.12E-07</w:t>
                  </w:r>
                </w:p>
              </w:tc>
              <w:tc>
                <w:tcPr>
                  <w:tcW w:w="1789" w:type="dxa"/>
                  <w:shd w:val="clear" w:color="auto" w:fill="auto"/>
                  <w:vAlign w:val="center"/>
                </w:tcPr>
                <w:p w14:paraId="76CDB685">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3.31E-05</w:t>
                  </w:r>
                </w:p>
              </w:tc>
            </w:tr>
            <w:tr w14:paraId="04411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continue"/>
                  <w:vAlign w:val="center"/>
                </w:tcPr>
                <w:p w14:paraId="2DD9A2D2">
                  <w:pPr>
                    <w:pStyle w:val="32"/>
                    <w:snapToGrid w:val="0"/>
                    <w:jc w:val="center"/>
                    <w:rPr>
                      <w:rFonts w:hint="default" w:ascii="Times New Roman" w:hAnsi="Times New Roman" w:cs="Times New Roman"/>
                      <w:bCs/>
                      <w:color w:val="auto"/>
                      <w:sz w:val="21"/>
                      <w:szCs w:val="21"/>
                      <w:highlight w:val="none"/>
                    </w:rPr>
                  </w:pPr>
                </w:p>
              </w:tc>
              <w:tc>
                <w:tcPr>
                  <w:tcW w:w="2727" w:type="dxa"/>
                  <w:vMerge w:val="continue"/>
                  <w:vAlign w:val="center"/>
                </w:tcPr>
                <w:p w14:paraId="644E381F">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1060" w:type="dxa"/>
                  <w:vAlign w:val="center"/>
                </w:tcPr>
                <w:p w14:paraId="741D460C">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1162" w:type="dxa"/>
                  <w:vMerge w:val="continue"/>
                  <w:vAlign w:val="center"/>
                </w:tcPr>
                <w:p w14:paraId="7F42BBEE">
                  <w:pPr>
                    <w:widowControl/>
                    <w:adjustRightInd w:val="0"/>
                    <w:snapToGrid w:val="0"/>
                    <w:jc w:val="center"/>
                    <w:textAlignment w:val="center"/>
                    <w:rPr>
                      <w:rFonts w:hint="default" w:ascii="Times New Roman" w:hAnsi="Times New Roman" w:cs="Times New Roman"/>
                      <w:bCs/>
                      <w:color w:val="auto"/>
                      <w:sz w:val="21"/>
                      <w:szCs w:val="21"/>
                      <w:highlight w:val="none"/>
                    </w:rPr>
                  </w:pPr>
                </w:p>
              </w:tc>
              <w:tc>
                <w:tcPr>
                  <w:tcW w:w="3503" w:type="dxa"/>
                  <w:vMerge w:val="continue"/>
                  <w:vAlign w:val="center"/>
                </w:tcPr>
                <w:p w14:paraId="58047B55">
                  <w:pPr>
                    <w:pStyle w:val="32"/>
                    <w:snapToGrid w:val="0"/>
                    <w:jc w:val="center"/>
                    <w:rPr>
                      <w:rFonts w:hint="default" w:ascii="Times New Roman" w:hAnsi="Times New Roman" w:cs="Times New Roman"/>
                      <w:bCs/>
                      <w:color w:val="auto"/>
                      <w:sz w:val="21"/>
                      <w:szCs w:val="21"/>
                      <w:highlight w:val="none"/>
                    </w:rPr>
                  </w:pPr>
                </w:p>
              </w:tc>
              <w:tc>
                <w:tcPr>
                  <w:tcW w:w="918" w:type="dxa"/>
                  <w:vMerge w:val="continue"/>
                  <w:vAlign w:val="center"/>
                </w:tcPr>
                <w:p w14:paraId="196CDA31">
                  <w:pPr>
                    <w:pStyle w:val="32"/>
                    <w:snapToGrid w:val="0"/>
                    <w:jc w:val="center"/>
                    <w:rPr>
                      <w:rFonts w:hint="default" w:ascii="Times New Roman" w:hAnsi="Times New Roman" w:cs="Times New Roman"/>
                      <w:bCs/>
                      <w:color w:val="auto"/>
                      <w:sz w:val="21"/>
                      <w:szCs w:val="21"/>
                      <w:highlight w:val="none"/>
                    </w:rPr>
                  </w:pPr>
                </w:p>
              </w:tc>
              <w:tc>
                <w:tcPr>
                  <w:tcW w:w="1788" w:type="dxa"/>
                  <w:shd w:val="clear" w:color="auto" w:fill="auto"/>
                  <w:vAlign w:val="center"/>
                </w:tcPr>
                <w:p w14:paraId="2ACA6F5A">
                  <w:pPr>
                    <w:widowControl/>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6.18E-07</w:t>
                  </w:r>
                </w:p>
              </w:tc>
              <w:tc>
                <w:tcPr>
                  <w:tcW w:w="1789" w:type="dxa"/>
                  <w:shd w:val="clear" w:color="auto" w:fill="auto"/>
                  <w:vAlign w:val="center"/>
                </w:tcPr>
                <w:p w14:paraId="70670750">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7.46E-04</w:t>
                  </w:r>
                </w:p>
              </w:tc>
            </w:tr>
            <w:tr w14:paraId="0F468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restart"/>
                  <w:vAlign w:val="center"/>
                </w:tcPr>
                <w:p w14:paraId="06CF0F32">
                  <w:pPr>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2</w:t>
                  </w:r>
                </w:p>
              </w:tc>
              <w:tc>
                <w:tcPr>
                  <w:tcW w:w="2727" w:type="dxa"/>
                  <w:vMerge w:val="restart"/>
                  <w:shd w:val="clear" w:color="auto" w:fill="auto"/>
                  <w:vAlign w:val="center"/>
                </w:tcPr>
                <w:p w14:paraId="059A0549">
                  <w:pPr>
                    <w:widowControl/>
                    <w:adjustRightInd w:val="0"/>
                    <w:snapToGrid w:val="0"/>
                    <w:jc w:val="center"/>
                    <w:textAlignment w:val="center"/>
                    <w:rPr>
                      <w:rStyle w:val="67"/>
                      <w:rFonts w:hint="default" w:ascii="Times New Roman" w:hAnsi="Times New Roman" w:eastAsia="宋体" w:cs="Times New Roman"/>
                      <w:bCs/>
                      <w:color w:val="auto"/>
                      <w:sz w:val="21"/>
                      <w:szCs w:val="21"/>
                      <w:highlight w:val="none"/>
                      <w:lang w:val="en-US" w:eastAsia="zh-CN" w:bidi="ar"/>
                    </w:rPr>
                  </w:pPr>
                  <w:r>
                    <w:rPr>
                      <w:rStyle w:val="67"/>
                      <w:rFonts w:hint="eastAsia" w:ascii="Times New Roman" w:hAnsi="Times New Roman" w:cs="Times New Roman"/>
                      <w:bCs/>
                      <w:color w:val="auto"/>
                      <w:sz w:val="21"/>
                      <w:szCs w:val="21"/>
                      <w:highlight w:val="none"/>
                      <w:lang w:val="en-US" w:eastAsia="zh-CN" w:bidi="ar"/>
                    </w:rPr>
                    <w:t>患者缓冲区屏蔽墙30cm处</w:t>
                  </w:r>
                </w:p>
              </w:tc>
              <w:tc>
                <w:tcPr>
                  <w:tcW w:w="1060" w:type="dxa"/>
                  <w:vAlign w:val="center"/>
                </w:tcPr>
                <w:p w14:paraId="7D793A4E">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1162" w:type="dxa"/>
                  <w:vMerge w:val="restart"/>
                  <w:vAlign w:val="center"/>
                </w:tcPr>
                <w:p w14:paraId="2CE263E6">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3.9</w:t>
                  </w:r>
                </w:p>
              </w:tc>
              <w:tc>
                <w:tcPr>
                  <w:tcW w:w="3503" w:type="dxa"/>
                  <w:vMerge w:val="restart"/>
                  <w:vAlign w:val="center"/>
                </w:tcPr>
                <w:p w14:paraId="1D91AA7B">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200</w:t>
                  </w:r>
                  <w:r>
                    <w:rPr>
                      <w:rFonts w:hint="default" w:ascii="Times New Roman" w:hAnsi="Times New Roman" w:cs="Times New Roman"/>
                      <w:color w:val="auto"/>
                      <w:sz w:val="21"/>
                      <w:szCs w:val="21"/>
                      <w:highlight w:val="none"/>
                      <w:lang w:val="en-US" w:eastAsia="zh-CN"/>
                    </w:rPr>
                    <w:t>mm厚实心砖砌体+22mm复合射线防护板</w:t>
                  </w:r>
                </w:p>
              </w:tc>
              <w:tc>
                <w:tcPr>
                  <w:tcW w:w="918" w:type="dxa"/>
                  <w:vMerge w:val="restart"/>
                  <w:vAlign w:val="center"/>
                </w:tcPr>
                <w:p w14:paraId="74156ECA">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788" w:type="dxa"/>
                  <w:shd w:val="clear" w:color="auto" w:fill="auto"/>
                  <w:vAlign w:val="center"/>
                </w:tcPr>
                <w:p w14:paraId="76BD372C">
                  <w:pPr>
                    <w:widowControl/>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18"/>
                      <w:szCs w:val="18"/>
                      <w:highlight w:val="none"/>
                      <w:lang w:val="en-US" w:eastAsia="zh-CN"/>
                    </w:rPr>
                    <w:t>4.12E-07</w:t>
                  </w:r>
                </w:p>
              </w:tc>
              <w:tc>
                <w:tcPr>
                  <w:tcW w:w="1789" w:type="dxa"/>
                  <w:shd w:val="clear" w:color="auto" w:fill="auto"/>
                  <w:vAlign w:val="center"/>
                </w:tcPr>
                <w:p w14:paraId="01C51FC6">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3.63E-05</w:t>
                  </w:r>
                </w:p>
              </w:tc>
            </w:tr>
            <w:tr w14:paraId="25ADE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continue"/>
                  <w:vAlign w:val="center"/>
                </w:tcPr>
                <w:p w14:paraId="5A78358B">
                  <w:pPr>
                    <w:pStyle w:val="32"/>
                    <w:snapToGrid w:val="0"/>
                    <w:jc w:val="center"/>
                    <w:rPr>
                      <w:rFonts w:hint="default" w:ascii="Times New Roman" w:hAnsi="Times New Roman" w:cs="Times New Roman"/>
                      <w:bCs/>
                      <w:color w:val="auto"/>
                      <w:sz w:val="21"/>
                      <w:szCs w:val="21"/>
                      <w:highlight w:val="none"/>
                    </w:rPr>
                  </w:pPr>
                </w:p>
              </w:tc>
              <w:tc>
                <w:tcPr>
                  <w:tcW w:w="2727" w:type="dxa"/>
                  <w:vMerge w:val="continue"/>
                  <w:vAlign w:val="center"/>
                </w:tcPr>
                <w:p w14:paraId="0D17BC87">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1060" w:type="dxa"/>
                  <w:vAlign w:val="center"/>
                </w:tcPr>
                <w:p w14:paraId="4B059697">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1162" w:type="dxa"/>
                  <w:vMerge w:val="continue"/>
                  <w:vAlign w:val="center"/>
                </w:tcPr>
                <w:p w14:paraId="4EE16883">
                  <w:pPr>
                    <w:widowControl/>
                    <w:adjustRightInd w:val="0"/>
                    <w:snapToGrid w:val="0"/>
                    <w:jc w:val="center"/>
                    <w:textAlignment w:val="center"/>
                    <w:rPr>
                      <w:rFonts w:hint="default" w:ascii="Times New Roman" w:hAnsi="Times New Roman" w:cs="Times New Roman"/>
                      <w:bCs/>
                      <w:color w:val="auto"/>
                      <w:sz w:val="21"/>
                      <w:szCs w:val="21"/>
                      <w:highlight w:val="none"/>
                    </w:rPr>
                  </w:pPr>
                </w:p>
              </w:tc>
              <w:tc>
                <w:tcPr>
                  <w:tcW w:w="3503" w:type="dxa"/>
                  <w:vMerge w:val="continue"/>
                  <w:vAlign w:val="center"/>
                </w:tcPr>
                <w:p w14:paraId="277BE6DA">
                  <w:pPr>
                    <w:pStyle w:val="32"/>
                    <w:snapToGrid w:val="0"/>
                    <w:jc w:val="center"/>
                    <w:rPr>
                      <w:rFonts w:hint="default" w:ascii="Times New Roman" w:hAnsi="Times New Roman" w:cs="Times New Roman"/>
                      <w:bCs/>
                      <w:color w:val="auto"/>
                      <w:sz w:val="21"/>
                      <w:szCs w:val="21"/>
                      <w:highlight w:val="none"/>
                    </w:rPr>
                  </w:pPr>
                </w:p>
              </w:tc>
              <w:tc>
                <w:tcPr>
                  <w:tcW w:w="918" w:type="dxa"/>
                  <w:vMerge w:val="continue"/>
                  <w:vAlign w:val="center"/>
                </w:tcPr>
                <w:p w14:paraId="18818385">
                  <w:pPr>
                    <w:pStyle w:val="32"/>
                    <w:snapToGrid w:val="0"/>
                    <w:jc w:val="center"/>
                    <w:rPr>
                      <w:rFonts w:hint="default" w:ascii="Times New Roman" w:hAnsi="Times New Roman" w:cs="Times New Roman"/>
                      <w:bCs/>
                      <w:color w:val="auto"/>
                      <w:sz w:val="21"/>
                      <w:szCs w:val="21"/>
                      <w:highlight w:val="none"/>
                    </w:rPr>
                  </w:pPr>
                </w:p>
              </w:tc>
              <w:tc>
                <w:tcPr>
                  <w:tcW w:w="1788" w:type="dxa"/>
                  <w:shd w:val="clear" w:color="auto" w:fill="auto"/>
                  <w:vAlign w:val="center"/>
                </w:tcPr>
                <w:p w14:paraId="4ED7C2E8">
                  <w:pPr>
                    <w:widowControl/>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6.18E-07</w:t>
                  </w:r>
                </w:p>
              </w:tc>
              <w:tc>
                <w:tcPr>
                  <w:tcW w:w="1789" w:type="dxa"/>
                  <w:shd w:val="clear" w:color="auto" w:fill="auto"/>
                  <w:vAlign w:val="center"/>
                </w:tcPr>
                <w:p w14:paraId="3E417C43">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7.84E-04</w:t>
                  </w:r>
                </w:p>
              </w:tc>
            </w:tr>
            <w:tr w14:paraId="4BA1A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restart"/>
                  <w:vAlign w:val="center"/>
                </w:tcPr>
                <w:p w14:paraId="36FD6498">
                  <w:pPr>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3</w:t>
                  </w:r>
                </w:p>
              </w:tc>
              <w:tc>
                <w:tcPr>
                  <w:tcW w:w="2727" w:type="dxa"/>
                  <w:vMerge w:val="restart"/>
                  <w:shd w:val="clear" w:color="auto" w:fill="auto"/>
                  <w:vAlign w:val="center"/>
                </w:tcPr>
                <w:p w14:paraId="7259C6DC">
                  <w:pPr>
                    <w:widowControl/>
                    <w:adjustRightInd w:val="0"/>
                    <w:snapToGrid w:val="0"/>
                    <w:jc w:val="center"/>
                    <w:textAlignment w:val="center"/>
                    <w:rPr>
                      <w:rStyle w:val="67"/>
                      <w:rFonts w:hint="default" w:ascii="Times New Roman" w:hAnsi="Times New Roman" w:eastAsia="宋体" w:cs="Times New Roman"/>
                      <w:bCs/>
                      <w:color w:val="auto"/>
                      <w:sz w:val="21"/>
                      <w:szCs w:val="21"/>
                      <w:highlight w:val="none"/>
                      <w:lang w:val="en-US" w:eastAsia="zh-CN" w:bidi="ar"/>
                    </w:rPr>
                  </w:pPr>
                  <w:r>
                    <w:rPr>
                      <w:rStyle w:val="67"/>
                      <w:rFonts w:hint="eastAsia" w:ascii="Times New Roman" w:hAnsi="Times New Roman" w:cs="Times New Roman"/>
                      <w:bCs/>
                      <w:color w:val="auto"/>
                      <w:sz w:val="21"/>
                      <w:szCs w:val="21"/>
                      <w:highlight w:val="none"/>
                      <w:lang w:val="en-US" w:eastAsia="zh-CN" w:bidi="ar"/>
                    </w:rPr>
                    <w:t>患者缓冲区电动推拉门30cm处</w:t>
                  </w:r>
                </w:p>
              </w:tc>
              <w:tc>
                <w:tcPr>
                  <w:tcW w:w="1060" w:type="dxa"/>
                  <w:vAlign w:val="center"/>
                </w:tcPr>
                <w:p w14:paraId="6CACE1ED">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1162" w:type="dxa"/>
                  <w:vMerge w:val="restart"/>
                  <w:vAlign w:val="center"/>
                </w:tcPr>
                <w:p w14:paraId="6B34CA76">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3.8</w:t>
                  </w:r>
                </w:p>
              </w:tc>
              <w:tc>
                <w:tcPr>
                  <w:tcW w:w="3503" w:type="dxa"/>
                  <w:vMerge w:val="restart"/>
                  <w:vAlign w:val="center"/>
                </w:tcPr>
                <w:p w14:paraId="094E3AD0">
                  <w:pPr>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3mmPb铅防护门</w:t>
                  </w:r>
                </w:p>
              </w:tc>
              <w:tc>
                <w:tcPr>
                  <w:tcW w:w="918" w:type="dxa"/>
                  <w:vMerge w:val="restart"/>
                  <w:vAlign w:val="center"/>
                </w:tcPr>
                <w:p w14:paraId="54D9980D">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788" w:type="dxa"/>
                  <w:shd w:val="clear" w:color="auto" w:fill="auto"/>
                  <w:vAlign w:val="center"/>
                </w:tcPr>
                <w:p w14:paraId="3A612400">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4.21E-05</w:t>
                  </w:r>
                </w:p>
              </w:tc>
              <w:tc>
                <w:tcPr>
                  <w:tcW w:w="1789" w:type="dxa"/>
                  <w:shd w:val="clear" w:color="auto" w:fill="auto"/>
                  <w:vAlign w:val="center"/>
                </w:tcPr>
                <w:p w14:paraId="25CFDE3B">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3.91E-03</w:t>
                  </w:r>
                </w:p>
              </w:tc>
            </w:tr>
            <w:tr w14:paraId="42183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continue"/>
                  <w:vAlign w:val="center"/>
                </w:tcPr>
                <w:p w14:paraId="695CA65E">
                  <w:pPr>
                    <w:pStyle w:val="32"/>
                    <w:snapToGrid w:val="0"/>
                    <w:jc w:val="center"/>
                    <w:rPr>
                      <w:rFonts w:hint="default" w:ascii="Times New Roman" w:hAnsi="Times New Roman" w:cs="Times New Roman"/>
                      <w:bCs/>
                      <w:color w:val="auto"/>
                      <w:sz w:val="21"/>
                      <w:szCs w:val="21"/>
                      <w:highlight w:val="none"/>
                    </w:rPr>
                  </w:pPr>
                </w:p>
              </w:tc>
              <w:tc>
                <w:tcPr>
                  <w:tcW w:w="2727" w:type="dxa"/>
                  <w:vMerge w:val="continue"/>
                  <w:vAlign w:val="center"/>
                </w:tcPr>
                <w:p w14:paraId="6A7F1B7E">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1060" w:type="dxa"/>
                  <w:vAlign w:val="center"/>
                </w:tcPr>
                <w:p w14:paraId="3F54FEBD">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1162" w:type="dxa"/>
                  <w:vMerge w:val="continue"/>
                  <w:vAlign w:val="center"/>
                </w:tcPr>
                <w:p w14:paraId="7F26E846">
                  <w:pPr>
                    <w:widowControl/>
                    <w:adjustRightInd w:val="0"/>
                    <w:snapToGrid w:val="0"/>
                    <w:jc w:val="center"/>
                    <w:textAlignment w:val="center"/>
                    <w:rPr>
                      <w:rFonts w:hint="default" w:ascii="Times New Roman" w:hAnsi="Times New Roman" w:cs="Times New Roman"/>
                      <w:bCs/>
                      <w:color w:val="auto"/>
                      <w:sz w:val="21"/>
                      <w:szCs w:val="21"/>
                      <w:highlight w:val="none"/>
                    </w:rPr>
                  </w:pPr>
                </w:p>
              </w:tc>
              <w:tc>
                <w:tcPr>
                  <w:tcW w:w="3503" w:type="dxa"/>
                  <w:vMerge w:val="continue"/>
                  <w:vAlign w:val="center"/>
                </w:tcPr>
                <w:p w14:paraId="34A930D5">
                  <w:pPr>
                    <w:pStyle w:val="32"/>
                    <w:snapToGrid w:val="0"/>
                    <w:jc w:val="center"/>
                    <w:rPr>
                      <w:rFonts w:hint="default" w:ascii="Times New Roman" w:hAnsi="Times New Roman" w:cs="Times New Roman"/>
                      <w:bCs/>
                      <w:color w:val="auto"/>
                      <w:sz w:val="21"/>
                      <w:szCs w:val="21"/>
                      <w:highlight w:val="none"/>
                    </w:rPr>
                  </w:pPr>
                </w:p>
              </w:tc>
              <w:tc>
                <w:tcPr>
                  <w:tcW w:w="918" w:type="dxa"/>
                  <w:vMerge w:val="continue"/>
                  <w:vAlign w:val="center"/>
                </w:tcPr>
                <w:p w14:paraId="54144A90">
                  <w:pPr>
                    <w:pStyle w:val="32"/>
                    <w:snapToGrid w:val="0"/>
                    <w:jc w:val="center"/>
                    <w:rPr>
                      <w:rFonts w:hint="default" w:ascii="Times New Roman" w:hAnsi="Times New Roman" w:cs="Times New Roman"/>
                      <w:bCs/>
                      <w:color w:val="auto"/>
                      <w:sz w:val="21"/>
                      <w:szCs w:val="21"/>
                      <w:highlight w:val="none"/>
                    </w:rPr>
                  </w:pPr>
                </w:p>
              </w:tc>
              <w:tc>
                <w:tcPr>
                  <w:tcW w:w="1788" w:type="dxa"/>
                  <w:shd w:val="clear" w:color="auto" w:fill="auto"/>
                  <w:vAlign w:val="center"/>
                </w:tcPr>
                <w:p w14:paraId="05954492">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6.31E-05</w:t>
                  </w:r>
                </w:p>
              </w:tc>
              <w:tc>
                <w:tcPr>
                  <w:tcW w:w="1789" w:type="dxa"/>
                  <w:shd w:val="clear" w:color="auto" w:fill="auto"/>
                  <w:vAlign w:val="center"/>
                </w:tcPr>
                <w:p w14:paraId="6F5465DD">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8.44E-02</w:t>
                  </w:r>
                </w:p>
              </w:tc>
            </w:tr>
            <w:tr w14:paraId="149CD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restart"/>
                  <w:vAlign w:val="center"/>
                </w:tcPr>
                <w:p w14:paraId="71A5360E">
                  <w:pPr>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4</w:t>
                  </w:r>
                </w:p>
              </w:tc>
              <w:tc>
                <w:tcPr>
                  <w:tcW w:w="2727" w:type="dxa"/>
                  <w:vMerge w:val="restart"/>
                  <w:shd w:val="clear" w:color="auto" w:fill="auto"/>
                  <w:vAlign w:val="center"/>
                </w:tcPr>
                <w:p w14:paraId="4C060F8A">
                  <w:pPr>
                    <w:widowControl/>
                    <w:adjustRightInd w:val="0"/>
                    <w:snapToGrid w:val="0"/>
                    <w:jc w:val="center"/>
                    <w:textAlignment w:val="center"/>
                    <w:rPr>
                      <w:rStyle w:val="67"/>
                      <w:rFonts w:hint="default" w:ascii="Times New Roman" w:hAnsi="Times New Roman" w:eastAsia="宋体" w:cs="Times New Roman"/>
                      <w:bCs/>
                      <w:color w:val="auto"/>
                      <w:sz w:val="21"/>
                      <w:szCs w:val="21"/>
                      <w:highlight w:val="none"/>
                      <w:lang w:val="en-US" w:eastAsia="zh-CN" w:bidi="ar"/>
                    </w:rPr>
                  </w:pPr>
                  <w:r>
                    <w:rPr>
                      <w:rStyle w:val="67"/>
                      <w:rFonts w:hint="eastAsia" w:ascii="Times New Roman" w:hAnsi="Times New Roman" w:cs="Times New Roman"/>
                      <w:bCs/>
                      <w:color w:val="auto"/>
                      <w:sz w:val="21"/>
                      <w:szCs w:val="21"/>
                      <w:highlight w:val="none"/>
                      <w:lang w:val="en-US" w:eastAsia="zh-CN" w:bidi="ar"/>
                    </w:rPr>
                    <w:t>高值耗材存放处屏蔽墙30cm处</w:t>
                  </w:r>
                </w:p>
              </w:tc>
              <w:tc>
                <w:tcPr>
                  <w:tcW w:w="1060" w:type="dxa"/>
                  <w:vAlign w:val="center"/>
                </w:tcPr>
                <w:p w14:paraId="40168451">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1162" w:type="dxa"/>
                  <w:vMerge w:val="restart"/>
                  <w:vAlign w:val="center"/>
                </w:tcPr>
                <w:p w14:paraId="0629E669">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4.2</w:t>
                  </w:r>
                </w:p>
              </w:tc>
              <w:tc>
                <w:tcPr>
                  <w:tcW w:w="3503" w:type="dxa"/>
                  <w:vMerge w:val="restart"/>
                  <w:vAlign w:val="center"/>
                </w:tcPr>
                <w:p w14:paraId="66EE9E9F">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200</w:t>
                  </w:r>
                  <w:r>
                    <w:rPr>
                      <w:rFonts w:hint="default" w:ascii="Times New Roman" w:hAnsi="Times New Roman" w:cs="Times New Roman"/>
                      <w:color w:val="auto"/>
                      <w:sz w:val="21"/>
                      <w:szCs w:val="21"/>
                      <w:highlight w:val="none"/>
                      <w:lang w:val="en-US" w:eastAsia="zh-CN"/>
                    </w:rPr>
                    <w:t>mm厚实心砖砌体+22mm复合射线防护板</w:t>
                  </w:r>
                </w:p>
              </w:tc>
              <w:tc>
                <w:tcPr>
                  <w:tcW w:w="918" w:type="dxa"/>
                  <w:vMerge w:val="restart"/>
                  <w:vAlign w:val="center"/>
                </w:tcPr>
                <w:p w14:paraId="25B11F96">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788" w:type="dxa"/>
                  <w:shd w:val="clear" w:color="auto" w:fill="auto"/>
                  <w:vAlign w:val="center"/>
                </w:tcPr>
                <w:p w14:paraId="0C751968">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18"/>
                      <w:szCs w:val="18"/>
                      <w:highlight w:val="none"/>
                      <w:lang w:val="en-US" w:eastAsia="zh-CN"/>
                    </w:rPr>
                    <w:t>4.12E-07</w:t>
                  </w:r>
                </w:p>
              </w:tc>
              <w:tc>
                <w:tcPr>
                  <w:tcW w:w="1789" w:type="dxa"/>
                  <w:shd w:val="clear" w:color="auto" w:fill="auto"/>
                  <w:vAlign w:val="center"/>
                </w:tcPr>
                <w:p w14:paraId="6972AE9A">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3.13E-05</w:t>
                  </w:r>
                </w:p>
              </w:tc>
            </w:tr>
            <w:tr w14:paraId="7EFB4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continue"/>
                  <w:vAlign w:val="center"/>
                </w:tcPr>
                <w:p w14:paraId="261FBC3F">
                  <w:pPr>
                    <w:pStyle w:val="32"/>
                    <w:snapToGrid w:val="0"/>
                    <w:jc w:val="center"/>
                    <w:rPr>
                      <w:rFonts w:hint="default" w:ascii="Times New Roman" w:hAnsi="Times New Roman" w:cs="Times New Roman"/>
                      <w:bCs/>
                      <w:color w:val="auto"/>
                      <w:sz w:val="21"/>
                      <w:szCs w:val="21"/>
                      <w:highlight w:val="none"/>
                    </w:rPr>
                  </w:pPr>
                </w:p>
              </w:tc>
              <w:tc>
                <w:tcPr>
                  <w:tcW w:w="2727" w:type="dxa"/>
                  <w:vMerge w:val="continue"/>
                  <w:vAlign w:val="center"/>
                </w:tcPr>
                <w:p w14:paraId="411DA2B8">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1060" w:type="dxa"/>
                  <w:vAlign w:val="center"/>
                </w:tcPr>
                <w:p w14:paraId="52DDB1F9">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1162" w:type="dxa"/>
                  <w:vMerge w:val="continue"/>
                  <w:vAlign w:val="center"/>
                </w:tcPr>
                <w:p w14:paraId="225AEA4B">
                  <w:pPr>
                    <w:widowControl/>
                    <w:adjustRightInd w:val="0"/>
                    <w:snapToGrid w:val="0"/>
                    <w:jc w:val="center"/>
                    <w:textAlignment w:val="center"/>
                    <w:rPr>
                      <w:rFonts w:hint="default" w:ascii="Times New Roman" w:hAnsi="Times New Roman" w:cs="Times New Roman"/>
                      <w:bCs/>
                      <w:color w:val="auto"/>
                      <w:sz w:val="21"/>
                      <w:szCs w:val="21"/>
                      <w:highlight w:val="none"/>
                    </w:rPr>
                  </w:pPr>
                </w:p>
              </w:tc>
              <w:tc>
                <w:tcPr>
                  <w:tcW w:w="3503" w:type="dxa"/>
                  <w:vMerge w:val="continue"/>
                  <w:vAlign w:val="center"/>
                </w:tcPr>
                <w:p w14:paraId="4E97C326">
                  <w:pPr>
                    <w:pStyle w:val="32"/>
                    <w:snapToGrid w:val="0"/>
                    <w:jc w:val="center"/>
                    <w:rPr>
                      <w:rFonts w:hint="default" w:ascii="Times New Roman" w:hAnsi="Times New Roman" w:cs="Times New Roman"/>
                      <w:bCs/>
                      <w:color w:val="auto"/>
                      <w:sz w:val="21"/>
                      <w:szCs w:val="21"/>
                      <w:highlight w:val="none"/>
                    </w:rPr>
                  </w:pPr>
                </w:p>
              </w:tc>
              <w:tc>
                <w:tcPr>
                  <w:tcW w:w="918" w:type="dxa"/>
                  <w:vMerge w:val="continue"/>
                  <w:vAlign w:val="center"/>
                </w:tcPr>
                <w:p w14:paraId="23099432">
                  <w:pPr>
                    <w:pStyle w:val="32"/>
                    <w:snapToGrid w:val="0"/>
                    <w:jc w:val="center"/>
                    <w:rPr>
                      <w:rFonts w:hint="default" w:ascii="Times New Roman" w:hAnsi="Times New Roman" w:cs="Times New Roman"/>
                      <w:bCs/>
                      <w:color w:val="auto"/>
                      <w:sz w:val="21"/>
                      <w:szCs w:val="21"/>
                      <w:highlight w:val="none"/>
                    </w:rPr>
                  </w:pPr>
                </w:p>
              </w:tc>
              <w:tc>
                <w:tcPr>
                  <w:tcW w:w="1788" w:type="dxa"/>
                  <w:shd w:val="clear" w:color="auto" w:fill="auto"/>
                  <w:vAlign w:val="center"/>
                </w:tcPr>
                <w:p w14:paraId="405321D1">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6.18E-07</w:t>
                  </w:r>
                </w:p>
              </w:tc>
              <w:tc>
                <w:tcPr>
                  <w:tcW w:w="1789" w:type="dxa"/>
                  <w:shd w:val="clear" w:color="auto" w:fill="auto"/>
                  <w:vAlign w:val="center"/>
                </w:tcPr>
                <w:p w14:paraId="589B3461">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6.76E-04</w:t>
                  </w:r>
                </w:p>
              </w:tc>
            </w:tr>
            <w:tr w14:paraId="6193C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restart"/>
                  <w:vAlign w:val="center"/>
                </w:tcPr>
                <w:p w14:paraId="6A7501FA">
                  <w:pPr>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5</w:t>
                  </w:r>
                </w:p>
              </w:tc>
              <w:tc>
                <w:tcPr>
                  <w:tcW w:w="2727" w:type="dxa"/>
                  <w:vMerge w:val="restart"/>
                  <w:shd w:val="clear" w:color="auto" w:fill="auto"/>
                  <w:vAlign w:val="center"/>
                </w:tcPr>
                <w:p w14:paraId="475823DA">
                  <w:pPr>
                    <w:widowControl/>
                    <w:adjustRightInd w:val="0"/>
                    <w:snapToGrid w:val="0"/>
                    <w:jc w:val="center"/>
                    <w:textAlignment w:val="center"/>
                    <w:rPr>
                      <w:rStyle w:val="67"/>
                      <w:rFonts w:hint="default" w:ascii="Times New Roman" w:hAnsi="Times New Roman" w:eastAsia="宋体" w:cs="Times New Roman"/>
                      <w:bCs/>
                      <w:color w:val="auto"/>
                      <w:sz w:val="21"/>
                      <w:szCs w:val="21"/>
                      <w:highlight w:val="none"/>
                      <w:lang w:val="en-US" w:eastAsia="zh-CN" w:bidi="ar"/>
                    </w:rPr>
                  </w:pPr>
                  <w:r>
                    <w:rPr>
                      <w:rStyle w:val="67"/>
                      <w:rFonts w:hint="eastAsia" w:ascii="Times New Roman" w:hAnsi="Times New Roman" w:cs="Times New Roman"/>
                      <w:bCs/>
                      <w:color w:val="auto"/>
                      <w:sz w:val="21"/>
                      <w:szCs w:val="21"/>
                      <w:highlight w:val="none"/>
                      <w:lang w:val="en-US" w:eastAsia="zh-CN" w:bidi="ar"/>
                    </w:rPr>
                    <w:t>高值耗材存放处平开门30cm处</w:t>
                  </w:r>
                </w:p>
              </w:tc>
              <w:tc>
                <w:tcPr>
                  <w:tcW w:w="1060" w:type="dxa"/>
                  <w:vAlign w:val="center"/>
                </w:tcPr>
                <w:p w14:paraId="5720BFDF">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1162" w:type="dxa"/>
                  <w:vMerge w:val="restart"/>
                  <w:vAlign w:val="center"/>
                </w:tcPr>
                <w:p w14:paraId="2983C688">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3.5</w:t>
                  </w:r>
                </w:p>
              </w:tc>
              <w:tc>
                <w:tcPr>
                  <w:tcW w:w="3503" w:type="dxa"/>
                  <w:vMerge w:val="restart"/>
                  <w:vAlign w:val="center"/>
                </w:tcPr>
                <w:p w14:paraId="78BEAC68">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3mmPb铅防护门</w:t>
                  </w:r>
                </w:p>
              </w:tc>
              <w:tc>
                <w:tcPr>
                  <w:tcW w:w="918" w:type="dxa"/>
                  <w:vMerge w:val="restart"/>
                  <w:vAlign w:val="center"/>
                </w:tcPr>
                <w:p w14:paraId="671EEAA3">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788" w:type="dxa"/>
                  <w:shd w:val="clear" w:color="auto" w:fill="auto"/>
                  <w:vAlign w:val="center"/>
                </w:tcPr>
                <w:p w14:paraId="057B61E0">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4.21E-05</w:t>
                  </w:r>
                </w:p>
              </w:tc>
              <w:tc>
                <w:tcPr>
                  <w:tcW w:w="1789" w:type="dxa"/>
                  <w:shd w:val="clear" w:color="auto" w:fill="auto"/>
                  <w:vAlign w:val="center"/>
                </w:tcPr>
                <w:p w14:paraId="0E961FF3">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4.61E-03</w:t>
                  </w:r>
                </w:p>
              </w:tc>
            </w:tr>
            <w:tr w14:paraId="4E6AC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continue"/>
                  <w:vAlign w:val="center"/>
                </w:tcPr>
                <w:p w14:paraId="414CF077">
                  <w:pPr>
                    <w:pStyle w:val="32"/>
                    <w:snapToGrid w:val="0"/>
                    <w:jc w:val="center"/>
                    <w:rPr>
                      <w:rFonts w:hint="default" w:ascii="Times New Roman" w:hAnsi="Times New Roman" w:cs="Times New Roman"/>
                      <w:bCs/>
                      <w:color w:val="auto"/>
                      <w:sz w:val="21"/>
                      <w:szCs w:val="21"/>
                      <w:highlight w:val="none"/>
                    </w:rPr>
                  </w:pPr>
                </w:p>
              </w:tc>
              <w:tc>
                <w:tcPr>
                  <w:tcW w:w="2727" w:type="dxa"/>
                  <w:vMerge w:val="continue"/>
                  <w:vAlign w:val="center"/>
                </w:tcPr>
                <w:p w14:paraId="0B16ED47">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1060" w:type="dxa"/>
                  <w:vAlign w:val="center"/>
                </w:tcPr>
                <w:p w14:paraId="1A42A404">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1162" w:type="dxa"/>
                  <w:vMerge w:val="continue"/>
                  <w:vAlign w:val="center"/>
                </w:tcPr>
                <w:p w14:paraId="08B986BA">
                  <w:pPr>
                    <w:widowControl/>
                    <w:adjustRightInd w:val="0"/>
                    <w:snapToGrid w:val="0"/>
                    <w:jc w:val="center"/>
                    <w:textAlignment w:val="center"/>
                    <w:rPr>
                      <w:rFonts w:hint="default" w:ascii="Times New Roman" w:hAnsi="Times New Roman" w:cs="Times New Roman"/>
                      <w:bCs/>
                      <w:color w:val="auto"/>
                      <w:sz w:val="21"/>
                      <w:szCs w:val="21"/>
                      <w:highlight w:val="none"/>
                    </w:rPr>
                  </w:pPr>
                </w:p>
              </w:tc>
              <w:tc>
                <w:tcPr>
                  <w:tcW w:w="3503" w:type="dxa"/>
                  <w:vMerge w:val="continue"/>
                  <w:vAlign w:val="center"/>
                </w:tcPr>
                <w:p w14:paraId="23612CFD">
                  <w:pPr>
                    <w:pStyle w:val="32"/>
                    <w:snapToGrid w:val="0"/>
                    <w:jc w:val="center"/>
                    <w:rPr>
                      <w:rFonts w:hint="default" w:ascii="Times New Roman" w:hAnsi="Times New Roman" w:cs="Times New Roman"/>
                      <w:bCs/>
                      <w:color w:val="auto"/>
                      <w:sz w:val="21"/>
                      <w:szCs w:val="21"/>
                      <w:highlight w:val="none"/>
                    </w:rPr>
                  </w:pPr>
                </w:p>
              </w:tc>
              <w:tc>
                <w:tcPr>
                  <w:tcW w:w="918" w:type="dxa"/>
                  <w:vMerge w:val="continue"/>
                  <w:vAlign w:val="center"/>
                </w:tcPr>
                <w:p w14:paraId="4645B895">
                  <w:pPr>
                    <w:pStyle w:val="32"/>
                    <w:snapToGrid w:val="0"/>
                    <w:jc w:val="center"/>
                    <w:rPr>
                      <w:rFonts w:hint="default" w:ascii="Times New Roman" w:hAnsi="Times New Roman" w:cs="Times New Roman"/>
                      <w:bCs/>
                      <w:color w:val="auto"/>
                      <w:sz w:val="21"/>
                      <w:szCs w:val="21"/>
                      <w:highlight w:val="none"/>
                    </w:rPr>
                  </w:pPr>
                </w:p>
              </w:tc>
              <w:tc>
                <w:tcPr>
                  <w:tcW w:w="1788" w:type="dxa"/>
                  <w:shd w:val="clear" w:color="auto" w:fill="auto"/>
                  <w:vAlign w:val="center"/>
                </w:tcPr>
                <w:p w14:paraId="70E867A2">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6.31E-05</w:t>
                  </w:r>
                </w:p>
              </w:tc>
              <w:tc>
                <w:tcPr>
                  <w:tcW w:w="1789" w:type="dxa"/>
                  <w:shd w:val="clear" w:color="auto" w:fill="auto"/>
                  <w:vAlign w:val="center"/>
                </w:tcPr>
                <w:p w14:paraId="12CDF8DA">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9.94E-02</w:t>
                  </w:r>
                </w:p>
              </w:tc>
            </w:tr>
            <w:tr w14:paraId="533BB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restart"/>
                  <w:vAlign w:val="center"/>
                </w:tcPr>
                <w:p w14:paraId="1678D8E4">
                  <w:pPr>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6</w:t>
                  </w:r>
                </w:p>
              </w:tc>
              <w:tc>
                <w:tcPr>
                  <w:tcW w:w="2727" w:type="dxa"/>
                  <w:vMerge w:val="restart"/>
                  <w:shd w:val="clear" w:color="auto" w:fill="auto"/>
                  <w:vAlign w:val="center"/>
                </w:tcPr>
                <w:p w14:paraId="7EA7245D">
                  <w:pPr>
                    <w:widowControl/>
                    <w:adjustRightInd w:val="0"/>
                    <w:snapToGrid w:val="0"/>
                    <w:jc w:val="center"/>
                    <w:textAlignment w:val="center"/>
                    <w:rPr>
                      <w:rStyle w:val="67"/>
                      <w:rFonts w:hint="default" w:ascii="Times New Roman" w:hAnsi="Times New Roman" w:eastAsia="宋体" w:cs="Times New Roman"/>
                      <w:bCs/>
                      <w:color w:val="auto"/>
                      <w:sz w:val="21"/>
                      <w:szCs w:val="21"/>
                      <w:highlight w:val="none"/>
                      <w:lang w:val="en-US" w:eastAsia="zh-CN" w:bidi="ar"/>
                    </w:rPr>
                  </w:pPr>
                  <w:r>
                    <w:rPr>
                      <w:rStyle w:val="67"/>
                      <w:rFonts w:hint="eastAsia" w:ascii="Times New Roman" w:hAnsi="Times New Roman" w:cs="Times New Roman"/>
                      <w:bCs/>
                      <w:color w:val="auto"/>
                      <w:sz w:val="21"/>
                      <w:szCs w:val="21"/>
                      <w:highlight w:val="none"/>
                      <w:lang w:val="en-US" w:eastAsia="zh-CN" w:bidi="ar"/>
                    </w:rPr>
                    <w:t>控制室观察窗30cm处</w:t>
                  </w:r>
                </w:p>
              </w:tc>
              <w:tc>
                <w:tcPr>
                  <w:tcW w:w="1060" w:type="dxa"/>
                  <w:vAlign w:val="center"/>
                </w:tcPr>
                <w:p w14:paraId="55270F79">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1162" w:type="dxa"/>
                  <w:vMerge w:val="restart"/>
                  <w:vAlign w:val="center"/>
                </w:tcPr>
                <w:p w14:paraId="746A0E60">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3.5</w:t>
                  </w:r>
                </w:p>
              </w:tc>
              <w:tc>
                <w:tcPr>
                  <w:tcW w:w="3503" w:type="dxa"/>
                  <w:vMerge w:val="restart"/>
                  <w:vAlign w:val="center"/>
                </w:tcPr>
                <w:p w14:paraId="00D38B89">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3mmPb观察窗</w:t>
                  </w:r>
                </w:p>
              </w:tc>
              <w:tc>
                <w:tcPr>
                  <w:tcW w:w="918" w:type="dxa"/>
                  <w:vMerge w:val="restart"/>
                  <w:vAlign w:val="center"/>
                </w:tcPr>
                <w:p w14:paraId="3AA924FD">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788" w:type="dxa"/>
                  <w:shd w:val="clear" w:color="auto" w:fill="auto"/>
                  <w:vAlign w:val="center"/>
                </w:tcPr>
                <w:p w14:paraId="45F21223">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4.21E-05</w:t>
                  </w:r>
                </w:p>
              </w:tc>
              <w:tc>
                <w:tcPr>
                  <w:tcW w:w="1789" w:type="dxa"/>
                  <w:shd w:val="clear" w:color="auto" w:fill="auto"/>
                  <w:vAlign w:val="center"/>
                </w:tcPr>
                <w:p w14:paraId="0852D54C">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4.61E-03</w:t>
                  </w:r>
                </w:p>
              </w:tc>
            </w:tr>
            <w:tr w14:paraId="10009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continue"/>
                  <w:vAlign w:val="center"/>
                </w:tcPr>
                <w:p w14:paraId="58D675F2">
                  <w:pPr>
                    <w:adjustRightInd w:val="0"/>
                    <w:snapToGrid w:val="0"/>
                    <w:jc w:val="center"/>
                    <w:rPr>
                      <w:rFonts w:hint="default" w:ascii="Times New Roman" w:hAnsi="Times New Roman" w:cs="Times New Roman"/>
                      <w:bCs/>
                      <w:color w:val="auto"/>
                      <w:sz w:val="21"/>
                      <w:szCs w:val="21"/>
                      <w:highlight w:val="none"/>
                    </w:rPr>
                  </w:pPr>
                </w:p>
              </w:tc>
              <w:tc>
                <w:tcPr>
                  <w:tcW w:w="2727" w:type="dxa"/>
                  <w:vMerge w:val="continue"/>
                  <w:vAlign w:val="center"/>
                </w:tcPr>
                <w:p w14:paraId="79A0DF5D">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1060" w:type="dxa"/>
                  <w:vAlign w:val="center"/>
                </w:tcPr>
                <w:p w14:paraId="71BE4BCF">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1162" w:type="dxa"/>
                  <w:vMerge w:val="continue"/>
                  <w:vAlign w:val="center"/>
                </w:tcPr>
                <w:p w14:paraId="270128F8">
                  <w:pPr>
                    <w:widowControl/>
                    <w:adjustRightInd w:val="0"/>
                    <w:snapToGrid w:val="0"/>
                    <w:jc w:val="center"/>
                    <w:textAlignment w:val="center"/>
                    <w:rPr>
                      <w:rFonts w:hint="default" w:ascii="Times New Roman" w:hAnsi="Times New Roman" w:cs="Times New Roman"/>
                      <w:bCs/>
                      <w:color w:val="auto"/>
                      <w:sz w:val="21"/>
                      <w:szCs w:val="21"/>
                      <w:highlight w:val="none"/>
                    </w:rPr>
                  </w:pPr>
                </w:p>
              </w:tc>
              <w:tc>
                <w:tcPr>
                  <w:tcW w:w="3503" w:type="dxa"/>
                  <w:vMerge w:val="continue"/>
                  <w:vAlign w:val="center"/>
                </w:tcPr>
                <w:p w14:paraId="6DE8442C">
                  <w:pPr>
                    <w:pStyle w:val="32"/>
                    <w:snapToGrid w:val="0"/>
                    <w:jc w:val="center"/>
                    <w:rPr>
                      <w:rFonts w:hint="default" w:ascii="Times New Roman" w:hAnsi="Times New Roman" w:cs="Times New Roman"/>
                      <w:bCs/>
                      <w:color w:val="auto"/>
                      <w:sz w:val="21"/>
                      <w:szCs w:val="21"/>
                      <w:highlight w:val="none"/>
                    </w:rPr>
                  </w:pPr>
                </w:p>
              </w:tc>
              <w:tc>
                <w:tcPr>
                  <w:tcW w:w="918" w:type="dxa"/>
                  <w:vMerge w:val="continue"/>
                  <w:vAlign w:val="center"/>
                </w:tcPr>
                <w:p w14:paraId="19F6F1A9">
                  <w:pPr>
                    <w:pStyle w:val="32"/>
                    <w:snapToGrid w:val="0"/>
                    <w:jc w:val="center"/>
                    <w:rPr>
                      <w:rFonts w:hint="default" w:ascii="Times New Roman" w:hAnsi="Times New Roman" w:cs="Times New Roman"/>
                      <w:bCs/>
                      <w:color w:val="auto"/>
                      <w:sz w:val="21"/>
                      <w:szCs w:val="21"/>
                      <w:highlight w:val="none"/>
                    </w:rPr>
                  </w:pPr>
                </w:p>
              </w:tc>
              <w:tc>
                <w:tcPr>
                  <w:tcW w:w="1788" w:type="dxa"/>
                  <w:shd w:val="clear" w:color="auto" w:fill="auto"/>
                  <w:vAlign w:val="center"/>
                </w:tcPr>
                <w:p w14:paraId="64178843">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6.31E-05</w:t>
                  </w:r>
                </w:p>
              </w:tc>
              <w:tc>
                <w:tcPr>
                  <w:tcW w:w="1789" w:type="dxa"/>
                  <w:shd w:val="clear" w:color="auto" w:fill="auto"/>
                  <w:vAlign w:val="center"/>
                </w:tcPr>
                <w:p w14:paraId="2E180815">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9.94E-02</w:t>
                  </w:r>
                </w:p>
              </w:tc>
            </w:tr>
            <w:tr w14:paraId="57AF8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restart"/>
                  <w:vAlign w:val="center"/>
                </w:tcPr>
                <w:p w14:paraId="499264A6">
                  <w:pPr>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7</w:t>
                  </w:r>
                </w:p>
              </w:tc>
              <w:tc>
                <w:tcPr>
                  <w:tcW w:w="2727" w:type="dxa"/>
                  <w:vMerge w:val="restart"/>
                  <w:shd w:val="clear" w:color="auto" w:fill="auto"/>
                  <w:vAlign w:val="center"/>
                </w:tcPr>
                <w:p w14:paraId="7264DC25">
                  <w:pPr>
                    <w:widowControl/>
                    <w:adjustRightInd w:val="0"/>
                    <w:snapToGrid w:val="0"/>
                    <w:jc w:val="center"/>
                    <w:textAlignment w:val="center"/>
                    <w:rPr>
                      <w:rStyle w:val="67"/>
                      <w:rFonts w:hint="default" w:ascii="Times New Roman" w:hAnsi="Times New Roman" w:eastAsia="宋体" w:cs="Times New Roman"/>
                      <w:bCs/>
                      <w:color w:val="auto"/>
                      <w:sz w:val="21"/>
                      <w:szCs w:val="21"/>
                      <w:highlight w:val="none"/>
                      <w:lang w:val="en-US" w:eastAsia="zh-CN" w:bidi="ar"/>
                    </w:rPr>
                  </w:pPr>
                  <w:r>
                    <w:rPr>
                      <w:rStyle w:val="67"/>
                      <w:rFonts w:hint="eastAsia" w:ascii="Times New Roman" w:hAnsi="Times New Roman" w:cs="Times New Roman"/>
                      <w:bCs/>
                      <w:color w:val="auto"/>
                      <w:sz w:val="21"/>
                      <w:szCs w:val="21"/>
                      <w:highlight w:val="none"/>
                      <w:lang w:val="en-US" w:eastAsia="zh-CN" w:bidi="ar"/>
                    </w:rPr>
                    <w:t>控制室屏蔽墙30cm处</w:t>
                  </w:r>
                </w:p>
              </w:tc>
              <w:tc>
                <w:tcPr>
                  <w:tcW w:w="1060" w:type="dxa"/>
                  <w:vAlign w:val="center"/>
                </w:tcPr>
                <w:p w14:paraId="57D995F6">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1162" w:type="dxa"/>
                  <w:vMerge w:val="restart"/>
                  <w:vAlign w:val="center"/>
                </w:tcPr>
                <w:p w14:paraId="37F1697A">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4.2</w:t>
                  </w:r>
                </w:p>
              </w:tc>
              <w:tc>
                <w:tcPr>
                  <w:tcW w:w="3503" w:type="dxa"/>
                  <w:vMerge w:val="restart"/>
                  <w:vAlign w:val="center"/>
                </w:tcPr>
                <w:p w14:paraId="124B17EF">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200</w:t>
                  </w:r>
                  <w:r>
                    <w:rPr>
                      <w:rFonts w:hint="default" w:ascii="Times New Roman" w:hAnsi="Times New Roman" w:cs="Times New Roman"/>
                      <w:color w:val="auto"/>
                      <w:sz w:val="21"/>
                      <w:szCs w:val="21"/>
                      <w:highlight w:val="none"/>
                      <w:lang w:val="en-US" w:eastAsia="zh-CN"/>
                    </w:rPr>
                    <w:t>mm厚实心砖砌体+22mm复合射线防护板</w:t>
                  </w:r>
                </w:p>
              </w:tc>
              <w:tc>
                <w:tcPr>
                  <w:tcW w:w="918" w:type="dxa"/>
                  <w:vMerge w:val="restart"/>
                  <w:vAlign w:val="center"/>
                </w:tcPr>
                <w:p w14:paraId="15DF88A1">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788" w:type="dxa"/>
                  <w:shd w:val="clear" w:color="auto" w:fill="auto"/>
                  <w:vAlign w:val="center"/>
                </w:tcPr>
                <w:p w14:paraId="711C79DC">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18"/>
                      <w:szCs w:val="18"/>
                      <w:highlight w:val="none"/>
                      <w:lang w:val="en-US" w:eastAsia="zh-CN"/>
                    </w:rPr>
                    <w:t>4.12E-07</w:t>
                  </w:r>
                </w:p>
              </w:tc>
              <w:tc>
                <w:tcPr>
                  <w:tcW w:w="1789" w:type="dxa"/>
                  <w:shd w:val="clear" w:color="auto" w:fill="auto"/>
                  <w:vAlign w:val="center"/>
                </w:tcPr>
                <w:p w14:paraId="12EEEC0A">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3.13E-05</w:t>
                  </w:r>
                </w:p>
              </w:tc>
            </w:tr>
            <w:tr w14:paraId="09373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continue"/>
                  <w:vAlign w:val="center"/>
                </w:tcPr>
                <w:p w14:paraId="4FB21CD3">
                  <w:pPr>
                    <w:adjustRightInd w:val="0"/>
                    <w:snapToGrid w:val="0"/>
                    <w:jc w:val="center"/>
                    <w:rPr>
                      <w:rFonts w:hint="default" w:ascii="Times New Roman" w:hAnsi="Times New Roman" w:cs="Times New Roman"/>
                      <w:bCs/>
                      <w:color w:val="auto"/>
                      <w:sz w:val="21"/>
                      <w:szCs w:val="21"/>
                      <w:highlight w:val="none"/>
                    </w:rPr>
                  </w:pPr>
                </w:p>
              </w:tc>
              <w:tc>
                <w:tcPr>
                  <w:tcW w:w="2727" w:type="dxa"/>
                  <w:vMerge w:val="continue"/>
                  <w:vAlign w:val="center"/>
                </w:tcPr>
                <w:p w14:paraId="23756E38">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1060" w:type="dxa"/>
                  <w:vAlign w:val="center"/>
                </w:tcPr>
                <w:p w14:paraId="53AF37FB">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1162" w:type="dxa"/>
                  <w:vMerge w:val="continue"/>
                  <w:vAlign w:val="center"/>
                </w:tcPr>
                <w:p w14:paraId="05C398D9">
                  <w:pPr>
                    <w:widowControl/>
                    <w:adjustRightInd w:val="0"/>
                    <w:snapToGrid w:val="0"/>
                    <w:jc w:val="center"/>
                    <w:textAlignment w:val="center"/>
                    <w:rPr>
                      <w:rFonts w:hint="default" w:ascii="Times New Roman" w:hAnsi="Times New Roman" w:cs="Times New Roman"/>
                      <w:bCs/>
                      <w:color w:val="auto"/>
                      <w:sz w:val="21"/>
                      <w:szCs w:val="21"/>
                      <w:highlight w:val="none"/>
                    </w:rPr>
                  </w:pPr>
                </w:p>
              </w:tc>
              <w:tc>
                <w:tcPr>
                  <w:tcW w:w="3503" w:type="dxa"/>
                  <w:vMerge w:val="continue"/>
                  <w:vAlign w:val="center"/>
                </w:tcPr>
                <w:p w14:paraId="1375D1FB">
                  <w:pPr>
                    <w:pStyle w:val="32"/>
                    <w:snapToGrid w:val="0"/>
                    <w:jc w:val="center"/>
                    <w:rPr>
                      <w:rFonts w:hint="default" w:ascii="Times New Roman" w:hAnsi="Times New Roman" w:cs="Times New Roman"/>
                      <w:bCs/>
                      <w:color w:val="auto"/>
                      <w:sz w:val="21"/>
                      <w:szCs w:val="21"/>
                      <w:highlight w:val="none"/>
                    </w:rPr>
                  </w:pPr>
                </w:p>
              </w:tc>
              <w:tc>
                <w:tcPr>
                  <w:tcW w:w="918" w:type="dxa"/>
                  <w:vMerge w:val="continue"/>
                  <w:vAlign w:val="center"/>
                </w:tcPr>
                <w:p w14:paraId="08C1B21A">
                  <w:pPr>
                    <w:pStyle w:val="32"/>
                    <w:snapToGrid w:val="0"/>
                    <w:jc w:val="center"/>
                    <w:rPr>
                      <w:rFonts w:hint="default" w:ascii="Times New Roman" w:hAnsi="Times New Roman" w:cs="Times New Roman"/>
                      <w:bCs/>
                      <w:color w:val="auto"/>
                      <w:sz w:val="21"/>
                      <w:szCs w:val="21"/>
                      <w:highlight w:val="none"/>
                    </w:rPr>
                  </w:pPr>
                </w:p>
              </w:tc>
              <w:tc>
                <w:tcPr>
                  <w:tcW w:w="1788" w:type="dxa"/>
                  <w:shd w:val="clear" w:color="auto" w:fill="auto"/>
                  <w:vAlign w:val="center"/>
                </w:tcPr>
                <w:p w14:paraId="4E1B94D8">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6.18E-07</w:t>
                  </w:r>
                </w:p>
              </w:tc>
              <w:tc>
                <w:tcPr>
                  <w:tcW w:w="1789" w:type="dxa"/>
                  <w:shd w:val="clear" w:color="auto" w:fill="auto"/>
                  <w:vAlign w:val="center"/>
                </w:tcPr>
                <w:p w14:paraId="5816AFA8">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6.76E-04</w:t>
                  </w:r>
                </w:p>
              </w:tc>
            </w:tr>
            <w:tr w14:paraId="16A42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restart"/>
                  <w:vAlign w:val="center"/>
                </w:tcPr>
                <w:p w14:paraId="37978FFF">
                  <w:pPr>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8</w:t>
                  </w:r>
                </w:p>
              </w:tc>
              <w:tc>
                <w:tcPr>
                  <w:tcW w:w="2727" w:type="dxa"/>
                  <w:vMerge w:val="restart"/>
                  <w:shd w:val="clear" w:color="auto" w:fill="auto"/>
                  <w:vAlign w:val="center"/>
                </w:tcPr>
                <w:p w14:paraId="7075C06F">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bidi="ar"/>
                    </w:rPr>
                  </w:pPr>
                  <w:r>
                    <w:rPr>
                      <w:rFonts w:hint="eastAsia" w:ascii="Times New Roman" w:hAnsi="Times New Roman" w:cs="Times New Roman"/>
                      <w:bCs/>
                      <w:color w:val="auto"/>
                      <w:sz w:val="21"/>
                      <w:szCs w:val="21"/>
                      <w:highlight w:val="none"/>
                      <w:lang w:val="en-US" w:eastAsia="zh-CN" w:bidi="ar"/>
                    </w:rPr>
                    <w:t>控制室平开门30cm处</w:t>
                  </w:r>
                </w:p>
              </w:tc>
              <w:tc>
                <w:tcPr>
                  <w:tcW w:w="1060" w:type="dxa"/>
                  <w:vAlign w:val="center"/>
                </w:tcPr>
                <w:p w14:paraId="2387D4B1">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1162" w:type="dxa"/>
                  <w:vMerge w:val="restart"/>
                  <w:vAlign w:val="center"/>
                </w:tcPr>
                <w:p w14:paraId="0C641914">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5.0</w:t>
                  </w:r>
                </w:p>
              </w:tc>
              <w:tc>
                <w:tcPr>
                  <w:tcW w:w="3503" w:type="dxa"/>
                  <w:vMerge w:val="restart"/>
                  <w:vAlign w:val="center"/>
                </w:tcPr>
                <w:p w14:paraId="0133310D">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3mmPb铅防护门</w:t>
                  </w:r>
                </w:p>
              </w:tc>
              <w:tc>
                <w:tcPr>
                  <w:tcW w:w="918" w:type="dxa"/>
                  <w:vMerge w:val="restart"/>
                  <w:vAlign w:val="center"/>
                </w:tcPr>
                <w:p w14:paraId="0AB29E2B">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788" w:type="dxa"/>
                  <w:shd w:val="clear" w:color="auto" w:fill="auto"/>
                  <w:vAlign w:val="center"/>
                </w:tcPr>
                <w:p w14:paraId="479E87C2">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4.21E-05</w:t>
                  </w:r>
                </w:p>
              </w:tc>
              <w:tc>
                <w:tcPr>
                  <w:tcW w:w="1789" w:type="dxa"/>
                  <w:shd w:val="clear" w:color="auto" w:fill="auto"/>
                  <w:vAlign w:val="center"/>
                </w:tcPr>
                <w:p w14:paraId="582646CB">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2.26E-03</w:t>
                  </w:r>
                </w:p>
              </w:tc>
            </w:tr>
            <w:tr w14:paraId="044BB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continue"/>
                  <w:vAlign w:val="center"/>
                </w:tcPr>
                <w:p w14:paraId="3DFE84D6">
                  <w:pPr>
                    <w:adjustRightInd w:val="0"/>
                    <w:snapToGrid w:val="0"/>
                    <w:jc w:val="center"/>
                    <w:rPr>
                      <w:rFonts w:hint="default" w:ascii="Times New Roman" w:hAnsi="Times New Roman" w:cs="Times New Roman"/>
                      <w:bCs/>
                      <w:color w:val="auto"/>
                      <w:sz w:val="21"/>
                      <w:szCs w:val="21"/>
                      <w:highlight w:val="none"/>
                    </w:rPr>
                  </w:pPr>
                </w:p>
              </w:tc>
              <w:tc>
                <w:tcPr>
                  <w:tcW w:w="2727" w:type="dxa"/>
                  <w:vMerge w:val="continue"/>
                  <w:vAlign w:val="center"/>
                </w:tcPr>
                <w:p w14:paraId="6A519412">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1060" w:type="dxa"/>
                  <w:vAlign w:val="center"/>
                </w:tcPr>
                <w:p w14:paraId="6568488A">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1162" w:type="dxa"/>
                  <w:vMerge w:val="continue"/>
                  <w:vAlign w:val="center"/>
                </w:tcPr>
                <w:p w14:paraId="7DC33674">
                  <w:pPr>
                    <w:widowControl/>
                    <w:adjustRightInd w:val="0"/>
                    <w:snapToGrid w:val="0"/>
                    <w:jc w:val="center"/>
                    <w:textAlignment w:val="center"/>
                    <w:rPr>
                      <w:rFonts w:hint="default" w:ascii="Times New Roman" w:hAnsi="Times New Roman" w:cs="Times New Roman"/>
                      <w:bCs/>
                      <w:color w:val="auto"/>
                      <w:sz w:val="21"/>
                      <w:szCs w:val="21"/>
                      <w:highlight w:val="none"/>
                    </w:rPr>
                  </w:pPr>
                </w:p>
              </w:tc>
              <w:tc>
                <w:tcPr>
                  <w:tcW w:w="3503" w:type="dxa"/>
                  <w:vMerge w:val="continue"/>
                  <w:vAlign w:val="center"/>
                </w:tcPr>
                <w:p w14:paraId="3A2AE722">
                  <w:pPr>
                    <w:pStyle w:val="32"/>
                    <w:snapToGrid w:val="0"/>
                    <w:jc w:val="center"/>
                    <w:rPr>
                      <w:rFonts w:hint="default" w:ascii="Times New Roman" w:hAnsi="Times New Roman" w:cs="Times New Roman"/>
                      <w:bCs/>
                      <w:color w:val="auto"/>
                      <w:sz w:val="21"/>
                      <w:szCs w:val="21"/>
                      <w:highlight w:val="none"/>
                    </w:rPr>
                  </w:pPr>
                </w:p>
              </w:tc>
              <w:tc>
                <w:tcPr>
                  <w:tcW w:w="918" w:type="dxa"/>
                  <w:vMerge w:val="continue"/>
                  <w:vAlign w:val="center"/>
                </w:tcPr>
                <w:p w14:paraId="61E62893">
                  <w:pPr>
                    <w:pStyle w:val="32"/>
                    <w:snapToGrid w:val="0"/>
                    <w:jc w:val="center"/>
                    <w:rPr>
                      <w:rFonts w:hint="default" w:ascii="Times New Roman" w:hAnsi="Times New Roman" w:cs="Times New Roman"/>
                      <w:bCs/>
                      <w:color w:val="auto"/>
                      <w:sz w:val="21"/>
                      <w:szCs w:val="21"/>
                      <w:highlight w:val="none"/>
                    </w:rPr>
                  </w:pPr>
                </w:p>
              </w:tc>
              <w:tc>
                <w:tcPr>
                  <w:tcW w:w="1788" w:type="dxa"/>
                  <w:shd w:val="clear" w:color="auto" w:fill="auto"/>
                  <w:vAlign w:val="center"/>
                </w:tcPr>
                <w:p w14:paraId="04EEE5F4">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6.31E-05</w:t>
                  </w:r>
                </w:p>
              </w:tc>
              <w:tc>
                <w:tcPr>
                  <w:tcW w:w="1789" w:type="dxa"/>
                  <w:shd w:val="clear" w:color="auto" w:fill="auto"/>
                  <w:vAlign w:val="center"/>
                </w:tcPr>
                <w:p w14:paraId="4D621714">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4.87E-02</w:t>
                  </w:r>
                </w:p>
              </w:tc>
            </w:tr>
            <w:tr w14:paraId="36449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restart"/>
                  <w:vAlign w:val="center"/>
                </w:tcPr>
                <w:p w14:paraId="232FBD86">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9</w:t>
                  </w:r>
                </w:p>
              </w:tc>
              <w:tc>
                <w:tcPr>
                  <w:tcW w:w="2727" w:type="dxa"/>
                  <w:vMerge w:val="restart"/>
                  <w:shd w:val="clear" w:color="auto" w:fill="auto"/>
                  <w:vAlign w:val="center"/>
                </w:tcPr>
                <w:p w14:paraId="6226D03B">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污物间屏蔽墙30cm处</w:t>
                  </w:r>
                </w:p>
              </w:tc>
              <w:tc>
                <w:tcPr>
                  <w:tcW w:w="1060" w:type="dxa"/>
                  <w:vAlign w:val="center"/>
                </w:tcPr>
                <w:p w14:paraId="3608AFCD">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1162" w:type="dxa"/>
                  <w:vMerge w:val="restart"/>
                  <w:vAlign w:val="center"/>
                </w:tcPr>
                <w:p w14:paraId="0D53D4C2">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5.8</w:t>
                  </w:r>
                </w:p>
              </w:tc>
              <w:tc>
                <w:tcPr>
                  <w:tcW w:w="3503" w:type="dxa"/>
                  <w:vMerge w:val="restart"/>
                  <w:vAlign w:val="center"/>
                </w:tcPr>
                <w:p w14:paraId="7A318907">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200</w:t>
                  </w:r>
                  <w:r>
                    <w:rPr>
                      <w:rFonts w:hint="default" w:ascii="Times New Roman" w:hAnsi="Times New Roman" w:cs="Times New Roman"/>
                      <w:color w:val="auto"/>
                      <w:sz w:val="21"/>
                      <w:szCs w:val="21"/>
                      <w:highlight w:val="none"/>
                      <w:lang w:val="en-US" w:eastAsia="zh-CN"/>
                    </w:rPr>
                    <w:t>mm厚实心砖砌体+22mm复合射线防护板</w:t>
                  </w:r>
                </w:p>
              </w:tc>
              <w:tc>
                <w:tcPr>
                  <w:tcW w:w="918" w:type="dxa"/>
                  <w:vMerge w:val="restart"/>
                  <w:vAlign w:val="center"/>
                </w:tcPr>
                <w:p w14:paraId="7E2B0908">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788" w:type="dxa"/>
                  <w:shd w:val="clear" w:color="auto" w:fill="auto"/>
                  <w:vAlign w:val="center"/>
                </w:tcPr>
                <w:p w14:paraId="2CD86186">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18"/>
                      <w:szCs w:val="18"/>
                      <w:highlight w:val="none"/>
                      <w:lang w:val="en-US" w:eastAsia="zh-CN"/>
                    </w:rPr>
                    <w:t>4.12E-07</w:t>
                  </w:r>
                </w:p>
              </w:tc>
              <w:tc>
                <w:tcPr>
                  <w:tcW w:w="1789" w:type="dxa"/>
                  <w:shd w:val="clear" w:color="auto" w:fill="auto"/>
                  <w:vAlign w:val="center"/>
                </w:tcPr>
                <w:p w14:paraId="7D05DBD3">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1.64E-05</w:t>
                  </w:r>
                </w:p>
              </w:tc>
            </w:tr>
            <w:tr w14:paraId="5EFD0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continue"/>
                  <w:vAlign w:val="center"/>
                </w:tcPr>
                <w:p w14:paraId="744D74C5">
                  <w:pPr>
                    <w:pStyle w:val="32"/>
                    <w:snapToGrid w:val="0"/>
                    <w:jc w:val="center"/>
                    <w:rPr>
                      <w:rFonts w:hint="default" w:ascii="Times New Roman" w:hAnsi="Times New Roman" w:cs="Times New Roman"/>
                      <w:bCs/>
                      <w:color w:val="auto"/>
                      <w:sz w:val="21"/>
                      <w:szCs w:val="21"/>
                      <w:highlight w:val="none"/>
                    </w:rPr>
                  </w:pPr>
                </w:p>
              </w:tc>
              <w:tc>
                <w:tcPr>
                  <w:tcW w:w="2727" w:type="dxa"/>
                  <w:vMerge w:val="continue"/>
                  <w:vAlign w:val="center"/>
                </w:tcPr>
                <w:p w14:paraId="6F5A535C">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1060" w:type="dxa"/>
                  <w:vAlign w:val="center"/>
                </w:tcPr>
                <w:p w14:paraId="2BFC8C41">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1162" w:type="dxa"/>
                  <w:vMerge w:val="continue"/>
                  <w:vAlign w:val="center"/>
                </w:tcPr>
                <w:p w14:paraId="280A8D21">
                  <w:pPr>
                    <w:widowControl/>
                    <w:adjustRightInd w:val="0"/>
                    <w:snapToGrid w:val="0"/>
                    <w:jc w:val="center"/>
                    <w:textAlignment w:val="center"/>
                    <w:rPr>
                      <w:rFonts w:hint="default" w:ascii="Times New Roman" w:hAnsi="Times New Roman" w:cs="Times New Roman"/>
                      <w:bCs/>
                      <w:color w:val="auto"/>
                      <w:sz w:val="21"/>
                      <w:szCs w:val="21"/>
                      <w:highlight w:val="none"/>
                    </w:rPr>
                  </w:pPr>
                </w:p>
              </w:tc>
              <w:tc>
                <w:tcPr>
                  <w:tcW w:w="3503" w:type="dxa"/>
                  <w:vMerge w:val="continue"/>
                  <w:vAlign w:val="center"/>
                </w:tcPr>
                <w:p w14:paraId="6DFACEA7">
                  <w:pPr>
                    <w:pStyle w:val="32"/>
                    <w:snapToGrid w:val="0"/>
                    <w:jc w:val="center"/>
                    <w:rPr>
                      <w:rFonts w:hint="default" w:ascii="Times New Roman" w:hAnsi="Times New Roman" w:cs="Times New Roman"/>
                      <w:bCs/>
                      <w:color w:val="auto"/>
                      <w:sz w:val="21"/>
                      <w:szCs w:val="21"/>
                      <w:highlight w:val="none"/>
                    </w:rPr>
                  </w:pPr>
                </w:p>
              </w:tc>
              <w:tc>
                <w:tcPr>
                  <w:tcW w:w="918" w:type="dxa"/>
                  <w:vMerge w:val="continue"/>
                  <w:vAlign w:val="center"/>
                </w:tcPr>
                <w:p w14:paraId="69D46737">
                  <w:pPr>
                    <w:pStyle w:val="32"/>
                    <w:snapToGrid w:val="0"/>
                    <w:jc w:val="center"/>
                    <w:rPr>
                      <w:rFonts w:hint="default" w:ascii="Times New Roman" w:hAnsi="Times New Roman" w:cs="Times New Roman"/>
                      <w:bCs/>
                      <w:color w:val="auto"/>
                      <w:sz w:val="21"/>
                      <w:szCs w:val="21"/>
                      <w:highlight w:val="none"/>
                    </w:rPr>
                  </w:pPr>
                </w:p>
              </w:tc>
              <w:tc>
                <w:tcPr>
                  <w:tcW w:w="1788" w:type="dxa"/>
                  <w:shd w:val="clear" w:color="auto" w:fill="auto"/>
                  <w:vAlign w:val="center"/>
                </w:tcPr>
                <w:p w14:paraId="65087AE6">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6.18E-07</w:t>
                  </w:r>
                </w:p>
              </w:tc>
              <w:tc>
                <w:tcPr>
                  <w:tcW w:w="1789" w:type="dxa"/>
                  <w:shd w:val="clear" w:color="auto" w:fill="auto"/>
                  <w:vAlign w:val="center"/>
                </w:tcPr>
                <w:p w14:paraId="29A131D1">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3.55E-04</w:t>
                  </w:r>
                </w:p>
              </w:tc>
            </w:tr>
            <w:tr w14:paraId="78110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restart"/>
                  <w:vAlign w:val="center"/>
                </w:tcPr>
                <w:p w14:paraId="370FC2D7">
                  <w:pPr>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10</w:t>
                  </w:r>
                </w:p>
              </w:tc>
              <w:tc>
                <w:tcPr>
                  <w:tcW w:w="2727" w:type="dxa"/>
                  <w:vMerge w:val="restart"/>
                  <w:shd w:val="clear" w:color="auto" w:fill="auto"/>
                  <w:vAlign w:val="center"/>
                </w:tcPr>
                <w:p w14:paraId="3DF82509">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污物间平开门30cm处</w:t>
                  </w:r>
                </w:p>
              </w:tc>
              <w:tc>
                <w:tcPr>
                  <w:tcW w:w="1060" w:type="dxa"/>
                  <w:shd w:val="clear" w:color="auto" w:fill="auto"/>
                  <w:vAlign w:val="center"/>
                </w:tcPr>
                <w:p w14:paraId="504896DD">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1162" w:type="dxa"/>
                  <w:vMerge w:val="restart"/>
                  <w:vAlign w:val="center"/>
                </w:tcPr>
                <w:p w14:paraId="4E2A15C6">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5.4</w:t>
                  </w:r>
                </w:p>
              </w:tc>
              <w:tc>
                <w:tcPr>
                  <w:tcW w:w="3503" w:type="dxa"/>
                  <w:vMerge w:val="restart"/>
                  <w:vAlign w:val="center"/>
                </w:tcPr>
                <w:p w14:paraId="20AED34F">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3mmPb铅防护门</w:t>
                  </w:r>
                </w:p>
              </w:tc>
              <w:tc>
                <w:tcPr>
                  <w:tcW w:w="918" w:type="dxa"/>
                  <w:vMerge w:val="restart"/>
                  <w:vAlign w:val="center"/>
                </w:tcPr>
                <w:p w14:paraId="22E2F87B">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788" w:type="dxa"/>
                  <w:shd w:val="clear" w:color="auto" w:fill="auto"/>
                  <w:vAlign w:val="center"/>
                </w:tcPr>
                <w:p w14:paraId="7D48E389">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4.21E-05</w:t>
                  </w:r>
                </w:p>
              </w:tc>
              <w:tc>
                <w:tcPr>
                  <w:tcW w:w="1789" w:type="dxa"/>
                  <w:shd w:val="clear" w:color="auto" w:fill="auto"/>
                  <w:vAlign w:val="center"/>
                </w:tcPr>
                <w:p w14:paraId="7D2AEE5A">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1.94E-03</w:t>
                  </w:r>
                </w:p>
              </w:tc>
            </w:tr>
            <w:tr w14:paraId="0791F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continue"/>
                  <w:vAlign w:val="center"/>
                </w:tcPr>
                <w:p w14:paraId="79906D70">
                  <w:pPr>
                    <w:pStyle w:val="32"/>
                    <w:snapToGrid w:val="0"/>
                    <w:jc w:val="center"/>
                    <w:rPr>
                      <w:rFonts w:hint="default" w:ascii="Times New Roman" w:hAnsi="Times New Roman" w:cs="Times New Roman"/>
                      <w:bCs/>
                      <w:color w:val="auto"/>
                      <w:sz w:val="21"/>
                      <w:szCs w:val="21"/>
                      <w:highlight w:val="none"/>
                    </w:rPr>
                  </w:pPr>
                </w:p>
              </w:tc>
              <w:tc>
                <w:tcPr>
                  <w:tcW w:w="2727" w:type="dxa"/>
                  <w:vMerge w:val="continue"/>
                  <w:shd w:val="clear" w:color="auto" w:fill="auto"/>
                  <w:vAlign w:val="center"/>
                </w:tcPr>
                <w:p w14:paraId="4DF3FEAB">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1060" w:type="dxa"/>
                  <w:shd w:val="clear" w:color="auto" w:fill="auto"/>
                  <w:vAlign w:val="center"/>
                </w:tcPr>
                <w:p w14:paraId="0AFAF66B">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1162" w:type="dxa"/>
                  <w:vMerge w:val="continue"/>
                  <w:vAlign w:val="center"/>
                </w:tcPr>
                <w:p w14:paraId="604549A4">
                  <w:pPr>
                    <w:widowControl/>
                    <w:adjustRightInd w:val="0"/>
                    <w:snapToGrid w:val="0"/>
                    <w:jc w:val="center"/>
                    <w:textAlignment w:val="center"/>
                    <w:rPr>
                      <w:rFonts w:hint="default" w:ascii="Times New Roman" w:hAnsi="Times New Roman" w:cs="Times New Roman"/>
                      <w:bCs/>
                      <w:color w:val="auto"/>
                      <w:sz w:val="21"/>
                      <w:szCs w:val="21"/>
                      <w:highlight w:val="none"/>
                    </w:rPr>
                  </w:pPr>
                </w:p>
              </w:tc>
              <w:tc>
                <w:tcPr>
                  <w:tcW w:w="3503" w:type="dxa"/>
                  <w:vMerge w:val="continue"/>
                  <w:vAlign w:val="center"/>
                </w:tcPr>
                <w:p w14:paraId="155C69D5">
                  <w:pPr>
                    <w:pStyle w:val="32"/>
                    <w:snapToGrid w:val="0"/>
                    <w:jc w:val="center"/>
                    <w:rPr>
                      <w:rFonts w:hint="default" w:ascii="Times New Roman" w:hAnsi="Times New Roman" w:cs="Times New Roman"/>
                      <w:bCs/>
                      <w:color w:val="auto"/>
                      <w:sz w:val="21"/>
                      <w:szCs w:val="21"/>
                      <w:highlight w:val="none"/>
                    </w:rPr>
                  </w:pPr>
                </w:p>
              </w:tc>
              <w:tc>
                <w:tcPr>
                  <w:tcW w:w="918" w:type="dxa"/>
                  <w:vMerge w:val="continue"/>
                  <w:vAlign w:val="center"/>
                </w:tcPr>
                <w:p w14:paraId="3E538808">
                  <w:pPr>
                    <w:pStyle w:val="32"/>
                    <w:snapToGrid w:val="0"/>
                    <w:jc w:val="center"/>
                    <w:rPr>
                      <w:rFonts w:hint="default" w:ascii="Times New Roman" w:hAnsi="Times New Roman" w:cs="Times New Roman"/>
                      <w:bCs/>
                      <w:color w:val="auto"/>
                      <w:sz w:val="21"/>
                      <w:szCs w:val="21"/>
                      <w:highlight w:val="none"/>
                    </w:rPr>
                  </w:pPr>
                </w:p>
              </w:tc>
              <w:tc>
                <w:tcPr>
                  <w:tcW w:w="1788" w:type="dxa"/>
                  <w:shd w:val="clear" w:color="auto" w:fill="auto"/>
                  <w:vAlign w:val="center"/>
                </w:tcPr>
                <w:p w14:paraId="72E83A39">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6.31E-05</w:t>
                  </w:r>
                </w:p>
              </w:tc>
              <w:tc>
                <w:tcPr>
                  <w:tcW w:w="1789" w:type="dxa"/>
                  <w:shd w:val="clear" w:color="auto" w:fill="auto"/>
                  <w:vAlign w:val="center"/>
                </w:tcPr>
                <w:p w14:paraId="0E49A617">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4.18E-02</w:t>
                  </w:r>
                </w:p>
              </w:tc>
            </w:tr>
            <w:tr w14:paraId="77149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restart"/>
                  <w:vAlign w:val="center"/>
                </w:tcPr>
                <w:p w14:paraId="07B14AF7">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11</w:t>
                  </w:r>
                </w:p>
              </w:tc>
              <w:tc>
                <w:tcPr>
                  <w:tcW w:w="2727" w:type="dxa"/>
                  <w:vMerge w:val="restart"/>
                  <w:shd w:val="clear" w:color="auto" w:fill="auto"/>
                  <w:vAlign w:val="center"/>
                </w:tcPr>
                <w:p w14:paraId="5DD15C30">
                  <w:pPr>
                    <w:widowControl/>
                    <w:adjustRightInd w:val="0"/>
                    <w:snapToGrid w:val="0"/>
                    <w:jc w:val="center"/>
                    <w:textAlignment w:val="center"/>
                    <w:rPr>
                      <w:rStyle w:val="67"/>
                      <w:rFonts w:hint="default" w:ascii="Times New Roman" w:hAnsi="Times New Roman" w:eastAsia="宋体" w:cs="Times New Roman"/>
                      <w:bCs/>
                      <w:color w:val="auto"/>
                      <w:sz w:val="21"/>
                      <w:szCs w:val="21"/>
                      <w:highlight w:val="none"/>
                      <w:lang w:val="en-US" w:eastAsia="zh-CN" w:bidi="ar"/>
                    </w:rPr>
                  </w:pPr>
                  <w:r>
                    <w:rPr>
                      <w:rStyle w:val="67"/>
                      <w:rFonts w:hint="eastAsia" w:ascii="Times New Roman" w:hAnsi="Times New Roman" w:cs="Times New Roman"/>
                      <w:bCs/>
                      <w:color w:val="auto"/>
                      <w:sz w:val="21"/>
                      <w:szCs w:val="21"/>
                      <w:highlight w:val="none"/>
                      <w:lang w:val="en-US" w:eastAsia="zh-CN" w:bidi="ar"/>
                    </w:rPr>
                    <w:t>设备间屏蔽墙30cm处</w:t>
                  </w:r>
                </w:p>
              </w:tc>
              <w:tc>
                <w:tcPr>
                  <w:tcW w:w="1060" w:type="dxa"/>
                  <w:shd w:val="clear" w:color="auto" w:fill="auto"/>
                  <w:vAlign w:val="center"/>
                </w:tcPr>
                <w:p w14:paraId="2626A6FF">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1162" w:type="dxa"/>
                  <w:vMerge w:val="restart"/>
                  <w:vAlign w:val="center"/>
                </w:tcPr>
                <w:p w14:paraId="42DCF50B">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5.3</w:t>
                  </w:r>
                </w:p>
              </w:tc>
              <w:tc>
                <w:tcPr>
                  <w:tcW w:w="3503" w:type="dxa"/>
                  <w:vMerge w:val="restart"/>
                  <w:vAlign w:val="center"/>
                </w:tcPr>
                <w:p w14:paraId="3D435250">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200</w:t>
                  </w:r>
                  <w:r>
                    <w:rPr>
                      <w:rFonts w:hint="default" w:ascii="Times New Roman" w:hAnsi="Times New Roman" w:cs="Times New Roman"/>
                      <w:color w:val="auto"/>
                      <w:sz w:val="21"/>
                      <w:szCs w:val="21"/>
                      <w:highlight w:val="none"/>
                      <w:lang w:val="en-US" w:eastAsia="zh-CN"/>
                    </w:rPr>
                    <w:t>mm厚实心砖砌体+22mm复合射线防护板</w:t>
                  </w:r>
                </w:p>
              </w:tc>
              <w:tc>
                <w:tcPr>
                  <w:tcW w:w="918" w:type="dxa"/>
                  <w:vMerge w:val="restart"/>
                  <w:vAlign w:val="center"/>
                </w:tcPr>
                <w:p w14:paraId="1F44B5C2">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w:t>
                  </w:r>
                </w:p>
              </w:tc>
              <w:tc>
                <w:tcPr>
                  <w:tcW w:w="1788" w:type="dxa"/>
                  <w:shd w:val="clear" w:color="auto" w:fill="auto"/>
                  <w:vAlign w:val="center"/>
                </w:tcPr>
                <w:p w14:paraId="226B112D">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18"/>
                      <w:szCs w:val="18"/>
                      <w:highlight w:val="none"/>
                      <w:lang w:val="en-US" w:eastAsia="zh-CN"/>
                    </w:rPr>
                    <w:t>4.12E-07</w:t>
                  </w:r>
                </w:p>
              </w:tc>
              <w:tc>
                <w:tcPr>
                  <w:tcW w:w="1789" w:type="dxa"/>
                  <w:shd w:val="clear" w:color="auto" w:fill="auto"/>
                  <w:vAlign w:val="center"/>
                </w:tcPr>
                <w:p w14:paraId="38595926">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1.97E-05</w:t>
                  </w:r>
                </w:p>
              </w:tc>
            </w:tr>
            <w:tr w14:paraId="47400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continue"/>
                  <w:vAlign w:val="center"/>
                </w:tcPr>
                <w:p w14:paraId="7E49F14E">
                  <w:pPr>
                    <w:pStyle w:val="32"/>
                    <w:snapToGrid w:val="0"/>
                    <w:jc w:val="center"/>
                    <w:rPr>
                      <w:rFonts w:hint="default" w:ascii="Times New Roman" w:hAnsi="Times New Roman" w:cs="Times New Roman"/>
                      <w:bCs/>
                      <w:color w:val="auto"/>
                      <w:sz w:val="21"/>
                      <w:szCs w:val="21"/>
                      <w:highlight w:val="none"/>
                    </w:rPr>
                  </w:pPr>
                </w:p>
              </w:tc>
              <w:tc>
                <w:tcPr>
                  <w:tcW w:w="2727" w:type="dxa"/>
                  <w:vMerge w:val="continue"/>
                  <w:shd w:val="clear" w:color="auto" w:fill="auto"/>
                  <w:vAlign w:val="center"/>
                </w:tcPr>
                <w:p w14:paraId="0BF5C7CA">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1060" w:type="dxa"/>
                  <w:shd w:val="clear" w:color="auto" w:fill="auto"/>
                  <w:vAlign w:val="center"/>
                </w:tcPr>
                <w:p w14:paraId="61AC727D">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1162" w:type="dxa"/>
                  <w:vMerge w:val="continue"/>
                  <w:vAlign w:val="center"/>
                </w:tcPr>
                <w:p w14:paraId="6F5DF2D9">
                  <w:pPr>
                    <w:widowControl/>
                    <w:adjustRightInd w:val="0"/>
                    <w:snapToGrid w:val="0"/>
                    <w:jc w:val="center"/>
                    <w:textAlignment w:val="center"/>
                    <w:rPr>
                      <w:rFonts w:hint="default" w:ascii="Times New Roman" w:hAnsi="Times New Roman" w:cs="Times New Roman"/>
                      <w:bCs/>
                      <w:color w:val="auto"/>
                      <w:sz w:val="21"/>
                      <w:szCs w:val="21"/>
                      <w:highlight w:val="none"/>
                    </w:rPr>
                  </w:pPr>
                </w:p>
              </w:tc>
              <w:tc>
                <w:tcPr>
                  <w:tcW w:w="3503" w:type="dxa"/>
                  <w:vMerge w:val="continue"/>
                  <w:vAlign w:val="center"/>
                </w:tcPr>
                <w:p w14:paraId="5527B71E">
                  <w:pPr>
                    <w:pStyle w:val="32"/>
                    <w:snapToGrid w:val="0"/>
                    <w:jc w:val="center"/>
                    <w:rPr>
                      <w:rFonts w:hint="default" w:ascii="Times New Roman" w:hAnsi="Times New Roman" w:cs="Times New Roman"/>
                      <w:bCs/>
                      <w:color w:val="auto"/>
                      <w:sz w:val="21"/>
                      <w:szCs w:val="21"/>
                      <w:highlight w:val="none"/>
                    </w:rPr>
                  </w:pPr>
                </w:p>
              </w:tc>
              <w:tc>
                <w:tcPr>
                  <w:tcW w:w="918" w:type="dxa"/>
                  <w:vMerge w:val="continue"/>
                  <w:vAlign w:val="center"/>
                </w:tcPr>
                <w:p w14:paraId="451F803C">
                  <w:pPr>
                    <w:pStyle w:val="32"/>
                    <w:snapToGrid w:val="0"/>
                    <w:jc w:val="center"/>
                    <w:rPr>
                      <w:rFonts w:hint="default" w:ascii="Times New Roman" w:hAnsi="Times New Roman" w:cs="Times New Roman"/>
                      <w:bCs/>
                      <w:color w:val="auto"/>
                      <w:sz w:val="21"/>
                      <w:szCs w:val="21"/>
                      <w:highlight w:val="none"/>
                    </w:rPr>
                  </w:pPr>
                </w:p>
              </w:tc>
              <w:tc>
                <w:tcPr>
                  <w:tcW w:w="1788" w:type="dxa"/>
                  <w:shd w:val="clear" w:color="auto" w:fill="auto"/>
                  <w:vAlign w:val="center"/>
                </w:tcPr>
                <w:p w14:paraId="07980D63">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6.18E-07</w:t>
                  </w:r>
                </w:p>
              </w:tc>
              <w:tc>
                <w:tcPr>
                  <w:tcW w:w="1789" w:type="dxa"/>
                  <w:shd w:val="clear" w:color="auto" w:fill="auto"/>
                  <w:vAlign w:val="center"/>
                </w:tcPr>
                <w:p w14:paraId="491F4AEB">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4.25E-04</w:t>
                  </w:r>
                </w:p>
              </w:tc>
            </w:tr>
            <w:tr w14:paraId="51271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restart"/>
                  <w:vAlign w:val="center"/>
                </w:tcPr>
                <w:p w14:paraId="2139EF1C">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12</w:t>
                  </w:r>
                </w:p>
              </w:tc>
              <w:tc>
                <w:tcPr>
                  <w:tcW w:w="2727" w:type="dxa"/>
                  <w:vMerge w:val="restart"/>
                  <w:shd w:val="clear" w:color="auto" w:fill="auto"/>
                  <w:vAlign w:val="center"/>
                </w:tcPr>
                <w:p w14:paraId="56F988CB">
                  <w:pPr>
                    <w:widowControl/>
                    <w:adjustRightInd w:val="0"/>
                    <w:snapToGrid w:val="0"/>
                    <w:jc w:val="center"/>
                    <w:textAlignment w:val="center"/>
                    <w:rPr>
                      <w:rFonts w:hint="default" w:ascii="Times New Roman" w:hAnsi="Times New Roman" w:eastAsia="宋体" w:cs="Times New Roman"/>
                      <w:bCs/>
                      <w:color w:val="auto"/>
                      <w:kern w:val="2"/>
                      <w:sz w:val="21"/>
                      <w:szCs w:val="21"/>
                      <w:highlight w:val="none"/>
                      <w:u w:val="none"/>
                      <w:lang w:val="en-US" w:eastAsia="zh-CN" w:bidi="ar"/>
                    </w:rPr>
                  </w:pPr>
                  <w:r>
                    <w:rPr>
                      <w:rStyle w:val="67"/>
                      <w:rFonts w:hint="eastAsia" w:ascii="Times New Roman" w:hAnsi="Times New Roman" w:cs="Times New Roman"/>
                      <w:bCs/>
                      <w:color w:val="auto"/>
                      <w:sz w:val="21"/>
                      <w:szCs w:val="21"/>
                      <w:highlight w:val="none"/>
                      <w:lang w:val="en-US" w:eastAsia="zh-CN" w:bidi="ar"/>
                    </w:rPr>
                    <w:t>设备间平开门30cm处</w:t>
                  </w:r>
                </w:p>
              </w:tc>
              <w:tc>
                <w:tcPr>
                  <w:tcW w:w="1060" w:type="dxa"/>
                  <w:shd w:val="clear" w:color="auto" w:fill="auto"/>
                  <w:vAlign w:val="center"/>
                </w:tcPr>
                <w:p w14:paraId="08B7754A">
                  <w:pPr>
                    <w:pStyle w:val="32"/>
                    <w:snapToGrid w:val="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透视</w:t>
                  </w:r>
                </w:p>
              </w:tc>
              <w:tc>
                <w:tcPr>
                  <w:tcW w:w="1162" w:type="dxa"/>
                  <w:vMerge w:val="restart"/>
                  <w:vAlign w:val="center"/>
                </w:tcPr>
                <w:p w14:paraId="40501162">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5.4</w:t>
                  </w:r>
                </w:p>
              </w:tc>
              <w:tc>
                <w:tcPr>
                  <w:tcW w:w="3503" w:type="dxa"/>
                  <w:vMerge w:val="restart"/>
                  <w:vAlign w:val="center"/>
                </w:tcPr>
                <w:p w14:paraId="7971512D">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3mmPb铅防护门</w:t>
                  </w:r>
                </w:p>
              </w:tc>
              <w:tc>
                <w:tcPr>
                  <w:tcW w:w="918" w:type="dxa"/>
                  <w:vMerge w:val="restart"/>
                  <w:vAlign w:val="center"/>
                </w:tcPr>
                <w:p w14:paraId="00B93F93">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w:t>
                  </w:r>
                </w:p>
              </w:tc>
              <w:tc>
                <w:tcPr>
                  <w:tcW w:w="1788" w:type="dxa"/>
                  <w:shd w:val="clear" w:color="auto" w:fill="auto"/>
                  <w:vAlign w:val="center"/>
                </w:tcPr>
                <w:p w14:paraId="565E51F0">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4.21E-05</w:t>
                  </w:r>
                </w:p>
              </w:tc>
              <w:tc>
                <w:tcPr>
                  <w:tcW w:w="1789" w:type="dxa"/>
                  <w:shd w:val="clear" w:color="auto" w:fill="auto"/>
                  <w:vAlign w:val="center"/>
                </w:tcPr>
                <w:p w14:paraId="7A5A7D37">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1.94E-03</w:t>
                  </w:r>
                </w:p>
              </w:tc>
            </w:tr>
            <w:tr w14:paraId="51692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continue"/>
                  <w:vAlign w:val="center"/>
                </w:tcPr>
                <w:p w14:paraId="2A405982">
                  <w:pPr>
                    <w:pStyle w:val="32"/>
                    <w:snapToGrid w:val="0"/>
                    <w:jc w:val="center"/>
                    <w:rPr>
                      <w:rFonts w:hint="default" w:ascii="Times New Roman" w:hAnsi="Times New Roman" w:cs="Times New Roman"/>
                      <w:bCs/>
                      <w:color w:val="auto"/>
                      <w:sz w:val="21"/>
                      <w:szCs w:val="21"/>
                      <w:highlight w:val="none"/>
                    </w:rPr>
                  </w:pPr>
                </w:p>
              </w:tc>
              <w:tc>
                <w:tcPr>
                  <w:tcW w:w="2727" w:type="dxa"/>
                  <w:vMerge w:val="continue"/>
                  <w:shd w:val="clear" w:color="auto" w:fill="auto"/>
                  <w:vAlign w:val="center"/>
                </w:tcPr>
                <w:p w14:paraId="7C7BFDA7">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1060" w:type="dxa"/>
                  <w:shd w:val="clear" w:color="auto" w:fill="auto"/>
                  <w:vAlign w:val="center"/>
                </w:tcPr>
                <w:p w14:paraId="41826465">
                  <w:pPr>
                    <w:pStyle w:val="32"/>
                    <w:snapToGrid w:val="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拍片</w:t>
                  </w:r>
                </w:p>
              </w:tc>
              <w:tc>
                <w:tcPr>
                  <w:tcW w:w="1162" w:type="dxa"/>
                  <w:vMerge w:val="continue"/>
                  <w:vAlign w:val="center"/>
                </w:tcPr>
                <w:p w14:paraId="14472BCC">
                  <w:pPr>
                    <w:widowControl/>
                    <w:adjustRightInd w:val="0"/>
                    <w:snapToGrid w:val="0"/>
                    <w:jc w:val="center"/>
                    <w:textAlignment w:val="center"/>
                    <w:rPr>
                      <w:rFonts w:hint="default" w:ascii="Times New Roman" w:hAnsi="Times New Roman" w:cs="Times New Roman"/>
                      <w:bCs/>
                      <w:color w:val="auto"/>
                      <w:sz w:val="21"/>
                      <w:szCs w:val="21"/>
                      <w:highlight w:val="none"/>
                    </w:rPr>
                  </w:pPr>
                </w:p>
              </w:tc>
              <w:tc>
                <w:tcPr>
                  <w:tcW w:w="3503" w:type="dxa"/>
                  <w:vMerge w:val="continue"/>
                  <w:vAlign w:val="center"/>
                </w:tcPr>
                <w:p w14:paraId="298406DB">
                  <w:pPr>
                    <w:pStyle w:val="32"/>
                    <w:snapToGrid w:val="0"/>
                    <w:jc w:val="center"/>
                    <w:rPr>
                      <w:rFonts w:hint="default" w:ascii="Times New Roman" w:hAnsi="Times New Roman" w:cs="Times New Roman"/>
                      <w:bCs/>
                      <w:color w:val="auto"/>
                      <w:sz w:val="21"/>
                      <w:szCs w:val="21"/>
                      <w:highlight w:val="none"/>
                    </w:rPr>
                  </w:pPr>
                </w:p>
              </w:tc>
              <w:tc>
                <w:tcPr>
                  <w:tcW w:w="918" w:type="dxa"/>
                  <w:vMerge w:val="continue"/>
                  <w:vAlign w:val="center"/>
                </w:tcPr>
                <w:p w14:paraId="5206B57A">
                  <w:pPr>
                    <w:pStyle w:val="32"/>
                    <w:snapToGrid w:val="0"/>
                    <w:jc w:val="center"/>
                    <w:rPr>
                      <w:rFonts w:hint="default" w:ascii="Times New Roman" w:hAnsi="Times New Roman" w:cs="Times New Roman"/>
                      <w:bCs/>
                      <w:color w:val="auto"/>
                      <w:sz w:val="21"/>
                      <w:szCs w:val="21"/>
                      <w:highlight w:val="none"/>
                    </w:rPr>
                  </w:pPr>
                </w:p>
              </w:tc>
              <w:tc>
                <w:tcPr>
                  <w:tcW w:w="1788" w:type="dxa"/>
                  <w:shd w:val="clear" w:color="auto" w:fill="auto"/>
                  <w:vAlign w:val="center"/>
                </w:tcPr>
                <w:p w14:paraId="7B6C0832">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6.31E-05</w:t>
                  </w:r>
                </w:p>
              </w:tc>
              <w:tc>
                <w:tcPr>
                  <w:tcW w:w="1789" w:type="dxa"/>
                  <w:shd w:val="clear" w:color="auto" w:fill="auto"/>
                  <w:vAlign w:val="center"/>
                </w:tcPr>
                <w:p w14:paraId="531661F5">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4.18E-02</w:t>
                  </w:r>
                </w:p>
              </w:tc>
            </w:tr>
            <w:tr w14:paraId="5E92A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restart"/>
                  <w:vAlign w:val="center"/>
                </w:tcPr>
                <w:p w14:paraId="0EEB7F2B">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13</w:t>
                  </w:r>
                </w:p>
              </w:tc>
              <w:tc>
                <w:tcPr>
                  <w:tcW w:w="2727" w:type="dxa"/>
                  <w:vMerge w:val="restart"/>
                  <w:shd w:val="clear" w:color="auto" w:fill="auto"/>
                  <w:vAlign w:val="center"/>
                </w:tcPr>
                <w:p w14:paraId="5696D807">
                  <w:pPr>
                    <w:widowControl/>
                    <w:adjustRightInd w:val="0"/>
                    <w:snapToGrid w:val="0"/>
                    <w:jc w:val="center"/>
                    <w:textAlignment w:val="center"/>
                    <w:rPr>
                      <w:rStyle w:val="67"/>
                      <w:rFonts w:hint="default" w:ascii="Times New Roman" w:hAnsi="Times New Roman" w:eastAsia="宋体" w:cs="Times New Roman"/>
                      <w:bCs/>
                      <w:color w:val="auto"/>
                      <w:sz w:val="21"/>
                      <w:szCs w:val="21"/>
                      <w:highlight w:val="none"/>
                      <w:lang w:val="en-US" w:eastAsia="zh-CN" w:bidi="ar"/>
                    </w:rPr>
                  </w:pPr>
                  <w:r>
                    <w:rPr>
                      <w:rStyle w:val="67"/>
                      <w:rFonts w:hint="eastAsia" w:ascii="Times New Roman" w:hAnsi="Times New Roman" w:cs="Times New Roman"/>
                      <w:bCs/>
                      <w:color w:val="auto"/>
                      <w:sz w:val="21"/>
                      <w:szCs w:val="21"/>
                      <w:highlight w:val="none"/>
                      <w:lang w:val="en-US" w:eastAsia="zh-CN" w:bidi="ar"/>
                    </w:rPr>
                    <w:t>DSA机头楼下30cm处</w:t>
                  </w:r>
                </w:p>
              </w:tc>
              <w:tc>
                <w:tcPr>
                  <w:tcW w:w="1060" w:type="dxa"/>
                  <w:shd w:val="clear" w:color="auto" w:fill="auto"/>
                  <w:vAlign w:val="center"/>
                </w:tcPr>
                <w:p w14:paraId="42E56D6C">
                  <w:pPr>
                    <w:pStyle w:val="32"/>
                    <w:snapToGrid w:val="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透视</w:t>
                  </w:r>
                </w:p>
              </w:tc>
              <w:tc>
                <w:tcPr>
                  <w:tcW w:w="1162" w:type="dxa"/>
                  <w:vMerge w:val="restart"/>
                  <w:vAlign w:val="center"/>
                </w:tcPr>
                <w:p w14:paraId="3E1544C6">
                  <w:pPr>
                    <w:widowControl/>
                    <w:adjustRightInd w:val="0"/>
                    <w:snapToGrid w:val="0"/>
                    <w:jc w:val="center"/>
                    <w:textAlignment w:val="center"/>
                    <w:rPr>
                      <w:rFonts w:hint="default" w:ascii="Times New Roman" w:hAnsi="Times New Roman" w:cs="Times New Roman"/>
                      <w:bCs/>
                      <w:color w:val="auto"/>
                      <w:sz w:val="21"/>
                      <w:szCs w:val="21"/>
                      <w:highlight w:val="none"/>
                      <w:lang w:val="en-US"/>
                    </w:rPr>
                  </w:pPr>
                  <w:r>
                    <w:rPr>
                      <w:rFonts w:hint="eastAsia" w:ascii="Times New Roman" w:hAnsi="Times New Roman" w:cs="Times New Roman"/>
                      <w:bCs/>
                      <w:color w:val="auto"/>
                      <w:sz w:val="21"/>
                      <w:szCs w:val="21"/>
                      <w:highlight w:val="none"/>
                      <w:lang w:val="en-US" w:eastAsia="zh-CN"/>
                    </w:rPr>
                    <w:t>1.25</w:t>
                  </w:r>
                </w:p>
              </w:tc>
              <w:tc>
                <w:tcPr>
                  <w:tcW w:w="3503" w:type="dxa"/>
                  <w:vMerge w:val="restart"/>
                  <w:vAlign w:val="center"/>
                </w:tcPr>
                <w:p w14:paraId="073FD8C6">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150mm混凝土+45mm硫酸钡水泥</w:t>
                  </w:r>
                </w:p>
              </w:tc>
              <w:tc>
                <w:tcPr>
                  <w:tcW w:w="918" w:type="dxa"/>
                  <w:vMerge w:val="restart"/>
                  <w:vAlign w:val="center"/>
                </w:tcPr>
                <w:p w14:paraId="48FA3053">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lang w:val="en-US" w:eastAsia="zh-CN"/>
                    </w:rPr>
                    <w:t>1</w:t>
                  </w:r>
                </w:p>
              </w:tc>
              <w:tc>
                <w:tcPr>
                  <w:tcW w:w="1788" w:type="dxa"/>
                  <w:shd w:val="clear" w:color="auto" w:fill="auto"/>
                  <w:vAlign w:val="center"/>
                </w:tcPr>
                <w:p w14:paraId="1D6B2A01">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1.19E-07</w:t>
                  </w:r>
                </w:p>
              </w:tc>
              <w:tc>
                <w:tcPr>
                  <w:tcW w:w="1789" w:type="dxa"/>
                  <w:shd w:val="clear" w:color="auto" w:fill="auto"/>
                  <w:vAlign w:val="center"/>
                </w:tcPr>
                <w:p w14:paraId="5FD860ED">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1.02E-04</w:t>
                  </w:r>
                </w:p>
              </w:tc>
            </w:tr>
            <w:tr w14:paraId="0DC68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83" w:hRule="atLeast"/>
              </w:trPr>
              <w:tc>
                <w:tcPr>
                  <w:tcW w:w="1041" w:type="dxa"/>
                  <w:vMerge w:val="continue"/>
                  <w:vAlign w:val="center"/>
                </w:tcPr>
                <w:p w14:paraId="5FEB2421">
                  <w:pPr>
                    <w:pStyle w:val="32"/>
                    <w:snapToGrid w:val="0"/>
                    <w:jc w:val="center"/>
                    <w:rPr>
                      <w:rFonts w:hint="default" w:ascii="Times New Roman" w:hAnsi="Times New Roman" w:cs="Times New Roman"/>
                      <w:bCs/>
                      <w:color w:val="auto"/>
                      <w:sz w:val="21"/>
                      <w:szCs w:val="21"/>
                      <w:highlight w:val="none"/>
                    </w:rPr>
                  </w:pPr>
                </w:p>
              </w:tc>
              <w:tc>
                <w:tcPr>
                  <w:tcW w:w="2727" w:type="dxa"/>
                  <w:vMerge w:val="continue"/>
                  <w:shd w:val="clear" w:color="auto" w:fill="auto"/>
                  <w:vAlign w:val="center"/>
                </w:tcPr>
                <w:p w14:paraId="76F69CB3">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1060" w:type="dxa"/>
                  <w:shd w:val="clear" w:color="auto" w:fill="auto"/>
                  <w:vAlign w:val="center"/>
                </w:tcPr>
                <w:p w14:paraId="0C63AE40">
                  <w:pPr>
                    <w:pStyle w:val="32"/>
                    <w:snapToGrid w:val="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拍片</w:t>
                  </w:r>
                </w:p>
              </w:tc>
              <w:tc>
                <w:tcPr>
                  <w:tcW w:w="1162" w:type="dxa"/>
                  <w:vMerge w:val="continue"/>
                  <w:vAlign w:val="center"/>
                </w:tcPr>
                <w:p w14:paraId="1AE2EEBC">
                  <w:pPr>
                    <w:widowControl/>
                    <w:adjustRightInd w:val="0"/>
                    <w:snapToGrid w:val="0"/>
                    <w:jc w:val="center"/>
                    <w:textAlignment w:val="center"/>
                    <w:rPr>
                      <w:rFonts w:hint="default" w:ascii="Times New Roman" w:hAnsi="Times New Roman" w:cs="Times New Roman"/>
                      <w:bCs/>
                      <w:color w:val="auto"/>
                      <w:sz w:val="21"/>
                      <w:szCs w:val="21"/>
                      <w:highlight w:val="none"/>
                    </w:rPr>
                  </w:pPr>
                </w:p>
              </w:tc>
              <w:tc>
                <w:tcPr>
                  <w:tcW w:w="3503" w:type="dxa"/>
                  <w:vMerge w:val="continue"/>
                  <w:vAlign w:val="center"/>
                </w:tcPr>
                <w:p w14:paraId="15D0F446">
                  <w:pPr>
                    <w:pStyle w:val="32"/>
                    <w:snapToGrid w:val="0"/>
                    <w:jc w:val="center"/>
                    <w:rPr>
                      <w:rFonts w:hint="default" w:ascii="Times New Roman" w:hAnsi="Times New Roman" w:cs="Times New Roman"/>
                      <w:bCs/>
                      <w:color w:val="auto"/>
                      <w:sz w:val="21"/>
                      <w:szCs w:val="21"/>
                      <w:highlight w:val="none"/>
                    </w:rPr>
                  </w:pPr>
                </w:p>
              </w:tc>
              <w:tc>
                <w:tcPr>
                  <w:tcW w:w="918" w:type="dxa"/>
                  <w:vMerge w:val="continue"/>
                  <w:vAlign w:val="center"/>
                </w:tcPr>
                <w:p w14:paraId="5E3FFEE9">
                  <w:pPr>
                    <w:pStyle w:val="32"/>
                    <w:snapToGrid w:val="0"/>
                    <w:jc w:val="center"/>
                    <w:rPr>
                      <w:rFonts w:hint="default" w:ascii="Times New Roman" w:hAnsi="Times New Roman" w:cs="Times New Roman"/>
                      <w:bCs/>
                      <w:color w:val="auto"/>
                      <w:sz w:val="21"/>
                      <w:szCs w:val="21"/>
                      <w:highlight w:val="none"/>
                    </w:rPr>
                  </w:pPr>
                </w:p>
              </w:tc>
              <w:tc>
                <w:tcPr>
                  <w:tcW w:w="1788" w:type="dxa"/>
                  <w:shd w:val="clear" w:color="auto" w:fill="auto"/>
                  <w:vAlign w:val="center"/>
                </w:tcPr>
                <w:p w14:paraId="342FC9F3">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1.79E-07</w:t>
                  </w:r>
                </w:p>
              </w:tc>
              <w:tc>
                <w:tcPr>
                  <w:tcW w:w="1789" w:type="dxa"/>
                  <w:shd w:val="clear" w:color="auto" w:fill="auto"/>
                  <w:vAlign w:val="center"/>
                </w:tcPr>
                <w:p w14:paraId="4FE589A0">
                  <w:pPr>
                    <w:widowControl/>
                    <w:jc w:val="center"/>
                    <w:textAlignment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2.21E-03</w:t>
                  </w:r>
                </w:p>
              </w:tc>
            </w:tr>
          </w:tbl>
          <w:p w14:paraId="64128BE8">
            <w:pPr>
              <w:pStyle w:val="32"/>
              <w:snapToGrid w:val="0"/>
              <w:jc w:val="both"/>
              <w:rPr>
                <w:rFonts w:hint="default" w:ascii="Times New Roman" w:hAnsi="Times New Roman" w:cs="Times New Roman"/>
                <w:color w:val="auto"/>
                <w:highlight w:val="none"/>
              </w:rPr>
            </w:pPr>
            <w:r>
              <w:rPr>
                <w:rFonts w:hint="default" w:ascii="Times New Roman" w:hAnsi="Times New Roman" w:cs="Times New Roman"/>
                <w:b/>
                <w:bCs/>
                <w:color w:val="auto"/>
                <w:sz w:val="18"/>
                <w:szCs w:val="18"/>
                <w:highlight w:val="none"/>
              </w:rPr>
              <w:t>注：根据《外照射放射防护剂量转换系数标准》（WS/T830-2024）表G.1中100kV下空气比释动能到周围剂量当量的转换系数为1.65;</w:t>
            </w:r>
            <w:r>
              <w:rPr>
                <w:rFonts w:hint="eastAsia" w:ascii="Times New Roman" w:hAnsi="Times New Roman" w:cs="Times New Roman"/>
                <w:b/>
                <w:bCs/>
                <w:color w:val="auto"/>
                <w:sz w:val="18"/>
                <w:szCs w:val="18"/>
                <w:highlight w:val="none"/>
                <w:lang w:val="en-US" w:eastAsia="zh-CN"/>
              </w:rPr>
              <w:t>9</w:t>
            </w:r>
            <w:r>
              <w:rPr>
                <w:rFonts w:hint="default" w:ascii="Times New Roman" w:hAnsi="Times New Roman" w:cs="Times New Roman"/>
                <w:b/>
                <w:bCs/>
                <w:color w:val="auto"/>
                <w:sz w:val="18"/>
                <w:szCs w:val="18"/>
                <w:highlight w:val="none"/>
              </w:rPr>
              <w:t>0kV下空气比释动能到周围剂量当量的转换系数为1.</w:t>
            </w:r>
            <w:r>
              <w:rPr>
                <w:rFonts w:hint="eastAsia" w:ascii="Times New Roman" w:hAnsi="Times New Roman" w:cs="Times New Roman"/>
                <w:b/>
                <w:bCs/>
                <w:color w:val="auto"/>
                <w:sz w:val="18"/>
                <w:szCs w:val="18"/>
                <w:highlight w:val="none"/>
                <w:lang w:val="en-US" w:eastAsia="zh-CN"/>
              </w:rPr>
              <w:t>69</w:t>
            </w:r>
            <w:r>
              <w:rPr>
                <w:rFonts w:hint="default" w:ascii="Times New Roman" w:hAnsi="Times New Roman" w:cs="Times New Roman"/>
                <w:b/>
                <w:bCs/>
                <w:color w:val="auto"/>
                <w:sz w:val="18"/>
                <w:szCs w:val="18"/>
                <w:highlight w:val="none"/>
              </w:rPr>
              <w:t>；</w:t>
            </w:r>
          </w:p>
          <w:p w14:paraId="36E93BCC">
            <w:pPr>
              <w:pStyle w:val="10"/>
              <w:rPr>
                <w:rFonts w:hint="default" w:ascii="Times New Roman" w:hAnsi="Times New Roman" w:cs="Times New Roman"/>
                <w:b/>
                <w:bCs/>
                <w:color w:val="auto"/>
                <w:sz w:val="18"/>
                <w:szCs w:val="18"/>
                <w:highlight w:val="none"/>
              </w:rPr>
            </w:pPr>
          </w:p>
          <w:p w14:paraId="328B1E3E">
            <w:pPr>
              <w:pStyle w:val="10"/>
              <w:rPr>
                <w:rFonts w:hint="default" w:ascii="Times New Roman" w:hAnsi="Times New Roman" w:cs="Times New Roman"/>
                <w:b/>
                <w:bCs/>
                <w:color w:val="auto"/>
                <w:sz w:val="18"/>
                <w:szCs w:val="18"/>
                <w:highlight w:val="none"/>
              </w:rPr>
            </w:pPr>
          </w:p>
          <w:p w14:paraId="4BAB458F">
            <w:pPr>
              <w:pStyle w:val="10"/>
              <w:rPr>
                <w:rFonts w:hint="default" w:ascii="Times New Roman" w:hAnsi="Times New Roman" w:cs="Times New Roman"/>
                <w:b/>
                <w:bCs/>
                <w:color w:val="auto"/>
                <w:sz w:val="18"/>
                <w:szCs w:val="18"/>
                <w:highlight w:val="none"/>
              </w:rPr>
            </w:pPr>
          </w:p>
          <w:p w14:paraId="35CD7209">
            <w:pPr>
              <w:pStyle w:val="10"/>
              <w:rPr>
                <w:rFonts w:hint="default" w:ascii="Times New Roman" w:hAnsi="Times New Roman" w:cs="Times New Roman"/>
                <w:b/>
                <w:bCs/>
                <w:color w:val="auto"/>
                <w:sz w:val="18"/>
                <w:szCs w:val="18"/>
                <w:highlight w:val="none"/>
              </w:rPr>
            </w:pPr>
          </w:p>
          <w:p w14:paraId="0DFC61E6">
            <w:pPr>
              <w:pStyle w:val="32"/>
              <w:numPr>
                <w:ilvl w:val="0"/>
                <w:numId w:val="22"/>
              </w:numPr>
              <w:snapToGrid w:val="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不同介入诊疗条件下非主射线方向周围剂量当量率估算结果</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散射线+泄露射线</w:t>
            </w:r>
            <w:r>
              <w:rPr>
                <w:rFonts w:hint="default" w:ascii="Times New Roman" w:hAnsi="Times New Roman" w:eastAsia="宋体" w:cs="Times New Roman"/>
                <w:color w:val="auto"/>
                <w:sz w:val="21"/>
                <w:szCs w:val="21"/>
                <w:highlight w:val="none"/>
                <w:lang w:eastAsia="zh-CN"/>
              </w:rPr>
              <w:t>）</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1696"/>
              <w:gridCol w:w="843"/>
              <w:gridCol w:w="2434"/>
              <w:gridCol w:w="1962"/>
              <w:gridCol w:w="2019"/>
              <w:gridCol w:w="1915"/>
              <w:gridCol w:w="1131"/>
              <w:gridCol w:w="1228"/>
            </w:tblGrid>
            <w:tr w14:paraId="17FB3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3996" w:type="dxa"/>
                  <w:gridSpan w:val="9"/>
                  <w:shd w:val="clear" w:color="auto" w:fill="EBF1DE" w:themeFill="accent3" w:themeFillTint="32"/>
                  <w:vAlign w:val="center"/>
                </w:tcPr>
                <w:p w14:paraId="3BEAA72E">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DSA机房</w:t>
                  </w:r>
                </w:p>
              </w:tc>
            </w:tr>
            <w:tr w14:paraId="742E3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768" w:type="dxa"/>
                  <w:vAlign w:val="center"/>
                </w:tcPr>
                <w:p w14:paraId="23FF9DA6">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关注点</w:t>
                  </w:r>
                </w:p>
              </w:tc>
              <w:tc>
                <w:tcPr>
                  <w:tcW w:w="1696" w:type="dxa"/>
                  <w:vAlign w:val="center"/>
                </w:tcPr>
                <w:p w14:paraId="7BAE5D0D">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预测点</w:t>
                  </w:r>
                </w:p>
              </w:tc>
              <w:tc>
                <w:tcPr>
                  <w:tcW w:w="843" w:type="dxa"/>
                  <w:vAlign w:val="center"/>
                </w:tcPr>
                <w:p w14:paraId="0D436F8D">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模式</w:t>
                  </w:r>
                </w:p>
              </w:tc>
              <w:tc>
                <w:tcPr>
                  <w:tcW w:w="2434" w:type="dxa"/>
                  <w:vAlign w:val="center"/>
                </w:tcPr>
                <w:p w14:paraId="4DEAC74B">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屏蔽材料</w:t>
                  </w:r>
                </w:p>
              </w:tc>
              <w:tc>
                <w:tcPr>
                  <w:tcW w:w="1962" w:type="dxa"/>
                  <w:vAlign w:val="center"/>
                </w:tcPr>
                <w:p w14:paraId="37ABD7B2">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lang w:val="en-US" w:eastAsia="zh-CN"/>
                    </w:rPr>
                    <w:t>散射线</w:t>
                  </w:r>
                  <w:r>
                    <w:rPr>
                      <w:rFonts w:hint="default" w:ascii="Times New Roman" w:hAnsi="Times New Roman" w:cs="Times New Roman"/>
                      <w:bCs/>
                      <w:color w:val="auto"/>
                      <w:sz w:val="21"/>
                      <w:szCs w:val="21"/>
                      <w:highlight w:val="none"/>
                    </w:rPr>
                    <w:t>周围剂量当量率(μSv/h)</w:t>
                  </w:r>
                </w:p>
              </w:tc>
              <w:tc>
                <w:tcPr>
                  <w:tcW w:w="2019" w:type="dxa"/>
                  <w:vAlign w:val="center"/>
                </w:tcPr>
                <w:p w14:paraId="77B9FF3F">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lang w:val="en-US" w:eastAsia="zh-CN"/>
                    </w:rPr>
                    <w:t>泄露射线</w:t>
                  </w:r>
                  <w:r>
                    <w:rPr>
                      <w:rFonts w:hint="default" w:ascii="Times New Roman" w:hAnsi="Times New Roman" w:cs="Times New Roman"/>
                      <w:bCs/>
                      <w:color w:val="auto"/>
                      <w:sz w:val="21"/>
                      <w:szCs w:val="21"/>
                      <w:highlight w:val="none"/>
                    </w:rPr>
                    <w:t>周围剂量当量率(μSv/h)</w:t>
                  </w:r>
                </w:p>
              </w:tc>
              <w:tc>
                <w:tcPr>
                  <w:tcW w:w="1915" w:type="dxa"/>
                  <w:shd w:val="clear" w:color="auto" w:fill="auto"/>
                  <w:vAlign w:val="center"/>
                </w:tcPr>
                <w:p w14:paraId="2122487E">
                  <w:pPr>
                    <w:pStyle w:val="32"/>
                    <w:snapToGrid w:val="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合计周围剂量当量率(μSv/h)</w:t>
                  </w:r>
                </w:p>
              </w:tc>
              <w:tc>
                <w:tcPr>
                  <w:tcW w:w="1131" w:type="dxa"/>
                  <w:shd w:val="clear" w:color="auto" w:fill="auto"/>
                  <w:vAlign w:val="center"/>
                </w:tcPr>
                <w:p w14:paraId="69D36B45">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标准值</w:t>
                  </w:r>
                  <w:r>
                    <w:rPr>
                      <w:rFonts w:hint="default" w:ascii="Times New Roman" w:hAnsi="Times New Roman" w:cs="Times New Roman"/>
                      <w:bCs/>
                      <w:color w:val="auto"/>
                      <w:sz w:val="21"/>
                      <w:szCs w:val="21"/>
                      <w:highlight w:val="none"/>
                    </w:rPr>
                    <w:t>(μSv/h)</w:t>
                  </w:r>
                </w:p>
              </w:tc>
              <w:tc>
                <w:tcPr>
                  <w:tcW w:w="1228" w:type="dxa"/>
                  <w:shd w:val="clear" w:color="auto" w:fill="auto"/>
                  <w:vAlign w:val="center"/>
                </w:tcPr>
                <w:p w14:paraId="5A01154B">
                  <w:pPr>
                    <w:pStyle w:val="32"/>
                    <w:snapToGrid w:val="0"/>
                    <w:jc w:val="center"/>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是否达标</w:t>
                  </w:r>
                </w:p>
              </w:tc>
            </w:tr>
            <w:tr w14:paraId="70D3A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8" w:type="dxa"/>
                  <w:vMerge w:val="restart"/>
                  <w:vAlign w:val="center"/>
                </w:tcPr>
                <w:p w14:paraId="630997E0">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w:t>
                  </w:r>
                </w:p>
              </w:tc>
              <w:tc>
                <w:tcPr>
                  <w:tcW w:w="1696" w:type="dxa"/>
                  <w:vMerge w:val="restart"/>
                  <w:vAlign w:val="center"/>
                </w:tcPr>
                <w:p w14:paraId="1212DA99">
                  <w:pPr>
                    <w:widowControl/>
                    <w:adjustRightInd w:val="0"/>
                    <w:snapToGrid w:val="0"/>
                    <w:jc w:val="center"/>
                    <w:textAlignment w:val="center"/>
                    <w:rPr>
                      <w:rStyle w:val="67"/>
                      <w:rFonts w:hint="default" w:ascii="Times New Roman" w:hAnsi="Times New Roman" w:eastAsia="宋体" w:cs="Times New Roman"/>
                      <w:bCs/>
                      <w:color w:val="auto"/>
                      <w:sz w:val="21"/>
                      <w:szCs w:val="21"/>
                      <w:highlight w:val="none"/>
                      <w:lang w:eastAsia="zh-CN" w:bidi="ar"/>
                    </w:rPr>
                  </w:pPr>
                  <w:r>
                    <w:rPr>
                      <w:rStyle w:val="67"/>
                      <w:rFonts w:hint="eastAsia" w:ascii="Times New Roman" w:hAnsi="Times New Roman" w:cs="Times New Roman"/>
                      <w:bCs/>
                      <w:color w:val="auto"/>
                      <w:sz w:val="21"/>
                      <w:szCs w:val="21"/>
                      <w:highlight w:val="none"/>
                      <w:lang w:val="en-US" w:eastAsia="zh-CN" w:bidi="ar"/>
                    </w:rPr>
                    <w:t>患者卫生间30cm处</w:t>
                  </w:r>
                </w:p>
              </w:tc>
              <w:tc>
                <w:tcPr>
                  <w:tcW w:w="843" w:type="dxa"/>
                  <w:vAlign w:val="center"/>
                </w:tcPr>
                <w:p w14:paraId="0A62C830">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2434" w:type="dxa"/>
                  <w:vMerge w:val="restart"/>
                  <w:vAlign w:val="center"/>
                </w:tcPr>
                <w:p w14:paraId="6958D983">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200</w:t>
                  </w:r>
                  <w:r>
                    <w:rPr>
                      <w:rFonts w:hint="default" w:ascii="Times New Roman" w:hAnsi="Times New Roman" w:cs="Times New Roman"/>
                      <w:color w:val="auto"/>
                      <w:sz w:val="21"/>
                      <w:szCs w:val="21"/>
                      <w:highlight w:val="none"/>
                      <w:lang w:val="en-US" w:eastAsia="zh-CN"/>
                    </w:rPr>
                    <w:t>mm厚实心砖砌体+22mm复合射线防护板</w:t>
                  </w:r>
                </w:p>
              </w:tc>
              <w:tc>
                <w:tcPr>
                  <w:tcW w:w="1962" w:type="dxa"/>
                  <w:vAlign w:val="center"/>
                </w:tcPr>
                <w:p w14:paraId="54C8B650">
                  <w:pPr>
                    <w:widowControl/>
                    <w:jc w:val="center"/>
                    <w:textAlignment w:val="center"/>
                    <w:rPr>
                      <w:rFonts w:hint="default" w:ascii="Times New Roman" w:hAnsi="Times New Roman" w:cs="Times New Roman"/>
                      <w:bCs/>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3.31E-05</w:t>
                  </w:r>
                </w:p>
              </w:tc>
              <w:tc>
                <w:tcPr>
                  <w:tcW w:w="2019" w:type="dxa"/>
                  <w:vAlign w:val="center"/>
                </w:tcPr>
                <w:p w14:paraId="7F921265">
                  <w:pPr>
                    <w:widowControl/>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color w:val="auto"/>
                      <w:kern w:val="0"/>
                      <w:sz w:val="18"/>
                      <w:szCs w:val="18"/>
                      <w:highlight w:val="none"/>
                      <w:lang w:val="en-US" w:eastAsia="zh-CN"/>
                    </w:rPr>
                    <w:t>2.77E-06</w:t>
                  </w:r>
                </w:p>
              </w:tc>
              <w:tc>
                <w:tcPr>
                  <w:tcW w:w="1915" w:type="dxa"/>
                  <w:shd w:val="clear" w:color="auto" w:fill="auto"/>
                  <w:vAlign w:val="center"/>
                </w:tcPr>
                <w:p w14:paraId="42D35A9C">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3.59E-05</w:t>
                  </w:r>
                </w:p>
              </w:tc>
              <w:tc>
                <w:tcPr>
                  <w:tcW w:w="1131" w:type="dxa"/>
                  <w:vMerge w:val="restart"/>
                  <w:shd w:val="clear" w:color="auto" w:fill="auto"/>
                  <w:vAlign w:val="center"/>
                </w:tcPr>
                <w:p w14:paraId="48FCE2A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2.5</w:t>
                  </w:r>
                </w:p>
              </w:tc>
              <w:tc>
                <w:tcPr>
                  <w:tcW w:w="1228" w:type="dxa"/>
                  <w:shd w:val="clear" w:color="auto" w:fill="auto"/>
                  <w:vAlign w:val="center"/>
                </w:tcPr>
                <w:p w14:paraId="52C2776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eastAsia" w:ascii="Times New Roman" w:hAnsi="Times New Roman" w:cs="Times New Roman"/>
                      <w:i w:val="0"/>
                      <w:iCs w:val="0"/>
                      <w:color w:val="auto"/>
                      <w:kern w:val="0"/>
                      <w:sz w:val="22"/>
                      <w:szCs w:val="22"/>
                      <w:highlight w:val="none"/>
                      <w:u w:val="none"/>
                      <w:lang w:val="en-US" w:eastAsia="zh-CN" w:bidi="ar"/>
                    </w:rPr>
                    <w:t>是</w:t>
                  </w:r>
                </w:p>
              </w:tc>
            </w:tr>
            <w:tr w14:paraId="4EF9A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8" w:type="dxa"/>
                  <w:vMerge w:val="continue"/>
                  <w:vAlign w:val="center"/>
                </w:tcPr>
                <w:p w14:paraId="258D2506">
                  <w:pPr>
                    <w:pStyle w:val="32"/>
                    <w:snapToGrid w:val="0"/>
                    <w:jc w:val="center"/>
                    <w:rPr>
                      <w:rFonts w:hint="default" w:ascii="Times New Roman" w:hAnsi="Times New Roman" w:cs="Times New Roman"/>
                      <w:bCs/>
                      <w:color w:val="auto"/>
                      <w:sz w:val="21"/>
                      <w:szCs w:val="21"/>
                      <w:highlight w:val="none"/>
                    </w:rPr>
                  </w:pPr>
                </w:p>
              </w:tc>
              <w:tc>
                <w:tcPr>
                  <w:tcW w:w="1696" w:type="dxa"/>
                  <w:vMerge w:val="continue"/>
                  <w:vAlign w:val="center"/>
                </w:tcPr>
                <w:p w14:paraId="7A74C3C6">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843" w:type="dxa"/>
                  <w:vAlign w:val="center"/>
                </w:tcPr>
                <w:p w14:paraId="267CE207">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2434" w:type="dxa"/>
                  <w:vMerge w:val="continue"/>
                  <w:vAlign w:val="center"/>
                </w:tcPr>
                <w:p w14:paraId="7C651AF6">
                  <w:pPr>
                    <w:pStyle w:val="32"/>
                    <w:snapToGrid w:val="0"/>
                    <w:jc w:val="center"/>
                    <w:rPr>
                      <w:rFonts w:hint="default" w:ascii="Times New Roman" w:hAnsi="Times New Roman" w:cs="Times New Roman"/>
                      <w:bCs/>
                      <w:color w:val="auto"/>
                      <w:sz w:val="21"/>
                      <w:szCs w:val="21"/>
                      <w:highlight w:val="none"/>
                    </w:rPr>
                  </w:pPr>
                </w:p>
              </w:tc>
              <w:tc>
                <w:tcPr>
                  <w:tcW w:w="1962" w:type="dxa"/>
                  <w:vAlign w:val="center"/>
                </w:tcPr>
                <w:p w14:paraId="370A162F">
                  <w:pPr>
                    <w:widowControl/>
                    <w:jc w:val="center"/>
                    <w:textAlignment w:val="center"/>
                    <w:rPr>
                      <w:rFonts w:hint="default" w:ascii="Times New Roman" w:hAnsi="Times New Roman" w:cs="Times New Roman"/>
                      <w:bCs/>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7.46E-04</w:t>
                  </w:r>
                </w:p>
              </w:tc>
              <w:tc>
                <w:tcPr>
                  <w:tcW w:w="2019" w:type="dxa"/>
                  <w:vAlign w:val="center"/>
                </w:tcPr>
                <w:p w14:paraId="21D2F2D6">
                  <w:pPr>
                    <w:widowControl/>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color w:val="auto"/>
                      <w:kern w:val="0"/>
                      <w:sz w:val="18"/>
                      <w:szCs w:val="18"/>
                      <w:highlight w:val="none"/>
                      <w:lang w:val="en-US" w:eastAsia="zh-CN"/>
                    </w:rPr>
                    <w:t>4.11E-05</w:t>
                  </w:r>
                </w:p>
              </w:tc>
              <w:tc>
                <w:tcPr>
                  <w:tcW w:w="1915" w:type="dxa"/>
                  <w:shd w:val="clear" w:color="auto" w:fill="auto"/>
                  <w:vAlign w:val="center"/>
                </w:tcPr>
                <w:p w14:paraId="7376B687">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7.87E-04</w:t>
                  </w:r>
                </w:p>
              </w:tc>
              <w:tc>
                <w:tcPr>
                  <w:tcW w:w="1131" w:type="dxa"/>
                  <w:vMerge w:val="continue"/>
                  <w:shd w:val="clear" w:color="auto" w:fill="auto"/>
                  <w:vAlign w:val="center"/>
                </w:tcPr>
                <w:p w14:paraId="00F9E30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p>
              </w:tc>
              <w:tc>
                <w:tcPr>
                  <w:tcW w:w="1228" w:type="dxa"/>
                  <w:shd w:val="clear" w:color="auto" w:fill="auto"/>
                  <w:vAlign w:val="center"/>
                </w:tcPr>
                <w:p w14:paraId="4AC1E09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eastAsia" w:ascii="Times New Roman" w:hAnsi="Times New Roman" w:cs="Times New Roman"/>
                      <w:i w:val="0"/>
                      <w:iCs w:val="0"/>
                      <w:color w:val="auto"/>
                      <w:kern w:val="0"/>
                      <w:sz w:val="22"/>
                      <w:szCs w:val="22"/>
                      <w:highlight w:val="none"/>
                      <w:u w:val="none"/>
                      <w:lang w:val="en-US" w:eastAsia="zh-CN" w:bidi="ar"/>
                    </w:rPr>
                    <w:t>是</w:t>
                  </w:r>
                </w:p>
              </w:tc>
            </w:tr>
            <w:tr w14:paraId="2555C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8" w:type="dxa"/>
                  <w:vMerge w:val="restart"/>
                  <w:vAlign w:val="center"/>
                </w:tcPr>
                <w:p w14:paraId="679FF494">
                  <w:pPr>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2</w:t>
                  </w:r>
                </w:p>
              </w:tc>
              <w:tc>
                <w:tcPr>
                  <w:tcW w:w="1696" w:type="dxa"/>
                  <w:vMerge w:val="restart"/>
                  <w:vAlign w:val="center"/>
                </w:tcPr>
                <w:p w14:paraId="7080687C">
                  <w:pPr>
                    <w:widowControl/>
                    <w:adjustRightInd w:val="0"/>
                    <w:snapToGrid w:val="0"/>
                    <w:jc w:val="center"/>
                    <w:textAlignment w:val="center"/>
                    <w:rPr>
                      <w:rStyle w:val="67"/>
                      <w:rFonts w:hint="default" w:ascii="Times New Roman" w:hAnsi="Times New Roman" w:eastAsia="宋体" w:cs="Times New Roman"/>
                      <w:bCs/>
                      <w:color w:val="auto"/>
                      <w:sz w:val="21"/>
                      <w:szCs w:val="21"/>
                      <w:highlight w:val="none"/>
                      <w:lang w:val="en-US" w:eastAsia="zh-CN" w:bidi="ar"/>
                    </w:rPr>
                  </w:pPr>
                  <w:r>
                    <w:rPr>
                      <w:rStyle w:val="67"/>
                      <w:rFonts w:hint="eastAsia" w:ascii="Times New Roman" w:hAnsi="Times New Roman" w:cs="Times New Roman"/>
                      <w:bCs/>
                      <w:color w:val="auto"/>
                      <w:sz w:val="21"/>
                      <w:szCs w:val="21"/>
                      <w:highlight w:val="none"/>
                      <w:lang w:val="en-US" w:eastAsia="zh-CN" w:bidi="ar"/>
                    </w:rPr>
                    <w:t>患者缓冲区屏蔽墙30cm处</w:t>
                  </w:r>
                </w:p>
              </w:tc>
              <w:tc>
                <w:tcPr>
                  <w:tcW w:w="843" w:type="dxa"/>
                  <w:vAlign w:val="center"/>
                </w:tcPr>
                <w:p w14:paraId="57BD0574">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2434" w:type="dxa"/>
                  <w:vMerge w:val="restart"/>
                  <w:vAlign w:val="center"/>
                </w:tcPr>
                <w:p w14:paraId="2E3519B1">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200</w:t>
                  </w:r>
                  <w:r>
                    <w:rPr>
                      <w:rFonts w:hint="default" w:ascii="Times New Roman" w:hAnsi="Times New Roman" w:cs="Times New Roman"/>
                      <w:color w:val="auto"/>
                      <w:sz w:val="21"/>
                      <w:szCs w:val="21"/>
                      <w:highlight w:val="none"/>
                      <w:lang w:val="en-US" w:eastAsia="zh-CN"/>
                    </w:rPr>
                    <w:t>mm厚实心砖砌体+22mm复合射线防护板</w:t>
                  </w:r>
                </w:p>
              </w:tc>
              <w:tc>
                <w:tcPr>
                  <w:tcW w:w="1962" w:type="dxa"/>
                  <w:vAlign w:val="center"/>
                </w:tcPr>
                <w:p w14:paraId="6702B191">
                  <w:pPr>
                    <w:widowControl/>
                    <w:jc w:val="center"/>
                    <w:textAlignment w:val="center"/>
                    <w:rPr>
                      <w:rFonts w:hint="default" w:ascii="Times New Roman" w:hAnsi="Times New Roman" w:cs="Times New Roman"/>
                      <w:bCs/>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3.63E-05</w:t>
                  </w:r>
                </w:p>
              </w:tc>
              <w:tc>
                <w:tcPr>
                  <w:tcW w:w="2019" w:type="dxa"/>
                  <w:vAlign w:val="center"/>
                </w:tcPr>
                <w:p w14:paraId="456966B2">
                  <w:pPr>
                    <w:widowControl/>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color w:val="auto"/>
                      <w:kern w:val="0"/>
                      <w:sz w:val="18"/>
                      <w:szCs w:val="18"/>
                      <w:highlight w:val="none"/>
                      <w:lang w:val="en-US" w:eastAsia="zh-CN"/>
                    </w:rPr>
                    <w:t>2.92E-06</w:t>
                  </w:r>
                </w:p>
              </w:tc>
              <w:tc>
                <w:tcPr>
                  <w:tcW w:w="1915" w:type="dxa"/>
                  <w:shd w:val="clear" w:color="auto" w:fill="auto"/>
                  <w:vAlign w:val="center"/>
                </w:tcPr>
                <w:p w14:paraId="66810676">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3.92E-05</w:t>
                  </w:r>
                </w:p>
              </w:tc>
              <w:tc>
                <w:tcPr>
                  <w:tcW w:w="1131" w:type="dxa"/>
                  <w:vMerge w:val="continue"/>
                  <w:shd w:val="clear" w:color="auto" w:fill="auto"/>
                  <w:vAlign w:val="center"/>
                </w:tcPr>
                <w:p w14:paraId="0AFE8D0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p>
              </w:tc>
              <w:tc>
                <w:tcPr>
                  <w:tcW w:w="1228" w:type="dxa"/>
                  <w:shd w:val="clear" w:color="auto" w:fill="auto"/>
                  <w:vAlign w:val="center"/>
                </w:tcPr>
                <w:p w14:paraId="2A3CD2B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eastAsia" w:ascii="Times New Roman" w:hAnsi="Times New Roman" w:cs="Times New Roman"/>
                      <w:i w:val="0"/>
                      <w:iCs w:val="0"/>
                      <w:color w:val="auto"/>
                      <w:kern w:val="0"/>
                      <w:sz w:val="22"/>
                      <w:szCs w:val="22"/>
                      <w:highlight w:val="none"/>
                      <w:u w:val="none"/>
                      <w:lang w:val="en-US" w:eastAsia="zh-CN" w:bidi="ar"/>
                    </w:rPr>
                    <w:t>是</w:t>
                  </w:r>
                </w:p>
              </w:tc>
            </w:tr>
            <w:tr w14:paraId="2228C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8" w:type="dxa"/>
                  <w:vMerge w:val="continue"/>
                  <w:vAlign w:val="center"/>
                </w:tcPr>
                <w:p w14:paraId="5828BCA8">
                  <w:pPr>
                    <w:pStyle w:val="32"/>
                    <w:snapToGrid w:val="0"/>
                    <w:jc w:val="center"/>
                    <w:rPr>
                      <w:rFonts w:hint="default" w:ascii="Times New Roman" w:hAnsi="Times New Roman" w:cs="Times New Roman"/>
                      <w:bCs/>
                      <w:color w:val="auto"/>
                      <w:sz w:val="21"/>
                      <w:szCs w:val="21"/>
                      <w:highlight w:val="none"/>
                    </w:rPr>
                  </w:pPr>
                </w:p>
              </w:tc>
              <w:tc>
                <w:tcPr>
                  <w:tcW w:w="1696" w:type="dxa"/>
                  <w:vMerge w:val="continue"/>
                  <w:vAlign w:val="center"/>
                </w:tcPr>
                <w:p w14:paraId="42B1E042">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843" w:type="dxa"/>
                  <w:vAlign w:val="center"/>
                </w:tcPr>
                <w:p w14:paraId="7273DA28">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2434" w:type="dxa"/>
                  <w:vMerge w:val="continue"/>
                  <w:vAlign w:val="center"/>
                </w:tcPr>
                <w:p w14:paraId="7131B932">
                  <w:pPr>
                    <w:pStyle w:val="32"/>
                    <w:snapToGrid w:val="0"/>
                    <w:jc w:val="center"/>
                    <w:rPr>
                      <w:rFonts w:hint="default" w:ascii="Times New Roman" w:hAnsi="Times New Roman" w:cs="Times New Roman"/>
                      <w:bCs/>
                      <w:color w:val="auto"/>
                      <w:sz w:val="21"/>
                      <w:szCs w:val="21"/>
                      <w:highlight w:val="none"/>
                    </w:rPr>
                  </w:pPr>
                </w:p>
              </w:tc>
              <w:tc>
                <w:tcPr>
                  <w:tcW w:w="1962" w:type="dxa"/>
                  <w:vAlign w:val="center"/>
                </w:tcPr>
                <w:p w14:paraId="5264EEB3">
                  <w:pPr>
                    <w:widowControl/>
                    <w:jc w:val="center"/>
                    <w:textAlignment w:val="center"/>
                    <w:rPr>
                      <w:rFonts w:hint="default" w:ascii="Times New Roman" w:hAnsi="Times New Roman" w:cs="Times New Roman"/>
                      <w:bCs/>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7.84E-04</w:t>
                  </w:r>
                </w:p>
              </w:tc>
              <w:tc>
                <w:tcPr>
                  <w:tcW w:w="2019" w:type="dxa"/>
                  <w:vAlign w:val="center"/>
                </w:tcPr>
                <w:p w14:paraId="25A4FA9C">
                  <w:pPr>
                    <w:widowControl/>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color w:val="auto"/>
                      <w:kern w:val="0"/>
                      <w:sz w:val="18"/>
                      <w:szCs w:val="18"/>
                      <w:highlight w:val="none"/>
                      <w:lang w:val="en-US" w:eastAsia="zh-CN"/>
                    </w:rPr>
                    <w:t>4.32E-05</w:t>
                  </w:r>
                </w:p>
              </w:tc>
              <w:tc>
                <w:tcPr>
                  <w:tcW w:w="1915" w:type="dxa"/>
                  <w:shd w:val="clear" w:color="auto" w:fill="auto"/>
                  <w:vAlign w:val="center"/>
                </w:tcPr>
                <w:p w14:paraId="511F6C23">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8.27E-04</w:t>
                  </w:r>
                </w:p>
              </w:tc>
              <w:tc>
                <w:tcPr>
                  <w:tcW w:w="1131" w:type="dxa"/>
                  <w:vMerge w:val="continue"/>
                  <w:shd w:val="clear" w:color="auto" w:fill="auto"/>
                  <w:vAlign w:val="center"/>
                </w:tcPr>
                <w:p w14:paraId="47F8842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p>
              </w:tc>
              <w:tc>
                <w:tcPr>
                  <w:tcW w:w="1228" w:type="dxa"/>
                  <w:shd w:val="clear" w:color="auto" w:fill="auto"/>
                  <w:vAlign w:val="center"/>
                </w:tcPr>
                <w:p w14:paraId="1D46618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eastAsia" w:ascii="Times New Roman" w:hAnsi="Times New Roman" w:cs="Times New Roman"/>
                      <w:i w:val="0"/>
                      <w:iCs w:val="0"/>
                      <w:color w:val="auto"/>
                      <w:kern w:val="0"/>
                      <w:sz w:val="22"/>
                      <w:szCs w:val="22"/>
                      <w:highlight w:val="none"/>
                      <w:u w:val="none"/>
                      <w:lang w:val="en-US" w:eastAsia="zh-CN" w:bidi="ar"/>
                    </w:rPr>
                    <w:t>是</w:t>
                  </w:r>
                </w:p>
              </w:tc>
            </w:tr>
            <w:tr w14:paraId="481A2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8" w:type="dxa"/>
                  <w:vMerge w:val="restart"/>
                  <w:vAlign w:val="center"/>
                </w:tcPr>
                <w:p w14:paraId="5E7B44AD">
                  <w:pPr>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3</w:t>
                  </w:r>
                </w:p>
              </w:tc>
              <w:tc>
                <w:tcPr>
                  <w:tcW w:w="1696" w:type="dxa"/>
                  <w:vMerge w:val="restart"/>
                  <w:vAlign w:val="center"/>
                </w:tcPr>
                <w:p w14:paraId="50AF840E">
                  <w:pPr>
                    <w:widowControl/>
                    <w:adjustRightInd w:val="0"/>
                    <w:snapToGrid w:val="0"/>
                    <w:jc w:val="center"/>
                    <w:textAlignment w:val="center"/>
                    <w:rPr>
                      <w:rStyle w:val="67"/>
                      <w:rFonts w:hint="default" w:ascii="Times New Roman" w:hAnsi="Times New Roman" w:eastAsia="宋体" w:cs="Times New Roman"/>
                      <w:bCs/>
                      <w:color w:val="auto"/>
                      <w:sz w:val="21"/>
                      <w:szCs w:val="21"/>
                      <w:highlight w:val="none"/>
                      <w:lang w:val="en-US" w:eastAsia="zh-CN" w:bidi="ar"/>
                    </w:rPr>
                  </w:pPr>
                  <w:r>
                    <w:rPr>
                      <w:rStyle w:val="67"/>
                      <w:rFonts w:hint="eastAsia" w:ascii="Times New Roman" w:hAnsi="Times New Roman" w:cs="Times New Roman"/>
                      <w:bCs/>
                      <w:color w:val="auto"/>
                      <w:sz w:val="21"/>
                      <w:szCs w:val="21"/>
                      <w:highlight w:val="none"/>
                      <w:lang w:val="en-US" w:eastAsia="zh-CN" w:bidi="ar"/>
                    </w:rPr>
                    <w:t>患者缓冲区电动推拉门30cm处</w:t>
                  </w:r>
                </w:p>
              </w:tc>
              <w:tc>
                <w:tcPr>
                  <w:tcW w:w="843" w:type="dxa"/>
                  <w:vAlign w:val="center"/>
                </w:tcPr>
                <w:p w14:paraId="3A742A47">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2434" w:type="dxa"/>
                  <w:vMerge w:val="restart"/>
                  <w:vAlign w:val="center"/>
                </w:tcPr>
                <w:p w14:paraId="1E1E7300">
                  <w:pPr>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3mmPb铅防护门</w:t>
                  </w:r>
                </w:p>
              </w:tc>
              <w:tc>
                <w:tcPr>
                  <w:tcW w:w="1962" w:type="dxa"/>
                  <w:vAlign w:val="center"/>
                </w:tcPr>
                <w:p w14:paraId="15008DC2">
                  <w:pPr>
                    <w:widowControl/>
                    <w:jc w:val="center"/>
                    <w:textAlignment w:val="center"/>
                    <w:rPr>
                      <w:rFonts w:hint="default" w:ascii="Times New Roman" w:hAnsi="Times New Roman" w:cs="Times New Roman"/>
                      <w:bCs/>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3.91E-03</w:t>
                  </w:r>
                </w:p>
              </w:tc>
              <w:tc>
                <w:tcPr>
                  <w:tcW w:w="2019" w:type="dxa"/>
                  <w:vAlign w:val="center"/>
                </w:tcPr>
                <w:p w14:paraId="0913380D">
                  <w:pPr>
                    <w:widowControl/>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color w:val="auto"/>
                      <w:kern w:val="0"/>
                      <w:sz w:val="18"/>
                      <w:szCs w:val="18"/>
                      <w:highlight w:val="none"/>
                      <w:lang w:val="en-US" w:eastAsia="zh-CN"/>
                    </w:rPr>
                    <w:t>8.81E-04</w:t>
                  </w:r>
                </w:p>
              </w:tc>
              <w:tc>
                <w:tcPr>
                  <w:tcW w:w="1915" w:type="dxa"/>
                  <w:shd w:val="clear" w:color="auto" w:fill="auto"/>
                  <w:vAlign w:val="center"/>
                </w:tcPr>
                <w:p w14:paraId="7052B16F">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4.79E-03</w:t>
                  </w:r>
                </w:p>
              </w:tc>
              <w:tc>
                <w:tcPr>
                  <w:tcW w:w="1131" w:type="dxa"/>
                  <w:vMerge w:val="continue"/>
                  <w:shd w:val="clear" w:color="auto" w:fill="auto"/>
                  <w:vAlign w:val="center"/>
                </w:tcPr>
                <w:p w14:paraId="351B03E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p>
              </w:tc>
              <w:tc>
                <w:tcPr>
                  <w:tcW w:w="1228" w:type="dxa"/>
                  <w:shd w:val="clear" w:color="auto" w:fill="auto"/>
                  <w:vAlign w:val="center"/>
                </w:tcPr>
                <w:p w14:paraId="0957F5E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eastAsia" w:ascii="Times New Roman" w:hAnsi="Times New Roman" w:cs="Times New Roman"/>
                      <w:i w:val="0"/>
                      <w:iCs w:val="0"/>
                      <w:color w:val="auto"/>
                      <w:kern w:val="0"/>
                      <w:sz w:val="22"/>
                      <w:szCs w:val="22"/>
                      <w:highlight w:val="none"/>
                      <w:u w:val="none"/>
                      <w:lang w:val="en-US" w:eastAsia="zh-CN" w:bidi="ar"/>
                    </w:rPr>
                    <w:t>是</w:t>
                  </w:r>
                </w:p>
              </w:tc>
            </w:tr>
            <w:tr w14:paraId="18F86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8" w:type="dxa"/>
                  <w:vMerge w:val="continue"/>
                  <w:vAlign w:val="center"/>
                </w:tcPr>
                <w:p w14:paraId="662A07C0">
                  <w:pPr>
                    <w:pStyle w:val="32"/>
                    <w:snapToGrid w:val="0"/>
                    <w:jc w:val="center"/>
                    <w:rPr>
                      <w:rFonts w:hint="default" w:ascii="Times New Roman" w:hAnsi="Times New Roman" w:cs="Times New Roman"/>
                      <w:bCs/>
                      <w:color w:val="auto"/>
                      <w:sz w:val="21"/>
                      <w:szCs w:val="21"/>
                      <w:highlight w:val="none"/>
                    </w:rPr>
                  </w:pPr>
                </w:p>
              </w:tc>
              <w:tc>
                <w:tcPr>
                  <w:tcW w:w="1696" w:type="dxa"/>
                  <w:vMerge w:val="continue"/>
                  <w:vAlign w:val="center"/>
                </w:tcPr>
                <w:p w14:paraId="66886487">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843" w:type="dxa"/>
                  <w:vAlign w:val="center"/>
                </w:tcPr>
                <w:p w14:paraId="2124AF03">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2434" w:type="dxa"/>
                  <w:vMerge w:val="continue"/>
                  <w:vAlign w:val="center"/>
                </w:tcPr>
                <w:p w14:paraId="5DA77161">
                  <w:pPr>
                    <w:pStyle w:val="32"/>
                    <w:snapToGrid w:val="0"/>
                    <w:jc w:val="center"/>
                    <w:rPr>
                      <w:rFonts w:hint="default" w:ascii="Times New Roman" w:hAnsi="Times New Roman" w:cs="Times New Roman"/>
                      <w:bCs/>
                      <w:color w:val="auto"/>
                      <w:sz w:val="21"/>
                      <w:szCs w:val="21"/>
                      <w:highlight w:val="none"/>
                    </w:rPr>
                  </w:pPr>
                </w:p>
              </w:tc>
              <w:tc>
                <w:tcPr>
                  <w:tcW w:w="1962" w:type="dxa"/>
                  <w:vAlign w:val="center"/>
                </w:tcPr>
                <w:p w14:paraId="183283F9">
                  <w:pPr>
                    <w:widowControl/>
                    <w:jc w:val="center"/>
                    <w:textAlignment w:val="center"/>
                    <w:rPr>
                      <w:rFonts w:hint="default" w:ascii="Times New Roman" w:hAnsi="Times New Roman" w:cs="Times New Roman"/>
                      <w:bCs/>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8.44E-02</w:t>
                  </w:r>
                </w:p>
              </w:tc>
              <w:tc>
                <w:tcPr>
                  <w:tcW w:w="2019" w:type="dxa"/>
                  <w:vAlign w:val="center"/>
                </w:tcPr>
                <w:p w14:paraId="54CE2223">
                  <w:pPr>
                    <w:widowControl/>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color w:val="auto"/>
                      <w:kern w:val="0"/>
                      <w:sz w:val="18"/>
                      <w:szCs w:val="18"/>
                      <w:highlight w:val="none"/>
                      <w:lang w:val="en-US" w:eastAsia="zh-CN"/>
                    </w:rPr>
                    <w:t>4.60E-03</w:t>
                  </w:r>
                </w:p>
              </w:tc>
              <w:tc>
                <w:tcPr>
                  <w:tcW w:w="1915" w:type="dxa"/>
                  <w:shd w:val="clear" w:color="auto" w:fill="auto"/>
                  <w:vAlign w:val="center"/>
                </w:tcPr>
                <w:p w14:paraId="5DD26355">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8.90E-02</w:t>
                  </w:r>
                </w:p>
              </w:tc>
              <w:tc>
                <w:tcPr>
                  <w:tcW w:w="1131" w:type="dxa"/>
                  <w:vMerge w:val="continue"/>
                  <w:shd w:val="clear" w:color="auto" w:fill="auto"/>
                  <w:vAlign w:val="center"/>
                </w:tcPr>
                <w:p w14:paraId="000E469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p>
              </w:tc>
              <w:tc>
                <w:tcPr>
                  <w:tcW w:w="1228" w:type="dxa"/>
                  <w:shd w:val="clear" w:color="auto" w:fill="auto"/>
                  <w:vAlign w:val="center"/>
                </w:tcPr>
                <w:p w14:paraId="1F4FC98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eastAsia" w:ascii="Times New Roman" w:hAnsi="Times New Roman" w:cs="Times New Roman"/>
                      <w:i w:val="0"/>
                      <w:iCs w:val="0"/>
                      <w:color w:val="auto"/>
                      <w:kern w:val="0"/>
                      <w:sz w:val="22"/>
                      <w:szCs w:val="22"/>
                      <w:highlight w:val="none"/>
                      <w:u w:val="none"/>
                      <w:lang w:val="en-US" w:eastAsia="zh-CN" w:bidi="ar"/>
                    </w:rPr>
                    <w:t>是</w:t>
                  </w:r>
                </w:p>
              </w:tc>
            </w:tr>
            <w:tr w14:paraId="0F437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8" w:type="dxa"/>
                  <w:vMerge w:val="restart"/>
                  <w:vAlign w:val="center"/>
                </w:tcPr>
                <w:p w14:paraId="42C9253B">
                  <w:pPr>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4</w:t>
                  </w:r>
                </w:p>
              </w:tc>
              <w:tc>
                <w:tcPr>
                  <w:tcW w:w="1696" w:type="dxa"/>
                  <w:vMerge w:val="restart"/>
                  <w:vAlign w:val="center"/>
                </w:tcPr>
                <w:p w14:paraId="0D99DF35">
                  <w:pPr>
                    <w:widowControl/>
                    <w:adjustRightInd w:val="0"/>
                    <w:snapToGrid w:val="0"/>
                    <w:jc w:val="center"/>
                    <w:textAlignment w:val="center"/>
                    <w:rPr>
                      <w:rStyle w:val="67"/>
                      <w:rFonts w:hint="default" w:ascii="Times New Roman" w:hAnsi="Times New Roman" w:eastAsia="宋体" w:cs="Times New Roman"/>
                      <w:bCs/>
                      <w:color w:val="auto"/>
                      <w:sz w:val="21"/>
                      <w:szCs w:val="21"/>
                      <w:highlight w:val="none"/>
                      <w:lang w:val="en-US" w:eastAsia="zh-CN" w:bidi="ar"/>
                    </w:rPr>
                  </w:pPr>
                  <w:r>
                    <w:rPr>
                      <w:rStyle w:val="67"/>
                      <w:rFonts w:hint="eastAsia" w:ascii="Times New Roman" w:hAnsi="Times New Roman" w:cs="Times New Roman"/>
                      <w:bCs/>
                      <w:color w:val="auto"/>
                      <w:sz w:val="21"/>
                      <w:szCs w:val="21"/>
                      <w:highlight w:val="none"/>
                      <w:lang w:val="en-US" w:eastAsia="zh-CN" w:bidi="ar"/>
                    </w:rPr>
                    <w:t>高值耗材存放处屏蔽墙30cm处</w:t>
                  </w:r>
                </w:p>
              </w:tc>
              <w:tc>
                <w:tcPr>
                  <w:tcW w:w="843" w:type="dxa"/>
                  <w:vAlign w:val="center"/>
                </w:tcPr>
                <w:p w14:paraId="3F6BEA68">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2434" w:type="dxa"/>
                  <w:vMerge w:val="restart"/>
                  <w:vAlign w:val="center"/>
                </w:tcPr>
                <w:p w14:paraId="4E6AF797">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200</w:t>
                  </w:r>
                  <w:r>
                    <w:rPr>
                      <w:rFonts w:hint="default" w:ascii="Times New Roman" w:hAnsi="Times New Roman" w:cs="Times New Roman"/>
                      <w:color w:val="auto"/>
                      <w:sz w:val="21"/>
                      <w:szCs w:val="21"/>
                      <w:highlight w:val="none"/>
                      <w:lang w:val="en-US" w:eastAsia="zh-CN"/>
                    </w:rPr>
                    <w:t>mm厚实心砖砌体+22mm复合射线防护板</w:t>
                  </w:r>
                </w:p>
              </w:tc>
              <w:tc>
                <w:tcPr>
                  <w:tcW w:w="1962" w:type="dxa"/>
                  <w:vAlign w:val="center"/>
                </w:tcPr>
                <w:p w14:paraId="477E175E">
                  <w:pPr>
                    <w:widowControl/>
                    <w:jc w:val="center"/>
                    <w:textAlignment w:val="center"/>
                    <w:rPr>
                      <w:rFonts w:hint="default" w:ascii="Times New Roman" w:hAnsi="Times New Roman" w:cs="Times New Roman"/>
                      <w:bCs/>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3.13E-05</w:t>
                  </w:r>
                </w:p>
              </w:tc>
              <w:tc>
                <w:tcPr>
                  <w:tcW w:w="2019" w:type="dxa"/>
                  <w:vAlign w:val="center"/>
                </w:tcPr>
                <w:p w14:paraId="717715DC">
                  <w:pPr>
                    <w:widowControl/>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color w:val="auto"/>
                      <w:kern w:val="0"/>
                      <w:sz w:val="18"/>
                      <w:szCs w:val="18"/>
                      <w:highlight w:val="none"/>
                      <w:lang w:val="en-US" w:eastAsia="zh-CN"/>
                    </w:rPr>
                    <w:t>2.52E-06</w:t>
                  </w:r>
                </w:p>
              </w:tc>
              <w:tc>
                <w:tcPr>
                  <w:tcW w:w="1915" w:type="dxa"/>
                  <w:shd w:val="clear" w:color="auto" w:fill="auto"/>
                  <w:vAlign w:val="center"/>
                </w:tcPr>
                <w:p w14:paraId="72309ADE">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3.38E-05</w:t>
                  </w:r>
                </w:p>
              </w:tc>
              <w:tc>
                <w:tcPr>
                  <w:tcW w:w="1131" w:type="dxa"/>
                  <w:vMerge w:val="continue"/>
                  <w:shd w:val="clear" w:color="auto" w:fill="auto"/>
                  <w:vAlign w:val="center"/>
                </w:tcPr>
                <w:p w14:paraId="67A526F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p>
              </w:tc>
              <w:tc>
                <w:tcPr>
                  <w:tcW w:w="1228" w:type="dxa"/>
                  <w:shd w:val="clear" w:color="auto" w:fill="auto"/>
                  <w:vAlign w:val="center"/>
                </w:tcPr>
                <w:p w14:paraId="01E06EA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eastAsia" w:ascii="Times New Roman" w:hAnsi="Times New Roman" w:cs="Times New Roman"/>
                      <w:i w:val="0"/>
                      <w:iCs w:val="0"/>
                      <w:color w:val="auto"/>
                      <w:kern w:val="0"/>
                      <w:sz w:val="22"/>
                      <w:szCs w:val="22"/>
                      <w:highlight w:val="none"/>
                      <w:u w:val="none"/>
                      <w:lang w:val="en-US" w:eastAsia="zh-CN" w:bidi="ar"/>
                    </w:rPr>
                    <w:t>是</w:t>
                  </w:r>
                </w:p>
              </w:tc>
            </w:tr>
            <w:tr w14:paraId="0A64E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8" w:type="dxa"/>
                  <w:vMerge w:val="continue"/>
                  <w:vAlign w:val="center"/>
                </w:tcPr>
                <w:p w14:paraId="389C56A2">
                  <w:pPr>
                    <w:pStyle w:val="32"/>
                    <w:snapToGrid w:val="0"/>
                    <w:jc w:val="center"/>
                    <w:rPr>
                      <w:rFonts w:hint="default" w:ascii="Times New Roman" w:hAnsi="Times New Roman" w:cs="Times New Roman"/>
                      <w:bCs/>
                      <w:color w:val="auto"/>
                      <w:sz w:val="21"/>
                      <w:szCs w:val="21"/>
                      <w:highlight w:val="none"/>
                    </w:rPr>
                  </w:pPr>
                </w:p>
              </w:tc>
              <w:tc>
                <w:tcPr>
                  <w:tcW w:w="1696" w:type="dxa"/>
                  <w:vMerge w:val="continue"/>
                  <w:vAlign w:val="center"/>
                </w:tcPr>
                <w:p w14:paraId="199CF449">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843" w:type="dxa"/>
                  <w:vAlign w:val="center"/>
                </w:tcPr>
                <w:p w14:paraId="6A6CD223">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2434" w:type="dxa"/>
                  <w:vMerge w:val="continue"/>
                  <w:vAlign w:val="center"/>
                </w:tcPr>
                <w:p w14:paraId="44D845F8">
                  <w:pPr>
                    <w:pStyle w:val="32"/>
                    <w:snapToGrid w:val="0"/>
                    <w:jc w:val="center"/>
                    <w:rPr>
                      <w:rFonts w:hint="default" w:ascii="Times New Roman" w:hAnsi="Times New Roman" w:cs="Times New Roman"/>
                      <w:bCs/>
                      <w:color w:val="auto"/>
                      <w:sz w:val="21"/>
                      <w:szCs w:val="21"/>
                      <w:highlight w:val="none"/>
                    </w:rPr>
                  </w:pPr>
                </w:p>
              </w:tc>
              <w:tc>
                <w:tcPr>
                  <w:tcW w:w="1962" w:type="dxa"/>
                  <w:vAlign w:val="center"/>
                </w:tcPr>
                <w:p w14:paraId="61FF8923">
                  <w:pPr>
                    <w:widowControl/>
                    <w:jc w:val="center"/>
                    <w:textAlignment w:val="center"/>
                    <w:rPr>
                      <w:rFonts w:hint="default" w:ascii="Times New Roman" w:hAnsi="Times New Roman" w:cs="Times New Roman"/>
                      <w:bCs/>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6.76E-04</w:t>
                  </w:r>
                </w:p>
              </w:tc>
              <w:tc>
                <w:tcPr>
                  <w:tcW w:w="2019" w:type="dxa"/>
                  <w:vAlign w:val="center"/>
                </w:tcPr>
                <w:p w14:paraId="34AAD527">
                  <w:pPr>
                    <w:widowControl/>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color w:val="auto"/>
                      <w:kern w:val="0"/>
                      <w:sz w:val="18"/>
                      <w:szCs w:val="18"/>
                      <w:highlight w:val="none"/>
                      <w:lang w:val="en-US" w:eastAsia="zh-CN"/>
                    </w:rPr>
                    <w:t>3.74E-05</w:t>
                  </w:r>
                </w:p>
              </w:tc>
              <w:tc>
                <w:tcPr>
                  <w:tcW w:w="1915" w:type="dxa"/>
                  <w:shd w:val="clear" w:color="auto" w:fill="auto"/>
                  <w:vAlign w:val="center"/>
                </w:tcPr>
                <w:p w14:paraId="38AB04CC">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7.13E-04</w:t>
                  </w:r>
                </w:p>
              </w:tc>
              <w:tc>
                <w:tcPr>
                  <w:tcW w:w="1131" w:type="dxa"/>
                  <w:vMerge w:val="continue"/>
                  <w:shd w:val="clear" w:color="auto" w:fill="auto"/>
                  <w:vAlign w:val="center"/>
                </w:tcPr>
                <w:p w14:paraId="46BFF2A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p>
              </w:tc>
              <w:tc>
                <w:tcPr>
                  <w:tcW w:w="1228" w:type="dxa"/>
                  <w:shd w:val="clear" w:color="auto" w:fill="auto"/>
                  <w:vAlign w:val="center"/>
                </w:tcPr>
                <w:p w14:paraId="75E2303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eastAsia" w:ascii="Times New Roman" w:hAnsi="Times New Roman" w:cs="Times New Roman"/>
                      <w:i w:val="0"/>
                      <w:iCs w:val="0"/>
                      <w:color w:val="auto"/>
                      <w:kern w:val="0"/>
                      <w:sz w:val="22"/>
                      <w:szCs w:val="22"/>
                      <w:highlight w:val="none"/>
                      <w:u w:val="none"/>
                      <w:lang w:val="en-US" w:eastAsia="zh-CN" w:bidi="ar"/>
                    </w:rPr>
                    <w:t>是</w:t>
                  </w:r>
                </w:p>
              </w:tc>
            </w:tr>
            <w:tr w14:paraId="2BBF4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8" w:type="dxa"/>
                  <w:vMerge w:val="restart"/>
                  <w:vAlign w:val="center"/>
                </w:tcPr>
                <w:p w14:paraId="040934C7">
                  <w:pPr>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5</w:t>
                  </w:r>
                </w:p>
              </w:tc>
              <w:tc>
                <w:tcPr>
                  <w:tcW w:w="1696" w:type="dxa"/>
                  <w:vMerge w:val="restart"/>
                  <w:vAlign w:val="center"/>
                </w:tcPr>
                <w:p w14:paraId="3F97F2F9">
                  <w:pPr>
                    <w:widowControl/>
                    <w:adjustRightInd w:val="0"/>
                    <w:snapToGrid w:val="0"/>
                    <w:jc w:val="center"/>
                    <w:textAlignment w:val="center"/>
                    <w:rPr>
                      <w:rStyle w:val="67"/>
                      <w:rFonts w:hint="default" w:ascii="Times New Roman" w:hAnsi="Times New Roman" w:eastAsia="宋体" w:cs="Times New Roman"/>
                      <w:bCs/>
                      <w:color w:val="auto"/>
                      <w:sz w:val="21"/>
                      <w:szCs w:val="21"/>
                      <w:highlight w:val="none"/>
                      <w:lang w:val="en-US" w:eastAsia="zh-CN" w:bidi="ar"/>
                    </w:rPr>
                  </w:pPr>
                  <w:r>
                    <w:rPr>
                      <w:rStyle w:val="67"/>
                      <w:rFonts w:hint="eastAsia" w:ascii="Times New Roman" w:hAnsi="Times New Roman" w:cs="Times New Roman"/>
                      <w:bCs/>
                      <w:color w:val="auto"/>
                      <w:sz w:val="21"/>
                      <w:szCs w:val="21"/>
                      <w:highlight w:val="none"/>
                      <w:lang w:val="en-US" w:eastAsia="zh-CN" w:bidi="ar"/>
                    </w:rPr>
                    <w:t>高值耗材存放处平开门30cm处</w:t>
                  </w:r>
                </w:p>
              </w:tc>
              <w:tc>
                <w:tcPr>
                  <w:tcW w:w="843" w:type="dxa"/>
                  <w:vAlign w:val="center"/>
                </w:tcPr>
                <w:p w14:paraId="49D8C858">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2434" w:type="dxa"/>
                  <w:vMerge w:val="restart"/>
                  <w:vAlign w:val="center"/>
                </w:tcPr>
                <w:p w14:paraId="35D6C52E">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3mmPb铅防护门</w:t>
                  </w:r>
                </w:p>
              </w:tc>
              <w:tc>
                <w:tcPr>
                  <w:tcW w:w="1962" w:type="dxa"/>
                  <w:vAlign w:val="center"/>
                </w:tcPr>
                <w:p w14:paraId="7D6784A1">
                  <w:pPr>
                    <w:widowControl/>
                    <w:jc w:val="center"/>
                    <w:textAlignment w:val="center"/>
                    <w:rPr>
                      <w:rFonts w:hint="default" w:ascii="Times New Roman" w:hAnsi="Times New Roman" w:cs="Times New Roman"/>
                      <w:bCs/>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4.61E-03</w:t>
                  </w:r>
                </w:p>
              </w:tc>
              <w:tc>
                <w:tcPr>
                  <w:tcW w:w="2019" w:type="dxa"/>
                  <w:vAlign w:val="center"/>
                </w:tcPr>
                <w:p w14:paraId="7B6E6CFC">
                  <w:pPr>
                    <w:widowControl/>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color w:val="auto"/>
                      <w:kern w:val="0"/>
                      <w:sz w:val="18"/>
                      <w:szCs w:val="18"/>
                      <w:highlight w:val="none"/>
                      <w:lang w:val="en-US" w:eastAsia="zh-CN"/>
                    </w:rPr>
                    <w:t>1.03E-03</w:t>
                  </w:r>
                </w:p>
              </w:tc>
              <w:tc>
                <w:tcPr>
                  <w:tcW w:w="1915" w:type="dxa"/>
                  <w:shd w:val="clear" w:color="auto" w:fill="auto"/>
                  <w:vAlign w:val="center"/>
                </w:tcPr>
                <w:p w14:paraId="2D534928">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5.64E-03</w:t>
                  </w:r>
                </w:p>
              </w:tc>
              <w:tc>
                <w:tcPr>
                  <w:tcW w:w="1131" w:type="dxa"/>
                  <w:vMerge w:val="continue"/>
                  <w:shd w:val="clear" w:color="auto" w:fill="auto"/>
                  <w:vAlign w:val="center"/>
                </w:tcPr>
                <w:p w14:paraId="57C6D9F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p>
              </w:tc>
              <w:tc>
                <w:tcPr>
                  <w:tcW w:w="1228" w:type="dxa"/>
                  <w:shd w:val="clear" w:color="auto" w:fill="auto"/>
                  <w:vAlign w:val="center"/>
                </w:tcPr>
                <w:p w14:paraId="65E7B11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eastAsia" w:ascii="Times New Roman" w:hAnsi="Times New Roman" w:cs="Times New Roman"/>
                      <w:i w:val="0"/>
                      <w:iCs w:val="0"/>
                      <w:color w:val="auto"/>
                      <w:kern w:val="0"/>
                      <w:sz w:val="22"/>
                      <w:szCs w:val="22"/>
                      <w:highlight w:val="none"/>
                      <w:u w:val="none"/>
                      <w:lang w:val="en-US" w:eastAsia="zh-CN" w:bidi="ar"/>
                    </w:rPr>
                    <w:t>是</w:t>
                  </w:r>
                </w:p>
              </w:tc>
            </w:tr>
            <w:tr w14:paraId="5518F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8" w:type="dxa"/>
                  <w:vMerge w:val="continue"/>
                  <w:vAlign w:val="center"/>
                </w:tcPr>
                <w:p w14:paraId="5C27B360">
                  <w:pPr>
                    <w:pStyle w:val="32"/>
                    <w:snapToGrid w:val="0"/>
                    <w:jc w:val="center"/>
                    <w:rPr>
                      <w:rFonts w:hint="default" w:ascii="Times New Roman" w:hAnsi="Times New Roman" w:cs="Times New Roman"/>
                      <w:bCs/>
                      <w:color w:val="auto"/>
                      <w:sz w:val="21"/>
                      <w:szCs w:val="21"/>
                      <w:highlight w:val="none"/>
                    </w:rPr>
                  </w:pPr>
                </w:p>
              </w:tc>
              <w:tc>
                <w:tcPr>
                  <w:tcW w:w="1696" w:type="dxa"/>
                  <w:vMerge w:val="continue"/>
                  <w:vAlign w:val="center"/>
                </w:tcPr>
                <w:p w14:paraId="02CCAC4B">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843" w:type="dxa"/>
                  <w:vAlign w:val="center"/>
                </w:tcPr>
                <w:p w14:paraId="01350B50">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2434" w:type="dxa"/>
                  <w:vMerge w:val="continue"/>
                  <w:vAlign w:val="center"/>
                </w:tcPr>
                <w:p w14:paraId="738FE82F">
                  <w:pPr>
                    <w:pStyle w:val="32"/>
                    <w:snapToGrid w:val="0"/>
                    <w:jc w:val="center"/>
                    <w:rPr>
                      <w:rFonts w:hint="default" w:ascii="Times New Roman" w:hAnsi="Times New Roman" w:cs="Times New Roman"/>
                      <w:bCs/>
                      <w:color w:val="auto"/>
                      <w:sz w:val="21"/>
                      <w:szCs w:val="21"/>
                      <w:highlight w:val="none"/>
                    </w:rPr>
                  </w:pPr>
                </w:p>
              </w:tc>
              <w:tc>
                <w:tcPr>
                  <w:tcW w:w="1962" w:type="dxa"/>
                  <w:vAlign w:val="center"/>
                </w:tcPr>
                <w:p w14:paraId="284AC72D">
                  <w:pPr>
                    <w:widowControl/>
                    <w:jc w:val="center"/>
                    <w:textAlignment w:val="center"/>
                    <w:rPr>
                      <w:rFonts w:hint="default" w:ascii="Times New Roman" w:hAnsi="Times New Roman" w:cs="Times New Roman"/>
                      <w:bCs/>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9.94E-02</w:t>
                  </w:r>
                </w:p>
              </w:tc>
              <w:tc>
                <w:tcPr>
                  <w:tcW w:w="2019" w:type="dxa"/>
                  <w:vAlign w:val="center"/>
                </w:tcPr>
                <w:p w14:paraId="2D2526AD">
                  <w:pPr>
                    <w:widowControl/>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color w:val="auto"/>
                      <w:kern w:val="0"/>
                      <w:sz w:val="18"/>
                      <w:szCs w:val="18"/>
                      <w:highlight w:val="none"/>
                      <w:lang w:val="en-US" w:eastAsia="zh-CN"/>
                    </w:rPr>
                    <w:t>5.40E-03</w:t>
                  </w:r>
                </w:p>
              </w:tc>
              <w:tc>
                <w:tcPr>
                  <w:tcW w:w="1915" w:type="dxa"/>
                  <w:shd w:val="clear" w:color="auto" w:fill="auto"/>
                  <w:vAlign w:val="center"/>
                </w:tcPr>
                <w:p w14:paraId="4F3B2EC7">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1.05E-01</w:t>
                  </w:r>
                </w:p>
              </w:tc>
              <w:tc>
                <w:tcPr>
                  <w:tcW w:w="1131" w:type="dxa"/>
                  <w:vMerge w:val="continue"/>
                  <w:shd w:val="clear" w:color="auto" w:fill="auto"/>
                  <w:vAlign w:val="center"/>
                </w:tcPr>
                <w:p w14:paraId="6DACB04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p>
              </w:tc>
              <w:tc>
                <w:tcPr>
                  <w:tcW w:w="1228" w:type="dxa"/>
                  <w:shd w:val="clear" w:color="auto" w:fill="auto"/>
                  <w:vAlign w:val="center"/>
                </w:tcPr>
                <w:p w14:paraId="6E5A786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eastAsia" w:ascii="Times New Roman" w:hAnsi="Times New Roman" w:cs="Times New Roman"/>
                      <w:i w:val="0"/>
                      <w:iCs w:val="0"/>
                      <w:color w:val="auto"/>
                      <w:kern w:val="0"/>
                      <w:sz w:val="22"/>
                      <w:szCs w:val="22"/>
                      <w:highlight w:val="none"/>
                      <w:u w:val="none"/>
                      <w:lang w:val="en-US" w:eastAsia="zh-CN" w:bidi="ar"/>
                    </w:rPr>
                    <w:t>是</w:t>
                  </w:r>
                </w:p>
              </w:tc>
            </w:tr>
            <w:tr w14:paraId="05975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8" w:type="dxa"/>
                  <w:vMerge w:val="restart"/>
                  <w:vAlign w:val="center"/>
                </w:tcPr>
                <w:p w14:paraId="2F60428A">
                  <w:pPr>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6</w:t>
                  </w:r>
                </w:p>
              </w:tc>
              <w:tc>
                <w:tcPr>
                  <w:tcW w:w="1696" w:type="dxa"/>
                  <w:vMerge w:val="restart"/>
                  <w:shd w:val="clear" w:color="auto" w:fill="auto"/>
                  <w:vAlign w:val="center"/>
                </w:tcPr>
                <w:p w14:paraId="3A76EC40">
                  <w:pPr>
                    <w:widowControl/>
                    <w:adjustRightInd w:val="0"/>
                    <w:snapToGrid w:val="0"/>
                    <w:jc w:val="center"/>
                    <w:textAlignment w:val="center"/>
                    <w:rPr>
                      <w:rStyle w:val="67"/>
                      <w:rFonts w:hint="default" w:ascii="Times New Roman" w:hAnsi="Times New Roman" w:eastAsia="宋体" w:cs="Times New Roman"/>
                      <w:bCs/>
                      <w:color w:val="auto"/>
                      <w:sz w:val="21"/>
                      <w:szCs w:val="21"/>
                      <w:highlight w:val="none"/>
                      <w:lang w:val="en-US" w:eastAsia="zh-CN" w:bidi="ar"/>
                    </w:rPr>
                  </w:pPr>
                  <w:r>
                    <w:rPr>
                      <w:rStyle w:val="67"/>
                      <w:rFonts w:hint="eastAsia" w:ascii="Times New Roman" w:hAnsi="Times New Roman" w:cs="Times New Roman"/>
                      <w:bCs/>
                      <w:color w:val="auto"/>
                      <w:sz w:val="21"/>
                      <w:szCs w:val="21"/>
                      <w:highlight w:val="none"/>
                      <w:lang w:val="en-US" w:eastAsia="zh-CN" w:bidi="ar"/>
                    </w:rPr>
                    <w:t>控制室观察窗30cm处</w:t>
                  </w:r>
                </w:p>
              </w:tc>
              <w:tc>
                <w:tcPr>
                  <w:tcW w:w="843" w:type="dxa"/>
                  <w:vAlign w:val="center"/>
                </w:tcPr>
                <w:p w14:paraId="5E3C645C">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2434" w:type="dxa"/>
                  <w:vMerge w:val="restart"/>
                  <w:vAlign w:val="center"/>
                </w:tcPr>
                <w:p w14:paraId="1772F592">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3mmPb观察窗</w:t>
                  </w:r>
                </w:p>
              </w:tc>
              <w:tc>
                <w:tcPr>
                  <w:tcW w:w="1962" w:type="dxa"/>
                  <w:vAlign w:val="center"/>
                </w:tcPr>
                <w:p w14:paraId="1E16B84A">
                  <w:pPr>
                    <w:widowControl/>
                    <w:jc w:val="center"/>
                    <w:textAlignment w:val="center"/>
                    <w:rPr>
                      <w:rFonts w:hint="default" w:ascii="Times New Roman" w:hAnsi="Times New Roman" w:cs="Times New Roman"/>
                      <w:bCs/>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4.61E-03</w:t>
                  </w:r>
                </w:p>
              </w:tc>
              <w:tc>
                <w:tcPr>
                  <w:tcW w:w="2019" w:type="dxa"/>
                  <w:vAlign w:val="center"/>
                </w:tcPr>
                <w:p w14:paraId="5B11B492">
                  <w:pPr>
                    <w:widowControl/>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color w:val="auto"/>
                      <w:kern w:val="0"/>
                      <w:sz w:val="18"/>
                      <w:szCs w:val="18"/>
                      <w:highlight w:val="none"/>
                      <w:lang w:val="en-US" w:eastAsia="zh-CN"/>
                    </w:rPr>
                    <w:t>1.03E-03</w:t>
                  </w:r>
                </w:p>
              </w:tc>
              <w:tc>
                <w:tcPr>
                  <w:tcW w:w="1915" w:type="dxa"/>
                  <w:shd w:val="clear" w:color="auto" w:fill="auto"/>
                  <w:vAlign w:val="center"/>
                </w:tcPr>
                <w:p w14:paraId="73E314DA">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5.64E-03</w:t>
                  </w:r>
                </w:p>
              </w:tc>
              <w:tc>
                <w:tcPr>
                  <w:tcW w:w="1131" w:type="dxa"/>
                  <w:vMerge w:val="continue"/>
                  <w:shd w:val="clear" w:color="auto" w:fill="auto"/>
                  <w:vAlign w:val="center"/>
                </w:tcPr>
                <w:p w14:paraId="6E362C4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p>
              </w:tc>
              <w:tc>
                <w:tcPr>
                  <w:tcW w:w="1228" w:type="dxa"/>
                  <w:shd w:val="clear" w:color="auto" w:fill="auto"/>
                  <w:vAlign w:val="center"/>
                </w:tcPr>
                <w:p w14:paraId="64C98D0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eastAsia" w:ascii="Times New Roman" w:hAnsi="Times New Roman" w:cs="Times New Roman"/>
                      <w:i w:val="0"/>
                      <w:iCs w:val="0"/>
                      <w:color w:val="auto"/>
                      <w:kern w:val="0"/>
                      <w:sz w:val="22"/>
                      <w:szCs w:val="22"/>
                      <w:highlight w:val="none"/>
                      <w:u w:val="none"/>
                      <w:lang w:val="en-US" w:eastAsia="zh-CN" w:bidi="ar"/>
                    </w:rPr>
                    <w:t>是</w:t>
                  </w:r>
                </w:p>
              </w:tc>
            </w:tr>
            <w:tr w14:paraId="2183A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8" w:type="dxa"/>
                  <w:vMerge w:val="continue"/>
                  <w:vAlign w:val="center"/>
                </w:tcPr>
                <w:p w14:paraId="3C4278A5">
                  <w:pPr>
                    <w:adjustRightInd w:val="0"/>
                    <w:snapToGrid w:val="0"/>
                    <w:jc w:val="center"/>
                    <w:rPr>
                      <w:rFonts w:hint="default" w:ascii="Times New Roman" w:hAnsi="Times New Roman" w:cs="Times New Roman"/>
                      <w:bCs/>
                      <w:color w:val="auto"/>
                      <w:sz w:val="21"/>
                      <w:szCs w:val="21"/>
                      <w:highlight w:val="none"/>
                    </w:rPr>
                  </w:pPr>
                </w:p>
              </w:tc>
              <w:tc>
                <w:tcPr>
                  <w:tcW w:w="1696" w:type="dxa"/>
                  <w:vMerge w:val="continue"/>
                  <w:vAlign w:val="center"/>
                </w:tcPr>
                <w:p w14:paraId="69877ECC">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843" w:type="dxa"/>
                  <w:vAlign w:val="center"/>
                </w:tcPr>
                <w:p w14:paraId="4E4B105A">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2434" w:type="dxa"/>
                  <w:vMerge w:val="continue"/>
                  <w:vAlign w:val="center"/>
                </w:tcPr>
                <w:p w14:paraId="385F809A">
                  <w:pPr>
                    <w:pStyle w:val="32"/>
                    <w:snapToGrid w:val="0"/>
                    <w:jc w:val="center"/>
                    <w:rPr>
                      <w:rFonts w:hint="default" w:ascii="Times New Roman" w:hAnsi="Times New Roman" w:cs="Times New Roman"/>
                      <w:bCs/>
                      <w:color w:val="auto"/>
                      <w:sz w:val="21"/>
                      <w:szCs w:val="21"/>
                      <w:highlight w:val="none"/>
                    </w:rPr>
                  </w:pPr>
                </w:p>
              </w:tc>
              <w:tc>
                <w:tcPr>
                  <w:tcW w:w="1962" w:type="dxa"/>
                  <w:vAlign w:val="center"/>
                </w:tcPr>
                <w:p w14:paraId="143244E5">
                  <w:pPr>
                    <w:widowControl/>
                    <w:jc w:val="center"/>
                    <w:textAlignment w:val="center"/>
                    <w:rPr>
                      <w:rFonts w:hint="default" w:ascii="Times New Roman" w:hAnsi="Times New Roman" w:cs="Times New Roman"/>
                      <w:bCs/>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9.94E-02</w:t>
                  </w:r>
                </w:p>
              </w:tc>
              <w:tc>
                <w:tcPr>
                  <w:tcW w:w="2019" w:type="dxa"/>
                  <w:vAlign w:val="center"/>
                </w:tcPr>
                <w:p w14:paraId="0029F7C5">
                  <w:pPr>
                    <w:widowControl/>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color w:val="auto"/>
                      <w:kern w:val="0"/>
                      <w:sz w:val="18"/>
                      <w:szCs w:val="18"/>
                      <w:highlight w:val="none"/>
                      <w:lang w:val="en-US" w:eastAsia="zh-CN"/>
                    </w:rPr>
                    <w:t>5.40E-03</w:t>
                  </w:r>
                </w:p>
              </w:tc>
              <w:tc>
                <w:tcPr>
                  <w:tcW w:w="1915" w:type="dxa"/>
                  <w:shd w:val="clear" w:color="auto" w:fill="auto"/>
                  <w:vAlign w:val="center"/>
                </w:tcPr>
                <w:p w14:paraId="6A11B9E9">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1.05E-01</w:t>
                  </w:r>
                </w:p>
              </w:tc>
              <w:tc>
                <w:tcPr>
                  <w:tcW w:w="1131" w:type="dxa"/>
                  <w:vMerge w:val="continue"/>
                  <w:shd w:val="clear" w:color="auto" w:fill="auto"/>
                  <w:vAlign w:val="center"/>
                </w:tcPr>
                <w:p w14:paraId="47817B5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p>
              </w:tc>
              <w:tc>
                <w:tcPr>
                  <w:tcW w:w="1228" w:type="dxa"/>
                  <w:shd w:val="clear" w:color="auto" w:fill="auto"/>
                  <w:vAlign w:val="center"/>
                </w:tcPr>
                <w:p w14:paraId="50D455E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eastAsia" w:ascii="Times New Roman" w:hAnsi="Times New Roman" w:cs="Times New Roman"/>
                      <w:i w:val="0"/>
                      <w:iCs w:val="0"/>
                      <w:color w:val="auto"/>
                      <w:kern w:val="0"/>
                      <w:sz w:val="22"/>
                      <w:szCs w:val="22"/>
                      <w:highlight w:val="none"/>
                      <w:u w:val="none"/>
                      <w:lang w:val="en-US" w:eastAsia="zh-CN" w:bidi="ar"/>
                    </w:rPr>
                    <w:t>是</w:t>
                  </w:r>
                </w:p>
              </w:tc>
            </w:tr>
            <w:tr w14:paraId="048C1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8" w:type="dxa"/>
                  <w:vMerge w:val="restart"/>
                  <w:vAlign w:val="center"/>
                </w:tcPr>
                <w:p w14:paraId="690D3596">
                  <w:pPr>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7</w:t>
                  </w:r>
                </w:p>
              </w:tc>
              <w:tc>
                <w:tcPr>
                  <w:tcW w:w="1696" w:type="dxa"/>
                  <w:vMerge w:val="restart"/>
                  <w:shd w:val="clear" w:color="auto" w:fill="auto"/>
                  <w:vAlign w:val="center"/>
                </w:tcPr>
                <w:p w14:paraId="1EEDDE18">
                  <w:pPr>
                    <w:widowControl/>
                    <w:adjustRightInd w:val="0"/>
                    <w:snapToGrid w:val="0"/>
                    <w:jc w:val="center"/>
                    <w:textAlignment w:val="center"/>
                    <w:rPr>
                      <w:rStyle w:val="67"/>
                      <w:rFonts w:hint="default" w:ascii="Times New Roman" w:hAnsi="Times New Roman" w:eastAsia="宋体" w:cs="Times New Roman"/>
                      <w:bCs/>
                      <w:color w:val="auto"/>
                      <w:sz w:val="21"/>
                      <w:szCs w:val="21"/>
                      <w:highlight w:val="none"/>
                      <w:lang w:val="en-US" w:eastAsia="zh-CN" w:bidi="ar"/>
                    </w:rPr>
                  </w:pPr>
                  <w:r>
                    <w:rPr>
                      <w:rStyle w:val="67"/>
                      <w:rFonts w:hint="eastAsia" w:ascii="Times New Roman" w:hAnsi="Times New Roman" w:cs="Times New Roman"/>
                      <w:bCs/>
                      <w:color w:val="auto"/>
                      <w:sz w:val="21"/>
                      <w:szCs w:val="21"/>
                      <w:highlight w:val="none"/>
                      <w:lang w:val="en-US" w:eastAsia="zh-CN" w:bidi="ar"/>
                    </w:rPr>
                    <w:t>控制室屏蔽墙30cm处</w:t>
                  </w:r>
                </w:p>
              </w:tc>
              <w:tc>
                <w:tcPr>
                  <w:tcW w:w="843" w:type="dxa"/>
                  <w:vAlign w:val="center"/>
                </w:tcPr>
                <w:p w14:paraId="5DD5A187">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2434" w:type="dxa"/>
                  <w:vMerge w:val="restart"/>
                  <w:vAlign w:val="center"/>
                </w:tcPr>
                <w:p w14:paraId="52B8B473">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200</w:t>
                  </w:r>
                  <w:r>
                    <w:rPr>
                      <w:rFonts w:hint="default" w:ascii="Times New Roman" w:hAnsi="Times New Roman" w:cs="Times New Roman"/>
                      <w:color w:val="auto"/>
                      <w:sz w:val="21"/>
                      <w:szCs w:val="21"/>
                      <w:highlight w:val="none"/>
                      <w:lang w:val="en-US" w:eastAsia="zh-CN"/>
                    </w:rPr>
                    <w:t>mm厚实心砖砌体+22mm复合射线防护板</w:t>
                  </w:r>
                </w:p>
              </w:tc>
              <w:tc>
                <w:tcPr>
                  <w:tcW w:w="1962" w:type="dxa"/>
                  <w:vAlign w:val="center"/>
                </w:tcPr>
                <w:p w14:paraId="38037C99">
                  <w:pPr>
                    <w:widowControl/>
                    <w:jc w:val="center"/>
                    <w:textAlignment w:val="center"/>
                    <w:rPr>
                      <w:rFonts w:hint="default" w:ascii="Times New Roman" w:hAnsi="Times New Roman" w:cs="Times New Roman"/>
                      <w:bCs/>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3.13E-05</w:t>
                  </w:r>
                </w:p>
              </w:tc>
              <w:tc>
                <w:tcPr>
                  <w:tcW w:w="2019" w:type="dxa"/>
                  <w:vAlign w:val="center"/>
                </w:tcPr>
                <w:p w14:paraId="0A74241E">
                  <w:pPr>
                    <w:widowControl/>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color w:val="auto"/>
                      <w:kern w:val="0"/>
                      <w:sz w:val="18"/>
                      <w:szCs w:val="18"/>
                      <w:highlight w:val="none"/>
                      <w:lang w:val="en-US" w:eastAsia="zh-CN"/>
                    </w:rPr>
                    <w:t>2.52E-06</w:t>
                  </w:r>
                </w:p>
              </w:tc>
              <w:tc>
                <w:tcPr>
                  <w:tcW w:w="1915" w:type="dxa"/>
                  <w:shd w:val="clear" w:color="auto" w:fill="auto"/>
                  <w:vAlign w:val="center"/>
                </w:tcPr>
                <w:p w14:paraId="629992A6">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3.38E-05</w:t>
                  </w:r>
                </w:p>
              </w:tc>
              <w:tc>
                <w:tcPr>
                  <w:tcW w:w="1131" w:type="dxa"/>
                  <w:vMerge w:val="continue"/>
                  <w:shd w:val="clear" w:color="auto" w:fill="auto"/>
                  <w:vAlign w:val="center"/>
                </w:tcPr>
                <w:p w14:paraId="1D89355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p>
              </w:tc>
              <w:tc>
                <w:tcPr>
                  <w:tcW w:w="1228" w:type="dxa"/>
                  <w:shd w:val="clear" w:color="auto" w:fill="auto"/>
                  <w:vAlign w:val="center"/>
                </w:tcPr>
                <w:p w14:paraId="168AEB4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eastAsia" w:ascii="Times New Roman" w:hAnsi="Times New Roman" w:cs="Times New Roman"/>
                      <w:i w:val="0"/>
                      <w:iCs w:val="0"/>
                      <w:color w:val="auto"/>
                      <w:kern w:val="0"/>
                      <w:sz w:val="22"/>
                      <w:szCs w:val="22"/>
                      <w:highlight w:val="none"/>
                      <w:u w:val="none"/>
                      <w:lang w:val="en-US" w:eastAsia="zh-CN" w:bidi="ar"/>
                    </w:rPr>
                    <w:t>是</w:t>
                  </w:r>
                </w:p>
              </w:tc>
            </w:tr>
            <w:tr w14:paraId="0F2BE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8" w:type="dxa"/>
                  <w:vMerge w:val="continue"/>
                  <w:vAlign w:val="center"/>
                </w:tcPr>
                <w:p w14:paraId="00DBE01B">
                  <w:pPr>
                    <w:adjustRightInd w:val="0"/>
                    <w:snapToGrid w:val="0"/>
                    <w:jc w:val="center"/>
                    <w:rPr>
                      <w:rFonts w:hint="default" w:ascii="Times New Roman" w:hAnsi="Times New Roman" w:cs="Times New Roman"/>
                      <w:bCs/>
                      <w:color w:val="auto"/>
                      <w:sz w:val="21"/>
                      <w:szCs w:val="21"/>
                      <w:highlight w:val="none"/>
                    </w:rPr>
                  </w:pPr>
                </w:p>
              </w:tc>
              <w:tc>
                <w:tcPr>
                  <w:tcW w:w="1696" w:type="dxa"/>
                  <w:vMerge w:val="continue"/>
                  <w:vAlign w:val="center"/>
                </w:tcPr>
                <w:p w14:paraId="2A872608">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843" w:type="dxa"/>
                  <w:vAlign w:val="center"/>
                </w:tcPr>
                <w:p w14:paraId="407EDBA2">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2434" w:type="dxa"/>
                  <w:vMerge w:val="continue"/>
                  <w:vAlign w:val="center"/>
                </w:tcPr>
                <w:p w14:paraId="3D3624EA">
                  <w:pPr>
                    <w:pStyle w:val="32"/>
                    <w:snapToGrid w:val="0"/>
                    <w:jc w:val="center"/>
                    <w:rPr>
                      <w:rFonts w:hint="default" w:ascii="Times New Roman" w:hAnsi="Times New Roman" w:cs="Times New Roman"/>
                      <w:bCs/>
                      <w:color w:val="auto"/>
                      <w:sz w:val="21"/>
                      <w:szCs w:val="21"/>
                      <w:highlight w:val="none"/>
                    </w:rPr>
                  </w:pPr>
                </w:p>
              </w:tc>
              <w:tc>
                <w:tcPr>
                  <w:tcW w:w="1962" w:type="dxa"/>
                  <w:vAlign w:val="center"/>
                </w:tcPr>
                <w:p w14:paraId="36753F95">
                  <w:pPr>
                    <w:widowControl/>
                    <w:jc w:val="center"/>
                    <w:textAlignment w:val="center"/>
                    <w:rPr>
                      <w:rFonts w:hint="default" w:ascii="Times New Roman" w:hAnsi="Times New Roman" w:cs="Times New Roman"/>
                      <w:bCs/>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6.76E-04</w:t>
                  </w:r>
                </w:p>
              </w:tc>
              <w:tc>
                <w:tcPr>
                  <w:tcW w:w="2019" w:type="dxa"/>
                  <w:vAlign w:val="center"/>
                </w:tcPr>
                <w:p w14:paraId="21617A1F">
                  <w:pPr>
                    <w:widowControl/>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color w:val="auto"/>
                      <w:kern w:val="0"/>
                      <w:sz w:val="18"/>
                      <w:szCs w:val="18"/>
                      <w:highlight w:val="none"/>
                      <w:lang w:val="en-US" w:eastAsia="zh-CN"/>
                    </w:rPr>
                    <w:t>3.74E-05</w:t>
                  </w:r>
                </w:p>
              </w:tc>
              <w:tc>
                <w:tcPr>
                  <w:tcW w:w="1915" w:type="dxa"/>
                  <w:shd w:val="clear" w:color="auto" w:fill="auto"/>
                  <w:vAlign w:val="center"/>
                </w:tcPr>
                <w:p w14:paraId="48C6B7CA">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7.13E-04</w:t>
                  </w:r>
                </w:p>
              </w:tc>
              <w:tc>
                <w:tcPr>
                  <w:tcW w:w="1131" w:type="dxa"/>
                  <w:vMerge w:val="continue"/>
                  <w:shd w:val="clear" w:color="auto" w:fill="auto"/>
                  <w:vAlign w:val="center"/>
                </w:tcPr>
                <w:p w14:paraId="5FD1169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p>
              </w:tc>
              <w:tc>
                <w:tcPr>
                  <w:tcW w:w="1228" w:type="dxa"/>
                  <w:shd w:val="clear" w:color="auto" w:fill="auto"/>
                  <w:vAlign w:val="center"/>
                </w:tcPr>
                <w:p w14:paraId="0257597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eastAsia" w:ascii="Times New Roman" w:hAnsi="Times New Roman" w:cs="Times New Roman"/>
                      <w:i w:val="0"/>
                      <w:iCs w:val="0"/>
                      <w:color w:val="auto"/>
                      <w:kern w:val="0"/>
                      <w:sz w:val="22"/>
                      <w:szCs w:val="22"/>
                      <w:highlight w:val="none"/>
                      <w:u w:val="none"/>
                      <w:lang w:val="en-US" w:eastAsia="zh-CN" w:bidi="ar"/>
                    </w:rPr>
                    <w:t>是</w:t>
                  </w:r>
                </w:p>
              </w:tc>
            </w:tr>
            <w:tr w14:paraId="3D1E6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8" w:type="dxa"/>
                  <w:vMerge w:val="restart"/>
                  <w:vAlign w:val="center"/>
                </w:tcPr>
                <w:p w14:paraId="0DD3642B">
                  <w:pPr>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8</w:t>
                  </w:r>
                </w:p>
              </w:tc>
              <w:tc>
                <w:tcPr>
                  <w:tcW w:w="1696" w:type="dxa"/>
                  <w:vMerge w:val="restart"/>
                  <w:shd w:val="clear" w:color="auto" w:fill="auto"/>
                  <w:vAlign w:val="center"/>
                </w:tcPr>
                <w:p w14:paraId="6280AB81">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bidi="ar"/>
                    </w:rPr>
                  </w:pPr>
                  <w:r>
                    <w:rPr>
                      <w:rFonts w:hint="eastAsia" w:ascii="Times New Roman" w:hAnsi="Times New Roman" w:cs="Times New Roman"/>
                      <w:bCs/>
                      <w:color w:val="auto"/>
                      <w:sz w:val="21"/>
                      <w:szCs w:val="21"/>
                      <w:highlight w:val="none"/>
                      <w:lang w:val="en-US" w:eastAsia="zh-CN" w:bidi="ar"/>
                    </w:rPr>
                    <w:t>控制室平开门30cm处</w:t>
                  </w:r>
                </w:p>
              </w:tc>
              <w:tc>
                <w:tcPr>
                  <w:tcW w:w="843" w:type="dxa"/>
                  <w:vAlign w:val="center"/>
                </w:tcPr>
                <w:p w14:paraId="37A3DBD3">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2434" w:type="dxa"/>
                  <w:vMerge w:val="restart"/>
                  <w:vAlign w:val="center"/>
                </w:tcPr>
                <w:p w14:paraId="1B91B917">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3mmPb铅防护门</w:t>
                  </w:r>
                </w:p>
              </w:tc>
              <w:tc>
                <w:tcPr>
                  <w:tcW w:w="1962" w:type="dxa"/>
                  <w:vAlign w:val="center"/>
                </w:tcPr>
                <w:p w14:paraId="0405F46E">
                  <w:pPr>
                    <w:widowControl/>
                    <w:jc w:val="center"/>
                    <w:textAlignment w:val="center"/>
                    <w:rPr>
                      <w:rFonts w:hint="default" w:ascii="Times New Roman" w:hAnsi="Times New Roman" w:cs="Times New Roman"/>
                      <w:bCs/>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2.26E-03</w:t>
                  </w:r>
                </w:p>
              </w:tc>
              <w:tc>
                <w:tcPr>
                  <w:tcW w:w="2019" w:type="dxa"/>
                  <w:vAlign w:val="center"/>
                </w:tcPr>
                <w:p w14:paraId="2236AAE7">
                  <w:pPr>
                    <w:widowControl/>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color w:val="auto"/>
                      <w:kern w:val="0"/>
                      <w:sz w:val="18"/>
                      <w:szCs w:val="18"/>
                      <w:highlight w:val="none"/>
                      <w:lang w:val="en-US" w:eastAsia="zh-CN"/>
                    </w:rPr>
                    <w:t>5.15E-04</w:t>
                  </w:r>
                </w:p>
              </w:tc>
              <w:tc>
                <w:tcPr>
                  <w:tcW w:w="1915" w:type="dxa"/>
                  <w:shd w:val="clear" w:color="auto" w:fill="auto"/>
                  <w:vAlign w:val="center"/>
                </w:tcPr>
                <w:p w14:paraId="2799A03C">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2.78E-03</w:t>
                  </w:r>
                </w:p>
              </w:tc>
              <w:tc>
                <w:tcPr>
                  <w:tcW w:w="1131" w:type="dxa"/>
                  <w:vMerge w:val="continue"/>
                  <w:shd w:val="clear" w:color="auto" w:fill="auto"/>
                  <w:vAlign w:val="center"/>
                </w:tcPr>
                <w:p w14:paraId="5FE01C3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p>
              </w:tc>
              <w:tc>
                <w:tcPr>
                  <w:tcW w:w="1228" w:type="dxa"/>
                  <w:shd w:val="clear" w:color="auto" w:fill="auto"/>
                  <w:vAlign w:val="center"/>
                </w:tcPr>
                <w:p w14:paraId="4639E45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eastAsia" w:ascii="Times New Roman" w:hAnsi="Times New Roman" w:cs="Times New Roman"/>
                      <w:i w:val="0"/>
                      <w:iCs w:val="0"/>
                      <w:color w:val="auto"/>
                      <w:kern w:val="0"/>
                      <w:sz w:val="22"/>
                      <w:szCs w:val="22"/>
                      <w:highlight w:val="none"/>
                      <w:u w:val="none"/>
                      <w:lang w:val="en-US" w:eastAsia="zh-CN" w:bidi="ar"/>
                    </w:rPr>
                    <w:t>是</w:t>
                  </w:r>
                </w:p>
              </w:tc>
            </w:tr>
            <w:tr w14:paraId="7AF3B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8" w:type="dxa"/>
                  <w:vMerge w:val="continue"/>
                  <w:vAlign w:val="center"/>
                </w:tcPr>
                <w:p w14:paraId="7C65BBF6">
                  <w:pPr>
                    <w:adjustRightInd w:val="0"/>
                    <w:snapToGrid w:val="0"/>
                    <w:jc w:val="center"/>
                    <w:rPr>
                      <w:rFonts w:hint="default" w:ascii="Times New Roman" w:hAnsi="Times New Roman" w:cs="Times New Roman"/>
                      <w:bCs/>
                      <w:color w:val="auto"/>
                      <w:sz w:val="21"/>
                      <w:szCs w:val="21"/>
                      <w:highlight w:val="none"/>
                    </w:rPr>
                  </w:pPr>
                </w:p>
              </w:tc>
              <w:tc>
                <w:tcPr>
                  <w:tcW w:w="1696" w:type="dxa"/>
                  <w:vMerge w:val="continue"/>
                  <w:vAlign w:val="center"/>
                </w:tcPr>
                <w:p w14:paraId="39932FD8">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843" w:type="dxa"/>
                  <w:vAlign w:val="center"/>
                </w:tcPr>
                <w:p w14:paraId="2BAC3773">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2434" w:type="dxa"/>
                  <w:vMerge w:val="continue"/>
                  <w:vAlign w:val="center"/>
                </w:tcPr>
                <w:p w14:paraId="78801305">
                  <w:pPr>
                    <w:pStyle w:val="32"/>
                    <w:snapToGrid w:val="0"/>
                    <w:jc w:val="center"/>
                    <w:rPr>
                      <w:rFonts w:hint="default" w:ascii="Times New Roman" w:hAnsi="Times New Roman" w:cs="Times New Roman"/>
                      <w:bCs/>
                      <w:color w:val="auto"/>
                      <w:sz w:val="21"/>
                      <w:szCs w:val="21"/>
                      <w:highlight w:val="none"/>
                    </w:rPr>
                  </w:pPr>
                </w:p>
              </w:tc>
              <w:tc>
                <w:tcPr>
                  <w:tcW w:w="1962" w:type="dxa"/>
                  <w:vAlign w:val="center"/>
                </w:tcPr>
                <w:p w14:paraId="1A878158">
                  <w:pPr>
                    <w:widowControl/>
                    <w:jc w:val="center"/>
                    <w:textAlignment w:val="center"/>
                    <w:rPr>
                      <w:rFonts w:hint="default" w:ascii="Times New Roman" w:hAnsi="Times New Roman" w:cs="Times New Roman"/>
                      <w:bCs/>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4.87E-02</w:t>
                  </w:r>
                </w:p>
              </w:tc>
              <w:tc>
                <w:tcPr>
                  <w:tcW w:w="2019" w:type="dxa"/>
                  <w:vAlign w:val="center"/>
                </w:tcPr>
                <w:p w14:paraId="3C4E3B21">
                  <w:pPr>
                    <w:widowControl/>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color w:val="auto"/>
                      <w:kern w:val="0"/>
                      <w:sz w:val="18"/>
                      <w:szCs w:val="18"/>
                      <w:highlight w:val="none"/>
                      <w:lang w:val="en-US" w:eastAsia="zh-CN"/>
                    </w:rPr>
                    <w:t>2.69E-03</w:t>
                  </w:r>
                </w:p>
              </w:tc>
              <w:tc>
                <w:tcPr>
                  <w:tcW w:w="1915" w:type="dxa"/>
                  <w:shd w:val="clear" w:color="auto" w:fill="auto"/>
                  <w:vAlign w:val="center"/>
                </w:tcPr>
                <w:p w14:paraId="1266C177">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5.14E-02</w:t>
                  </w:r>
                </w:p>
              </w:tc>
              <w:tc>
                <w:tcPr>
                  <w:tcW w:w="1131" w:type="dxa"/>
                  <w:vMerge w:val="continue"/>
                  <w:shd w:val="clear" w:color="auto" w:fill="auto"/>
                  <w:vAlign w:val="center"/>
                </w:tcPr>
                <w:p w14:paraId="7E36B30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p>
              </w:tc>
              <w:tc>
                <w:tcPr>
                  <w:tcW w:w="1228" w:type="dxa"/>
                  <w:shd w:val="clear" w:color="auto" w:fill="auto"/>
                  <w:vAlign w:val="center"/>
                </w:tcPr>
                <w:p w14:paraId="4B4C17A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eastAsia" w:ascii="Times New Roman" w:hAnsi="Times New Roman" w:cs="Times New Roman"/>
                      <w:i w:val="0"/>
                      <w:iCs w:val="0"/>
                      <w:color w:val="auto"/>
                      <w:kern w:val="0"/>
                      <w:sz w:val="22"/>
                      <w:szCs w:val="22"/>
                      <w:highlight w:val="none"/>
                      <w:u w:val="none"/>
                      <w:lang w:val="en-US" w:eastAsia="zh-CN" w:bidi="ar"/>
                    </w:rPr>
                    <w:t>是</w:t>
                  </w:r>
                </w:p>
              </w:tc>
            </w:tr>
            <w:tr w14:paraId="5CF38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8" w:type="dxa"/>
                  <w:vMerge w:val="restart"/>
                  <w:vAlign w:val="center"/>
                </w:tcPr>
                <w:p w14:paraId="1964246F">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9</w:t>
                  </w:r>
                </w:p>
              </w:tc>
              <w:tc>
                <w:tcPr>
                  <w:tcW w:w="1696" w:type="dxa"/>
                  <w:vMerge w:val="restart"/>
                  <w:shd w:val="clear" w:color="auto" w:fill="auto"/>
                  <w:vAlign w:val="center"/>
                </w:tcPr>
                <w:p w14:paraId="68110E8C">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污物间屏蔽墙30cm处</w:t>
                  </w:r>
                </w:p>
              </w:tc>
              <w:tc>
                <w:tcPr>
                  <w:tcW w:w="843" w:type="dxa"/>
                  <w:vAlign w:val="center"/>
                </w:tcPr>
                <w:p w14:paraId="75BC82F3">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2434" w:type="dxa"/>
                  <w:vMerge w:val="restart"/>
                  <w:vAlign w:val="center"/>
                </w:tcPr>
                <w:p w14:paraId="386DAB0E">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200</w:t>
                  </w:r>
                  <w:r>
                    <w:rPr>
                      <w:rFonts w:hint="default" w:ascii="Times New Roman" w:hAnsi="Times New Roman" w:cs="Times New Roman"/>
                      <w:color w:val="auto"/>
                      <w:sz w:val="21"/>
                      <w:szCs w:val="21"/>
                      <w:highlight w:val="none"/>
                      <w:lang w:val="en-US" w:eastAsia="zh-CN"/>
                    </w:rPr>
                    <w:t>mm厚实心砖砌体+22mm复合射线防护板</w:t>
                  </w:r>
                </w:p>
              </w:tc>
              <w:tc>
                <w:tcPr>
                  <w:tcW w:w="1962" w:type="dxa"/>
                  <w:vAlign w:val="center"/>
                </w:tcPr>
                <w:p w14:paraId="56EA07F3">
                  <w:pPr>
                    <w:widowControl/>
                    <w:jc w:val="center"/>
                    <w:textAlignment w:val="center"/>
                    <w:rPr>
                      <w:rFonts w:hint="default" w:ascii="Times New Roman" w:hAnsi="Times New Roman" w:cs="Times New Roman"/>
                      <w:bCs/>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1.64E-05</w:t>
                  </w:r>
                </w:p>
              </w:tc>
              <w:tc>
                <w:tcPr>
                  <w:tcW w:w="2019" w:type="dxa"/>
                  <w:vAlign w:val="center"/>
                </w:tcPr>
                <w:p w14:paraId="69AC83B6">
                  <w:pPr>
                    <w:widowControl/>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color w:val="auto"/>
                      <w:kern w:val="0"/>
                      <w:sz w:val="18"/>
                      <w:szCs w:val="18"/>
                      <w:highlight w:val="none"/>
                      <w:lang w:val="en-US" w:eastAsia="zh-CN"/>
                    </w:rPr>
                    <w:t>1.34E-06</w:t>
                  </w:r>
                </w:p>
              </w:tc>
              <w:tc>
                <w:tcPr>
                  <w:tcW w:w="1915" w:type="dxa"/>
                  <w:shd w:val="clear" w:color="auto" w:fill="auto"/>
                  <w:vAlign w:val="center"/>
                </w:tcPr>
                <w:p w14:paraId="30843D9D">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1.77E-05</w:t>
                  </w:r>
                </w:p>
              </w:tc>
              <w:tc>
                <w:tcPr>
                  <w:tcW w:w="1131" w:type="dxa"/>
                  <w:vMerge w:val="continue"/>
                  <w:shd w:val="clear" w:color="auto" w:fill="auto"/>
                  <w:vAlign w:val="center"/>
                </w:tcPr>
                <w:p w14:paraId="00C445F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p>
              </w:tc>
              <w:tc>
                <w:tcPr>
                  <w:tcW w:w="1228" w:type="dxa"/>
                  <w:shd w:val="clear" w:color="auto" w:fill="auto"/>
                  <w:vAlign w:val="center"/>
                </w:tcPr>
                <w:p w14:paraId="5E350E5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eastAsia" w:ascii="Times New Roman" w:hAnsi="Times New Roman" w:cs="Times New Roman"/>
                      <w:i w:val="0"/>
                      <w:iCs w:val="0"/>
                      <w:color w:val="auto"/>
                      <w:kern w:val="0"/>
                      <w:sz w:val="22"/>
                      <w:szCs w:val="22"/>
                      <w:highlight w:val="none"/>
                      <w:u w:val="none"/>
                      <w:lang w:val="en-US" w:eastAsia="zh-CN" w:bidi="ar"/>
                    </w:rPr>
                    <w:t>是</w:t>
                  </w:r>
                </w:p>
              </w:tc>
            </w:tr>
            <w:tr w14:paraId="51810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8" w:type="dxa"/>
                  <w:vMerge w:val="continue"/>
                  <w:vAlign w:val="center"/>
                </w:tcPr>
                <w:p w14:paraId="610B9032">
                  <w:pPr>
                    <w:pStyle w:val="32"/>
                    <w:snapToGrid w:val="0"/>
                    <w:jc w:val="center"/>
                    <w:rPr>
                      <w:rFonts w:hint="default" w:ascii="Times New Roman" w:hAnsi="Times New Roman" w:cs="Times New Roman"/>
                      <w:bCs/>
                      <w:color w:val="auto"/>
                      <w:sz w:val="21"/>
                      <w:szCs w:val="21"/>
                      <w:highlight w:val="none"/>
                    </w:rPr>
                  </w:pPr>
                </w:p>
              </w:tc>
              <w:tc>
                <w:tcPr>
                  <w:tcW w:w="1696" w:type="dxa"/>
                  <w:vMerge w:val="continue"/>
                  <w:vAlign w:val="center"/>
                </w:tcPr>
                <w:p w14:paraId="0D690734">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843" w:type="dxa"/>
                  <w:vAlign w:val="center"/>
                </w:tcPr>
                <w:p w14:paraId="27A13ED9">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2434" w:type="dxa"/>
                  <w:vMerge w:val="continue"/>
                  <w:vAlign w:val="center"/>
                </w:tcPr>
                <w:p w14:paraId="0E8D2E33">
                  <w:pPr>
                    <w:pStyle w:val="32"/>
                    <w:snapToGrid w:val="0"/>
                    <w:jc w:val="center"/>
                    <w:rPr>
                      <w:rFonts w:hint="default" w:ascii="Times New Roman" w:hAnsi="Times New Roman" w:cs="Times New Roman"/>
                      <w:bCs/>
                      <w:color w:val="auto"/>
                      <w:sz w:val="21"/>
                      <w:szCs w:val="21"/>
                      <w:highlight w:val="none"/>
                    </w:rPr>
                  </w:pPr>
                </w:p>
              </w:tc>
              <w:tc>
                <w:tcPr>
                  <w:tcW w:w="1962" w:type="dxa"/>
                  <w:vAlign w:val="center"/>
                </w:tcPr>
                <w:p w14:paraId="263E07E3">
                  <w:pPr>
                    <w:widowControl/>
                    <w:jc w:val="center"/>
                    <w:textAlignment w:val="center"/>
                    <w:rPr>
                      <w:rFonts w:hint="default" w:ascii="Times New Roman" w:hAnsi="Times New Roman" w:cs="Times New Roman"/>
                      <w:bCs/>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3.55E-04</w:t>
                  </w:r>
                </w:p>
              </w:tc>
              <w:tc>
                <w:tcPr>
                  <w:tcW w:w="2019" w:type="dxa"/>
                  <w:vAlign w:val="center"/>
                </w:tcPr>
                <w:p w14:paraId="61D3175A">
                  <w:pPr>
                    <w:widowControl/>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color w:val="auto"/>
                      <w:kern w:val="0"/>
                      <w:sz w:val="18"/>
                      <w:szCs w:val="18"/>
                      <w:highlight w:val="none"/>
                      <w:lang w:val="en-US" w:eastAsia="zh-CN"/>
                    </w:rPr>
                    <w:t>1.99E-05</w:t>
                  </w:r>
                </w:p>
              </w:tc>
              <w:tc>
                <w:tcPr>
                  <w:tcW w:w="1915" w:type="dxa"/>
                  <w:shd w:val="clear" w:color="auto" w:fill="auto"/>
                  <w:vAlign w:val="center"/>
                </w:tcPr>
                <w:p w14:paraId="3619B057">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3.75E-04</w:t>
                  </w:r>
                </w:p>
              </w:tc>
              <w:tc>
                <w:tcPr>
                  <w:tcW w:w="1131" w:type="dxa"/>
                  <w:vMerge w:val="continue"/>
                  <w:shd w:val="clear" w:color="auto" w:fill="auto"/>
                  <w:vAlign w:val="center"/>
                </w:tcPr>
                <w:p w14:paraId="1C241A5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p>
              </w:tc>
              <w:tc>
                <w:tcPr>
                  <w:tcW w:w="1228" w:type="dxa"/>
                  <w:shd w:val="clear" w:color="auto" w:fill="auto"/>
                  <w:vAlign w:val="center"/>
                </w:tcPr>
                <w:p w14:paraId="6DB43F2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eastAsia" w:ascii="Times New Roman" w:hAnsi="Times New Roman" w:cs="Times New Roman"/>
                      <w:i w:val="0"/>
                      <w:iCs w:val="0"/>
                      <w:color w:val="auto"/>
                      <w:kern w:val="0"/>
                      <w:sz w:val="22"/>
                      <w:szCs w:val="22"/>
                      <w:highlight w:val="none"/>
                      <w:u w:val="none"/>
                      <w:lang w:val="en-US" w:eastAsia="zh-CN" w:bidi="ar"/>
                    </w:rPr>
                    <w:t>是</w:t>
                  </w:r>
                </w:p>
              </w:tc>
            </w:tr>
            <w:tr w14:paraId="68DEE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8" w:type="dxa"/>
                  <w:vMerge w:val="restart"/>
                  <w:vAlign w:val="center"/>
                </w:tcPr>
                <w:p w14:paraId="588E5766">
                  <w:pPr>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10</w:t>
                  </w:r>
                </w:p>
              </w:tc>
              <w:tc>
                <w:tcPr>
                  <w:tcW w:w="1696" w:type="dxa"/>
                  <w:vMerge w:val="restart"/>
                  <w:shd w:val="clear" w:color="auto" w:fill="auto"/>
                  <w:vAlign w:val="center"/>
                </w:tcPr>
                <w:p w14:paraId="484E3188">
                  <w:pPr>
                    <w:widowControl/>
                    <w:adjustRightInd w:val="0"/>
                    <w:snapToGrid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污物间平开门30cm处</w:t>
                  </w:r>
                </w:p>
              </w:tc>
              <w:tc>
                <w:tcPr>
                  <w:tcW w:w="843" w:type="dxa"/>
                  <w:shd w:val="clear" w:color="auto" w:fill="auto"/>
                  <w:vAlign w:val="center"/>
                </w:tcPr>
                <w:p w14:paraId="794D48B1">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2434" w:type="dxa"/>
                  <w:vMerge w:val="restart"/>
                  <w:vAlign w:val="center"/>
                </w:tcPr>
                <w:p w14:paraId="1184C13D">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3mmPb铅防护门</w:t>
                  </w:r>
                </w:p>
              </w:tc>
              <w:tc>
                <w:tcPr>
                  <w:tcW w:w="1962" w:type="dxa"/>
                  <w:vAlign w:val="center"/>
                </w:tcPr>
                <w:p w14:paraId="077F8B49">
                  <w:pPr>
                    <w:widowControl/>
                    <w:jc w:val="center"/>
                    <w:textAlignment w:val="center"/>
                    <w:rPr>
                      <w:rFonts w:hint="default" w:ascii="Times New Roman" w:hAnsi="Times New Roman" w:cs="Times New Roman"/>
                      <w:bCs/>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1.94E-03</w:t>
                  </w:r>
                </w:p>
              </w:tc>
              <w:tc>
                <w:tcPr>
                  <w:tcW w:w="2019" w:type="dxa"/>
                  <w:vAlign w:val="center"/>
                </w:tcPr>
                <w:p w14:paraId="1AA7FE0A">
                  <w:pPr>
                    <w:widowControl/>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color w:val="auto"/>
                      <w:kern w:val="0"/>
                      <w:sz w:val="18"/>
                      <w:szCs w:val="18"/>
                      <w:highlight w:val="none"/>
                      <w:lang w:val="en-US" w:eastAsia="zh-CN"/>
                    </w:rPr>
                    <w:t>4.43E-04</w:t>
                  </w:r>
                </w:p>
              </w:tc>
              <w:tc>
                <w:tcPr>
                  <w:tcW w:w="1915" w:type="dxa"/>
                  <w:shd w:val="clear" w:color="auto" w:fill="auto"/>
                  <w:vAlign w:val="center"/>
                </w:tcPr>
                <w:p w14:paraId="5252D9E9">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2.38E-03</w:t>
                  </w:r>
                </w:p>
              </w:tc>
              <w:tc>
                <w:tcPr>
                  <w:tcW w:w="1131" w:type="dxa"/>
                  <w:vMerge w:val="continue"/>
                  <w:shd w:val="clear" w:color="auto" w:fill="auto"/>
                  <w:vAlign w:val="center"/>
                </w:tcPr>
                <w:p w14:paraId="735A6E4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p>
              </w:tc>
              <w:tc>
                <w:tcPr>
                  <w:tcW w:w="1228" w:type="dxa"/>
                  <w:shd w:val="clear" w:color="auto" w:fill="auto"/>
                  <w:vAlign w:val="center"/>
                </w:tcPr>
                <w:p w14:paraId="084CF66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eastAsia" w:ascii="Times New Roman" w:hAnsi="Times New Roman" w:cs="Times New Roman"/>
                      <w:i w:val="0"/>
                      <w:iCs w:val="0"/>
                      <w:color w:val="auto"/>
                      <w:kern w:val="0"/>
                      <w:sz w:val="22"/>
                      <w:szCs w:val="22"/>
                      <w:highlight w:val="none"/>
                      <w:u w:val="none"/>
                      <w:lang w:val="en-US" w:eastAsia="zh-CN" w:bidi="ar"/>
                    </w:rPr>
                    <w:t>是</w:t>
                  </w:r>
                </w:p>
              </w:tc>
            </w:tr>
            <w:tr w14:paraId="6B0CE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8" w:type="dxa"/>
                  <w:vMerge w:val="continue"/>
                  <w:vAlign w:val="center"/>
                </w:tcPr>
                <w:p w14:paraId="57EE7187">
                  <w:pPr>
                    <w:pStyle w:val="32"/>
                    <w:snapToGrid w:val="0"/>
                    <w:jc w:val="center"/>
                    <w:rPr>
                      <w:rFonts w:hint="default" w:ascii="Times New Roman" w:hAnsi="Times New Roman" w:cs="Times New Roman"/>
                      <w:bCs/>
                      <w:color w:val="auto"/>
                      <w:sz w:val="21"/>
                      <w:szCs w:val="21"/>
                      <w:highlight w:val="none"/>
                    </w:rPr>
                  </w:pPr>
                </w:p>
              </w:tc>
              <w:tc>
                <w:tcPr>
                  <w:tcW w:w="1696" w:type="dxa"/>
                  <w:vMerge w:val="continue"/>
                  <w:shd w:val="clear" w:color="auto" w:fill="auto"/>
                  <w:vAlign w:val="center"/>
                </w:tcPr>
                <w:p w14:paraId="322B6C1D">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843" w:type="dxa"/>
                  <w:shd w:val="clear" w:color="auto" w:fill="auto"/>
                  <w:vAlign w:val="center"/>
                </w:tcPr>
                <w:p w14:paraId="6BB89047">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2434" w:type="dxa"/>
                  <w:vMerge w:val="continue"/>
                  <w:vAlign w:val="center"/>
                </w:tcPr>
                <w:p w14:paraId="453AD8E4">
                  <w:pPr>
                    <w:pStyle w:val="32"/>
                    <w:snapToGrid w:val="0"/>
                    <w:jc w:val="center"/>
                    <w:rPr>
                      <w:rFonts w:hint="default" w:ascii="Times New Roman" w:hAnsi="Times New Roman" w:cs="Times New Roman"/>
                      <w:bCs/>
                      <w:color w:val="auto"/>
                      <w:sz w:val="21"/>
                      <w:szCs w:val="21"/>
                      <w:highlight w:val="none"/>
                    </w:rPr>
                  </w:pPr>
                </w:p>
              </w:tc>
              <w:tc>
                <w:tcPr>
                  <w:tcW w:w="1962" w:type="dxa"/>
                  <w:vAlign w:val="center"/>
                </w:tcPr>
                <w:p w14:paraId="12ACEA2D">
                  <w:pPr>
                    <w:widowControl/>
                    <w:jc w:val="center"/>
                    <w:textAlignment w:val="center"/>
                    <w:rPr>
                      <w:rFonts w:hint="default" w:ascii="Times New Roman" w:hAnsi="Times New Roman" w:cs="Times New Roman"/>
                      <w:bCs/>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4.18E-02</w:t>
                  </w:r>
                </w:p>
              </w:tc>
              <w:tc>
                <w:tcPr>
                  <w:tcW w:w="2019" w:type="dxa"/>
                  <w:vAlign w:val="center"/>
                </w:tcPr>
                <w:p w14:paraId="5D09F544">
                  <w:pPr>
                    <w:widowControl/>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color w:val="auto"/>
                      <w:kern w:val="0"/>
                      <w:sz w:val="18"/>
                      <w:szCs w:val="18"/>
                      <w:highlight w:val="none"/>
                      <w:lang w:val="en-US" w:eastAsia="zh-CN"/>
                    </w:rPr>
                    <w:t>2.31E-03</w:t>
                  </w:r>
                </w:p>
              </w:tc>
              <w:tc>
                <w:tcPr>
                  <w:tcW w:w="1915" w:type="dxa"/>
                  <w:shd w:val="clear" w:color="auto" w:fill="auto"/>
                  <w:vAlign w:val="center"/>
                </w:tcPr>
                <w:p w14:paraId="45CA412D">
                  <w:pPr>
                    <w:keepNext w:val="0"/>
                    <w:keepLines w:val="0"/>
                    <w:widowControl/>
                    <w:suppressLineNumbers w:val="0"/>
                    <w:jc w:val="center"/>
                    <w:textAlignment w:val="center"/>
                    <w:rPr>
                      <w:rFonts w:hint="default" w:ascii="Times New Roman" w:hAnsi="Times New Roman" w:eastAsia="宋体" w:cs="Times New Roman"/>
                      <w:bCs/>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4.41E-02</w:t>
                  </w:r>
                </w:p>
              </w:tc>
              <w:tc>
                <w:tcPr>
                  <w:tcW w:w="1131" w:type="dxa"/>
                  <w:vMerge w:val="continue"/>
                  <w:shd w:val="clear" w:color="auto" w:fill="auto"/>
                  <w:vAlign w:val="center"/>
                </w:tcPr>
                <w:p w14:paraId="14A97A4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p>
              </w:tc>
              <w:tc>
                <w:tcPr>
                  <w:tcW w:w="1228" w:type="dxa"/>
                  <w:shd w:val="clear" w:color="auto" w:fill="auto"/>
                  <w:vAlign w:val="center"/>
                </w:tcPr>
                <w:p w14:paraId="3CF0F89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eastAsia" w:ascii="Times New Roman" w:hAnsi="Times New Roman" w:cs="Times New Roman"/>
                      <w:i w:val="0"/>
                      <w:iCs w:val="0"/>
                      <w:color w:val="auto"/>
                      <w:kern w:val="0"/>
                      <w:sz w:val="22"/>
                      <w:szCs w:val="22"/>
                      <w:highlight w:val="none"/>
                      <w:u w:val="none"/>
                      <w:lang w:val="en-US" w:eastAsia="zh-CN" w:bidi="ar"/>
                    </w:rPr>
                    <w:t>是</w:t>
                  </w:r>
                </w:p>
              </w:tc>
            </w:tr>
            <w:tr w14:paraId="27780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8" w:type="dxa"/>
                  <w:vMerge w:val="restart"/>
                  <w:vAlign w:val="center"/>
                </w:tcPr>
                <w:p w14:paraId="38AFA6A8">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11</w:t>
                  </w:r>
                </w:p>
              </w:tc>
              <w:tc>
                <w:tcPr>
                  <w:tcW w:w="1696" w:type="dxa"/>
                  <w:vMerge w:val="restart"/>
                  <w:shd w:val="clear" w:color="auto" w:fill="auto"/>
                  <w:vAlign w:val="center"/>
                </w:tcPr>
                <w:p w14:paraId="0166B1E7">
                  <w:pPr>
                    <w:widowControl/>
                    <w:adjustRightInd w:val="0"/>
                    <w:snapToGrid w:val="0"/>
                    <w:jc w:val="center"/>
                    <w:textAlignment w:val="center"/>
                    <w:rPr>
                      <w:rStyle w:val="67"/>
                      <w:rFonts w:hint="default" w:ascii="Times New Roman" w:hAnsi="Times New Roman" w:eastAsia="宋体" w:cs="Times New Roman"/>
                      <w:bCs/>
                      <w:color w:val="auto"/>
                      <w:sz w:val="21"/>
                      <w:szCs w:val="21"/>
                      <w:highlight w:val="none"/>
                      <w:lang w:val="en-US" w:eastAsia="zh-CN" w:bidi="ar"/>
                    </w:rPr>
                  </w:pPr>
                  <w:r>
                    <w:rPr>
                      <w:rStyle w:val="67"/>
                      <w:rFonts w:hint="eastAsia" w:ascii="Times New Roman" w:hAnsi="Times New Roman" w:cs="Times New Roman"/>
                      <w:bCs/>
                      <w:color w:val="auto"/>
                      <w:sz w:val="21"/>
                      <w:szCs w:val="21"/>
                      <w:highlight w:val="none"/>
                      <w:lang w:val="en-US" w:eastAsia="zh-CN" w:bidi="ar"/>
                    </w:rPr>
                    <w:t>设备间屏蔽墙30cm处</w:t>
                  </w:r>
                </w:p>
              </w:tc>
              <w:tc>
                <w:tcPr>
                  <w:tcW w:w="843" w:type="dxa"/>
                  <w:shd w:val="clear" w:color="auto" w:fill="auto"/>
                  <w:vAlign w:val="center"/>
                </w:tcPr>
                <w:p w14:paraId="63A7CD62">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2434" w:type="dxa"/>
                  <w:vMerge w:val="restart"/>
                  <w:vAlign w:val="center"/>
                </w:tcPr>
                <w:p w14:paraId="35E928F2">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200</w:t>
                  </w:r>
                  <w:r>
                    <w:rPr>
                      <w:rFonts w:hint="default" w:ascii="Times New Roman" w:hAnsi="Times New Roman" w:cs="Times New Roman"/>
                      <w:color w:val="auto"/>
                      <w:sz w:val="21"/>
                      <w:szCs w:val="21"/>
                      <w:highlight w:val="none"/>
                      <w:lang w:val="en-US" w:eastAsia="zh-CN"/>
                    </w:rPr>
                    <w:t>mm厚实心砖砌体+22mm复合射线防护板</w:t>
                  </w:r>
                </w:p>
              </w:tc>
              <w:tc>
                <w:tcPr>
                  <w:tcW w:w="1962" w:type="dxa"/>
                  <w:vAlign w:val="center"/>
                </w:tcPr>
                <w:p w14:paraId="4AF91898">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1.97E-05</w:t>
                  </w:r>
                </w:p>
              </w:tc>
              <w:tc>
                <w:tcPr>
                  <w:tcW w:w="2019" w:type="dxa"/>
                  <w:vAlign w:val="center"/>
                </w:tcPr>
                <w:p w14:paraId="66F8CBB9">
                  <w:pPr>
                    <w:widowControl/>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color w:val="auto"/>
                      <w:kern w:val="0"/>
                      <w:sz w:val="18"/>
                      <w:szCs w:val="18"/>
                      <w:highlight w:val="none"/>
                      <w:lang w:val="en-US" w:eastAsia="zh-CN"/>
                    </w:rPr>
                    <w:t>1.60E-06</w:t>
                  </w:r>
                </w:p>
              </w:tc>
              <w:tc>
                <w:tcPr>
                  <w:tcW w:w="1915" w:type="dxa"/>
                  <w:shd w:val="clear" w:color="auto" w:fill="auto"/>
                  <w:vAlign w:val="center"/>
                </w:tcPr>
                <w:p w14:paraId="5A842DB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2.13E-05</w:t>
                  </w:r>
                </w:p>
              </w:tc>
              <w:tc>
                <w:tcPr>
                  <w:tcW w:w="1131" w:type="dxa"/>
                  <w:vMerge w:val="continue"/>
                  <w:shd w:val="clear" w:color="auto" w:fill="auto"/>
                  <w:vAlign w:val="center"/>
                </w:tcPr>
                <w:p w14:paraId="08C2D7D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p>
              </w:tc>
              <w:tc>
                <w:tcPr>
                  <w:tcW w:w="1228" w:type="dxa"/>
                  <w:shd w:val="clear" w:color="auto" w:fill="auto"/>
                  <w:vAlign w:val="center"/>
                </w:tcPr>
                <w:p w14:paraId="5119F1E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eastAsia" w:ascii="Times New Roman" w:hAnsi="Times New Roman" w:cs="Times New Roman"/>
                      <w:i w:val="0"/>
                      <w:iCs w:val="0"/>
                      <w:color w:val="auto"/>
                      <w:kern w:val="0"/>
                      <w:sz w:val="22"/>
                      <w:szCs w:val="22"/>
                      <w:highlight w:val="none"/>
                      <w:u w:val="none"/>
                      <w:lang w:val="en-US" w:eastAsia="zh-CN" w:bidi="ar"/>
                    </w:rPr>
                    <w:t>是</w:t>
                  </w:r>
                </w:p>
              </w:tc>
            </w:tr>
            <w:tr w14:paraId="387D3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8" w:type="dxa"/>
                  <w:vMerge w:val="continue"/>
                  <w:vAlign w:val="center"/>
                </w:tcPr>
                <w:p w14:paraId="76A2F78E">
                  <w:pPr>
                    <w:pStyle w:val="32"/>
                    <w:snapToGrid w:val="0"/>
                    <w:jc w:val="center"/>
                    <w:rPr>
                      <w:rFonts w:hint="default" w:ascii="Times New Roman" w:hAnsi="Times New Roman" w:cs="Times New Roman"/>
                      <w:bCs/>
                      <w:color w:val="auto"/>
                      <w:sz w:val="21"/>
                      <w:szCs w:val="21"/>
                      <w:highlight w:val="none"/>
                    </w:rPr>
                  </w:pPr>
                </w:p>
              </w:tc>
              <w:tc>
                <w:tcPr>
                  <w:tcW w:w="1696" w:type="dxa"/>
                  <w:vMerge w:val="continue"/>
                  <w:shd w:val="clear" w:color="auto" w:fill="auto"/>
                  <w:vAlign w:val="center"/>
                </w:tcPr>
                <w:p w14:paraId="343F6770">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843" w:type="dxa"/>
                  <w:shd w:val="clear" w:color="auto" w:fill="auto"/>
                  <w:vAlign w:val="center"/>
                </w:tcPr>
                <w:p w14:paraId="6B9FC1B6">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拍片</w:t>
                  </w:r>
                </w:p>
              </w:tc>
              <w:tc>
                <w:tcPr>
                  <w:tcW w:w="2434" w:type="dxa"/>
                  <w:vMerge w:val="continue"/>
                  <w:vAlign w:val="center"/>
                </w:tcPr>
                <w:p w14:paraId="75A944DB">
                  <w:pPr>
                    <w:pStyle w:val="32"/>
                    <w:snapToGrid w:val="0"/>
                    <w:jc w:val="center"/>
                    <w:rPr>
                      <w:rFonts w:hint="default" w:ascii="Times New Roman" w:hAnsi="Times New Roman" w:cs="Times New Roman"/>
                      <w:bCs/>
                      <w:color w:val="auto"/>
                      <w:sz w:val="21"/>
                      <w:szCs w:val="21"/>
                      <w:highlight w:val="none"/>
                    </w:rPr>
                  </w:pPr>
                </w:p>
              </w:tc>
              <w:tc>
                <w:tcPr>
                  <w:tcW w:w="1962" w:type="dxa"/>
                  <w:vAlign w:val="center"/>
                </w:tcPr>
                <w:p w14:paraId="4F3ABCC3">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4.25E-04</w:t>
                  </w:r>
                </w:p>
              </w:tc>
              <w:tc>
                <w:tcPr>
                  <w:tcW w:w="2019" w:type="dxa"/>
                  <w:vAlign w:val="center"/>
                </w:tcPr>
                <w:p w14:paraId="070DE5A6">
                  <w:pPr>
                    <w:widowControl/>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color w:val="auto"/>
                      <w:kern w:val="0"/>
                      <w:sz w:val="18"/>
                      <w:szCs w:val="18"/>
                      <w:highlight w:val="none"/>
                      <w:lang w:val="en-US" w:eastAsia="zh-CN"/>
                    </w:rPr>
                    <w:t>2.37E-05</w:t>
                  </w:r>
                </w:p>
              </w:tc>
              <w:tc>
                <w:tcPr>
                  <w:tcW w:w="1915" w:type="dxa"/>
                  <w:shd w:val="clear" w:color="auto" w:fill="auto"/>
                  <w:vAlign w:val="center"/>
                </w:tcPr>
                <w:p w14:paraId="27EB173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4.49E-04</w:t>
                  </w:r>
                </w:p>
              </w:tc>
              <w:tc>
                <w:tcPr>
                  <w:tcW w:w="1131" w:type="dxa"/>
                  <w:vMerge w:val="continue"/>
                  <w:shd w:val="clear" w:color="auto" w:fill="auto"/>
                  <w:vAlign w:val="center"/>
                </w:tcPr>
                <w:p w14:paraId="5AA5E77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p>
              </w:tc>
              <w:tc>
                <w:tcPr>
                  <w:tcW w:w="1228" w:type="dxa"/>
                  <w:shd w:val="clear" w:color="auto" w:fill="auto"/>
                  <w:vAlign w:val="center"/>
                </w:tcPr>
                <w:p w14:paraId="65596D0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eastAsia" w:ascii="Times New Roman" w:hAnsi="Times New Roman" w:cs="Times New Roman"/>
                      <w:i w:val="0"/>
                      <w:iCs w:val="0"/>
                      <w:color w:val="auto"/>
                      <w:kern w:val="0"/>
                      <w:sz w:val="22"/>
                      <w:szCs w:val="22"/>
                      <w:highlight w:val="none"/>
                      <w:u w:val="none"/>
                      <w:lang w:val="en-US" w:eastAsia="zh-CN" w:bidi="ar"/>
                    </w:rPr>
                    <w:t>是</w:t>
                  </w:r>
                </w:p>
              </w:tc>
            </w:tr>
            <w:tr w14:paraId="11F59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8" w:type="dxa"/>
                  <w:vMerge w:val="restart"/>
                  <w:vAlign w:val="center"/>
                </w:tcPr>
                <w:p w14:paraId="1D2979B7">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12</w:t>
                  </w:r>
                </w:p>
              </w:tc>
              <w:tc>
                <w:tcPr>
                  <w:tcW w:w="1696" w:type="dxa"/>
                  <w:vMerge w:val="restart"/>
                  <w:shd w:val="clear" w:color="auto" w:fill="auto"/>
                  <w:vAlign w:val="center"/>
                </w:tcPr>
                <w:p w14:paraId="70B7BADA">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r>
                    <w:rPr>
                      <w:rStyle w:val="67"/>
                      <w:rFonts w:hint="eastAsia" w:ascii="Times New Roman" w:hAnsi="Times New Roman" w:cs="Times New Roman"/>
                      <w:bCs/>
                      <w:color w:val="auto"/>
                      <w:sz w:val="21"/>
                      <w:szCs w:val="21"/>
                      <w:highlight w:val="none"/>
                      <w:lang w:val="en-US" w:eastAsia="zh-CN" w:bidi="ar"/>
                    </w:rPr>
                    <w:t>设备间平开门30cm处</w:t>
                  </w:r>
                </w:p>
              </w:tc>
              <w:tc>
                <w:tcPr>
                  <w:tcW w:w="843" w:type="dxa"/>
                  <w:shd w:val="clear" w:color="auto" w:fill="auto"/>
                  <w:vAlign w:val="center"/>
                </w:tcPr>
                <w:p w14:paraId="4C19B849">
                  <w:pPr>
                    <w:pStyle w:val="32"/>
                    <w:snapToGrid w:val="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透视</w:t>
                  </w:r>
                </w:p>
              </w:tc>
              <w:tc>
                <w:tcPr>
                  <w:tcW w:w="2434" w:type="dxa"/>
                  <w:vMerge w:val="restart"/>
                  <w:vAlign w:val="center"/>
                </w:tcPr>
                <w:p w14:paraId="5CD76680">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3mmPb铅防护门</w:t>
                  </w:r>
                </w:p>
              </w:tc>
              <w:tc>
                <w:tcPr>
                  <w:tcW w:w="1962" w:type="dxa"/>
                  <w:vAlign w:val="center"/>
                </w:tcPr>
                <w:p w14:paraId="31000D01">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1.94E-03</w:t>
                  </w:r>
                </w:p>
              </w:tc>
              <w:tc>
                <w:tcPr>
                  <w:tcW w:w="2019" w:type="dxa"/>
                  <w:vAlign w:val="center"/>
                </w:tcPr>
                <w:p w14:paraId="1B2159F9">
                  <w:pPr>
                    <w:widowControl/>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color w:val="auto"/>
                      <w:kern w:val="0"/>
                      <w:sz w:val="18"/>
                      <w:szCs w:val="18"/>
                      <w:highlight w:val="none"/>
                      <w:lang w:val="en-US" w:eastAsia="zh-CN"/>
                    </w:rPr>
                    <w:t>4.43E-04</w:t>
                  </w:r>
                </w:p>
              </w:tc>
              <w:tc>
                <w:tcPr>
                  <w:tcW w:w="1915" w:type="dxa"/>
                  <w:shd w:val="clear" w:color="auto" w:fill="auto"/>
                  <w:vAlign w:val="center"/>
                </w:tcPr>
                <w:p w14:paraId="72971D0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2.38E-03</w:t>
                  </w:r>
                </w:p>
              </w:tc>
              <w:tc>
                <w:tcPr>
                  <w:tcW w:w="1131" w:type="dxa"/>
                  <w:vMerge w:val="continue"/>
                  <w:shd w:val="clear" w:color="auto" w:fill="auto"/>
                  <w:vAlign w:val="center"/>
                </w:tcPr>
                <w:p w14:paraId="166B547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p>
              </w:tc>
              <w:tc>
                <w:tcPr>
                  <w:tcW w:w="1228" w:type="dxa"/>
                  <w:shd w:val="clear" w:color="auto" w:fill="auto"/>
                  <w:vAlign w:val="center"/>
                </w:tcPr>
                <w:p w14:paraId="47644D7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eastAsia" w:ascii="Times New Roman" w:hAnsi="Times New Roman" w:cs="Times New Roman"/>
                      <w:i w:val="0"/>
                      <w:iCs w:val="0"/>
                      <w:color w:val="auto"/>
                      <w:kern w:val="0"/>
                      <w:sz w:val="22"/>
                      <w:szCs w:val="22"/>
                      <w:highlight w:val="none"/>
                      <w:u w:val="none"/>
                      <w:lang w:val="en-US" w:eastAsia="zh-CN" w:bidi="ar"/>
                    </w:rPr>
                    <w:t>是</w:t>
                  </w:r>
                </w:p>
              </w:tc>
            </w:tr>
            <w:tr w14:paraId="17DED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8" w:type="dxa"/>
                  <w:vMerge w:val="continue"/>
                  <w:vAlign w:val="center"/>
                </w:tcPr>
                <w:p w14:paraId="7B10A7A6">
                  <w:pPr>
                    <w:pStyle w:val="32"/>
                    <w:snapToGrid w:val="0"/>
                    <w:jc w:val="center"/>
                    <w:rPr>
                      <w:rFonts w:hint="default" w:ascii="Times New Roman" w:hAnsi="Times New Roman" w:cs="Times New Roman"/>
                      <w:bCs/>
                      <w:color w:val="auto"/>
                      <w:sz w:val="21"/>
                      <w:szCs w:val="21"/>
                      <w:highlight w:val="none"/>
                    </w:rPr>
                  </w:pPr>
                </w:p>
              </w:tc>
              <w:tc>
                <w:tcPr>
                  <w:tcW w:w="1696" w:type="dxa"/>
                  <w:vMerge w:val="continue"/>
                  <w:shd w:val="clear" w:color="auto" w:fill="auto"/>
                  <w:vAlign w:val="center"/>
                </w:tcPr>
                <w:p w14:paraId="6FC0C30B">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843" w:type="dxa"/>
                  <w:shd w:val="clear" w:color="auto" w:fill="auto"/>
                  <w:vAlign w:val="center"/>
                </w:tcPr>
                <w:p w14:paraId="273AAD9D">
                  <w:pPr>
                    <w:pStyle w:val="32"/>
                    <w:snapToGrid w:val="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拍片</w:t>
                  </w:r>
                </w:p>
              </w:tc>
              <w:tc>
                <w:tcPr>
                  <w:tcW w:w="2434" w:type="dxa"/>
                  <w:vMerge w:val="continue"/>
                  <w:vAlign w:val="center"/>
                </w:tcPr>
                <w:p w14:paraId="59CE1A79">
                  <w:pPr>
                    <w:pStyle w:val="32"/>
                    <w:snapToGrid w:val="0"/>
                    <w:jc w:val="center"/>
                    <w:rPr>
                      <w:rFonts w:hint="default" w:ascii="Times New Roman" w:hAnsi="Times New Roman" w:cs="Times New Roman"/>
                      <w:bCs/>
                      <w:color w:val="auto"/>
                      <w:sz w:val="21"/>
                      <w:szCs w:val="21"/>
                      <w:highlight w:val="none"/>
                    </w:rPr>
                  </w:pPr>
                </w:p>
              </w:tc>
              <w:tc>
                <w:tcPr>
                  <w:tcW w:w="1962" w:type="dxa"/>
                  <w:vAlign w:val="center"/>
                </w:tcPr>
                <w:p w14:paraId="072E736F">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4.18E-02</w:t>
                  </w:r>
                </w:p>
              </w:tc>
              <w:tc>
                <w:tcPr>
                  <w:tcW w:w="2019" w:type="dxa"/>
                  <w:vAlign w:val="center"/>
                </w:tcPr>
                <w:p w14:paraId="16A8BD5B">
                  <w:pPr>
                    <w:widowControl/>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color w:val="auto"/>
                      <w:kern w:val="0"/>
                      <w:sz w:val="18"/>
                      <w:szCs w:val="18"/>
                      <w:highlight w:val="none"/>
                      <w:lang w:val="en-US" w:eastAsia="zh-CN"/>
                    </w:rPr>
                    <w:t>2.31E-03</w:t>
                  </w:r>
                </w:p>
              </w:tc>
              <w:tc>
                <w:tcPr>
                  <w:tcW w:w="1915" w:type="dxa"/>
                  <w:shd w:val="clear" w:color="auto" w:fill="auto"/>
                  <w:vAlign w:val="center"/>
                </w:tcPr>
                <w:p w14:paraId="0ED5F9B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4.41E-02</w:t>
                  </w:r>
                </w:p>
              </w:tc>
              <w:tc>
                <w:tcPr>
                  <w:tcW w:w="1131" w:type="dxa"/>
                  <w:vMerge w:val="continue"/>
                  <w:shd w:val="clear" w:color="auto" w:fill="auto"/>
                  <w:vAlign w:val="center"/>
                </w:tcPr>
                <w:p w14:paraId="141059E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p>
              </w:tc>
              <w:tc>
                <w:tcPr>
                  <w:tcW w:w="1228" w:type="dxa"/>
                  <w:shd w:val="clear" w:color="auto" w:fill="auto"/>
                  <w:vAlign w:val="center"/>
                </w:tcPr>
                <w:p w14:paraId="22A87C6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eastAsia" w:ascii="Times New Roman" w:hAnsi="Times New Roman" w:cs="Times New Roman"/>
                      <w:i w:val="0"/>
                      <w:iCs w:val="0"/>
                      <w:color w:val="auto"/>
                      <w:kern w:val="0"/>
                      <w:sz w:val="22"/>
                      <w:szCs w:val="22"/>
                      <w:highlight w:val="none"/>
                      <w:u w:val="none"/>
                      <w:lang w:val="en-US" w:eastAsia="zh-CN" w:bidi="ar"/>
                    </w:rPr>
                    <w:t>是</w:t>
                  </w:r>
                </w:p>
              </w:tc>
            </w:tr>
            <w:tr w14:paraId="22600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8" w:type="dxa"/>
                  <w:vMerge w:val="restart"/>
                  <w:vAlign w:val="center"/>
                </w:tcPr>
                <w:p w14:paraId="6CF0F8C5">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13</w:t>
                  </w:r>
                </w:p>
              </w:tc>
              <w:tc>
                <w:tcPr>
                  <w:tcW w:w="1696" w:type="dxa"/>
                  <w:vMerge w:val="restart"/>
                  <w:shd w:val="clear" w:color="auto" w:fill="auto"/>
                  <w:vAlign w:val="center"/>
                </w:tcPr>
                <w:p w14:paraId="1EAC5E15">
                  <w:pPr>
                    <w:widowControl/>
                    <w:adjustRightInd w:val="0"/>
                    <w:snapToGrid w:val="0"/>
                    <w:jc w:val="center"/>
                    <w:textAlignment w:val="center"/>
                    <w:rPr>
                      <w:rStyle w:val="67"/>
                      <w:rFonts w:hint="default" w:ascii="Times New Roman" w:hAnsi="Times New Roman" w:eastAsia="宋体" w:cs="Times New Roman"/>
                      <w:bCs/>
                      <w:color w:val="auto"/>
                      <w:sz w:val="21"/>
                      <w:szCs w:val="21"/>
                      <w:highlight w:val="none"/>
                      <w:lang w:val="en-US" w:eastAsia="zh-CN" w:bidi="ar"/>
                    </w:rPr>
                  </w:pPr>
                  <w:r>
                    <w:rPr>
                      <w:rStyle w:val="67"/>
                      <w:rFonts w:hint="eastAsia" w:ascii="Times New Roman" w:hAnsi="Times New Roman" w:cs="Times New Roman"/>
                      <w:bCs/>
                      <w:color w:val="auto"/>
                      <w:sz w:val="21"/>
                      <w:szCs w:val="21"/>
                      <w:highlight w:val="none"/>
                      <w:lang w:val="en-US" w:eastAsia="zh-CN" w:bidi="ar"/>
                    </w:rPr>
                    <w:t>DSA机头楼下30cm处</w:t>
                  </w:r>
                </w:p>
              </w:tc>
              <w:tc>
                <w:tcPr>
                  <w:tcW w:w="843" w:type="dxa"/>
                  <w:shd w:val="clear" w:color="auto" w:fill="auto"/>
                  <w:vAlign w:val="center"/>
                </w:tcPr>
                <w:p w14:paraId="7BE7D7AB">
                  <w:pPr>
                    <w:pStyle w:val="32"/>
                    <w:snapToGrid w:val="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透视</w:t>
                  </w:r>
                </w:p>
              </w:tc>
              <w:tc>
                <w:tcPr>
                  <w:tcW w:w="2434" w:type="dxa"/>
                  <w:vMerge w:val="restart"/>
                  <w:vAlign w:val="center"/>
                </w:tcPr>
                <w:p w14:paraId="79908A05">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sz w:val="21"/>
                      <w:szCs w:val="21"/>
                      <w:highlight w:val="none"/>
                      <w:lang w:val="en-US" w:eastAsia="zh-CN"/>
                    </w:rPr>
                    <w:t>150mm混凝土+45mm硫酸钡水泥</w:t>
                  </w:r>
                </w:p>
              </w:tc>
              <w:tc>
                <w:tcPr>
                  <w:tcW w:w="1962" w:type="dxa"/>
                  <w:vAlign w:val="center"/>
                </w:tcPr>
                <w:p w14:paraId="6BDE5735">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1.02E-04</w:t>
                  </w:r>
                </w:p>
              </w:tc>
              <w:tc>
                <w:tcPr>
                  <w:tcW w:w="2019" w:type="dxa"/>
                  <w:vAlign w:val="center"/>
                </w:tcPr>
                <w:p w14:paraId="40D1456A">
                  <w:pPr>
                    <w:widowControl/>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color w:val="auto"/>
                      <w:kern w:val="0"/>
                      <w:sz w:val="18"/>
                      <w:szCs w:val="18"/>
                      <w:highlight w:val="none"/>
                      <w:lang w:val="en-US" w:eastAsia="zh-CN"/>
                    </w:rPr>
                    <w:t>1.42E-05</w:t>
                  </w:r>
                </w:p>
              </w:tc>
              <w:tc>
                <w:tcPr>
                  <w:tcW w:w="1915" w:type="dxa"/>
                  <w:shd w:val="clear" w:color="auto" w:fill="auto"/>
                  <w:vAlign w:val="center"/>
                </w:tcPr>
                <w:p w14:paraId="2E32142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1.16E-04</w:t>
                  </w:r>
                </w:p>
              </w:tc>
              <w:tc>
                <w:tcPr>
                  <w:tcW w:w="1131" w:type="dxa"/>
                  <w:vMerge w:val="continue"/>
                  <w:shd w:val="clear" w:color="auto" w:fill="auto"/>
                  <w:vAlign w:val="center"/>
                </w:tcPr>
                <w:p w14:paraId="2479BEC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p>
              </w:tc>
              <w:tc>
                <w:tcPr>
                  <w:tcW w:w="1228" w:type="dxa"/>
                  <w:shd w:val="clear" w:color="auto" w:fill="auto"/>
                  <w:vAlign w:val="center"/>
                </w:tcPr>
                <w:p w14:paraId="2FB8A51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eastAsia" w:ascii="Times New Roman" w:hAnsi="Times New Roman" w:cs="Times New Roman"/>
                      <w:i w:val="0"/>
                      <w:iCs w:val="0"/>
                      <w:color w:val="auto"/>
                      <w:kern w:val="0"/>
                      <w:sz w:val="22"/>
                      <w:szCs w:val="22"/>
                      <w:highlight w:val="none"/>
                      <w:u w:val="none"/>
                      <w:lang w:val="en-US" w:eastAsia="zh-CN" w:bidi="ar"/>
                    </w:rPr>
                    <w:t>是</w:t>
                  </w:r>
                </w:p>
              </w:tc>
            </w:tr>
            <w:tr w14:paraId="44C37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8" w:type="dxa"/>
                  <w:vMerge w:val="continue"/>
                  <w:vAlign w:val="center"/>
                </w:tcPr>
                <w:p w14:paraId="3C4F61BD">
                  <w:pPr>
                    <w:pStyle w:val="32"/>
                    <w:snapToGrid w:val="0"/>
                    <w:jc w:val="center"/>
                    <w:rPr>
                      <w:rFonts w:hint="default" w:ascii="Times New Roman" w:hAnsi="Times New Roman" w:cs="Times New Roman"/>
                      <w:bCs/>
                      <w:color w:val="auto"/>
                      <w:sz w:val="21"/>
                      <w:szCs w:val="21"/>
                      <w:highlight w:val="none"/>
                    </w:rPr>
                  </w:pPr>
                </w:p>
              </w:tc>
              <w:tc>
                <w:tcPr>
                  <w:tcW w:w="1696" w:type="dxa"/>
                  <w:vMerge w:val="continue"/>
                  <w:shd w:val="clear" w:color="auto" w:fill="auto"/>
                  <w:vAlign w:val="center"/>
                </w:tcPr>
                <w:p w14:paraId="35363B3F">
                  <w:pPr>
                    <w:widowControl/>
                    <w:adjustRightInd w:val="0"/>
                    <w:snapToGrid w:val="0"/>
                    <w:jc w:val="center"/>
                    <w:textAlignment w:val="center"/>
                    <w:rPr>
                      <w:rStyle w:val="67"/>
                      <w:rFonts w:hint="default" w:ascii="Times New Roman" w:hAnsi="Times New Roman" w:cs="Times New Roman"/>
                      <w:bCs/>
                      <w:color w:val="auto"/>
                      <w:sz w:val="21"/>
                      <w:szCs w:val="21"/>
                      <w:highlight w:val="none"/>
                      <w:lang w:bidi="ar"/>
                    </w:rPr>
                  </w:pPr>
                </w:p>
              </w:tc>
              <w:tc>
                <w:tcPr>
                  <w:tcW w:w="843" w:type="dxa"/>
                  <w:shd w:val="clear" w:color="auto" w:fill="auto"/>
                  <w:vAlign w:val="center"/>
                </w:tcPr>
                <w:p w14:paraId="3D46E94D">
                  <w:pPr>
                    <w:pStyle w:val="32"/>
                    <w:snapToGrid w:val="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拍片</w:t>
                  </w:r>
                </w:p>
              </w:tc>
              <w:tc>
                <w:tcPr>
                  <w:tcW w:w="2434" w:type="dxa"/>
                  <w:vMerge w:val="continue"/>
                  <w:vAlign w:val="center"/>
                </w:tcPr>
                <w:p w14:paraId="17E1D94E">
                  <w:pPr>
                    <w:pStyle w:val="32"/>
                    <w:snapToGrid w:val="0"/>
                    <w:jc w:val="center"/>
                    <w:rPr>
                      <w:rFonts w:hint="default" w:ascii="Times New Roman" w:hAnsi="Times New Roman" w:cs="Times New Roman"/>
                      <w:bCs/>
                      <w:color w:val="auto"/>
                      <w:sz w:val="21"/>
                      <w:szCs w:val="21"/>
                      <w:highlight w:val="none"/>
                    </w:rPr>
                  </w:pPr>
                </w:p>
              </w:tc>
              <w:tc>
                <w:tcPr>
                  <w:tcW w:w="1962" w:type="dxa"/>
                  <w:vAlign w:val="center"/>
                </w:tcPr>
                <w:p w14:paraId="64275010">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18"/>
                      <w:szCs w:val="18"/>
                      <w:highlight w:val="none"/>
                      <w:lang w:val="en-US" w:eastAsia="zh-CN"/>
                    </w:rPr>
                    <w:t>2.21E-03</w:t>
                  </w:r>
                </w:p>
              </w:tc>
              <w:tc>
                <w:tcPr>
                  <w:tcW w:w="2019" w:type="dxa"/>
                  <w:vAlign w:val="center"/>
                </w:tcPr>
                <w:p w14:paraId="0AF7A089">
                  <w:pPr>
                    <w:widowControl/>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color w:val="auto"/>
                      <w:kern w:val="0"/>
                      <w:sz w:val="18"/>
                      <w:szCs w:val="18"/>
                      <w:highlight w:val="none"/>
                      <w:lang w:val="en-US" w:eastAsia="zh-CN"/>
                    </w:rPr>
                    <w:t>2.78E-04</w:t>
                  </w:r>
                </w:p>
              </w:tc>
              <w:tc>
                <w:tcPr>
                  <w:tcW w:w="1915" w:type="dxa"/>
                  <w:shd w:val="clear" w:color="auto" w:fill="auto"/>
                  <w:vAlign w:val="center"/>
                </w:tcPr>
                <w:p w14:paraId="173FAD3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2.49E-03</w:t>
                  </w:r>
                </w:p>
              </w:tc>
              <w:tc>
                <w:tcPr>
                  <w:tcW w:w="1131" w:type="dxa"/>
                  <w:vMerge w:val="continue"/>
                  <w:shd w:val="clear" w:color="auto" w:fill="auto"/>
                  <w:vAlign w:val="center"/>
                </w:tcPr>
                <w:p w14:paraId="2A6F20A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p>
              </w:tc>
              <w:tc>
                <w:tcPr>
                  <w:tcW w:w="1228" w:type="dxa"/>
                  <w:shd w:val="clear" w:color="auto" w:fill="auto"/>
                  <w:vAlign w:val="center"/>
                </w:tcPr>
                <w:p w14:paraId="08A2669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eastAsia" w:ascii="Times New Roman" w:hAnsi="Times New Roman" w:cs="Times New Roman"/>
                      <w:i w:val="0"/>
                      <w:iCs w:val="0"/>
                      <w:color w:val="auto"/>
                      <w:kern w:val="0"/>
                      <w:sz w:val="22"/>
                      <w:szCs w:val="22"/>
                      <w:highlight w:val="none"/>
                      <w:u w:val="none"/>
                      <w:lang w:val="en-US" w:eastAsia="zh-CN" w:bidi="ar"/>
                    </w:rPr>
                    <w:t>是</w:t>
                  </w:r>
                </w:p>
              </w:tc>
            </w:tr>
          </w:tbl>
          <w:p w14:paraId="0A5CA77F">
            <w:pPr>
              <w:pStyle w:val="32"/>
              <w:snapToGrid w:val="0"/>
              <w:jc w:val="both"/>
              <w:rPr>
                <w:rFonts w:hint="default" w:ascii="Times New Roman" w:hAnsi="Times New Roman" w:cs="Times New Roman"/>
                <w:color w:val="auto"/>
                <w:highlight w:val="none"/>
              </w:rPr>
            </w:pPr>
            <w:r>
              <w:rPr>
                <w:rFonts w:hint="default" w:ascii="Times New Roman" w:hAnsi="Times New Roman" w:cs="Times New Roman"/>
                <w:b/>
                <w:bCs/>
                <w:color w:val="auto"/>
                <w:sz w:val="18"/>
                <w:szCs w:val="18"/>
                <w:highlight w:val="none"/>
              </w:rPr>
              <w:t>注：根据《外照射放射防护剂量转换系数标准》（WS/T830-2024）表G.1中100kV下空气比释动能到周围剂量当量的转换系数为1.65;</w:t>
            </w:r>
            <w:r>
              <w:rPr>
                <w:rFonts w:hint="eastAsia" w:ascii="Times New Roman" w:hAnsi="Times New Roman" w:cs="Times New Roman"/>
                <w:b/>
                <w:bCs/>
                <w:color w:val="auto"/>
                <w:sz w:val="18"/>
                <w:szCs w:val="18"/>
                <w:highlight w:val="none"/>
                <w:lang w:val="en-US" w:eastAsia="zh-CN"/>
              </w:rPr>
              <w:t>9</w:t>
            </w:r>
            <w:r>
              <w:rPr>
                <w:rFonts w:hint="default" w:ascii="Times New Roman" w:hAnsi="Times New Roman" w:cs="Times New Roman"/>
                <w:b/>
                <w:bCs/>
                <w:color w:val="auto"/>
                <w:sz w:val="18"/>
                <w:szCs w:val="18"/>
                <w:highlight w:val="none"/>
              </w:rPr>
              <w:t>0kV下空气比释动能到周围剂量当量的转换系数为1.</w:t>
            </w:r>
            <w:r>
              <w:rPr>
                <w:rFonts w:hint="eastAsia" w:ascii="Times New Roman" w:hAnsi="Times New Roman" w:cs="Times New Roman"/>
                <w:b/>
                <w:bCs/>
                <w:color w:val="auto"/>
                <w:sz w:val="18"/>
                <w:szCs w:val="18"/>
                <w:highlight w:val="none"/>
                <w:lang w:val="en-US" w:eastAsia="zh-CN"/>
              </w:rPr>
              <w:t>69</w:t>
            </w:r>
            <w:r>
              <w:rPr>
                <w:rFonts w:hint="default" w:ascii="Times New Roman" w:hAnsi="Times New Roman" w:cs="Times New Roman"/>
                <w:b/>
                <w:bCs/>
                <w:color w:val="auto"/>
                <w:sz w:val="18"/>
                <w:szCs w:val="18"/>
                <w:highlight w:val="none"/>
              </w:rPr>
              <w:t>；</w:t>
            </w:r>
          </w:p>
          <w:p w14:paraId="418FBE0D">
            <w:pPr>
              <w:pStyle w:val="32"/>
              <w:numPr>
                <w:ilvl w:val="0"/>
                <w:numId w:val="22"/>
              </w:numPr>
              <w:snapToGrid w:val="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 </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透视情况下医护人员剂量率估算结果</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泄露射线</w:t>
            </w:r>
            <w:r>
              <w:rPr>
                <w:rFonts w:hint="default" w:ascii="Times New Roman" w:hAnsi="Times New Roman" w:eastAsia="宋体" w:cs="Times New Roman"/>
                <w:color w:val="auto"/>
                <w:sz w:val="21"/>
                <w:szCs w:val="21"/>
                <w:highlight w:val="none"/>
                <w:lang w:eastAsia="zh-CN"/>
              </w:rPr>
              <w:t>）</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2046"/>
              <w:gridCol w:w="1804"/>
              <w:gridCol w:w="1162"/>
              <w:gridCol w:w="3363"/>
              <w:gridCol w:w="1145"/>
              <w:gridCol w:w="1596"/>
              <w:gridCol w:w="2181"/>
            </w:tblGrid>
            <w:tr w14:paraId="58909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9" w:type="pct"/>
                  <w:vMerge w:val="restart"/>
                  <w:vAlign w:val="center"/>
                </w:tcPr>
                <w:p w14:paraId="4B58E118">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关注点</w:t>
                  </w:r>
                </w:p>
              </w:tc>
              <w:tc>
                <w:tcPr>
                  <w:tcW w:w="730" w:type="pct"/>
                  <w:vMerge w:val="restart"/>
                  <w:vAlign w:val="center"/>
                </w:tcPr>
                <w:p w14:paraId="3A48FA07">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预测点</w:t>
                  </w:r>
                </w:p>
              </w:tc>
              <w:tc>
                <w:tcPr>
                  <w:tcW w:w="644" w:type="pct"/>
                  <w:vMerge w:val="restart"/>
                  <w:vAlign w:val="center"/>
                </w:tcPr>
                <w:p w14:paraId="0778D144">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模式</w:t>
                  </w:r>
                </w:p>
              </w:tc>
              <w:tc>
                <w:tcPr>
                  <w:tcW w:w="415" w:type="pct"/>
                  <w:vMerge w:val="restart"/>
                  <w:vAlign w:val="center"/>
                </w:tcPr>
                <w:p w14:paraId="73030D06">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距离</w:t>
                  </w:r>
                </w:p>
                <w:p w14:paraId="61D7831D">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（m）</w:t>
                  </w:r>
                </w:p>
              </w:tc>
              <w:tc>
                <w:tcPr>
                  <w:tcW w:w="1201" w:type="pct"/>
                  <w:vMerge w:val="restart"/>
                  <w:vAlign w:val="center"/>
                </w:tcPr>
                <w:p w14:paraId="7F07EF2A">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屏蔽材料</w:t>
                  </w:r>
                </w:p>
              </w:tc>
              <w:tc>
                <w:tcPr>
                  <w:tcW w:w="409" w:type="pct"/>
                  <w:vMerge w:val="restart"/>
                  <w:vAlign w:val="center"/>
                </w:tcPr>
                <w:p w14:paraId="68DEBB23">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利用因子</w:t>
                  </w:r>
                </w:p>
              </w:tc>
              <w:tc>
                <w:tcPr>
                  <w:tcW w:w="1349" w:type="pct"/>
                  <w:gridSpan w:val="2"/>
                  <w:vAlign w:val="center"/>
                </w:tcPr>
                <w:p w14:paraId="16AB726D">
                  <w:pPr>
                    <w:pStyle w:val="32"/>
                    <w:snapToGrid w:val="0"/>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泄漏射线</w:t>
                  </w:r>
                </w:p>
              </w:tc>
            </w:tr>
            <w:tr w14:paraId="6A23B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9" w:type="pct"/>
                  <w:vMerge w:val="continue"/>
                  <w:vAlign w:val="center"/>
                </w:tcPr>
                <w:p w14:paraId="395637E2">
                  <w:pPr>
                    <w:pStyle w:val="32"/>
                    <w:snapToGrid w:val="0"/>
                    <w:jc w:val="center"/>
                    <w:rPr>
                      <w:rFonts w:hint="default" w:ascii="Times New Roman" w:hAnsi="Times New Roman" w:cs="Times New Roman"/>
                      <w:bCs/>
                      <w:color w:val="auto"/>
                      <w:sz w:val="21"/>
                      <w:szCs w:val="21"/>
                      <w:highlight w:val="none"/>
                    </w:rPr>
                  </w:pPr>
                </w:p>
              </w:tc>
              <w:tc>
                <w:tcPr>
                  <w:tcW w:w="730" w:type="pct"/>
                  <w:vMerge w:val="continue"/>
                  <w:vAlign w:val="center"/>
                </w:tcPr>
                <w:p w14:paraId="1B4976DF">
                  <w:pPr>
                    <w:pStyle w:val="32"/>
                    <w:snapToGrid w:val="0"/>
                    <w:jc w:val="center"/>
                    <w:rPr>
                      <w:rFonts w:hint="default" w:ascii="Times New Roman" w:hAnsi="Times New Roman" w:cs="Times New Roman"/>
                      <w:bCs/>
                      <w:color w:val="auto"/>
                      <w:sz w:val="21"/>
                      <w:szCs w:val="21"/>
                      <w:highlight w:val="none"/>
                    </w:rPr>
                  </w:pPr>
                </w:p>
              </w:tc>
              <w:tc>
                <w:tcPr>
                  <w:tcW w:w="644" w:type="pct"/>
                  <w:vMerge w:val="continue"/>
                  <w:vAlign w:val="center"/>
                </w:tcPr>
                <w:p w14:paraId="42AF71B3">
                  <w:pPr>
                    <w:pStyle w:val="32"/>
                    <w:snapToGrid w:val="0"/>
                    <w:jc w:val="center"/>
                    <w:rPr>
                      <w:rFonts w:hint="default" w:ascii="Times New Roman" w:hAnsi="Times New Roman" w:cs="Times New Roman"/>
                      <w:bCs/>
                      <w:color w:val="auto"/>
                      <w:sz w:val="21"/>
                      <w:szCs w:val="21"/>
                      <w:highlight w:val="none"/>
                    </w:rPr>
                  </w:pPr>
                </w:p>
              </w:tc>
              <w:tc>
                <w:tcPr>
                  <w:tcW w:w="415" w:type="pct"/>
                  <w:vMerge w:val="continue"/>
                  <w:vAlign w:val="center"/>
                </w:tcPr>
                <w:p w14:paraId="422DA55D">
                  <w:pPr>
                    <w:pStyle w:val="32"/>
                    <w:snapToGrid w:val="0"/>
                    <w:jc w:val="center"/>
                    <w:rPr>
                      <w:rFonts w:hint="default" w:ascii="Times New Roman" w:hAnsi="Times New Roman" w:cs="Times New Roman"/>
                      <w:bCs/>
                      <w:color w:val="auto"/>
                      <w:sz w:val="21"/>
                      <w:szCs w:val="21"/>
                      <w:highlight w:val="none"/>
                    </w:rPr>
                  </w:pPr>
                </w:p>
              </w:tc>
              <w:tc>
                <w:tcPr>
                  <w:tcW w:w="1201" w:type="pct"/>
                  <w:vMerge w:val="continue"/>
                  <w:vAlign w:val="center"/>
                </w:tcPr>
                <w:p w14:paraId="72D5BF30">
                  <w:pPr>
                    <w:pStyle w:val="32"/>
                    <w:snapToGrid w:val="0"/>
                    <w:jc w:val="center"/>
                    <w:rPr>
                      <w:rFonts w:hint="default" w:ascii="Times New Roman" w:hAnsi="Times New Roman" w:cs="Times New Roman"/>
                      <w:bCs/>
                      <w:color w:val="auto"/>
                      <w:sz w:val="21"/>
                      <w:szCs w:val="21"/>
                      <w:highlight w:val="none"/>
                    </w:rPr>
                  </w:pPr>
                </w:p>
              </w:tc>
              <w:tc>
                <w:tcPr>
                  <w:tcW w:w="409" w:type="pct"/>
                  <w:vMerge w:val="continue"/>
                  <w:vAlign w:val="center"/>
                </w:tcPr>
                <w:p w14:paraId="6850E6AD">
                  <w:pPr>
                    <w:pStyle w:val="32"/>
                    <w:snapToGrid w:val="0"/>
                    <w:jc w:val="center"/>
                    <w:rPr>
                      <w:rFonts w:hint="default" w:ascii="Times New Roman" w:hAnsi="Times New Roman" w:cs="Times New Roman"/>
                      <w:bCs/>
                      <w:color w:val="auto"/>
                      <w:sz w:val="21"/>
                      <w:szCs w:val="21"/>
                      <w:highlight w:val="none"/>
                    </w:rPr>
                  </w:pPr>
                </w:p>
              </w:tc>
              <w:tc>
                <w:tcPr>
                  <w:tcW w:w="570" w:type="pct"/>
                  <w:vAlign w:val="center"/>
                </w:tcPr>
                <w:p w14:paraId="5C62B70A">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屏蔽</w:t>
                  </w:r>
                  <w:r>
                    <w:rPr>
                      <w:rFonts w:hint="default" w:ascii="Times New Roman" w:hAnsi="Times New Roman" w:cs="Times New Roman"/>
                      <w:bCs/>
                      <w:color w:val="auto"/>
                      <w:sz w:val="21"/>
                      <w:szCs w:val="21"/>
                      <w:highlight w:val="none"/>
                      <w:lang w:val="en-US" w:eastAsia="zh-CN"/>
                    </w:rPr>
                    <w:t>透射</w:t>
                  </w:r>
                  <w:r>
                    <w:rPr>
                      <w:rFonts w:hint="default" w:ascii="Times New Roman" w:hAnsi="Times New Roman" w:cs="Times New Roman"/>
                      <w:bCs/>
                      <w:color w:val="auto"/>
                      <w:sz w:val="21"/>
                      <w:szCs w:val="21"/>
                      <w:highlight w:val="none"/>
                    </w:rPr>
                    <w:t>因子</w:t>
                  </w:r>
                </w:p>
              </w:tc>
              <w:tc>
                <w:tcPr>
                  <w:tcW w:w="779" w:type="pct"/>
                  <w:vAlign w:val="center"/>
                </w:tcPr>
                <w:p w14:paraId="30396A1C">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周围剂量当量率(μSv/h)</w:t>
                  </w:r>
                </w:p>
              </w:tc>
            </w:tr>
            <w:tr w14:paraId="7E26B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9" w:type="pct"/>
                  <w:vMerge w:val="restart"/>
                  <w:vAlign w:val="center"/>
                </w:tcPr>
                <w:p w14:paraId="43ADB86E">
                  <w:pPr>
                    <w:pStyle w:val="32"/>
                    <w:snapToGrid w:val="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w:t>
                  </w:r>
                </w:p>
              </w:tc>
              <w:tc>
                <w:tcPr>
                  <w:tcW w:w="730" w:type="pct"/>
                  <w:vMerge w:val="restart"/>
                  <w:vAlign w:val="center"/>
                </w:tcPr>
                <w:p w14:paraId="02C2C153">
                  <w:pPr>
                    <w:pStyle w:val="32"/>
                    <w:snapToGrid w:val="0"/>
                    <w:jc w:val="center"/>
                    <w:rPr>
                      <w:rFonts w:hint="eastAsia" w:ascii="Times New Roman" w:hAnsi="Times New Roman" w:eastAsia="宋体" w:cs="Times New Roman"/>
                      <w:color w:val="auto"/>
                      <w:sz w:val="21"/>
                      <w:szCs w:val="21"/>
                      <w:highlight w:val="none"/>
                      <w:lang w:val="en-US" w:eastAsia="zh-CN"/>
                    </w:rPr>
                  </w:pPr>
                  <w:r>
                    <w:rPr>
                      <w:rFonts w:ascii="Times New Roman" w:cs="Times New Roman"/>
                      <w:bCs/>
                      <w:color w:val="auto"/>
                      <w:sz w:val="21"/>
                      <w:szCs w:val="21"/>
                      <w:highlight w:val="none"/>
                    </w:rPr>
                    <w:t>第一术者位</w:t>
                  </w:r>
                </w:p>
              </w:tc>
              <w:tc>
                <w:tcPr>
                  <w:tcW w:w="644" w:type="pct"/>
                  <w:vAlign w:val="center"/>
                </w:tcPr>
                <w:p w14:paraId="1BA589C3">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415" w:type="pct"/>
                  <w:vAlign w:val="center"/>
                </w:tcPr>
                <w:p w14:paraId="16D16207">
                  <w:pPr>
                    <w:pStyle w:val="32"/>
                    <w:snapToGrid w:val="0"/>
                    <w:jc w:val="center"/>
                    <w:rPr>
                      <w:rFonts w:hint="eastAsia"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rPr>
                    <w:t>0.</w:t>
                  </w:r>
                  <w:r>
                    <w:rPr>
                      <w:rFonts w:hint="eastAsia" w:ascii="Times New Roman" w:hAnsi="Times New Roman" w:cs="Times New Roman"/>
                      <w:bCs/>
                      <w:color w:val="auto"/>
                      <w:sz w:val="21"/>
                      <w:szCs w:val="21"/>
                      <w:highlight w:val="none"/>
                      <w:lang w:val="en-US" w:eastAsia="zh-CN"/>
                    </w:rPr>
                    <w:t>6</w:t>
                  </w:r>
                </w:p>
              </w:tc>
              <w:tc>
                <w:tcPr>
                  <w:tcW w:w="1201" w:type="pct"/>
                  <w:vAlign w:val="center"/>
                </w:tcPr>
                <w:p w14:paraId="5FDDBFA4">
                  <w:pPr>
                    <w:pStyle w:val="32"/>
                    <w:snapToGrid w:val="0"/>
                    <w:jc w:val="center"/>
                    <w:rPr>
                      <w:rFonts w:hint="default" w:ascii="Times New Roman" w:hAnsi="Times New Roman" w:cs="Times New Roman"/>
                      <w:bCs/>
                      <w:color w:val="auto"/>
                      <w:sz w:val="21"/>
                      <w:szCs w:val="21"/>
                      <w:highlight w:val="none"/>
                    </w:rPr>
                  </w:pPr>
                  <w:r>
                    <w:rPr>
                      <w:rFonts w:ascii="Times New Roman" w:cs="Times New Roman"/>
                      <w:bCs/>
                      <w:color w:val="auto"/>
                      <w:sz w:val="21"/>
                      <w:szCs w:val="21"/>
                      <w:highlight w:val="none"/>
                    </w:rPr>
                    <w:t>0.5mmPb铅衣+0.5mmPb铅屏</w:t>
                  </w:r>
                </w:p>
              </w:tc>
              <w:tc>
                <w:tcPr>
                  <w:tcW w:w="409" w:type="pct"/>
                  <w:vAlign w:val="center"/>
                </w:tcPr>
                <w:p w14:paraId="29F4A03E">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596" w:type="dxa"/>
                  <w:vAlign w:val="center"/>
                </w:tcPr>
                <w:p w14:paraId="7B427EF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4.08E-03</w:t>
                  </w:r>
                </w:p>
              </w:tc>
              <w:tc>
                <w:tcPr>
                  <w:tcW w:w="2181" w:type="dxa"/>
                  <w:vAlign w:val="center"/>
                </w:tcPr>
                <w:p w14:paraId="7DD6040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 xml:space="preserve">19.15 </w:t>
                  </w:r>
                </w:p>
              </w:tc>
            </w:tr>
            <w:tr w14:paraId="3CA08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9" w:type="pct"/>
                  <w:vMerge w:val="continue"/>
                  <w:vAlign w:val="center"/>
                </w:tcPr>
                <w:p w14:paraId="17B22B3A">
                  <w:pPr>
                    <w:pStyle w:val="32"/>
                    <w:snapToGrid w:val="0"/>
                    <w:jc w:val="center"/>
                    <w:rPr>
                      <w:rFonts w:hint="eastAsia" w:ascii="Times New Roman" w:hAnsi="Times New Roman" w:cs="Times New Roman"/>
                      <w:color w:val="auto"/>
                      <w:sz w:val="21"/>
                      <w:szCs w:val="21"/>
                      <w:highlight w:val="none"/>
                      <w:lang w:val="en-US" w:eastAsia="zh-CN"/>
                    </w:rPr>
                  </w:pPr>
                </w:p>
              </w:tc>
              <w:tc>
                <w:tcPr>
                  <w:tcW w:w="730" w:type="pct"/>
                  <w:vMerge w:val="continue"/>
                  <w:vAlign w:val="center"/>
                </w:tcPr>
                <w:p w14:paraId="218DD9A7">
                  <w:pPr>
                    <w:widowControl/>
                    <w:adjustRightInd w:val="0"/>
                    <w:snapToGrid w:val="0"/>
                    <w:jc w:val="center"/>
                    <w:textAlignment w:val="center"/>
                    <w:rPr>
                      <w:rFonts w:hint="default" w:ascii="Times New Roman" w:hAnsi="Times New Roman" w:cs="Times New Roman"/>
                      <w:color w:val="auto"/>
                      <w:sz w:val="21"/>
                      <w:szCs w:val="21"/>
                      <w:highlight w:val="none"/>
                    </w:rPr>
                  </w:pPr>
                </w:p>
              </w:tc>
              <w:tc>
                <w:tcPr>
                  <w:tcW w:w="644" w:type="pct"/>
                  <w:vAlign w:val="center"/>
                </w:tcPr>
                <w:p w14:paraId="132A10F5">
                  <w:pPr>
                    <w:pStyle w:val="32"/>
                    <w:snapToGrid w:val="0"/>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拍片</w:t>
                  </w:r>
                </w:p>
              </w:tc>
              <w:tc>
                <w:tcPr>
                  <w:tcW w:w="415" w:type="pct"/>
                  <w:vAlign w:val="center"/>
                </w:tcPr>
                <w:p w14:paraId="1D87269C">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3.8</w:t>
                  </w:r>
                </w:p>
              </w:tc>
              <w:tc>
                <w:tcPr>
                  <w:tcW w:w="1201" w:type="pct"/>
                  <w:vAlign w:val="center"/>
                </w:tcPr>
                <w:p w14:paraId="25DB21C0">
                  <w:pPr>
                    <w:pStyle w:val="32"/>
                    <w:snapToGrid w:val="0"/>
                    <w:jc w:val="center"/>
                    <w:rPr>
                      <w:rFonts w:hint="default" w:ascii="Times New Roman" w:hAnsi="Times New Roman" w:cs="Times New Roman"/>
                      <w:bCs/>
                      <w:color w:val="auto"/>
                      <w:sz w:val="21"/>
                      <w:szCs w:val="21"/>
                      <w:highlight w:val="none"/>
                    </w:rPr>
                  </w:pPr>
                  <w:r>
                    <w:rPr>
                      <w:rFonts w:hint="eastAsia" w:ascii="Times New Roman" w:cs="Times New Roman"/>
                      <w:bCs/>
                      <w:color w:val="auto"/>
                      <w:sz w:val="21"/>
                      <w:szCs w:val="21"/>
                      <w:highlight w:val="none"/>
                    </w:rPr>
                    <w:t>4</w:t>
                  </w:r>
                  <w:r>
                    <w:rPr>
                      <w:rFonts w:ascii="Times New Roman" w:cs="Times New Roman"/>
                      <w:bCs/>
                      <w:color w:val="auto"/>
                      <w:sz w:val="21"/>
                      <w:szCs w:val="21"/>
                      <w:highlight w:val="none"/>
                    </w:rPr>
                    <w:t>mm</w:t>
                  </w:r>
                  <w:r>
                    <w:rPr>
                      <w:rFonts w:hint="eastAsia" w:ascii="Times New Roman" w:cs="Times New Roman"/>
                      <w:bCs/>
                      <w:color w:val="auto"/>
                      <w:sz w:val="21"/>
                      <w:szCs w:val="21"/>
                      <w:highlight w:val="none"/>
                    </w:rPr>
                    <w:t>Pb铅观察窗</w:t>
                  </w:r>
                  <w:r>
                    <w:rPr>
                      <w:rFonts w:ascii="Times New Roman" w:cs="Times New Roman"/>
                      <w:bCs/>
                      <w:color w:val="auto"/>
                      <w:sz w:val="21"/>
                      <w:szCs w:val="21"/>
                      <w:highlight w:val="none"/>
                    </w:rPr>
                    <w:t>+0.5mm铅衣</w:t>
                  </w:r>
                </w:p>
              </w:tc>
              <w:tc>
                <w:tcPr>
                  <w:tcW w:w="409" w:type="pct"/>
                  <w:vAlign w:val="center"/>
                </w:tcPr>
                <w:p w14:paraId="01615BD9">
                  <w:pPr>
                    <w:pStyle w:val="32"/>
                    <w:snapToGrid w:val="0"/>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1596" w:type="dxa"/>
                  <w:vAlign w:val="center"/>
                </w:tcPr>
                <w:p w14:paraId="1ACA023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7.36E-03</w:t>
                  </w:r>
                </w:p>
              </w:tc>
              <w:tc>
                <w:tcPr>
                  <w:tcW w:w="2181" w:type="dxa"/>
                  <w:vAlign w:val="center"/>
                </w:tcPr>
                <w:p w14:paraId="6A754D9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 xml:space="preserve">0.84 </w:t>
                  </w:r>
                </w:p>
              </w:tc>
            </w:tr>
            <w:tr w14:paraId="2B066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9" w:type="pct"/>
                  <w:vMerge w:val="restart"/>
                  <w:vAlign w:val="center"/>
                </w:tcPr>
                <w:p w14:paraId="192DE6B8">
                  <w:pPr>
                    <w:pStyle w:val="32"/>
                    <w:snapToGrid w:val="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w:t>
                  </w:r>
                </w:p>
              </w:tc>
              <w:tc>
                <w:tcPr>
                  <w:tcW w:w="730" w:type="pct"/>
                  <w:vMerge w:val="restart"/>
                  <w:vAlign w:val="center"/>
                </w:tcPr>
                <w:p w14:paraId="012C4135">
                  <w:pPr>
                    <w:pStyle w:val="32"/>
                    <w:snapToGrid w:val="0"/>
                    <w:jc w:val="center"/>
                    <w:rPr>
                      <w:rFonts w:hint="default" w:ascii="Times New Roman" w:hAnsi="Times New Roman" w:cs="Times New Roman"/>
                      <w:color w:val="auto"/>
                      <w:sz w:val="21"/>
                      <w:szCs w:val="21"/>
                      <w:highlight w:val="none"/>
                    </w:rPr>
                  </w:pPr>
                  <w:r>
                    <w:rPr>
                      <w:rFonts w:ascii="Times New Roman" w:cs="Times New Roman"/>
                      <w:bCs/>
                      <w:color w:val="auto"/>
                      <w:sz w:val="21"/>
                      <w:szCs w:val="21"/>
                      <w:highlight w:val="none"/>
                    </w:rPr>
                    <w:t>第二术者位</w:t>
                  </w:r>
                </w:p>
              </w:tc>
              <w:tc>
                <w:tcPr>
                  <w:tcW w:w="644" w:type="pct"/>
                  <w:shd w:val="clear" w:color="auto" w:fill="auto"/>
                  <w:vAlign w:val="center"/>
                </w:tcPr>
                <w:p w14:paraId="566DC37E">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415" w:type="pct"/>
                  <w:shd w:val="clear" w:color="auto" w:fill="auto"/>
                  <w:vAlign w:val="center"/>
                </w:tcPr>
                <w:p w14:paraId="537D4574">
                  <w:pPr>
                    <w:pStyle w:val="32"/>
                    <w:snapToGrid w:val="0"/>
                    <w:jc w:val="center"/>
                    <w:rPr>
                      <w:rFonts w:hint="eastAsia"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0.</w:t>
                  </w:r>
                  <w:r>
                    <w:rPr>
                      <w:rFonts w:hint="eastAsia" w:ascii="Times New Roman" w:hAnsi="Times New Roman" w:cs="Times New Roman"/>
                      <w:bCs/>
                      <w:color w:val="auto"/>
                      <w:sz w:val="21"/>
                      <w:szCs w:val="21"/>
                      <w:highlight w:val="none"/>
                      <w:lang w:val="en-US" w:eastAsia="zh-CN"/>
                    </w:rPr>
                    <w:t>8</w:t>
                  </w:r>
                </w:p>
              </w:tc>
              <w:tc>
                <w:tcPr>
                  <w:tcW w:w="1201" w:type="pct"/>
                  <w:vAlign w:val="center"/>
                </w:tcPr>
                <w:p w14:paraId="27F22E06">
                  <w:pPr>
                    <w:pStyle w:val="32"/>
                    <w:snapToGrid w:val="0"/>
                    <w:jc w:val="center"/>
                    <w:rPr>
                      <w:rFonts w:hint="default" w:ascii="Times New Roman" w:hAnsi="Times New Roman" w:cs="Times New Roman"/>
                      <w:bCs/>
                      <w:color w:val="auto"/>
                      <w:sz w:val="21"/>
                      <w:szCs w:val="21"/>
                      <w:highlight w:val="none"/>
                    </w:rPr>
                  </w:pPr>
                  <w:r>
                    <w:rPr>
                      <w:rFonts w:ascii="Times New Roman" w:cs="Times New Roman"/>
                      <w:bCs/>
                      <w:color w:val="auto"/>
                      <w:sz w:val="21"/>
                      <w:szCs w:val="21"/>
                      <w:highlight w:val="none"/>
                    </w:rPr>
                    <w:t>0.5mmPb铅衣+0.5mmPb铅屏</w:t>
                  </w:r>
                </w:p>
              </w:tc>
              <w:tc>
                <w:tcPr>
                  <w:tcW w:w="409" w:type="pct"/>
                  <w:vAlign w:val="center"/>
                </w:tcPr>
                <w:p w14:paraId="3ED586F8">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596" w:type="dxa"/>
                  <w:vAlign w:val="center"/>
                </w:tcPr>
                <w:p w14:paraId="359768B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4.08E-03</w:t>
                  </w:r>
                </w:p>
              </w:tc>
              <w:tc>
                <w:tcPr>
                  <w:tcW w:w="2181" w:type="dxa"/>
                  <w:vAlign w:val="center"/>
                </w:tcPr>
                <w:p w14:paraId="2E5C589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 xml:space="preserve">10.52 </w:t>
                  </w:r>
                </w:p>
              </w:tc>
            </w:tr>
            <w:tr w14:paraId="0B519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9" w:type="pct"/>
                  <w:vMerge w:val="continue"/>
                  <w:vAlign w:val="center"/>
                </w:tcPr>
                <w:p w14:paraId="4DBF8FAC">
                  <w:pPr>
                    <w:pStyle w:val="32"/>
                    <w:snapToGrid w:val="0"/>
                    <w:jc w:val="center"/>
                    <w:rPr>
                      <w:rFonts w:hint="default" w:ascii="Times New Roman" w:hAnsi="Times New Roman" w:cs="Times New Roman"/>
                      <w:color w:val="auto"/>
                      <w:sz w:val="21"/>
                      <w:szCs w:val="21"/>
                      <w:highlight w:val="none"/>
                    </w:rPr>
                  </w:pPr>
                </w:p>
              </w:tc>
              <w:tc>
                <w:tcPr>
                  <w:tcW w:w="730" w:type="pct"/>
                  <w:vMerge w:val="continue"/>
                  <w:vAlign w:val="center"/>
                </w:tcPr>
                <w:p w14:paraId="12743E9C">
                  <w:pPr>
                    <w:widowControl/>
                    <w:adjustRightInd w:val="0"/>
                    <w:snapToGrid w:val="0"/>
                    <w:jc w:val="center"/>
                    <w:textAlignment w:val="center"/>
                    <w:rPr>
                      <w:rFonts w:hint="default" w:ascii="Times New Roman" w:hAnsi="Times New Roman" w:cs="Times New Roman"/>
                      <w:color w:val="auto"/>
                      <w:sz w:val="21"/>
                      <w:szCs w:val="21"/>
                      <w:highlight w:val="none"/>
                      <w:lang w:bidi="ar"/>
                    </w:rPr>
                  </w:pPr>
                </w:p>
              </w:tc>
              <w:tc>
                <w:tcPr>
                  <w:tcW w:w="644" w:type="pct"/>
                  <w:shd w:val="clear" w:color="auto" w:fill="auto"/>
                  <w:vAlign w:val="center"/>
                </w:tcPr>
                <w:p w14:paraId="7465CD40">
                  <w:pPr>
                    <w:pStyle w:val="32"/>
                    <w:snapToGrid w:val="0"/>
                    <w:jc w:val="center"/>
                    <w:rPr>
                      <w:rFonts w:hint="eastAsia" w:ascii="Times New Roman" w:hAnsi="Times New Roman" w:eastAsia="宋体" w:cs="Times New Roman"/>
                      <w:bCs/>
                      <w:color w:val="auto"/>
                      <w:sz w:val="21"/>
                      <w:szCs w:val="21"/>
                      <w:highlight w:val="none"/>
                      <w:lang w:eastAsia="zh-CN"/>
                    </w:rPr>
                  </w:pPr>
                  <w:r>
                    <w:rPr>
                      <w:rFonts w:hint="eastAsia" w:ascii="Times New Roman" w:hAnsi="Times New Roman" w:cs="Times New Roman"/>
                      <w:bCs/>
                      <w:color w:val="auto"/>
                      <w:sz w:val="21"/>
                      <w:szCs w:val="21"/>
                      <w:highlight w:val="none"/>
                      <w:lang w:val="en-US" w:eastAsia="zh-CN"/>
                    </w:rPr>
                    <w:t>拍片</w:t>
                  </w:r>
                </w:p>
              </w:tc>
              <w:tc>
                <w:tcPr>
                  <w:tcW w:w="415" w:type="pct"/>
                  <w:shd w:val="clear" w:color="auto" w:fill="auto"/>
                  <w:vAlign w:val="center"/>
                </w:tcPr>
                <w:p w14:paraId="42D239DC">
                  <w:pPr>
                    <w:pStyle w:val="32"/>
                    <w:snapToGrid w:val="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4.2</w:t>
                  </w:r>
                </w:p>
              </w:tc>
              <w:tc>
                <w:tcPr>
                  <w:tcW w:w="1201" w:type="pct"/>
                  <w:vAlign w:val="center"/>
                </w:tcPr>
                <w:p w14:paraId="612F5A1A">
                  <w:pPr>
                    <w:pStyle w:val="32"/>
                    <w:snapToGrid w:val="0"/>
                    <w:jc w:val="center"/>
                    <w:rPr>
                      <w:rFonts w:hint="default" w:ascii="Times New Roman" w:hAnsi="Times New Roman" w:cs="Times New Roman"/>
                      <w:color w:val="auto"/>
                      <w:sz w:val="21"/>
                      <w:szCs w:val="21"/>
                      <w:highlight w:val="none"/>
                    </w:rPr>
                  </w:pPr>
                  <w:r>
                    <w:rPr>
                      <w:rFonts w:hint="eastAsia" w:ascii="Times New Roman" w:cs="Times New Roman"/>
                      <w:bCs/>
                      <w:color w:val="auto"/>
                      <w:sz w:val="21"/>
                      <w:szCs w:val="21"/>
                      <w:highlight w:val="none"/>
                    </w:rPr>
                    <w:t>4</w:t>
                  </w:r>
                  <w:r>
                    <w:rPr>
                      <w:rFonts w:ascii="Times New Roman" w:cs="Times New Roman"/>
                      <w:bCs/>
                      <w:color w:val="auto"/>
                      <w:sz w:val="21"/>
                      <w:szCs w:val="21"/>
                      <w:highlight w:val="none"/>
                    </w:rPr>
                    <w:t>mm</w:t>
                  </w:r>
                  <w:r>
                    <w:rPr>
                      <w:rFonts w:hint="eastAsia" w:ascii="Times New Roman" w:cs="Times New Roman"/>
                      <w:bCs/>
                      <w:color w:val="auto"/>
                      <w:sz w:val="21"/>
                      <w:szCs w:val="21"/>
                      <w:highlight w:val="none"/>
                    </w:rPr>
                    <w:t>Pb铅观察窗</w:t>
                  </w:r>
                  <w:r>
                    <w:rPr>
                      <w:rFonts w:ascii="Times New Roman" w:cs="Times New Roman"/>
                      <w:bCs/>
                      <w:color w:val="auto"/>
                      <w:sz w:val="21"/>
                      <w:szCs w:val="21"/>
                      <w:highlight w:val="none"/>
                    </w:rPr>
                    <w:t>+0.5mm铅衣</w:t>
                  </w:r>
                </w:p>
              </w:tc>
              <w:tc>
                <w:tcPr>
                  <w:tcW w:w="409" w:type="pct"/>
                  <w:vAlign w:val="center"/>
                </w:tcPr>
                <w:p w14:paraId="6EABFB5B">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596" w:type="dxa"/>
                  <w:shd w:val="clear" w:color="auto" w:fill="auto"/>
                  <w:vAlign w:val="center"/>
                </w:tcPr>
                <w:p w14:paraId="7A29EBE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7.36E-03</w:t>
                  </w:r>
                </w:p>
              </w:tc>
              <w:tc>
                <w:tcPr>
                  <w:tcW w:w="2181" w:type="dxa"/>
                  <w:vAlign w:val="center"/>
                </w:tcPr>
                <w:p w14:paraId="4FCCE36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 xml:space="preserve">0.69 </w:t>
                  </w:r>
                </w:p>
              </w:tc>
            </w:tr>
          </w:tbl>
          <w:p w14:paraId="35849863">
            <w:pPr>
              <w:pStyle w:val="32"/>
              <w:snapToGrid w:val="0"/>
              <w:jc w:val="both"/>
              <w:rPr>
                <w:rFonts w:hint="default" w:ascii="Times New Roman" w:hAnsi="Times New Roman" w:cs="Times New Roman"/>
                <w:color w:val="auto"/>
                <w:highlight w:val="none"/>
              </w:rPr>
            </w:pPr>
            <w:r>
              <w:rPr>
                <w:rFonts w:hint="default" w:ascii="Times New Roman" w:hAnsi="Times New Roman" w:cs="Times New Roman"/>
                <w:b/>
                <w:bCs/>
                <w:color w:val="auto"/>
                <w:sz w:val="18"/>
                <w:szCs w:val="18"/>
                <w:highlight w:val="none"/>
              </w:rPr>
              <w:t>注：根据《外照射放射防护剂量转换系数标准》（WS/T830-2024）表G.1中100kV下空气比释动能到周围剂量当量的转换系数为1.65;</w:t>
            </w:r>
            <w:r>
              <w:rPr>
                <w:rFonts w:hint="eastAsia" w:ascii="Times New Roman" w:hAnsi="Times New Roman" w:cs="Times New Roman"/>
                <w:b/>
                <w:bCs/>
                <w:color w:val="auto"/>
                <w:sz w:val="18"/>
                <w:szCs w:val="18"/>
                <w:highlight w:val="none"/>
                <w:lang w:val="en-US" w:eastAsia="zh-CN"/>
              </w:rPr>
              <w:t>9</w:t>
            </w:r>
            <w:r>
              <w:rPr>
                <w:rFonts w:hint="default" w:ascii="Times New Roman" w:hAnsi="Times New Roman" w:cs="Times New Roman"/>
                <w:b/>
                <w:bCs/>
                <w:color w:val="auto"/>
                <w:sz w:val="18"/>
                <w:szCs w:val="18"/>
                <w:highlight w:val="none"/>
              </w:rPr>
              <w:t>0kV下空气比释动能到周围剂量当量的转换系数为1.</w:t>
            </w:r>
            <w:r>
              <w:rPr>
                <w:rFonts w:hint="eastAsia" w:ascii="Times New Roman" w:hAnsi="Times New Roman" w:cs="Times New Roman"/>
                <w:b/>
                <w:bCs/>
                <w:color w:val="auto"/>
                <w:sz w:val="18"/>
                <w:szCs w:val="18"/>
                <w:highlight w:val="none"/>
                <w:lang w:val="en-US" w:eastAsia="zh-CN"/>
              </w:rPr>
              <w:t>69</w:t>
            </w:r>
            <w:r>
              <w:rPr>
                <w:rFonts w:hint="default" w:ascii="Times New Roman" w:hAnsi="Times New Roman" w:cs="Times New Roman"/>
                <w:b/>
                <w:bCs/>
                <w:color w:val="auto"/>
                <w:sz w:val="18"/>
                <w:szCs w:val="18"/>
                <w:highlight w:val="none"/>
              </w:rPr>
              <w:t>；</w:t>
            </w:r>
          </w:p>
          <w:p w14:paraId="3F208A88">
            <w:pPr>
              <w:pStyle w:val="32"/>
              <w:numPr>
                <w:ilvl w:val="0"/>
                <w:numId w:val="22"/>
              </w:numPr>
              <w:snapToGrid w:val="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 </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透视情况下医护人员剂量率估算结果</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散射线</w:t>
            </w:r>
            <w:r>
              <w:rPr>
                <w:rFonts w:hint="default" w:ascii="Times New Roman" w:hAnsi="Times New Roman" w:eastAsia="宋体" w:cs="Times New Roman"/>
                <w:color w:val="auto"/>
                <w:sz w:val="21"/>
                <w:szCs w:val="21"/>
                <w:highlight w:val="none"/>
                <w:lang w:eastAsia="zh-CN"/>
              </w:rPr>
              <w:t>）</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2059"/>
              <w:gridCol w:w="1802"/>
              <w:gridCol w:w="1165"/>
              <w:gridCol w:w="3322"/>
              <w:gridCol w:w="1159"/>
              <w:gridCol w:w="1622"/>
              <w:gridCol w:w="2168"/>
            </w:tblGrid>
            <w:tr w14:paraId="0F42B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9" w:type="pct"/>
                  <w:vMerge w:val="restart"/>
                  <w:vAlign w:val="center"/>
                </w:tcPr>
                <w:p w14:paraId="001D7A4F">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关注点</w:t>
                  </w:r>
                </w:p>
              </w:tc>
              <w:tc>
                <w:tcPr>
                  <w:tcW w:w="735" w:type="pct"/>
                  <w:vMerge w:val="restart"/>
                  <w:vAlign w:val="center"/>
                </w:tcPr>
                <w:p w14:paraId="0C1E3BEB">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预测点</w:t>
                  </w:r>
                </w:p>
              </w:tc>
              <w:tc>
                <w:tcPr>
                  <w:tcW w:w="643" w:type="pct"/>
                  <w:vMerge w:val="restart"/>
                  <w:vAlign w:val="center"/>
                </w:tcPr>
                <w:p w14:paraId="5BC7D26B">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模式</w:t>
                  </w:r>
                </w:p>
              </w:tc>
              <w:tc>
                <w:tcPr>
                  <w:tcW w:w="416" w:type="pct"/>
                  <w:vMerge w:val="restart"/>
                  <w:vAlign w:val="center"/>
                </w:tcPr>
                <w:p w14:paraId="66E26B7E">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距离</w:t>
                  </w:r>
                </w:p>
                <w:p w14:paraId="22EFD7FA">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（m）</w:t>
                  </w:r>
                </w:p>
              </w:tc>
              <w:tc>
                <w:tcPr>
                  <w:tcW w:w="1186" w:type="pct"/>
                  <w:vMerge w:val="restart"/>
                  <w:vAlign w:val="center"/>
                </w:tcPr>
                <w:p w14:paraId="791D9FE6">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屏蔽材料</w:t>
                  </w:r>
                </w:p>
              </w:tc>
              <w:tc>
                <w:tcPr>
                  <w:tcW w:w="414" w:type="pct"/>
                  <w:vMerge w:val="restart"/>
                  <w:vAlign w:val="center"/>
                </w:tcPr>
                <w:p w14:paraId="79D16D42">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利用因子</w:t>
                  </w:r>
                </w:p>
              </w:tc>
              <w:tc>
                <w:tcPr>
                  <w:tcW w:w="1353" w:type="pct"/>
                  <w:gridSpan w:val="2"/>
                  <w:vAlign w:val="center"/>
                </w:tcPr>
                <w:p w14:paraId="32BFE663">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散射线</w:t>
                  </w:r>
                </w:p>
              </w:tc>
            </w:tr>
            <w:tr w14:paraId="4EB79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9" w:type="pct"/>
                  <w:vMerge w:val="continue"/>
                  <w:vAlign w:val="center"/>
                </w:tcPr>
                <w:p w14:paraId="1360F523">
                  <w:pPr>
                    <w:pStyle w:val="32"/>
                    <w:snapToGrid w:val="0"/>
                    <w:jc w:val="center"/>
                    <w:rPr>
                      <w:rFonts w:hint="default" w:ascii="Times New Roman" w:hAnsi="Times New Roman" w:cs="Times New Roman"/>
                      <w:bCs/>
                      <w:color w:val="auto"/>
                      <w:sz w:val="21"/>
                      <w:szCs w:val="21"/>
                      <w:highlight w:val="none"/>
                    </w:rPr>
                  </w:pPr>
                </w:p>
              </w:tc>
              <w:tc>
                <w:tcPr>
                  <w:tcW w:w="735" w:type="pct"/>
                  <w:vMerge w:val="continue"/>
                  <w:vAlign w:val="center"/>
                </w:tcPr>
                <w:p w14:paraId="5BB83880">
                  <w:pPr>
                    <w:pStyle w:val="32"/>
                    <w:snapToGrid w:val="0"/>
                    <w:jc w:val="center"/>
                    <w:rPr>
                      <w:rFonts w:hint="default" w:ascii="Times New Roman" w:hAnsi="Times New Roman" w:cs="Times New Roman"/>
                      <w:bCs/>
                      <w:color w:val="auto"/>
                      <w:sz w:val="21"/>
                      <w:szCs w:val="21"/>
                      <w:highlight w:val="none"/>
                    </w:rPr>
                  </w:pPr>
                </w:p>
              </w:tc>
              <w:tc>
                <w:tcPr>
                  <w:tcW w:w="643" w:type="pct"/>
                  <w:vMerge w:val="continue"/>
                  <w:vAlign w:val="center"/>
                </w:tcPr>
                <w:p w14:paraId="0FB28801">
                  <w:pPr>
                    <w:pStyle w:val="32"/>
                    <w:snapToGrid w:val="0"/>
                    <w:jc w:val="center"/>
                    <w:rPr>
                      <w:rFonts w:hint="default" w:ascii="Times New Roman" w:hAnsi="Times New Roman" w:cs="Times New Roman"/>
                      <w:bCs/>
                      <w:color w:val="auto"/>
                      <w:sz w:val="21"/>
                      <w:szCs w:val="21"/>
                      <w:highlight w:val="none"/>
                    </w:rPr>
                  </w:pPr>
                </w:p>
              </w:tc>
              <w:tc>
                <w:tcPr>
                  <w:tcW w:w="416" w:type="pct"/>
                  <w:vMerge w:val="continue"/>
                  <w:vAlign w:val="center"/>
                </w:tcPr>
                <w:p w14:paraId="46627A4B">
                  <w:pPr>
                    <w:pStyle w:val="32"/>
                    <w:snapToGrid w:val="0"/>
                    <w:jc w:val="center"/>
                    <w:rPr>
                      <w:rFonts w:hint="default" w:ascii="Times New Roman" w:hAnsi="Times New Roman" w:cs="Times New Roman"/>
                      <w:bCs/>
                      <w:color w:val="auto"/>
                      <w:sz w:val="21"/>
                      <w:szCs w:val="21"/>
                      <w:highlight w:val="none"/>
                    </w:rPr>
                  </w:pPr>
                </w:p>
              </w:tc>
              <w:tc>
                <w:tcPr>
                  <w:tcW w:w="1186" w:type="pct"/>
                  <w:vMerge w:val="continue"/>
                  <w:vAlign w:val="center"/>
                </w:tcPr>
                <w:p w14:paraId="61166CE6">
                  <w:pPr>
                    <w:pStyle w:val="32"/>
                    <w:snapToGrid w:val="0"/>
                    <w:jc w:val="center"/>
                    <w:rPr>
                      <w:rFonts w:hint="default" w:ascii="Times New Roman" w:hAnsi="Times New Roman" w:cs="Times New Roman"/>
                      <w:bCs/>
                      <w:color w:val="auto"/>
                      <w:sz w:val="21"/>
                      <w:szCs w:val="21"/>
                      <w:highlight w:val="none"/>
                    </w:rPr>
                  </w:pPr>
                </w:p>
              </w:tc>
              <w:tc>
                <w:tcPr>
                  <w:tcW w:w="414" w:type="pct"/>
                  <w:vMerge w:val="continue"/>
                  <w:vAlign w:val="center"/>
                </w:tcPr>
                <w:p w14:paraId="4388B771">
                  <w:pPr>
                    <w:pStyle w:val="32"/>
                    <w:snapToGrid w:val="0"/>
                    <w:jc w:val="center"/>
                    <w:rPr>
                      <w:rFonts w:hint="default" w:ascii="Times New Roman" w:hAnsi="Times New Roman" w:cs="Times New Roman"/>
                      <w:bCs/>
                      <w:color w:val="auto"/>
                      <w:sz w:val="21"/>
                      <w:szCs w:val="21"/>
                      <w:highlight w:val="none"/>
                    </w:rPr>
                  </w:pPr>
                </w:p>
              </w:tc>
              <w:tc>
                <w:tcPr>
                  <w:tcW w:w="579" w:type="pct"/>
                  <w:vAlign w:val="center"/>
                </w:tcPr>
                <w:p w14:paraId="06FFE304">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屏蔽透射因子</w:t>
                  </w:r>
                </w:p>
              </w:tc>
              <w:tc>
                <w:tcPr>
                  <w:tcW w:w="774" w:type="pct"/>
                  <w:vAlign w:val="center"/>
                </w:tcPr>
                <w:p w14:paraId="04451562">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周围剂量当量率(μSv/h)</w:t>
                  </w:r>
                </w:p>
              </w:tc>
            </w:tr>
            <w:tr w14:paraId="147C4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9" w:type="pct"/>
                  <w:vMerge w:val="restart"/>
                  <w:vAlign w:val="center"/>
                </w:tcPr>
                <w:p w14:paraId="658EC8DF">
                  <w:pPr>
                    <w:pStyle w:val="32"/>
                    <w:snapToGrid w:val="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1</w:t>
                  </w:r>
                </w:p>
              </w:tc>
              <w:tc>
                <w:tcPr>
                  <w:tcW w:w="735" w:type="pct"/>
                  <w:vMerge w:val="restart"/>
                  <w:vAlign w:val="center"/>
                </w:tcPr>
                <w:p w14:paraId="6C623BF1">
                  <w:pPr>
                    <w:pStyle w:val="32"/>
                    <w:snapToGrid w:val="0"/>
                    <w:jc w:val="center"/>
                    <w:rPr>
                      <w:rFonts w:hint="default" w:ascii="Times New Roman" w:hAnsi="Times New Roman" w:cs="Times New Roman"/>
                      <w:color w:val="auto"/>
                      <w:sz w:val="21"/>
                      <w:szCs w:val="21"/>
                      <w:highlight w:val="none"/>
                    </w:rPr>
                  </w:pPr>
                  <w:r>
                    <w:rPr>
                      <w:rFonts w:ascii="Times New Roman" w:cs="Times New Roman"/>
                      <w:bCs/>
                      <w:color w:val="auto"/>
                      <w:sz w:val="21"/>
                      <w:szCs w:val="21"/>
                      <w:highlight w:val="none"/>
                    </w:rPr>
                    <w:t>第一术者位</w:t>
                  </w:r>
                </w:p>
              </w:tc>
              <w:tc>
                <w:tcPr>
                  <w:tcW w:w="643" w:type="pct"/>
                  <w:vAlign w:val="center"/>
                </w:tcPr>
                <w:p w14:paraId="1D852569">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416" w:type="pct"/>
                  <w:vAlign w:val="center"/>
                </w:tcPr>
                <w:p w14:paraId="3C922547">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0.5</w:t>
                  </w:r>
                </w:p>
              </w:tc>
              <w:tc>
                <w:tcPr>
                  <w:tcW w:w="1186" w:type="pct"/>
                  <w:vAlign w:val="center"/>
                </w:tcPr>
                <w:p w14:paraId="526AABBD">
                  <w:pPr>
                    <w:pStyle w:val="32"/>
                    <w:snapToGrid w:val="0"/>
                    <w:jc w:val="center"/>
                    <w:rPr>
                      <w:rFonts w:hint="default" w:ascii="Times New Roman" w:hAnsi="Times New Roman" w:cs="Times New Roman"/>
                      <w:bCs/>
                      <w:color w:val="auto"/>
                      <w:sz w:val="21"/>
                      <w:szCs w:val="21"/>
                      <w:highlight w:val="none"/>
                    </w:rPr>
                  </w:pPr>
                  <w:r>
                    <w:rPr>
                      <w:rFonts w:ascii="Times New Roman" w:cs="Times New Roman"/>
                      <w:bCs/>
                      <w:color w:val="auto"/>
                      <w:sz w:val="21"/>
                      <w:szCs w:val="21"/>
                      <w:highlight w:val="none"/>
                    </w:rPr>
                    <w:t>0.5mmPb铅衣+0.5mmPb铅屏</w:t>
                  </w:r>
                </w:p>
              </w:tc>
              <w:tc>
                <w:tcPr>
                  <w:tcW w:w="414" w:type="pct"/>
                  <w:vAlign w:val="center"/>
                </w:tcPr>
                <w:p w14:paraId="53DADF83">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579" w:type="pct"/>
                  <w:vAlign w:val="center"/>
                </w:tcPr>
                <w:p w14:paraId="69D9D1B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7.09E-03</w:t>
                  </w:r>
                </w:p>
              </w:tc>
              <w:tc>
                <w:tcPr>
                  <w:tcW w:w="774" w:type="pct"/>
                  <w:vAlign w:val="center"/>
                </w:tcPr>
                <w:p w14:paraId="000866D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 xml:space="preserve">26.42 </w:t>
                  </w:r>
                </w:p>
              </w:tc>
            </w:tr>
            <w:tr w14:paraId="35B75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9" w:type="pct"/>
                  <w:vMerge w:val="continue"/>
                  <w:vAlign w:val="center"/>
                </w:tcPr>
                <w:p w14:paraId="5F78FF7B">
                  <w:pPr>
                    <w:pStyle w:val="32"/>
                    <w:snapToGrid w:val="0"/>
                    <w:jc w:val="center"/>
                    <w:rPr>
                      <w:rFonts w:hint="default" w:ascii="Times New Roman" w:hAnsi="Times New Roman" w:cs="Times New Roman"/>
                      <w:color w:val="auto"/>
                      <w:sz w:val="21"/>
                      <w:szCs w:val="21"/>
                      <w:highlight w:val="none"/>
                    </w:rPr>
                  </w:pPr>
                </w:p>
              </w:tc>
              <w:tc>
                <w:tcPr>
                  <w:tcW w:w="735" w:type="pct"/>
                  <w:vMerge w:val="continue"/>
                  <w:vAlign w:val="center"/>
                </w:tcPr>
                <w:p w14:paraId="5CFF8309">
                  <w:pPr>
                    <w:widowControl/>
                    <w:adjustRightInd w:val="0"/>
                    <w:snapToGrid w:val="0"/>
                    <w:jc w:val="center"/>
                    <w:textAlignment w:val="center"/>
                    <w:rPr>
                      <w:rFonts w:hint="default" w:ascii="Times New Roman" w:hAnsi="Times New Roman" w:cs="Times New Roman"/>
                      <w:color w:val="auto"/>
                      <w:sz w:val="21"/>
                      <w:szCs w:val="21"/>
                      <w:highlight w:val="none"/>
                    </w:rPr>
                  </w:pPr>
                </w:p>
              </w:tc>
              <w:tc>
                <w:tcPr>
                  <w:tcW w:w="643" w:type="pct"/>
                  <w:shd w:val="clear" w:color="auto" w:fill="auto"/>
                  <w:vAlign w:val="center"/>
                </w:tcPr>
                <w:p w14:paraId="15BEAC80">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lang w:val="en-US" w:eastAsia="zh-CN"/>
                    </w:rPr>
                    <w:t>拍片</w:t>
                  </w:r>
                </w:p>
              </w:tc>
              <w:tc>
                <w:tcPr>
                  <w:tcW w:w="416" w:type="pct"/>
                  <w:vAlign w:val="center"/>
                </w:tcPr>
                <w:p w14:paraId="23F1B827">
                  <w:pPr>
                    <w:pStyle w:val="32"/>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3.6</w:t>
                  </w:r>
                </w:p>
              </w:tc>
              <w:tc>
                <w:tcPr>
                  <w:tcW w:w="1186" w:type="pct"/>
                  <w:vAlign w:val="center"/>
                </w:tcPr>
                <w:p w14:paraId="64B2F21A">
                  <w:pPr>
                    <w:pStyle w:val="32"/>
                    <w:snapToGrid w:val="0"/>
                    <w:jc w:val="center"/>
                    <w:rPr>
                      <w:rFonts w:hint="default" w:ascii="Times New Roman" w:hAnsi="Times New Roman" w:cs="Times New Roman"/>
                      <w:bCs/>
                      <w:color w:val="auto"/>
                      <w:sz w:val="21"/>
                      <w:szCs w:val="21"/>
                      <w:highlight w:val="none"/>
                    </w:rPr>
                  </w:pPr>
                  <w:r>
                    <w:rPr>
                      <w:rFonts w:hint="eastAsia" w:ascii="Times New Roman" w:cs="Times New Roman"/>
                      <w:bCs/>
                      <w:color w:val="auto"/>
                      <w:sz w:val="21"/>
                      <w:szCs w:val="21"/>
                      <w:highlight w:val="none"/>
                    </w:rPr>
                    <w:t>4</w:t>
                  </w:r>
                  <w:r>
                    <w:rPr>
                      <w:rFonts w:ascii="Times New Roman" w:cs="Times New Roman"/>
                      <w:bCs/>
                      <w:color w:val="auto"/>
                      <w:sz w:val="21"/>
                      <w:szCs w:val="21"/>
                      <w:highlight w:val="none"/>
                    </w:rPr>
                    <w:t>mm</w:t>
                  </w:r>
                  <w:r>
                    <w:rPr>
                      <w:rFonts w:hint="eastAsia" w:ascii="Times New Roman" w:cs="Times New Roman"/>
                      <w:bCs/>
                      <w:color w:val="auto"/>
                      <w:sz w:val="21"/>
                      <w:szCs w:val="21"/>
                      <w:highlight w:val="none"/>
                    </w:rPr>
                    <w:t>Pb铅观察窗</w:t>
                  </w:r>
                  <w:r>
                    <w:rPr>
                      <w:rFonts w:ascii="Times New Roman" w:cs="Times New Roman"/>
                      <w:bCs/>
                      <w:color w:val="auto"/>
                      <w:sz w:val="21"/>
                      <w:szCs w:val="21"/>
                      <w:highlight w:val="none"/>
                    </w:rPr>
                    <w:t>+0.5mm铅衣</w:t>
                  </w:r>
                </w:p>
              </w:tc>
              <w:tc>
                <w:tcPr>
                  <w:tcW w:w="414" w:type="pct"/>
                  <w:vAlign w:val="center"/>
                </w:tcPr>
                <w:p w14:paraId="4517EA4E">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579" w:type="pct"/>
                  <w:vAlign w:val="center"/>
                </w:tcPr>
                <w:p w14:paraId="46832D8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1.05E-02</w:t>
                  </w:r>
                </w:p>
              </w:tc>
              <w:tc>
                <w:tcPr>
                  <w:tcW w:w="774" w:type="pct"/>
                  <w:vAlign w:val="center"/>
                </w:tcPr>
                <w:p w14:paraId="3E2741E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 xml:space="preserve">14.63 </w:t>
                  </w:r>
                </w:p>
              </w:tc>
            </w:tr>
            <w:tr w14:paraId="7AC5E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249" w:type="pct"/>
                  <w:vMerge w:val="restart"/>
                  <w:vAlign w:val="center"/>
                </w:tcPr>
                <w:p w14:paraId="20812741">
                  <w:pPr>
                    <w:pStyle w:val="32"/>
                    <w:snapToGrid w:val="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2</w:t>
                  </w:r>
                </w:p>
              </w:tc>
              <w:tc>
                <w:tcPr>
                  <w:tcW w:w="735" w:type="pct"/>
                  <w:vMerge w:val="restart"/>
                  <w:vAlign w:val="center"/>
                </w:tcPr>
                <w:p w14:paraId="6F386E31">
                  <w:pPr>
                    <w:pStyle w:val="32"/>
                    <w:snapToGrid w:val="0"/>
                    <w:jc w:val="center"/>
                    <w:rPr>
                      <w:rFonts w:hint="default" w:ascii="Times New Roman" w:hAnsi="Times New Roman" w:cs="Times New Roman"/>
                      <w:color w:val="auto"/>
                      <w:sz w:val="21"/>
                      <w:szCs w:val="21"/>
                      <w:highlight w:val="none"/>
                      <w:lang w:bidi="ar"/>
                    </w:rPr>
                  </w:pPr>
                  <w:r>
                    <w:rPr>
                      <w:rFonts w:ascii="Times New Roman" w:cs="Times New Roman"/>
                      <w:bCs/>
                      <w:color w:val="auto"/>
                      <w:sz w:val="21"/>
                      <w:szCs w:val="21"/>
                      <w:highlight w:val="none"/>
                    </w:rPr>
                    <w:t>第二术者位</w:t>
                  </w:r>
                </w:p>
              </w:tc>
              <w:tc>
                <w:tcPr>
                  <w:tcW w:w="643" w:type="pct"/>
                  <w:shd w:val="clear" w:color="auto" w:fill="auto"/>
                  <w:vAlign w:val="center"/>
                </w:tcPr>
                <w:p w14:paraId="70560EEA">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416" w:type="pct"/>
                  <w:vAlign w:val="center"/>
                </w:tcPr>
                <w:p w14:paraId="40CBEE52">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0.7</w:t>
                  </w:r>
                </w:p>
              </w:tc>
              <w:tc>
                <w:tcPr>
                  <w:tcW w:w="1186" w:type="pct"/>
                  <w:vAlign w:val="center"/>
                </w:tcPr>
                <w:p w14:paraId="78F123C9">
                  <w:pPr>
                    <w:pStyle w:val="32"/>
                    <w:snapToGrid w:val="0"/>
                    <w:jc w:val="center"/>
                    <w:rPr>
                      <w:rFonts w:hint="default" w:ascii="Times New Roman" w:hAnsi="Times New Roman" w:cs="Times New Roman"/>
                      <w:color w:val="auto"/>
                      <w:sz w:val="21"/>
                      <w:szCs w:val="21"/>
                      <w:highlight w:val="none"/>
                    </w:rPr>
                  </w:pPr>
                  <w:r>
                    <w:rPr>
                      <w:rFonts w:ascii="Times New Roman" w:cs="Times New Roman"/>
                      <w:bCs/>
                      <w:color w:val="auto"/>
                      <w:sz w:val="21"/>
                      <w:szCs w:val="21"/>
                      <w:highlight w:val="none"/>
                    </w:rPr>
                    <w:t>0.5mmPb铅衣+0.5mmPb铅屏</w:t>
                  </w:r>
                </w:p>
              </w:tc>
              <w:tc>
                <w:tcPr>
                  <w:tcW w:w="414" w:type="pct"/>
                  <w:vAlign w:val="center"/>
                </w:tcPr>
                <w:p w14:paraId="3352C374">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579" w:type="pct"/>
                  <w:shd w:val="clear" w:color="auto" w:fill="auto"/>
                  <w:vAlign w:val="center"/>
                </w:tcPr>
                <w:p w14:paraId="00A6910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7.09E-03</w:t>
                  </w:r>
                </w:p>
              </w:tc>
              <w:tc>
                <w:tcPr>
                  <w:tcW w:w="774" w:type="pct"/>
                  <w:shd w:val="clear" w:color="auto" w:fill="auto"/>
                  <w:vAlign w:val="center"/>
                </w:tcPr>
                <w:p w14:paraId="0A23D70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 xml:space="preserve">14.86 </w:t>
                  </w:r>
                </w:p>
              </w:tc>
            </w:tr>
            <w:tr w14:paraId="39C15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249" w:type="pct"/>
                  <w:vMerge w:val="continue"/>
                  <w:vAlign w:val="center"/>
                </w:tcPr>
                <w:p w14:paraId="2141AF98">
                  <w:pPr>
                    <w:pStyle w:val="32"/>
                    <w:snapToGrid w:val="0"/>
                    <w:jc w:val="center"/>
                    <w:rPr>
                      <w:rFonts w:hint="default" w:ascii="Times New Roman" w:hAnsi="Times New Roman" w:cs="Times New Roman"/>
                      <w:color w:val="auto"/>
                      <w:sz w:val="21"/>
                      <w:szCs w:val="21"/>
                      <w:highlight w:val="none"/>
                    </w:rPr>
                  </w:pPr>
                </w:p>
              </w:tc>
              <w:tc>
                <w:tcPr>
                  <w:tcW w:w="735" w:type="pct"/>
                  <w:vMerge w:val="continue"/>
                  <w:vAlign w:val="center"/>
                </w:tcPr>
                <w:p w14:paraId="0B1125BB">
                  <w:pPr>
                    <w:widowControl/>
                    <w:adjustRightInd w:val="0"/>
                    <w:snapToGrid w:val="0"/>
                    <w:jc w:val="center"/>
                    <w:textAlignment w:val="center"/>
                    <w:rPr>
                      <w:rFonts w:hint="default" w:ascii="Times New Roman" w:hAnsi="Times New Roman" w:cs="Times New Roman"/>
                      <w:color w:val="auto"/>
                      <w:sz w:val="21"/>
                      <w:szCs w:val="21"/>
                      <w:highlight w:val="none"/>
                      <w:lang w:bidi="ar"/>
                    </w:rPr>
                  </w:pPr>
                </w:p>
              </w:tc>
              <w:tc>
                <w:tcPr>
                  <w:tcW w:w="643" w:type="pct"/>
                  <w:shd w:val="clear" w:color="auto" w:fill="auto"/>
                  <w:vAlign w:val="center"/>
                </w:tcPr>
                <w:p w14:paraId="4AD38F52">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拍片</w:t>
                  </w:r>
                </w:p>
              </w:tc>
              <w:tc>
                <w:tcPr>
                  <w:tcW w:w="416" w:type="pct"/>
                  <w:vAlign w:val="center"/>
                </w:tcPr>
                <w:p w14:paraId="718D1477">
                  <w:pPr>
                    <w:pStyle w:val="32"/>
                    <w:snapToGrid w:val="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4.0</w:t>
                  </w:r>
                </w:p>
              </w:tc>
              <w:tc>
                <w:tcPr>
                  <w:tcW w:w="1186" w:type="pct"/>
                  <w:vAlign w:val="center"/>
                </w:tcPr>
                <w:p w14:paraId="411EBE21">
                  <w:pPr>
                    <w:pStyle w:val="32"/>
                    <w:snapToGrid w:val="0"/>
                    <w:jc w:val="center"/>
                    <w:rPr>
                      <w:rFonts w:hint="default" w:ascii="Times New Roman" w:hAnsi="Times New Roman" w:cs="Times New Roman"/>
                      <w:color w:val="auto"/>
                      <w:sz w:val="21"/>
                      <w:szCs w:val="21"/>
                      <w:highlight w:val="none"/>
                    </w:rPr>
                  </w:pPr>
                  <w:r>
                    <w:rPr>
                      <w:rFonts w:hint="eastAsia" w:ascii="Times New Roman" w:cs="Times New Roman"/>
                      <w:bCs/>
                      <w:color w:val="auto"/>
                      <w:sz w:val="21"/>
                      <w:szCs w:val="21"/>
                      <w:highlight w:val="none"/>
                    </w:rPr>
                    <w:t>4</w:t>
                  </w:r>
                  <w:r>
                    <w:rPr>
                      <w:rFonts w:ascii="Times New Roman" w:cs="Times New Roman"/>
                      <w:bCs/>
                      <w:color w:val="auto"/>
                      <w:sz w:val="21"/>
                      <w:szCs w:val="21"/>
                      <w:highlight w:val="none"/>
                    </w:rPr>
                    <w:t>mm</w:t>
                  </w:r>
                  <w:r>
                    <w:rPr>
                      <w:rFonts w:hint="eastAsia" w:ascii="Times New Roman" w:cs="Times New Roman"/>
                      <w:bCs/>
                      <w:color w:val="auto"/>
                      <w:sz w:val="21"/>
                      <w:szCs w:val="21"/>
                      <w:highlight w:val="none"/>
                    </w:rPr>
                    <w:t>Pb铅观察窗</w:t>
                  </w:r>
                  <w:r>
                    <w:rPr>
                      <w:rFonts w:ascii="Times New Roman" w:cs="Times New Roman"/>
                      <w:bCs/>
                      <w:color w:val="auto"/>
                      <w:sz w:val="21"/>
                      <w:szCs w:val="21"/>
                      <w:highlight w:val="none"/>
                    </w:rPr>
                    <w:t>+0.5mm铅衣</w:t>
                  </w:r>
                </w:p>
              </w:tc>
              <w:tc>
                <w:tcPr>
                  <w:tcW w:w="414" w:type="pct"/>
                  <w:vAlign w:val="center"/>
                </w:tcPr>
                <w:p w14:paraId="12FB7209">
                  <w:pPr>
                    <w:pStyle w:val="32"/>
                    <w:snapToGrid w:val="0"/>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579" w:type="pct"/>
                  <w:shd w:val="clear" w:color="auto" w:fill="auto"/>
                  <w:vAlign w:val="center"/>
                </w:tcPr>
                <w:p w14:paraId="67E843E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1.05E-02</w:t>
                  </w:r>
                </w:p>
              </w:tc>
              <w:tc>
                <w:tcPr>
                  <w:tcW w:w="774" w:type="pct"/>
                  <w:shd w:val="clear" w:color="auto" w:fill="auto"/>
                  <w:vAlign w:val="center"/>
                </w:tcPr>
                <w:p w14:paraId="54955B5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 xml:space="preserve">11.98 </w:t>
                  </w:r>
                </w:p>
              </w:tc>
            </w:tr>
          </w:tbl>
          <w:p w14:paraId="4CBE2ED6">
            <w:pPr>
              <w:pStyle w:val="32"/>
              <w:snapToGrid w:val="0"/>
              <w:jc w:val="both"/>
              <w:rPr>
                <w:rFonts w:hint="default" w:ascii="Times New Roman" w:hAnsi="Times New Roman" w:cs="Times New Roman"/>
                <w:color w:val="auto"/>
                <w:highlight w:val="none"/>
              </w:rPr>
            </w:pPr>
            <w:r>
              <w:rPr>
                <w:rFonts w:hint="default" w:ascii="Times New Roman" w:hAnsi="Times New Roman" w:cs="Times New Roman"/>
                <w:b/>
                <w:bCs/>
                <w:color w:val="auto"/>
                <w:sz w:val="18"/>
                <w:szCs w:val="18"/>
                <w:highlight w:val="none"/>
              </w:rPr>
              <w:t>注：根据《外照射放射防护剂量转换系数标准》（WS/T830-2024）表G.1中100kV下空气比释动能到周围剂量当量的转换系数为1.65;</w:t>
            </w:r>
            <w:r>
              <w:rPr>
                <w:rFonts w:hint="eastAsia" w:ascii="Times New Roman" w:hAnsi="Times New Roman" w:cs="Times New Roman"/>
                <w:b/>
                <w:bCs/>
                <w:color w:val="auto"/>
                <w:sz w:val="18"/>
                <w:szCs w:val="18"/>
                <w:highlight w:val="none"/>
                <w:lang w:val="en-US" w:eastAsia="zh-CN"/>
              </w:rPr>
              <w:t>9</w:t>
            </w:r>
            <w:r>
              <w:rPr>
                <w:rFonts w:hint="default" w:ascii="Times New Roman" w:hAnsi="Times New Roman" w:cs="Times New Roman"/>
                <w:b/>
                <w:bCs/>
                <w:color w:val="auto"/>
                <w:sz w:val="18"/>
                <w:szCs w:val="18"/>
                <w:highlight w:val="none"/>
              </w:rPr>
              <w:t>0kV下空气比释动能到周围剂量当量的转换系数为1.</w:t>
            </w:r>
            <w:r>
              <w:rPr>
                <w:rFonts w:hint="eastAsia" w:ascii="Times New Roman" w:hAnsi="Times New Roman" w:cs="Times New Roman"/>
                <w:b/>
                <w:bCs/>
                <w:color w:val="auto"/>
                <w:sz w:val="18"/>
                <w:szCs w:val="18"/>
                <w:highlight w:val="none"/>
                <w:lang w:val="en-US" w:eastAsia="zh-CN"/>
              </w:rPr>
              <w:t>69</w:t>
            </w:r>
            <w:r>
              <w:rPr>
                <w:rFonts w:hint="default" w:ascii="Times New Roman" w:hAnsi="Times New Roman" w:cs="Times New Roman"/>
                <w:b/>
                <w:bCs/>
                <w:color w:val="auto"/>
                <w:sz w:val="18"/>
                <w:szCs w:val="18"/>
                <w:highlight w:val="none"/>
              </w:rPr>
              <w:t>；</w:t>
            </w:r>
          </w:p>
          <w:p w14:paraId="0F5DC3FA">
            <w:pPr>
              <w:pStyle w:val="10"/>
              <w:rPr>
                <w:rFonts w:hint="default" w:ascii="Times New Roman" w:hAnsi="Times New Roman" w:cs="Times New Roman"/>
                <w:color w:val="auto"/>
                <w:highlight w:val="none"/>
              </w:rPr>
            </w:pPr>
          </w:p>
          <w:p w14:paraId="4453E1E2">
            <w:pPr>
              <w:pStyle w:val="32"/>
              <w:numPr>
                <w:ilvl w:val="0"/>
                <w:numId w:val="22"/>
              </w:numPr>
              <w:snapToGrid w:val="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 </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透视情况下医护人员剂量率估算结果</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7"/>
              <w:gridCol w:w="2263"/>
              <w:gridCol w:w="1037"/>
              <w:gridCol w:w="2904"/>
              <w:gridCol w:w="1277"/>
              <w:gridCol w:w="1756"/>
              <w:gridCol w:w="1756"/>
              <w:gridCol w:w="1756"/>
            </w:tblGrid>
            <w:tr w14:paraId="75BA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45" w:type="pct"/>
                  <w:vAlign w:val="center"/>
                </w:tcPr>
                <w:p w14:paraId="033EFE5D">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关注点</w:t>
                  </w:r>
                </w:p>
              </w:tc>
              <w:tc>
                <w:tcPr>
                  <w:tcW w:w="808" w:type="pct"/>
                  <w:vAlign w:val="center"/>
                </w:tcPr>
                <w:p w14:paraId="6981442A">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预测点</w:t>
                  </w:r>
                </w:p>
              </w:tc>
              <w:tc>
                <w:tcPr>
                  <w:tcW w:w="370" w:type="pct"/>
                  <w:vAlign w:val="center"/>
                </w:tcPr>
                <w:p w14:paraId="2092AC16">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模式</w:t>
                  </w:r>
                </w:p>
              </w:tc>
              <w:tc>
                <w:tcPr>
                  <w:tcW w:w="1037" w:type="pct"/>
                  <w:vAlign w:val="center"/>
                </w:tcPr>
                <w:p w14:paraId="53180978">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屏蔽材料</w:t>
                  </w:r>
                </w:p>
              </w:tc>
              <w:tc>
                <w:tcPr>
                  <w:tcW w:w="456" w:type="pct"/>
                  <w:vAlign w:val="center"/>
                </w:tcPr>
                <w:p w14:paraId="1F53F953">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利用因子</w:t>
                  </w:r>
                </w:p>
              </w:tc>
              <w:tc>
                <w:tcPr>
                  <w:tcW w:w="627" w:type="pct"/>
                  <w:vAlign w:val="center"/>
                </w:tcPr>
                <w:p w14:paraId="5708FDC8">
                  <w:pPr>
                    <w:pStyle w:val="32"/>
                    <w:snapToGrid w:val="0"/>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lang w:val="en-US" w:eastAsia="zh-CN"/>
                    </w:rPr>
                    <w:t>泄露射线</w:t>
                  </w:r>
                  <w:r>
                    <w:rPr>
                      <w:rFonts w:hint="default" w:ascii="Times New Roman" w:hAnsi="Times New Roman" w:cs="Times New Roman"/>
                      <w:bCs/>
                      <w:color w:val="auto"/>
                      <w:sz w:val="21"/>
                      <w:szCs w:val="21"/>
                      <w:highlight w:val="none"/>
                    </w:rPr>
                    <w:t>周围剂量当量率(μSv/h)</w:t>
                  </w:r>
                </w:p>
              </w:tc>
              <w:tc>
                <w:tcPr>
                  <w:tcW w:w="627" w:type="pct"/>
                  <w:vAlign w:val="center"/>
                </w:tcPr>
                <w:p w14:paraId="4B8EF043">
                  <w:pPr>
                    <w:pStyle w:val="32"/>
                    <w:snapToGrid w:val="0"/>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lang w:val="en-US" w:eastAsia="zh-CN"/>
                    </w:rPr>
                    <w:t>散射线</w:t>
                  </w:r>
                  <w:r>
                    <w:rPr>
                      <w:rFonts w:hint="default" w:ascii="Times New Roman" w:hAnsi="Times New Roman" w:cs="Times New Roman"/>
                      <w:bCs/>
                      <w:color w:val="auto"/>
                      <w:sz w:val="21"/>
                      <w:szCs w:val="21"/>
                      <w:highlight w:val="none"/>
                    </w:rPr>
                    <w:t>周围剂量当量率(μSv/h)</w:t>
                  </w:r>
                </w:p>
              </w:tc>
              <w:tc>
                <w:tcPr>
                  <w:tcW w:w="627" w:type="pct"/>
                  <w:vAlign w:val="center"/>
                </w:tcPr>
                <w:p w14:paraId="6161E7DD">
                  <w:pPr>
                    <w:pStyle w:val="32"/>
                    <w:snapToGrid w:val="0"/>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合计周围剂量当量率(μSv/h)</w:t>
                  </w:r>
                </w:p>
              </w:tc>
            </w:tr>
            <w:tr w14:paraId="37E59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5" w:type="pct"/>
                  <w:vMerge w:val="restart"/>
                  <w:vAlign w:val="center"/>
                </w:tcPr>
                <w:p w14:paraId="6432ACFB">
                  <w:pPr>
                    <w:pStyle w:val="32"/>
                    <w:snapToGrid w:val="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1</w:t>
                  </w:r>
                </w:p>
              </w:tc>
              <w:tc>
                <w:tcPr>
                  <w:tcW w:w="808" w:type="pct"/>
                  <w:vMerge w:val="restart"/>
                  <w:vAlign w:val="center"/>
                </w:tcPr>
                <w:p w14:paraId="5789EB57">
                  <w:pPr>
                    <w:pStyle w:val="32"/>
                    <w:snapToGrid w:val="0"/>
                    <w:jc w:val="center"/>
                    <w:rPr>
                      <w:rFonts w:hint="default" w:ascii="Times New Roman" w:hAnsi="Times New Roman" w:cs="Times New Roman"/>
                      <w:color w:val="auto"/>
                      <w:sz w:val="21"/>
                      <w:szCs w:val="21"/>
                      <w:highlight w:val="none"/>
                    </w:rPr>
                  </w:pPr>
                  <w:r>
                    <w:rPr>
                      <w:rFonts w:ascii="Times New Roman" w:cs="Times New Roman"/>
                      <w:bCs/>
                      <w:color w:val="auto"/>
                      <w:sz w:val="21"/>
                      <w:szCs w:val="21"/>
                      <w:highlight w:val="none"/>
                    </w:rPr>
                    <w:t>第一术者位</w:t>
                  </w:r>
                </w:p>
              </w:tc>
              <w:tc>
                <w:tcPr>
                  <w:tcW w:w="370" w:type="pct"/>
                  <w:vAlign w:val="center"/>
                </w:tcPr>
                <w:p w14:paraId="2AFB1EBE">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1037" w:type="pct"/>
                  <w:vAlign w:val="center"/>
                </w:tcPr>
                <w:p w14:paraId="31B13380">
                  <w:pPr>
                    <w:pStyle w:val="32"/>
                    <w:snapToGrid w:val="0"/>
                    <w:jc w:val="center"/>
                    <w:rPr>
                      <w:rFonts w:hint="default" w:ascii="Times New Roman" w:hAnsi="Times New Roman" w:cs="Times New Roman"/>
                      <w:bCs/>
                      <w:color w:val="auto"/>
                      <w:sz w:val="21"/>
                      <w:szCs w:val="21"/>
                      <w:highlight w:val="none"/>
                    </w:rPr>
                  </w:pPr>
                  <w:r>
                    <w:rPr>
                      <w:rFonts w:ascii="Times New Roman" w:cs="Times New Roman"/>
                      <w:bCs/>
                      <w:color w:val="auto"/>
                      <w:sz w:val="21"/>
                      <w:szCs w:val="21"/>
                      <w:highlight w:val="none"/>
                    </w:rPr>
                    <w:t>0.5mmPb铅衣+0.5mmPb铅屏</w:t>
                  </w:r>
                </w:p>
              </w:tc>
              <w:tc>
                <w:tcPr>
                  <w:tcW w:w="456" w:type="pct"/>
                  <w:vAlign w:val="center"/>
                </w:tcPr>
                <w:p w14:paraId="251367EE">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627" w:type="pct"/>
                  <w:shd w:val="clear" w:color="auto" w:fill="auto"/>
                  <w:vAlign w:val="center"/>
                </w:tcPr>
                <w:p w14:paraId="766075D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 xml:space="preserve">19.15 </w:t>
                  </w:r>
                </w:p>
              </w:tc>
              <w:tc>
                <w:tcPr>
                  <w:tcW w:w="627" w:type="pct"/>
                  <w:shd w:val="clear" w:color="auto" w:fill="auto"/>
                  <w:vAlign w:val="center"/>
                </w:tcPr>
                <w:p w14:paraId="42C9890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 xml:space="preserve">26.42 </w:t>
                  </w:r>
                </w:p>
              </w:tc>
              <w:tc>
                <w:tcPr>
                  <w:tcW w:w="1756" w:type="dxa"/>
                  <w:vAlign w:val="center"/>
                </w:tcPr>
                <w:p w14:paraId="7F1BE3D9">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45.58</w:t>
                  </w:r>
                </w:p>
              </w:tc>
            </w:tr>
            <w:tr w14:paraId="7F2EE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5" w:type="pct"/>
                  <w:vMerge w:val="continue"/>
                  <w:vAlign w:val="center"/>
                </w:tcPr>
                <w:p w14:paraId="153C55B9">
                  <w:pPr>
                    <w:pStyle w:val="32"/>
                    <w:snapToGrid w:val="0"/>
                    <w:jc w:val="center"/>
                    <w:rPr>
                      <w:rFonts w:hint="default" w:ascii="Times New Roman" w:hAnsi="Times New Roman" w:cs="Times New Roman"/>
                      <w:color w:val="auto"/>
                      <w:sz w:val="21"/>
                      <w:szCs w:val="21"/>
                      <w:highlight w:val="none"/>
                    </w:rPr>
                  </w:pPr>
                </w:p>
              </w:tc>
              <w:tc>
                <w:tcPr>
                  <w:tcW w:w="808" w:type="pct"/>
                  <w:vMerge w:val="continue"/>
                  <w:vAlign w:val="center"/>
                </w:tcPr>
                <w:p w14:paraId="6F842BCB">
                  <w:pPr>
                    <w:widowControl/>
                    <w:adjustRightInd w:val="0"/>
                    <w:snapToGrid w:val="0"/>
                    <w:jc w:val="center"/>
                    <w:textAlignment w:val="center"/>
                    <w:rPr>
                      <w:rFonts w:hint="default" w:ascii="Times New Roman" w:hAnsi="Times New Roman" w:cs="Times New Roman"/>
                      <w:color w:val="auto"/>
                      <w:sz w:val="21"/>
                      <w:szCs w:val="21"/>
                      <w:highlight w:val="none"/>
                    </w:rPr>
                  </w:pPr>
                </w:p>
              </w:tc>
              <w:tc>
                <w:tcPr>
                  <w:tcW w:w="370" w:type="pct"/>
                  <w:shd w:val="clear" w:color="auto" w:fill="auto"/>
                  <w:vAlign w:val="center"/>
                </w:tcPr>
                <w:p w14:paraId="2D894A1E">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lang w:val="en-US" w:eastAsia="zh-CN"/>
                    </w:rPr>
                    <w:t>拍片</w:t>
                  </w:r>
                </w:p>
              </w:tc>
              <w:tc>
                <w:tcPr>
                  <w:tcW w:w="1037" w:type="pct"/>
                  <w:vAlign w:val="center"/>
                </w:tcPr>
                <w:p w14:paraId="1BEF035C">
                  <w:pPr>
                    <w:pStyle w:val="32"/>
                    <w:snapToGrid w:val="0"/>
                    <w:jc w:val="center"/>
                    <w:rPr>
                      <w:rFonts w:hint="default" w:ascii="Times New Roman" w:hAnsi="Times New Roman" w:cs="Times New Roman"/>
                      <w:bCs/>
                      <w:color w:val="auto"/>
                      <w:sz w:val="21"/>
                      <w:szCs w:val="21"/>
                      <w:highlight w:val="none"/>
                    </w:rPr>
                  </w:pPr>
                  <w:r>
                    <w:rPr>
                      <w:rFonts w:hint="eastAsia" w:ascii="Times New Roman" w:cs="Times New Roman"/>
                      <w:bCs/>
                      <w:color w:val="auto"/>
                      <w:sz w:val="21"/>
                      <w:szCs w:val="21"/>
                      <w:highlight w:val="none"/>
                    </w:rPr>
                    <w:t>4</w:t>
                  </w:r>
                  <w:r>
                    <w:rPr>
                      <w:rFonts w:ascii="Times New Roman" w:cs="Times New Roman"/>
                      <w:bCs/>
                      <w:color w:val="auto"/>
                      <w:sz w:val="21"/>
                      <w:szCs w:val="21"/>
                      <w:highlight w:val="none"/>
                    </w:rPr>
                    <w:t>mm</w:t>
                  </w:r>
                  <w:r>
                    <w:rPr>
                      <w:rFonts w:hint="eastAsia" w:ascii="Times New Roman" w:cs="Times New Roman"/>
                      <w:bCs/>
                      <w:color w:val="auto"/>
                      <w:sz w:val="21"/>
                      <w:szCs w:val="21"/>
                      <w:highlight w:val="none"/>
                    </w:rPr>
                    <w:t>Pb铅观察窗</w:t>
                  </w:r>
                  <w:r>
                    <w:rPr>
                      <w:rFonts w:ascii="Times New Roman" w:cs="Times New Roman"/>
                      <w:bCs/>
                      <w:color w:val="auto"/>
                      <w:sz w:val="21"/>
                      <w:szCs w:val="21"/>
                      <w:highlight w:val="none"/>
                    </w:rPr>
                    <w:t>+0.5mm铅衣</w:t>
                  </w:r>
                </w:p>
              </w:tc>
              <w:tc>
                <w:tcPr>
                  <w:tcW w:w="456" w:type="pct"/>
                  <w:vAlign w:val="center"/>
                </w:tcPr>
                <w:p w14:paraId="7D04362B">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627" w:type="pct"/>
                  <w:shd w:val="clear" w:color="auto" w:fill="auto"/>
                  <w:vAlign w:val="center"/>
                </w:tcPr>
                <w:p w14:paraId="58151A2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 xml:space="preserve">0.84 </w:t>
                  </w:r>
                </w:p>
              </w:tc>
              <w:tc>
                <w:tcPr>
                  <w:tcW w:w="627" w:type="pct"/>
                  <w:shd w:val="clear" w:color="auto" w:fill="auto"/>
                  <w:vAlign w:val="center"/>
                </w:tcPr>
                <w:p w14:paraId="563E2AF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 xml:space="preserve">14.63 </w:t>
                  </w:r>
                </w:p>
              </w:tc>
              <w:tc>
                <w:tcPr>
                  <w:tcW w:w="1756" w:type="dxa"/>
                  <w:vAlign w:val="center"/>
                </w:tcPr>
                <w:p w14:paraId="3938A636">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15.47</w:t>
                  </w:r>
                </w:p>
              </w:tc>
            </w:tr>
            <w:tr w14:paraId="39826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5" w:type="pct"/>
                  <w:vMerge w:val="restart"/>
                  <w:vAlign w:val="center"/>
                </w:tcPr>
                <w:p w14:paraId="387C71DF">
                  <w:pPr>
                    <w:pStyle w:val="32"/>
                    <w:snapToGrid w:val="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2</w:t>
                  </w:r>
                </w:p>
              </w:tc>
              <w:tc>
                <w:tcPr>
                  <w:tcW w:w="808" w:type="pct"/>
                  <w:vMerge w:val="restart"/>
                  <w:vAlign w:val="center"/>
                </w:tcPr>
                <w:p w14:paraId="1C08D51B">
                  <w:pPr>
                    <w:pStyle w:val="32"/>
                    <w:snapToGrid w:val="0"/>
                    <w:jc w:val="center"/>
                    <w:rPr>
                      <w:rFonts w:hint="default" w:ascii="Times New Roman" w:hAnsi="Times New Roman" w:cs="Times New Roman"/>
                      <w:color w:val="auto"/>
                      <w:sz w:val="21"/>
                      <w:szCs w:val="21"/>
                      <w:highlight w:val="none"/>
                    </w:rPr>
                  </w:pPr>
                  <w:r>
                    <w:rPr>
                      <w:rFonts w:ascii="Times New Roman" w:cs="Times New Roman"/>
                      <w:bCs/>
                      <w:color w:val="auto"/>
                      <w:sz w:val="21"/>
                      <w:szCs w:val="21"/>
                      <w:highlight w:val="none"/>
                    </w:rPr>
                    <w:t>第二术者位</w:t>
                  </w:r>
                </w:p>
              </w:tc>
              <w:tc>
                <w:tcPr>
                  <w:tcW w:w="370" w:type="pct"/>
                  <w:shd w:val="clear" w:color="auto" w:fill="auto"/>
                  <w:vAlign w:val="center"/>
                </w:tcPr>
                <w:p w14:paraId="280CA186">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透视</w:t>
                  </w:r>
                </w:p>
              </w:tc>
              <w:tc>
                <w:tcPr>
                  <w:tcW w:w="1037" w:type="pct"/>
                  <w:vAlign w:val="center"/>
                </w:tcPr>
                <w:p w14:paraId="0EE869AB">
                  <w:pPr>
                    <w:pStyle w:val="32"/>
                    <w:snapToGrid w:val="0"/>
                    <w:jc w:val="center"/>
                    <w:rPr>
                      <w:rFonts w:hint="default" w:ascii="Times New Roman" w:hAnsi="Times New Roman" w:cs="Times New Roman"/>
                      <w:bCs/>
                      <w:color w:val="auto"/>
                      <w:sz w:val="21"/>
                      <w:szCs w:val="21"/>
                      <w:highlight w:val="none"/>
                    </w:rPr>
                  </w:pPr>
                  <w:r>
                    <w:rPr>
                      <w:rFonts w:ascii="Times New Roman" w:cs="Times New Roman"/>
                      <w:bCs/>
                      <w:color w:val="auto"/>
                      <w:sz w:val="21"/>
                      <w:szCs w:val="21"/>
                      <w:highlight w:val="none"/>
                    </w:rPr>
                    <w:t>0.5mmPb铅衣+0.5mmPb铅屏</w:t>
                  </w:r>
                </w:p>
              </w:tc>
              <w:tc>
                <w:tcPr>
                  <w:tcW w:w="456" w:type="pct"/>
                  <w:vAlign w:val="center"/>
                </w:tcPr>
                <w:p w14:paraId="01B05C3E">
                  <w:pPr>
                    <w:pStyle w:val="32"/>
                    <w:snapToGrid w:val="0"/>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627" w:type="pct"/>
                  <w:shd w:val="clear" w:color="auto" w:fill="auto"/>
                  <w:vAlign w:val="center"/>
                </w:tcPr>
                <w:p w14:paraId="4AA477C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 xml:space="preserve">10.52 </w:t>
                  </w:r>
                </w:p>
              </w:tc>
              <w:tc>
                <w:tcPr>
                  <w:tcW w:w="627" w:type="pct"/>
                  <w:shd w:val="clear" w:color="auto" w:fill="auto"/>
                  <w:vAlign w:val="center"/>
                </w:tcPr>
                <w:p w14:paraId="275C3F4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 xml:space="preserve">14.86 </w:t>
                  </w:r>
                </w:p>
              </w:tc>
              <w:tc>
                <w:tcPr>
                  <w:tcW w:w="1756" w:type="dxa"/>
                  <w:vAlign w:val="center"/>
                </w:tcPr>
                <w:p w14:paraId="3BA780AB">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25.38</w:t>
                  </w:r>
                </w:p>
              </w:tc>
            </w:tr>
            <w:tr w14:paraId="3426C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5" w:type="pct"/>
                  <w:vMerge w:val="continue"/>
                  <w:vAlign w:val="center"/>
                </w:tcPr>
                <w:p w14:paraId="11102CF3">
                  <w:pPr>
                    <w:pStyle w:val="32"/>
                    <w:snapToGrid w:val="0"/>
                    <w:jc w:val="center"/>
                    <w:rPr>
                      <w:rFonts w:hint="default" w:ascii="Times New Roman" w:hAnsi="Times New Roman" w:cs="Times New Roman"/>
                      <w:color w:val="auto"/>
                      <w:sz w:val="21"/>
                      <w:szCs w:val="21"/>
                      <w:highlight w:val="none"/>
                    </w:rPr>
                  </w:pPr>
                </w:p>
              </w:tc>
              <w:tc>
                <w:tcPr>
                  <w:tcW w:w="808" w:type="pct"/>
                  <w:vMerge w:val="continue"/>
                  <w:vAlign w:val="center"/>
                </w:tcPr>
                <w:p w14:paraId="57E81DFE">
                  <w:pPr>
                    <w:widowControl/>
                    <w:adjustRightInd w:val="0"/>
                    <w:snapToGrid w:val="0"/>
                    <w:jc w:val="center"/>
                    <w:textAlignment w:val="center"/>
                    <w:rPr>
                      <w:rFonts w:hint="default" w:ascii="Times New Roman" w:hAnsi="Times New Roman" w:cs="Times New Roman"/>
                      <w:color w:val="auto"/>
                      <w:sz w:val="21"/>
                      <w:szCs w:val="21"/>
                      <w:highlight w:val="none"/>
                    </w:rPr>
                  </w:pPr>
                </w:p>
              </w:tc>
              <w:tc>
                <w:tcPr>
                  <w:tcW w:w="370" w:type="pct"/>
                  <w:shd w:val="clear" w:color="auto" w:fill="auto"/>
                  <w:vAlign w:val="center"/>
                </w:tcPr>
                <w:p w14:paraId="5A807898">
                  <w:pPr>
                    <w:pStyle w:val="32"/>
                    <w:snapToGrid w:val="0"/>
                    <w:jc w:val="center"/>
                    <w:rPr>
                      <w:rFonts w:hint="default"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lang w:val="en-US" w:eastAsia="zh-CN"/>
                    </w:rPr>
                    <w:t>拍片</w:t>
                  </w:r>
                </w:p>
              </w:tc>
              <w:tc>
                <w:tcPr>
                  <w:tcW w:w="1037" w:type="pct"/>
                  <w:vAlign w:val="center"/>
                </w:tcPr>
                <w:p w14:paraId="71AA06A4">
                  <w:pPr>
                    <w:pStyle w:val="32"/>
                    <w:snapToGrid w:val="0"/>
                    <w:jc w:val="center"/>
                    <w:rPr>
                      <w:rFonts w:hint="default" w:ascii="Times New Roman" w:hAnsi="Times New Roman" w:cs="Times New Roman"/>
                      <w:bCs/>
                      <w:color w:val="auto"/>
                      <w:sz w:val="21"/>
                      <w:szCs w:val="21"/>
                      <w:highlight w:val="none"/>
                    </w:rPr>
                  </w:pPr>
                  <w:r>
                    <w:rPr>
                      <w:rFonts w:hint="eastAsia" w:ascii="Times New Roman" w:cs="Times New Roman"/>
                      <w:bCs/>
                      <w:color w:val="auto"/>
                      <w:sz w:val="21"/>
                      <w:szCs w:val="21"/>
                      <w:highlight w:val="none"/>
                    </w:rPr>
                    <w:t>4</w:t>
                  </w:r>
                  <w:r>
                    <w:rPr>
                      <w:rFonts w:ascii="Times New Roman" w:cs="Times New Roman"/>
                      <w:bCs/>
                      <w:color w:val="auto"/>
                      <w:sz w:val="21"/>
                      <w:szCs w:val="21"/>
                      <w:highlight w:val="none"/>
                    </w:rPr>
                    <w:t>mm</w:t>
                  </w:r>
                  <w:r>
                    <w:rPr>
                      <w:rFonts w:hint="eastAsia" w:ascii="Times New Roman" w:cs="Times New Roman"/>
                      <w:bCs/>
                      <w:color w:val="auto"/>
                      <w:sz w:val="21"/>
                      <w:szCs w:val="21"/>
                      <w:highlight w:val="none"/>
                    </w:rPr>
                    <w:t>Pb铅观察窗</w:t>
                  </w:r>
                  <w:r>
                    <w:rPr>
                      <w:rFonts w:ascii="Times New Roman" w:cs="Times New Roman"/>
                      <w:bCs/>
                      <w:color w:val="auto"/>
                      <w:sz w:val="21"/>
                      <w:szCs w:val="21"/>
                      <w:highlight w:val="none"/>
                    </w:rPr>
                    <w:t>+0.5mm铅衣</w:t>
                  </w:r>
                </w:p>
              </w:tc>
              <w:tc>
                <w:tcPr>
                  <w:tcW w:w="456" w:type="pct"/>
                  <w:vAlign w:val="center"/>
                </w:tcPr>
                <w:p w14:paraId="14E71A1E">
                  <w:pPr>
                    <w:pStyle w:val="32"/>
                    <w:snapToGrid w:val="0"/>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627" w:type="pct"/>
                  <w:shd w:val="clear" w:color="auto" w:fill="auto"/>
                  <w:vAlign w:val="center"/>
                </w:tcPr>
                <w:p w14:paraId="4F1AAC6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 xml:space="preserve">0.69 </w:t>
                  </w:r>
                </w:p>
              </w:tc>
              <w:tc>
                <w:tcPr>
                  <w:tcW w:w="627" w:type="pct"/>
                  <w:shd w:val="clear" w:color="auto" w:fill="auto"/>
                  <w:vAlign w:val="center"/>
                </w:tcPr>
                <w:p w14:paraId="68923CB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 xml:space="preserve">11.98 </w:t>
                  </w:r>
                </w:p>
              </w:tc>
              <w:tc>
                <w:tcPr>
                  <w:tcW w:w="1756" w:type="dxa"/>
                  <w:vAlign w:val="center"/>
                </w:tcPr>
                <w:p w14:paraId="6EA6EB4E">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12.67</w:t>
                  </w:r>
                </w:p>
              </w:tc>
            </w:tr>
          </w:tbl>
          <w:p w14:paraId="5777121C">
            <w:pPr>
              <w:pStyle w:val="32"/>
              <w:snapToGrid w:val="0"/>
              <w:spacing w:line="360" w:lineRule="auto"/>
              <w:ind w:firstLine="480" w:firstLineChars="200"/>
              <w:jc w:val="both"/>
              <w:textAlignment w:val="auto"/>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根据表11-6、表11-</w:t>
            </w:r>
            <w:r>
              <w:rPr>
                <w:rFonts w:hint="default" w:ascii="Times New Roman" w:hAnsi="Times New Roman" w:cs="Times New Roman"/>
                <w:bCs/>
                <w:color w:val="auto"/>
                <w:highlight w:val="none"/>
                <w:lang w:val="en-US" w:eastAsia="zh-CN"/>
              </w:rPr>
              <w:t>7</w:t>
            </w:r>
            <w:r>
              <w:rPr>
                <w:rFonts w:hint="default" w:ascii="Times New Roman" w:hAnsi="Times New Roman" w:cs="Times New Roman"/>
                <w:bCs/>
                <w:color w:val="auto"/>
                <w:highlight w:val="none"/>
              </w:rPr>
              <w:t>可知，DSA机房屏蔽体外表面0.3m外及DSA机房辅房区域的辐射剂量率均小于2.5μSv/h，满足《放射诊断放射防护要求》（GBZ130-2020）中要求。</w:t>
            </w:r>
          </w:p>
          <w:p w14:paraId="258291E3">
            <w:pPr>
              <w:pStyle w:val="34"/>
              <w:rPr>
                <w:rFonts w:hint="default" w:ascii="Times New Roman" w:hAnsi="Times New Roman" w:cs="Times New Roman"/>
                <w:color w:val="auto"/>
                <w:sz w:val="18"/>
                <w:szCs w:val="18"/>
                <w:highlight w:val="none"/>
              </w:rPr>
            </w:pPr>
          </w:p>
          <w:p w14:paraId="6ECA6F2E">
            <w:pPr>
              <w:rPr>
                <w:rFonts w:hint="default" w:ascii="Times New Roman" w:hAnsi="Times New Roman" w:cs="Times New Roman"/>
                <w:b/>
                <w:bCs/>
                <w:color w:val="auto"/>
                <w:sz w:val="18"/>
                <w:szCs w:val="18"/>
                <w:highlight w:val="none"/>
              </w:rPr>
            </w:pPr>
          </w:p>
          <w:p w14:paraId="12975B14">
            <w:pPr>
              <w:pStyle w:val="32"/>
              <w:rPr>
                <w:rFonts w:hint="default" w:ascii="Times New Roman" w:hAnsi="Times New Roman" w:cs="Times New Roman"/>
                <w:b/>
                <w:bCs/>
                <w:color w:val="auto"/>
                <w:sz w:val="18"/>
                <w:szCs w:val="18"/>
                <w:highlight w:val="none"/>
              </w:rPr>
            </w:pPr>
          </w:p>
          <w:p w14:paraId="7FE4948C">
            <w:pPr>
              <w:pStyle w:val="32"/>
              <w:rPr>
                <w:rFonts w:hint="default" w:ascii="Times New Roman" w:hAnsi="Times New Roman" w:cs="Times New Roman"/>
                <w:b/>
                <w:bCs/>
                <w:color w:val="auto"/>
                <w:sz w:val="18"/>
                <w:szCs w:val="18"/>
                <w:highlight w:val="none"/>
              </w:rPr>
            </w:pPr>
          </w:p>
          <w:p w14:paraId="24B63CCB">
            <w:pPr>
              <w:pStyle w:val="34"/>
              <w:rPr>
                <w:rFonts w:hint="default" w:ascii="Times New Roman" w:hAnsi="Times New Roman" w:cs="Times New Roman"/>
                <w:color w:val="auto"/>
                <w:highlight w:val="none"/>
              </w:rPr>
            </w:pPr>
          </w:p>
          <w:p w14:paraId="0B98A8F8">
            <w:pPr>
              <w:rPr>
                <w:rFonts w:hint="default" w:ascii="Times New Roman" w:hAnsi="Times New Roman" w:cs="Times New Roman"/>
                <w:color w:val="auto"/>
                <w:highlight w:val="none"/>
              </w:rPr>
            </w:pPr>
          </w:p>
          <w:p w14:paraId="73F570A1">
            <w:pPr>
              <w:pStyle w:val="32"/>
              <w:rPr>
                <w:rFonts w:hint="default" w:ascii="Times New Roman" w:hAnsi="Times New Roman" w:cs="Times New Roman"/>
                <w:b/>
                <w:bCs/>
                <w:color w:val="auto"/>
                <w:sz w:val="18"/>
                <w:szCs w:val="18"/>
                <w:highlight w:val="none"/>
              </w:rPr>
            </w:pPr>
          </w:p>
          <w:p w14:paraId="05383D4E">
            <w:pPr>
              <w:pStyle w:val="34"/>
              <w:ind w:left="0"/>
              <w:rPr>
                <w:rFonts w:hint="default" w:ascii="Times New Roman" w:hAnsi="Times New Roman" w:cs="Times New Roman"/>
                <w:color w:val="auto"/>
                <w:highlight w:val="none"/>
              </w:rPr>
            </w:pPr>
          </w:p>
        </w:tc>
      </w:tr>
    </w:tbl>
    <w:p w14:paraId="614F6568">
      <w:pPr>
        <w:adjustRightInd w:val="0"/>
        <w:snapToGrid w:val="0"/>
        <w:rPr>
          <w:rFonts w:hint="default" w:ascii="Times New Roman" w:hAnsi="Times New Roman" w:cs="Times New Roman"/>
          <w:b/>
          <w:color w:val="auto"/>
          <w:sz w:val="28"/>
          <w:highlight w:val="none"/>
          <w:lang w:val="en-GB"/>
        </w:rPr>
        <w:sectPr>
          <w:pgSz w:w="16840" w:h="11907" w:orient="landscape"/>
          <w:pgMar w:top="1587" w:right="1417" w:bottom="1587" w:left="1417" w:header="851" w:footer="850" w:gutter="0"/>
          <w:pgBorders>
            <w:top w:val="none" w:sz="0" w:space="0"/>
            <w:left w:val="none" w:sz="0" w:space="0"/>
            <w:bottom w:val="none" w:sz="0" w:space="0"/>
            <w:right w:val="none" w:sz="0" w:space="0"/>
          </w:pgBorders>
          <w:cols w:space="720" w:num="1"/>
          <w:docGrid w:type="linesAndChars" w:linePitch="335" w:charSpace="0"/>
        </w:sectPr>
      </w:pP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7"/>
      </w:tblGrid>
      <w:tr w14:paraId="27752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Pr>
          <w:p w14:paraId="1671997E">
            <w:pPr>
              <w:pStyle w:val="32"/>
              <w:snapToGrid w:val="0"/>
              <w:spacing w:line="360" w:lineRule="auto"/>
              <w:jc w:val="both"/>
              <w:rPr>
                <w:rFonts w:hint="default" w:ascii="Times New Roman" w:hAnsi="Times New Roman" w:cs="Times New Roman"/>
                <w:b/>
                <w:color w:val="auto"/>
                <w:highlight w:val="none"/>
              </w:rPr>
            </w:pPr>
            <w:bookmarkStart w:id="63" w:name="_Toc13034"/>
            <w:bookmarkStart w:id="64" w:name="_Toc19057"/>
            <w:bookmarkStart w:id="65" w:name="_Toc448838923"/>
            <w:bookmarkStart w:id="66" w:name="_Toc27990"/>
            <w:bookmarkStart w:id="67" w:name="_Toc6196"/>
            <w:r>
              <w:rPr>
                <w:rFonts w:hint="default" w:ascii="Times New Roman" w:hAnsi="Times New Roman" w:cs="Times New Roman"/>
                <w:b/>
                <w:color w:val="auto"/>
                <w:highlight w:val="none"/>
              </w:rPr>
              <w:t>2.6 术者位</w:t>
            </w:r>
            <w:r>
              <w:rPr>
                <w:rFonts w:hint="default" w:ascii="Times New Roman" w:hAnsi="Times New Roman" w:cs="Times New Roman"/>
                <w:b/>
                <w:bCs/>
                <w:color w:val="auto"/>
                <w:spacing w:val="-2"/>
                <w:highlight w:val="none"/>
              </w:rPr>
              <w:t>腕部剂量估算、</w:t>
            </w:r>
            <w:r>
              <w:rPr>
                <w:rFonts w:hint="default" w:ascii="Times New Roman" w:hAnsi="Times New Roman" w:cs="Times New Roman"/>
                <w:b/>
                <w:color w:val="auto"/>
                <w:highlight w:val="none"/>
              </w:rPr>
              <w:t>辐射工作人员及周围公众年有效剂量评估</w:t>
            </w:r>
          </w:p>
          <w:p w14:paraId="5BA5C963">
            <w:pPr>
              <w:pStyle w:val="65"/>
              <w:adjustRightInd w:val="0"/>
              <w:snapToGrid w:val="0"/>
              <w:spacing w:line="360" w:lineRule="auto"/>
              <w:ind w:firstLine="474"/>
              <w:jc w:val="left"/>
              <w:rPr>
                <w:rFonts w:hint="default" w:ascii="Times New Roman" w:hAnsi="Times New Roman" w:cs="Times New Roman"/>
                <w:b/>
                <w:bCs/>
                <w:color w:val="auto"/>
                <w:spacing w:val="-2"/>
                <w:sz w:val="24"/>
                <w:highlight w:val="none"/>
              </w:rPr>
            </w:pPr>
            <w:r>
              <w:rPr>
                <w:rFonts w:hint="default" w:ascii="Times New Roman" w:hAnsi="Times New Roman" w:cs="Times New Roman"/>
                <w:b/>
                <w:bCs/>
                <w:color w:val="auto"/>
                <w:spacing w:val="-2"/>
                <w:sz w:val="24"/>
                <w:highlight w:val="none"/>
              </w:rPr>
              <w:t>术者位腕部剂量估算</w:t>
            </w:r>
          </w:p>
          <w:p w14:paraId="41D15248">
            <w:pPr>
              <w:pStyle w:val="65"/>
              <w:adjustRightInd w:val="0"/>
              <w:snapToGrid w:val="0"/>
              <w:spacing w:line="360" w:lineRule="auto"/>
              <w:ind w:firstLine="472"/>
              <w:jc w:val="left"/>
              <w:rPr>
                <w:rFonts w:hint="default" w:ascii="Times New Roman" w:hAnsi="Times New Roman" w:cs="Times New Roman"/>
                <w:color w:val="auto"/>
                <w:spacing w:val="-2"/>
                <w:sz w:val="24"/>
                <w:highlight w:val="none"/>
              </w:rPr>
            </w:pPr>
            <w:r>
              <w:rPr>
                <w:rFonts w:hint="default" w:ascii="Times New Roman" w:hAnsi="Times New Roman" w:cs="Times New Roman"/>
                <w:color w:val="auto"/>
                <w:spacing w:val="-2"/>
                <w:sz w:val="24"/>
                <w:highlight w:val="none"/>
              </w:rPr>
              <w:t>医生腕部皮肤受照剂量计算模式参考《电离辐射所致皮肤剂量估算方法》（GBZ/T244-2017）4.3，用下式进行估算：</w:t>
            </w:r>
          </w:p>
          <w:p w14:paraId="3608A5EE">
            <w:pPr>
              <w:pStyle w:val="65"/>
              <w:adjustRightInd w:val="0"/>
              <w:snapToGrid w:val="0"/>
              <w:spacing w:line="360" w:lineRule="auto"/>
              <w:ind w:firstLine="0" w:firstLineChars="0"/>
              <w:jc w:val="left"/>
              <w:rPr>
                <w:rFonts w:hint="default" w:ascii="Times New Roman" w:hAnsi="Times New Roman" w:cs="Times New Roman"/>
                <w:color w:val="auto"/>
                <w:sz w:val="24"/>
                <w:highlight w:val="none"/>
              </w:rPr>
            </w:pPr>
            <w:r>
              <w:rPr>
                <w:rFonts w:hint="default" w:ascii="Times New Roman" w:hAnsi="Times New Roman" w:cs="Times New Roman"/>
                <w:color w:val="auto"/>
                <w:spacing w:val="-2"/>
                <w:position w:val="-12"/>
                <w:sz w:val="24"/>
                <w:highlight w:val="none"/>
              </w:rPr>
              <w:pict>
                <v:shape id="Object 357" o:spid="_x0000_s1118" o:spt="75" type="#_x0000_t75" style="position:absolute;left:0pt;margin-left:126.85pt;margin-top:22.65pt;height:25.2pt;width:102.9pt;mso-wrap-distance-bottom:0pt;mso-wrap-distance-left:9pt;mso-wrap-distance-right:9pt;mso-wrap-distance-top:0pt;z-index:251667456;mso-width-relative:page;mso-height-relative:page;" o:ole="t" filled="f" o:preferrelative="t" stroked="f" coordsize="21600,21600">
                  <v:path/>
                  <v:fill on="f" focussize="0,0"/>
                  <v:stroke on="f" joinstyle="miter"/>
                  <v:imagedata r:id="rId46" o:title=""/>
                  <o:lock v:ext="edit" aspectratio="t"/>
                  <w10:wrap type="square"/>
                </v:shape>
                <o:OLEObject Type="Embed" ProgID="Equation.3" ShapeID="Object 357" DrawAspect="Content" ObjectID="_1468075728" r:id="rId45">
                  <o:LockedField>false</o:LockedField>
                </o:OLEObject>
              </w:pict>
            </w:r>
          </w:p>
          <w:p w14:paraId="7F30301F">
            <w:pPr>
              <w:pStyle w:val="65"/>
              <w:adjustRightInd w:val="0"/>
              <w:snapToGrid w:val="0"/>
              <w:spacing w:line="360" w:lineRule="auto"/>
              <w:ind w:firstLine="1680" w:firstLineChars="700"/>
              <w:jc w:val="left"/>
              <w:rPr>
                <w:rFonts w:hint="default" w:ascii="Times New Roman" w:hAnsi="Times New Roman" w:cs="Times New Roman"/>
                <w:color w:val="auto"/>
                <w:spacing w:val="-2"/>
                <w:sz w:val="24"/>
                <w:highlight w:val="none"/>
              </w:rPr>
            </w:pPr>
            <w:r>
              <w:rPr>
                <w:rFonts w:hint="default" w:ascii="Times New Roman" w:hAnsi="Times New Roman" w:cs="Times New Roman"/>
                <w:color w:val="auto"/>
                <w:sz w:val="24"/>
                <w:highlight w:val="none"/>
              </w:rPr>
              <w:t>------------公式7</w:t>
            </w:r>
          </w:p>
          <w:p w14:paraId="7B2B5DFF">
            <w:pPr>
              <w:pStyle w:val="65"/>
              <w:adjustRightInd w:val="0"/>
              <w:snapToGrid w:val="0"/>
              <w:spacing w:line="360" w:lineRule="auto"/>
              <w:ind w:firstLine="480"/>
              <w:jc w:val="left"/>
              <w:rPr>
                <w:rFonts w:hint="default" w:ascii="Times New Roman" w:hAnsi="Times New Roman" w:cs="Times New Roman"/>
                <w:color w:val="auto"/>
                <w:sz w:val="24"/>
                <w:highlight w:val="none"/>
              </w:rPr>
            </w:pPr>
            <w:r>
              <w:rPr>
                <w:rFonts w:hint="default" w:ascii="Times New Roman" w:hAnsi="Times New Roman" w:cs="Times New Roman"/>
                <w:color w:val="auto"/>
                <w:position w:val="-32"/>
                <w:sz w:val="24"/>
                <w:highlight w:val="none"/>
              </w:rPr>
              <w:pict>
                <v:shape id="Object 358" o:spid="_x0000_s1119" o:spt="75" type="#_x0000_t75" style="position:absolute;left:0pt;margin-left:131.5pt;margin-top:9.75pt;height:44.7pt;width:87.15pt;mso-wrap-distance-left:9pt;mso-wrap-distance-right:9pt;z-index:251666432;mso-width-relative:page;mso-height-relative:page;" o:ole="t" filled="f" o:preferrelative="t" stroked="f" coordsize="21600,21600" wrapcoords="21592 -2 0 0 0 21600 21592 21602 8 21602 21600 21600 21600 0 8 -2 21592 -2">
                  <v:path/>
                  <v:fill on="f" focussize="0,0"/>
                  <v:stroke on="f" joinstyle="miter"/>
                  <v:imagedata r:id="rId48" o:title=""/>
                  <o:lock v:ext="edit" aspectratio="t"/>
                  <w10:wrap type="tight"/>
                </v:shape>
                <o:OLEObject Type="Embed" ProgID="Equation.3" ShapeID="Object 358" DrawAspect="Content" ObjectID="_1468075729" r:id="rId47">
                  <o:LockedField>false</o:LockedField>
                </o:OLEObject>
              </w:pict>
            </w:r>
          </w:p>
          <w:p w14:paraId="43928AD4">
            <w:pPr>
              <w:pStyle w:val="65"/>
              <w:adjustRightInd w:val="0"/>
              <w:snapToGrid w:val="0"/>
              <w:spacing w:line="360" w:lineRule="auto"/>
              <w:ind w:firstLine="1680" w:firstLineChars="7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------------公式8</w:t>
            </w:r>
          </w:p>
          <w:p w14:paraId="7F31670F">
            <w:pPr>
              <w:pStyle w:val="65"/>
              <w:adjustRightInd w:val="0"/>
              <w:snapToGrid w:val="0"/>
              <w:spacing w:line="360" w:lineRule="auto"/>
              <w:ind w:firstLine="0" w:firstLineChars="0"/>
              <w:jc w:val="left"/>
              <w:rPr>
                <w:rFonts w:hint="default" w:ascii="Times New Roman" w:hAnsi="Times New Roman" w:cs="Times New Roman"/>
                <w:color w:val="auto"/>
                <w:spacing w:val="-2"/>
                <w:sz w:val="24"/>
                <w:highlight w:val="none"/>
              </w:rPr>
            </w:pPr>
          </w:p>
          <w:p w14:paraId="221EB1CD">
            <w:pPr>
              <w:pStyle w:val="65"/>
              <w:adjustRightInd w:val="0"/>
              <w:snapToGrid w:val="0"/>
              <w:spacing w:line="360" w:lineRule="auto"/>
              <w:ind w:firstLine="472"/>
              <w:jc w:val="left"/>
              <w:rPr>
                <w:rFonts w:hint="default" w:ascii="Times New Roman" w:hAnsi="Times New Roman" w:cs="Times New Roman"/>
                <w:color w:val="auto"/>
                <w:spacing w:val="-2"/>
                <w:sz w:val="24"/>
                <w:highlight w:val="none"/>
              </w:rPr>
            </w:pPr>
            <w:r>
              <w:rPr>
                <w:rFonts w:hint="default" w:ascii="Times New Roman" w:hAnsi="Times New Roman" w:cs="Times New Roman"/>
                <w:color w:val="auto"/>
                <w:spacing w:val="-2"/>
                <w:sz w:val="24"/>
                <w:highlight w:val="none"/>
              </w:rPr>
              <w:t>D</w:t>
            </w:r>
            <w:r>
              <w:rPr>
                <w:rFonts w:hint="default" w:ascii="Times New Roman" w:hAnsi="Times New Roman" w:cs="Times New Roman"/>
                <w:color w:val="auto"/>
                <w:spacing w:val="-2"/>
                <w:sz w:val="24"/>
                <w:highlight w:val="none"/>
                <w:vertAlign w:val="subscript"/>
              </w:rPr>
              <w:t>S</w:t>
            </w:r>
            <w:r>
              <w:rPr>
                <w:rFonts w:hint="default" w:ascii="Times New Roman" w:hAnsi="Times New Roman" w:cs="Times New Roman"/>
                <w:color w:val="auto"/>
                <w:spacing w:val="-2"/>
                <w:sz w:val="24"/>
                <w:highlight w:val="none"/>
              </w:rPr>
              <w:t xml:space="preserve"> ：皮肤吸收剂量（mGy）；</w:t>
            </w:r>
          </w:p>
          <w:p w14:paraId="0BA5CD2D">
            <w:pPr>
              <w:pStyle w:val="65"/>
              <w:adjustRightInd w:val="0"/>
              <w:snapToGrid w:val="0"/>
              <w:spacing w:line="360" w:lineRule="auto"/>
              <w:ind w:firstLine="472"/>
              <w:jc w:val="left"/>
              <w:rPr>
                <w:rFonts w:hint="default" w:ascii="Times New Roman" w:hAnsi="Times New Roman" w:cs="Times New Roman"/>
                <w:color w:val="auto"/>
                <w:spacing w:val="-2"/>
                <w:sz w:val="24"/>
                <w:highlight w:val="none"/>
              </w:rPr>
            </w:pPr>
            <w:r>
              <w:rPr>
                <w:rFonts w:hint="default" w:ascii="Times New Roman" w:hAnsi="Times New Roman" w:cs="Times New Roman"/>
                <w:color w:val="auto"/>
                <w:spacing w:val="-2"/>
                <w:sz w:val="24"/>
                <w:highlight w:val="none"/>
              </w:rPr>
              <w:t>k：X-γ辐射场的空气比释动能率（μGy∙h</w:t>
            </w:r>
            <w:r>
              <w:rPr>
                <w:rFonts w:hint="default" w:ascii="Times New Roman" w:hAnsi="Times New Roman" w:cs="Times New Roman"/>
                <w:color w:val="auto"/>
                <w:spacing w:val="-2"/>
                <w:sz w:val="24"/>
                <w:highlight w:val="none"/>
                <w:vertAlign w:val="superscript"/>
              </w:rPr>
              <w:t>-1</w:t>
            </w:r>
            <w:r>
              <w:rPr>
                <w:rFonts w:hint="default" w:ascii="Times New Roman" w:hAnsi="Times New Roman" w:cs="Times New Roman"/>
                <w:color w:val="auto"/>
                <w:spacing w:val="-2"/>
                <w:sz w:val="24"/>
                <w:highlight w:val="none"/>
              </w:rPr>
              <w:t>）；</w:t>
            </w:r>
          </w:p>
          <w:p w14:paraId="427986CC">
            <w:pPr>
              <w:pStyle w:val="65"/>
              <w:adjustRightInd w:val="0"/>
              <w:snapToGrid w:val="0"/>
              <w:spacing w:line="360" w:lineRule="auto"/>
              <w:ind w:firstLine="472"/>
              <w:rPr>
                <w:rFonts w:hint="eastAsia" w:ascii="Times New Roman" w:hAnsi="Times New Roman" w:eastAsia="宋体" w:cs="Times New Roman"/>
                <w:color w:val="auto"/>
                <w:spacing w:val="-2"/>
                <w:sz w:val="24"/>
                <w:highlight w:val="none"/>
                <w:lang w:eastAsia="zh-CN"/>
              </w:rPr>
            </w:pPr>
            <w:r>
              <w:rPr>
                <w:rFonts w:hint="default" w:ascii="Times New Roman" w:hAnsi="Times New Roman" w:cs="Times New Roman"/>
                <w:color w:val="auto"/>
                <w:spacing w:val="-2"/>
                <w:sz w:val="24"/>
                <w:highlight w:val="none"/>
              </w:rPr>
              <w:t>C</w:t>
            </w:r>
            <w:r>
              <w:rPr>
                <w:rFonts w:hint="default" w:ascii="Times New Roman" w:hAnsi="Times New Roman" w:cs="Times New Roman"/>
                <w:color w:val="auto"/>
                <w:spacing w:val="-2"/>
                <w:sz w:val="24"/>
                <w:highlight w:val="none"/>
                <w:vertAlign w:val="subscript"/>
              </w:rPr>
              <w:t>KS</w:t>
            </w:r>
            <w:r>
              <w:rPr>
                <w:rFonts w:hint="default" w:ascii="Times New Roman" w:hAnsi="Times New Roman" w:cs="Times New Roman"/>
                <w:color w:val="auto"/>
                <w:spacing w:val="-2"/>
                <w:sz w:val="24"/>
                <w:highlight w:val="none"/>
              </w:rPr>
              <w:t>：空气比释动能到皮肤吸收剂量的转换系数（mGy/mGy），根据《电离辐射所致皮肤剂量估算方法》（GBZ/T244-2017）表A.4进行取值（</w:t>
            </w:r>
            <w:r>
              <w:rPr>
                <w:rFonts w:hint="eastAsia" w:ascii="Times New Roman" w:hAnsi="Times New Roman" w:cs="Times New Roman"/>
                <w:color w:val="auto"/>
                <w:spacing w:val="-2"/>
                <w:sz w:val="24"/>
                <w:highlight w:val="none"/>
                <w:lang w:val="en-US" w:eastAsia="zh-CN"/>
              </w:rPr>
              <w:t>按照女性取值</w:t>
            </w:r>
            <w:r>
              <w:rPr>
                <w:rFonts w:hint="default" w:ascii="Times New Roman" w:hAnsi="Times New Roman" w:cs="Times New Roman"/>
                <w:color w:val="auto"/>
                <w:spacing w:val="-2"/>
                <w:sz w:val="24"/>
                <w:highlight w:val="none"/>
              </w:rPr>
              <w:t>），利用100kV和80kV下的数据插值的90kV的数据，取值为：</w:t>
            </w:r>
            <w:r>
              <w:rPr>
                <w:rFonts w:ascii="Times New Roman" w:hAnsi="Times New Roman" w:cs="Times New Roman"/>
                <w:color w:val="auto"/>
                <w:spacing w:val="-2"/>
                <w:sz w:val="24"/>
                <w:highlight w:val="none"/>
                <w:lang w:val="en-US"/>
              </w:rPr>
              <w:t>（90kV）C</w:t>
            </w:r>
            <w:r>
              <w:rPr>
                <w:rFonts w:ascii="Times New Roman" w:hAnsi="Times New Roman" w:cs="Times New Roman"/>
                <w:color w:val="auto"/>
                <w:spacing w:val="-2"/>
                <w:sz w:val="24"/>
                <w:highlight w:val="none"/>
                <w:vertAlign w:val="subscript"/>
                <w:lang w:val="en-US"/>
              </w:rPr>
              <w:t>KS</w:t>
            </w:r>
            <w:r>
              <w:rPr>
                <w:rFonts w:ascii="Times New Roman" w:hAnsi="Times New Roman" w:cs="Times New Roman"/>
                <w:color w:val="auto"/>
                <w:spacing w:val="-2"/>
                <w:sz w:val="24"/>
                <w:highlight w:val="none"/>
                <w:lang w:val="en-US"/>
              </w:rPr>
              <w:t>=1.1</w:t>
            </w:r>
            <w:r>
              <w:rPr>
                <w:rFonts w:hint="eastAsia" w:ascii="Times New Roman" w:hAnsi="Times New Roman" w:cs="Times New Roman"/>
                <w:color w:val="auto"/>
                <w:spacing w:val="-2"/>
                <w:sz w:val="24"/>
                <w:highlight w:val="none"/>
                <w:lang w:val="en-US" w:eastAsia="zh-CN"/>
              </w:rPr>
              <w:t>5</w:t>
            </w:r>
            <w:r>
              <w:rPr>
                <w:rFonts w:ascii="Times New Roman" w:hAnsi="Times New Roman" w:cs="Times New Roman"/>
                <w:color w:val="auto"/>
                <w:spacing w:val="-2"/>
                <w:sz w:val="24"/>
                <w:highlight w:val="none"/>
                <w:lang w:val="en-US"/>
              </w:rPr>
              <w:t>mGy/mGy</w:t>
            </w:r>
            <w:r>
              <w:rPr>
                <w:rFonts w:hint="eastAsia" w:ascii="Times New Roman" w:hAnsi="Times New Roman" w:cs="Times New Roman"/>
                <w:color w:val="auto"/>
                <w:spacing w:val="-2"/>
                <w:sz w:val="24"/>
                <w:highlight w:val="none"/>
                <w:lang w:val="en-US" w:eastAsia="zh-CN"/>
              </w:rPr>
              <w:t>。</w:t>
            </w:r>
          </w:p>
          <w:p w14:paraId="18221EC5">
            <w:pPr>
              <w:pStyle w:val="65"/>
              <w:adjustRightInd w:val="0"/>
              <w:snapToGrid w:val="0"/>
              <w:spacing w:line="360" w:lineRule="auto"/>
              <w:ind w:firstLine="480"/>
              <w:jc w:val="left"/>
              <w:rPr>
                <w:rFonts w:hint="default" w:ascii="Times New Roman" w:hAnsi="Times New Roman" w:cs="Times New Roman"/>
                <w:color w:val="auto"/>
                <w:spacing w:val="-2"/>
                <w:sz w:val="24"/>
                <w:highlight w:val="none"/>
              </w:rPr>
            </w:pPr>
            <w:r>
              <w:rPr>
                <w:rFonts w:hint="default" w:ascii="Times New Roman" w:hAnsi="Times New Roman" w:cs="Times New Roman"/>
                <w:color w:val="auto"/>
                <w:spacing w:val="-2"/>
                <w:sz w:val="24"/>
                <w:highlight w:val="none"/>
              </w:rPr>
              <w:t>t：人员累积受照时间，单位为小时（h），取术者位受照的透视时间；</w:t>
            </w:r>
          </w:p>
          <w:p w14:paraId="1312671B">
            <w:pPr>
              <w:pStyle w:val="65"/>
              <w:autoSpaceDE/>
              <w:autoSpaceDN/>
              <w:spacing w:line="360" w:lineRule="auto"/>
              <w:ind w:firstLine="472"/>
              <w:rPr>
                <w:rFonts w:hint="default" w:ascii="Times New Roman" w:hAnsi="Times New Roman" w:cs="Times New Roman"/>
                <w:color w:val="auto"/>
                <w:spacing w:val="-2"/>
                <w:sz w:val="24"/>
                <w:highlight w:val="none"/>
              </w:rPr>
            </w:pPr>
            <w:r>
              <w:rPr>
                <w:rFonts w:hint="default" w:ascii="Times New Roman" w:hAnsi="Times New Roman" w:cs="Times New Roman"/>
                <w:bCs/>
                <w:color w:val="auto"/>
                <w:sz w:val="24"/>
                <w:highlight w:val="none"/>
              </w:rPr>
              <w:t>H’(0.07, 0°)</w:t>
            </w:r>
            <w:r>
              <w:rPr>
                <w:rFonts w:hint="default" w:ascii="Times New Roman" w:hAnsi="Times New Roman" w:cs="Times New Roman"/>
                <w:color w:val="auto"/>
                <w:spacing w:val="-2"/>
                <w:sz w:val="24"/>
                <w:highlight w:val="none"/>
              </w:rPr>
              <w:t>：定向剂量当量率（μSv∙h</w:t>
            </w:r>
            <w:r>
              <w:rPr>
                <w:rFonts w:hint="default" w:ascii="Times New Roman" w:hAnsi="Times New Roman" w:cs="Times New Roman"/>
                <w:color w:val="auto"/>
                <w:spacing w:val="-2"/>
                <w:sz w:val="24"/>
                <w:highlight w:val="none"/>
                <w:vertAlign w:val="superscript"/>
              </w:rPr>
              <w:t>-1</w:t>
            </w:r>
            <w:r>
              <w:rPr>
                <w:rFonts w:hint="default" w:ascii="Times New Roman" w:hAnsi="Times New Roman" w:cs="Times New Roman"/>
                <w:color w:val="auto"/>
                <w:spacing w:val="-2"/>
                <w:sz w:val="24"/>
                <w:highlight w:val="none"/>
              </w:rPr>
              <w:t>），</w:t>
            </w:r>
            <w:r>
              <w:rPr>
                <w:rFonts w:ascii="Times New Roman" w:hAnsi="Times New Roman" w:eastAsia="宋体" w:cs="Times New Roman"/>
                <w:color w:val="auto"/>
                <w:spacing w:val="-2"/>
                <w:sz w:val="24"/>
                <w:highlight w:val="none"/>
                <w:lang w:val="en-US"/>
              </w:rPr>
              <w:t>（90kV）H’(0.07, 0°)=</w:t>
            </w:r>
            <w:r>
              <w:rPr>
                <w:rFonts w:hint="eastAsia" w:ascii="Times New Roman" w:hAnsi="Times New Roman" w:eastAsia="宋体" w:cs="Times New Roman"/>
                <w:color w:val="auto"/>
                <w:spacing w:val="-2"/>
                <w:sz w:val="24"/>
                <w:highlight w:val="none"/>
                <w:lang w:val="en-US"/>
              </w:rPr>
              <w:t>1.</w:t>
            </w:r>
            <w:r>
              <w:rPr>
                <w:rFonts w:hint="eastAsia" w:ascii="Times New Roman" w:hAnsi="Times New Roman" w:eastAsia="宋体" w:cs="Times New Roman"/>
                <w:color w:val="auto"/>
                <w:spacing w:val="-2"/>
                <w:sz w:val="24"/>
                <w:highlight w:val="none"/>
                <w:lang w:val="en-US" w:eastAsia="zh-CN"/>
              </w:rPr>
              <w:t>18</w:t>
            </w:r>
            <w:r>
              <w:rPr>
                <w:rFonts w:ascii="Times New Roman" w:hAnsi="Times New Roman" w:eastAsia="宋体" w:cs="Times New Roman"/>
                <w:color w:val="auto"/>
                <w:spacing w:val="-2"/>
                <w:sz w:val="24"/>
                <w:highlight w:val="none"/>
                <w:lang w:val="en-US"/>
              </w:rPr>
              <w:t>；</w:t>
            </w:r>
          </w:p>
          <w:p w14:paraId="72A1B96A">
            <w:pPr>
              <w:pStyle w:val="65"/>
              <w:adjustRightInd w:val="0"/>
              <w:snapToGrid w:val="0"/>
              <w:spacing w:line="360" w:lineRule="auto"/>
              <w:ind w:firstLine="472"/>
              <w:jc w:val="left"/>
              <w:rPr>
                <w:rFonts w:hint="default" w:ascii="Times New Roman" w:hAnsi="Times New Roman" w:cs="Times New Roman"/>
                <w:color w:val="auto"/>
                <w:spacing w:val="-2"/>
                <w:sz w:val="24"/>
                <w:highlight w:val="none"/>
              </w:rPr>
            </w:pPr>
            <w:r>
              <w:rPr>
                <w:rFonts w:hint="default" w:ascii="Times New Roman" w:hAnsi="Times New Roman" w:cs="Times New Roman"/>
                <w:color w:val="auto"/>
                <w:spacing w:val="-2"/>
                <w:sz w:val="24"/>
                <w:highlight w:val="none"/>
              </w:rPr>
              <w:t>C</w:t>
            </w:r>
            <w:r>
              <w:rPr>
                <w:rFonts w:hint="default" w:ascii="Times New Roman" w:hAnsi="Times New Roman" w:cs="Times New Roman"/>
                <w:color w:val="auto"/>
                <w:spacing w:val="-2"/>
                <w:sz w:val="24"/>
                <w:highlight w:val="none"/>
                <w:vertAlign w:val="subscript"/>
              </w:rPr>
              <w:t>KH</w:t>
            </w:r>
            <w:r>
              <w:rPr>
                <w:rFonts w:hint="default" w:ascii="Times New Roman" w:hAnsi="Times New Roman" w:cs="Times New Roman"/>
                <w:color w:val="auto"/>
                <w:spacing w:val="-2"/>
                <w:sz w:val="24"/>
                <w:highlight w:val="none"/>
              </w:rPr>
              <w:t>’：空气比释动能到定量剂量当量率的转换系数（Sv/Gy），C</w:t>
            </w:r>
            <w:r>
              <w:rPr>
                <w:rFonts w:hint="default" w:ascii="Times New Roman" w:hAnsi="Times New Roman" w:cs="Times New Roman"/>
                <w:color w:val="auto"/>
                <w:spacing w:val="-2"/>
                <w:sz w:val="24"/>
                <w:highlight w:val="none"/>
                <w:vertAlign w:val="subscript"/>
              </w:rPr>
              <w:t>KH’</w:t>
            </w:r>
            <w:r>
              <w:rPr>
                <w:rFonts w:hint="default" w:ascii="Times New Roman" w:hAnsi="Times New Roman" w:cs="Times New Roman"/>
                <w:color w:val="auto"/>
                <w:spacing w:val="-2"/>
                <w:sz w:val="24"/>
                <w:highlight w:val="none"/>
              </w:rPr>
              <w:t>=</w:t>
            </w:r>
            <w:r>
              <w:rPr>
                <w:rFonts w:hint="eastAsia" w:ascii="Times New Roman" w:hAnsi="Times New Roman" w:cs="Times New Roman"/>
                <w:color w:val="auto"/>
                <w:spacing w:val="-2"/>
                <w:sz w:val="24"/>
                <w:highlight w:val="none"/>
                <w:lang w:val="en-US" w:eastAsia="zh-CN"/>
              </w:rPr>
              <w:t>1.58</w:t>
            </w:r>
            <w:r>
              <w:rPr>
                <w:rFonts w:hint="default" w:ascii="Times New Roman" w:hAnsi="Times New Roman" w:cs="Times New Roman"/>
                <w:color w:val="auto"/>
                <w:spacing w:val="-2"/>
                <w:sz w:val="24"/>
                <w:highlight w:val="none"/>
              </w:rPr>
              <w:t>。</w:t>
            </w:r>
          </w:p>
          <w:p w14:paraId="269E3739">
            <w:pPr>
              <w:pStyle w:val="65"/>
              <w:adjustRightInd w:val="0"/>
              <w:snapToGrid w:val="0"/>
              <w:spacing w:line="360" w:lineRule="auto"/>
              <w:ind w:firstLine="474"/>
              <w:rPr>
                <w:rFonts w:hint="default" w:ascii="Times New Roman" w:hAnsi="Times New Roman" w:cs="Times New Roman"/>
                <w:color w:val="auto"/>
                <w:highlight w:val="none"/>
              </w:rPr>
            </w:pPr>
            <w:r>
              <w:rPr>
                <w:rFonts w:hint="default" w:ascii="Times New Roman" w:hAnsi="Times New Roman" w:cs="Times New Roman"/>
                <w:b/>
                <w:bCs/>
                <w:color w:val="auto"/>
                <w:spacing w:val="-2"/>
                <w:sz w:val="24"/>
                <w:highlight w:val="none"/>
              </w:rPr>
              <w:t>理论计算：</w:t>
            </w:r>
            <w:r>
              <w:rPr>
                <w:rFonts w:hint="default" w:ascii="Times New Roman" w:hAnsi="Times New Roman" w:cs="Times New Roman"/>
                <w:color w:val="auto"/>
                <w:spacing w:val="-2"/>
                <w:sz w:val="24"/>
                <w:highlight w:val="none"/>
              </w:rPr>
              <w:t>医生在介入操作时，会穿戴铅防护用品，医院已、拟配备的防护用品及参数如下：</w:t>
            </w:r>
            <w:r>
              <w:rPr>
                <w:rFonts w:hint="default" w:ascii="Times New Roman" w:hAnsi="Times New Roman" w:cs="Times New Roman"/>
                <w:color w:val="auto"/>
                <w:sz w:val="24"/>
                <w:highlight w:val="none"/>
              </w:rPr>
              <w:t>医生介入手术操作时，</w:t>
            </w:r>
            <w:r>
              <w:rPr>
                <w:rFonts w:hint="default" w:ascii="Times New Roman" w:hAnsi="Times New Roman" w:cs="Times New Roman"/>
                <w:bCs/>
                <w:color w:val="auto"/>
                <w:sz w:val="24"/>
                <w:highlight w:val="none"/>
              </w:rPr>
              <w:t>会穿</w:t>
            </w:r>
            <w:r>
              <w:rPr>
                <w:rFonts w:hint="default" w:ascii="Times New Roman" w:hAnsi="Times New Roman" w:cs="Times New Roman"/>
                <w:color w:val="auto"/>
                <w:kern w:val="0"/>
                <w:sz w:val="24"/>
                <w:highlight w:val="none"/>
                <w:lang w:bidi="ar"/>
              </w:rPr>
              <w:t>铅橡胶防护衣</w:t>
            </w:r>
            <w:r>
              <w:rPr>
                <w:rFonts w:hint="default" w:ascii="Times New Roman" w:hAnsi="Times New Roman" w:cs="Times New Roman"/>
                <w:bCs/>
                <w:color w:val="auto"/>
                <w:sz w:val="24"/>
                <w:highlight w:val="none"/>
              </w:rPr>
              <w:t>、戴介入防护手套、铅防护眼镜、铅橡胶颈套等防护用品，</w:t>
            </w:r>
            <w:r>
              <w:rPr>
                <w:rFonts w:hint="default" w:ascii="Times New Roman" w:hAnsi="Times New Roman" w:cs="Times New Roman"/>
                <w:color w:val="auto"/>
                <w:sz w:val="24"/>
                <w:highlight w:val="none"/>
              </w:rPr>
              <w:t>通常站立于介入治疗病床侧面，面对病患，受到散射和漏射线束照射，由于手术过程中医生随时在活动，其腕部不会一直处于受照射位置不动，因此保守考虑，分以下两种情况预测：①</w:t>
            </w:r>
            <w:r>
              <w:rPr>
                <w:rFonts w:hint="default" w:ascii="Times New Roman" w:hAnsi="Times New Roman" w:cs="Times New Roman"/>
                <w:color w:val="auto"/>
                <w:spacing w:val="-2"/>
                <w:sz w:val="24"/>
                <w:highlight w:val="none"/>
              </w:rPr>
              <w:t>预计在透视时有1/5时间医生在受照位置进行插入导管等操作，此时医生腕部受铅</w:t>
            </w:r>
            <w:r>
              <w:rPr>
                <w:rFonts w:hint="default" w:ascii="Times New Roman" w:hAnsi="Times New Roman" w:cs="Times New Roman"/>
                <w:color w:val="auto"/>
                <w:sz w:val="24"/>
                <w:highlight w:val="none"/>
              </w:rPr>
              <w:t>防护手套（0.025mmPb）保护；②</w:t>
            </w:r>
            <w:r>
              <w:rPr>
                <w:rFonts w:hint="default" w:ascii="Times New Roman" w:hAnsi="Times New Roman" w:cs="Times New Roman"/>
                <w:color w:val="auto"/>
                <w:spacing w:val="-2"/>
                <w:sz w:val="24"/>
                <w:highlight w:val="none"/>
              </w:rPr>
              <w:t>预计在剩余透视时的4/5时间内医生在手术床侧的其他位置，此时腕部未处于受照位置，腕部同时受到铅</w:t>
            </w:r>
            <w:r>
              <w:rPr>
                <w:rFonts w:hint="default" w:ascii="Times New Roman" w:hAnsi="Times New Roman" w:cs="Times New Roman"/>
                <w:color w:val="auto"/>
                <w:sz w:val="24"/>
                <w:highlight w:val="none"/>
              </w:rPr>
              <w:t>防护手套（</w:t>
            </w:r>
            <w:r>
              <w:rPr>
                <w:rFonts w:hint="eastAsia" w:ascii="Times New Roman" w:hAnsi="Times New Roman" w:cs="Times New Roman"/>
                <w:color w:val="auto"/>
                <w:sz w:val="24"/>
                <w:highlight w:val="none"/>
                <w:lang w:val="en-US" w:eastAsia="zh-CN"/>
              </w:rPr>
              <w:t>0.1</w:t>
            </w:r>
            <w:r>
              <w:rPr>
                <w:rFonts w:hint="default" w:ascii="Times New Roman" w:hAnsi="Times New Roman" w:cs="Times New Roman"/>
                <w:color w:val="auto"/>
                <w:sz w:val="24"/>
                <w:highlight w:val="none"/>
              </w:rPr>
              <w:t>mmPb）和铅悬挂防护屏（0.5mmPb）的保护。</w:t>
            </w:r>
          </w:p>
          <w:p w14:paraId="35A4858C">
            <w:pPr>
              <w:pStyle w:val="65"/>
              <w:adjustRightInd w:val="0"/>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根据《电离辐射所致皮肤剂量估算方法》（GBZ/T244-2017）附录B中B.1.2内容：在进行皮肤当量剂量评价时，对不均匀照射的皮肤，应用1cm</w:t>
            </w:r>
            <w:r>
              <w:rPr>
                <w:rFonts w:hint="default" w:ascii="Times New Roman" w:hAnsi="Times New Roman" w:cs="Times New Roman"/>
                <w:color w:val="auto"/>
                <w:sz w:val="24"/>
                <w:highlight w:val="none"/>
                <w:vertAlign w:val="superscript"/>
              </w:rPr>
              <w:t>2</w:t>
            </w:r>
            <w:r>
              <w:rPr>
                <w:rFonts w:hint="default" w:ascii="Times New Roman" w:hAnsi="Times New Roman" w:cs="Times New Roman"/>
                <w:color w:val="auto"/>
                <w:sz w:val="24"/>
                <w:highlight w:val="none"/>
              </w:rPr>
              <w:t>面积上的平均皮肤吸收剂量来代表该处的皮肤吸收剂量。</w:t>
            </w:r>
          </w:p>
          <w:p w14:paraId="72A16161">
            <w:pPr>
              <w:pStyle w:val="65"/>
              <w:adjustRightInd w:val="0"/>
              <w:snapToGrid w:val="0"/>
              <w:spacing w:line="360" w:lineRule="auto"/>
              <w:ind w:firstLine="472"/>
              <w:jc w:val="left"/>
              <w:rPr>
                <w:rFonts w:hint="default" w:ascii="Times New Roman" w:hAnsi="Times New Roman" w:cs="Times New Roman"/>
                <w:b/>
                <w:bCs/>
                <w:color w:val="auto"/>
                <w:spacing w:val="-2"/>
                <w:sz w:val="24"/>
                <w:highlight w:val="none"/>
              </w:rPr>
            </w:pPr>
            <w:r>
              <w:rPr>
                <w:rFonts w:hint="default" w:ascii="Times New Roman" w:hAnsi="Times New Roman" w:cs="Times New Roman"/>
                <w:color w:val="auto"/>
                <w:spacing w:val="-2"/>
                <w:sz w:val="24"/>
                <w:highlight w:val="none"/>
              </w:rPr>
              <w:t>本项目射线装置可近似地视为垂直入射，而且是AP入射方式。因此算得第一术者位使用DSA时腕部</w:t>
            </w:r>
            <w:r>
              <w:rPr>
                <w:rFonts w:hint="default" w:ascii="Times New Roman" w:hAnsi="Times New Roman" w:cs="Times New Roman"/>
                <w:bCs/>
                <w:color w:val="auto"/>
                <w:sz w:val="24"/>
                <w:highlight w:val="none"/>
              </w:rPr>
              <w:t>皮肤当量剂量</w:t>
            </w:r>
            <w:r>
              <w:rPr>
                <w:rFonts w:hint="default" w:ascii="Times New Roman" w:hAnsi="Times New Roman" w:cs="Times New Roman"/>
                <w:color w:val="auto"/>
                <w:spacing w:val="-2"/>
                <w:sz w:val="24"/>
                <w:highlight w:val="none"/>
              </w:rPr>
              <w:t>最大</w:t>
            </w:r>
            <w:r>
              <w:rPr>
                <w:rFonts w:hint="default" w:ascii="Times New Roman" w:hAnsi="Times New Roman" w:cs="Times New Roman"/>
                <w:b/>
                <w:bCs/>
                <w:color w:val="auto"/>
                <w:spacing w:val="-2"/>
                <w:sz w:val="24"/>
                <w:highlight w:val="none"/>
              </w:rPr>
              <w:t>为</w:t>
            </w:r>
            <w:r>
              <w:rPr>
                <w:rFonts w:hint="eastAsia" w:ascii="Times New Roman" w:hAnsi="Times New Roman" w:cs="Times New Roman"/>
                <w:b/>
                <w:bCs/>
                <w:color w:val="auto"/>
                <w:spacing w:val="-2"/>
                <w:sz w:val="24"/>
                <w:highlight w:val="none"/>
                <w:lang w:val="en-US" w:eastAsia="zh-CN"/>
              </w:rPr>
              <w:t>44.532</w:t>
            </w:r>
            <w:r>
              <w:rPr>
                <w:rFonts w:hint="default" w:ascii="Times New Roman" w:hAnsi="Times New Roman" w:cs="Times New Roman"/>
                <w:b/>
                <w:bCs/>
                <w:color w:val="auto"/>
                <w:spacing w:val="-2"/>
                <w:sz w:val="24"/>
                <w:highlight w:val="none"/>
              </w:rPr>
              <w:t>mSv/a，</w:t>
            </w:r>
            <w:r>
              <w:rPr>
                <w:rFonts w:hint="default" w:ascii="Times New Roman" w:hAnsi="Times New Roman" w:cs="Times New Roman"/>
                <w:color w:val="auto"/>
                <w:spacing w:val="-2"/>
                <w:sz w:val="24"/>
                <w:highlight w:val="none"/>
              </w:rPr>
              <w:t>满足《电离辐射防护与辐射源安全基本标准》（GB18871-2002）第4.3.2.1条的规定，对任何工作人员，四肢（手和足）或皮肤的年当量剂量不超过500mSv，</w:t>
            </w:r>
            <w:r>
              <w:rPr>
                <w:rFonts w:hint="default" w:ascii="Times New Roman" w:hAnsi="Times New Roman" w:cs="Times New Roman"/>
                <w:b/>
                <w:bCs/>
                <w:color w:val="auto"/>
                <w:spacing w:val="-2"/>
                <w:sz w:val="24"/>
                <w:highlight w:val="none"/>
              </w:rPr>
              <w:t>也满足本项目对于辐射工作人员四肢（手和足）或皮肤当量剂量通常管理限值，即不超过125mSv/a的要求。</w:t>
            </w:r>
          </w:p>
          <w:p w14:paraId="4E7B797F">
            <w:pPr>
              <w:pStyle w:val="65"/>
              <w:adjustRightInd w:val="0"/>
              <w:snapToGrid w:val="0"/>
              <w:spacing w:line="360" w:lineRule="auto"/>
              <w:ind w:firstLine="474"/>
              <w:jc w:val="left"/>
              <w:rPr>
                <w:rFonts w:hint="default" w:ascii="Times New Roman" w:hAnsi="Times New Roman" w:cs="Times New Roman"/>
                <w:b/>
                <w:bCs/>
                <w:color w:val="auto"/>
                <w:spacing w:val="-2"/>
                <w:sz w:val="24"/>
                <w:highlight w:val="none"/>
              </w:rPr>
            </w:pPr>
            <w:r>
              <w:rPr>
                <w:rFonts w:hint="default" w:ascii="Times New Roman" w:hAnsi="Times New Roman" w:cs="Times New Roman"/>
                <w:b/>
                <w:bCs/>
                <w:color w:val="auto"/>
                <w:spacing w:val="-2"/>
                <w:sz w:val="24"/>
                <w:highlight w:val="none"/>
              </w:rPr>
              <w:t>保护目标年有效剂量</w:t>
            </w:r>
          </w:p>
          <w:p w14:paraId="047DFF35">
            <w:pPr>
              <w:pStyle w:val="32"/>
              <w:snapToGrid w:val="0"/>
              <w:spacing w:line="360" w:lineRule="auto"/>
              <w:ind w:firstLine="480" w:firstLineChars="200"/>
              <w:jc w:val="both"/>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人员所受年有效剂量估算</w:t>
            </w:r>
          </w:p>
          <w:p w14:paraId="4F9ABE4A">
            <w:pPr>
              <w:pStyle w:val="32"/>
              <w:snapToGrid w:val="0"/>
              <w:spacing w:line="360" w:lineRule="auto"/>
              <w:ind w:firstLine="48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预测计算汇总及评价</w:t>
            </w:r>
          </w:p>
          <w:p w14:paraId="48CD7675">
            <w:pPr>
              <w:pStyle w:val="32"/>
              <w:snapToGrid w:val="0"/>
              <w:spacing w:line="360" w:lineRule="auto"/>
              <w:ind w:firstLine="48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position w:val="-10"/>
                <w:highlight w:val="none"/>
              </w:rPr>
              <w:object>
                <v:shape id="_x0000_i1026" o:spt="75" type="#_x0000_t75" style="height:18.55pt;width:135.4pt;" o:ole="t" filled="f" o:preferrelative="t" stroked="f" coordsize="21600,21600">
                  <v:path/>
                  <v:fill on="f" focussize="0,0"/>
                  <v:stroke on="f" joinstyle="miter"/>
                  <v:imagedata r:id="rId50" o:title=""/>
                  <o:lock v:ext="edit" aspectratio="t"/>
                  <w10:wrap type="none"/>
                  <w10:anchorlock/>
                </v:shape>
                <o:OLEObject Type="Embed" ProgID="Equation.3" ShapeID="_x0000_i1026" DrawAspect="Content" ObjectID="_1468075730" r:id="rId49">
                  <o:LockedField>false</o:LockedField>
                </o:OLEObject>
              </w:object>
            </w:r>
            <w:r>
              <w:rPr>
                <w:rFonts w:hint="default" w:ascii="Times New Roman" w:hAnsi="Times New Roman" w:cs="Times New Roman"/>
                <w:color w:val="auto"/>
                <w:highlight w:val="none"/>
              </w:rPr>
              <w:t xml:space="preserve">           公式11-15</w:t>
            </w:r>
          </w:p>
          <w:p w14:paraId="16F9E0C1">
            <w:pPr>
              <w:pStyle w:val="32"/>
              <w:snapToGrid w:val="0"/>
              <w:spacing w:line="360" w:lineRule="auto"/>
              <w:ind w:firstLine="48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式中：</w:t>
            </w:r>
          </w:p>
          <w:p w14:paraId="506A1C82">
            <w:pPr>
              <w:pStyle w:val="32"/>
              <w:snapToGrid w:val="0"/>
              <w:spacing w:line="360" w:lineRule="auto"/>
              <w:ind w:firstLine="48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E—年有效剂量，mSv/a；</w:t>
            </w:r>
          </w:p>
          <w:p w14:paraId="687C4AF5">
            <w:pPr>
              <w:pStyle w:val="32"/>
              <w:snapToGrid w:val="0"/>
              <w:spacing w:line="360" w:lineRule="auto"/>
              <w:ind w:firstLine="48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H—辐射剂量率估算值，μSv/h；</w:t>
            </w:r>
          </w:p>
          <w:p w14:paraId="13770E00">
            <w:pPr>
              <w:pStyle w:val="32"/>
              <w:snapToGrid w:val="0"/>
              <w:spacing w:line="360" w:lineRule="auto"/>
              <w:ind w:firstLine="48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U—使用因子；</w:t>
            </w:r>
          </w:p>
          <w:p w14:paraId="3CF2DAC5">
            <w:pPr>
              <w:pStyle w:val="32"/>
              <w:snapToGrid w:val="0"/>
              <w:spacing w:line="360" w:lineRule="auto"/>
              <w:ind w:firstLine="48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T—工作负荷，h/a；</w:t>
            </w:r>
          </w:p>
          <w:p w14:paraId="74445D59">
            <w:pPr>
              <w:pStyle w:val="32"/>
              <w:snapToGrid w:val="0"/>
              <w:spacing w:line="360" w:lineRule="auto"/>
              <w:ind w:firstLine="48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t—居留因子；</w:t>
            </w:r>
          </w:p>
          <w:p w14:paraId="7178A1CE">
            <w:pPr>
              <w:pStyle w:val="32"/>
              <w:snapToGrid w:val="0"/>
              <w:spacing w:line="360" w:lineRule="auto"/>
              <w:ind w:firstLine="48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W</w:t>
            </w:r>
            <w:r>
              <w:rPr>
                <w:rFonts w:hint="default" w:ascii="Times New Roman" w:hAnsi="Times New Roman" w:cs="Times New Roman"/>
                <w:color w:val="auto"/>
                <w:highlight w:val="none"/>
                <w:vertAlign w:val="subscript"/>
              </w:rPr>
              <w:t>T</w:t>
            </w:r>
            <w:r>
              <w:rPr>
                <w:rFonts w:hint="default" w:ascii="Times New Roman" w:hAnsi="Times New Roman" w:cs="Times New Roman"/>
                <w:color w:val="auto"/>
                <w:highlight w:val="none"/>
              </w:rPr>
              <w:t>—组织权重因子，全身取1。</w:t>
            </w:r>
          </w:p>
          <w:p w14:paraId="3A4E117F">
            <w:pPr>
              <w:pStyle w:val="65"/>
              <w:adjustRightInd w:val="0"/>
              <w:snapToGrid w:val="0"/>
              <w:spacing w:line="360" w:lineRule="auto"/>
              <w:ind w:firstLine="472"/>
              <w:jc w:val="left"/>
              <w:rPr>
                <w:rFonts w:hint="default" w:ascii="Times New Roman" w:hAnsi="Times New Roman" w:cs="Times New Roman"/>
                <w:color w:val="auto"/>
                <w:spacing w:val="-2"/>
                <w:sz w:val="24"/>
                <w:highlight w:val="none"/>
              </w:rPr>
            </w:pPr>
            <w:r>
              <w:rPr>
                <w:rFonts w:hint="default" w:ascii="Times New Roman" w:hAnsi="Times New Roman" w:cs="Times New Roman"/>
                <w:color w:val="auto"/>
                <w:spacing w:val="-2"/>
                <w:sz w:val="24"/>
                <w:highlight w:val="none"/>
              </w:rPr>
              <w:t>根据公式9可得辐射工作人员及公众年有效剂量预测结果见下表。</w:t>
            </w:r>
          </w:p>
          <w:p w14:paraId="1D7C913B">
            <w:pPr>
              <w:pStyle w:val="32"/>
              <w:numPr>
                <w:ilvl w:val="0"/>
                <w:numId w:val="22"/>
              </w:numPr>
              <w:snapToGrid w:val="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 </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本项目DSA机房辐射工作人员及公众年有效附加剂量一览表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7"/>
              <w:gridCol w:w="1177"/>
              <w:gridCol w:w="612"/>
              <w:gridCol w:w="1165"/>
              <w:gridCol w:w="923"/>
              <w:gridCol w:w="854"/>
              <w:gridCol w:w="1038"/>
              <w:gridCol w:w="1258"/>
              <w:gridCol w:w="827"/>
            </w:tblGrid>
            <w:tr w14:paraId="4B2B8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9"/>
                  <w:tcBorders>
                    <w:bottom w:val="single" w:color="auto" w:sz="4" w:space="0"/>
                  </w:tcBorders>
                  <w:shd w:val="clear" w:color="auto" w:fill="9BBB59" w:themeFill="accent3"/>
                  <w:vAlign w:val="center"/>
                </w:tcPr>
                <w:p w14:paraId="2D69F58A">
                  <w:pPr>
                    <w:pStyle w:val="32"/>
                    <w:snapToGrid w:val="0"/>
                    <w:jc w:val="center"/>
                    <w:rPr>
                      <w:rFonts w:hint="eastAsia" w:ascii="Times New Roman" w:hAnsi="Times New Roman" w:eastAsia="宋体" w:cs="Times New Roman"/>
                      <w:bCs/>
                      <w:color w:val="auto"/>
                      <w:sz w:val="18"/>
                      <w:szCs w:val="18"/>
                      <w:highlight w:val="none"/>
                      <w:lang w:val="en-US" w:eastAsia="zh-CN"/>
                    </w:rPr>
                  </w:pPr>
                  <w:r>
                    <w:rPr>
                      <w:rFonts w:hint="default" w:ascii="Times New Roman" w:hAnsi="Times New Roman" w:cs="Times New Roman"/>
                      <w:bCs/>
                      <w:color w:val="auto"/>
                      <w:sz w:val="18"/>
                      <w:szCs w:val="18"/>
                      <w:highlight w:val="none"/>
                    </w:rPr>
                    <w:t>DSA机房</w:t>
                  </w:r>
                </w:p>
              </w:tc>
            </w:tr>
            <w:tr w14:paraId="3ACAE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tcBorders>
                    <w:top w:val="single" w:color="auto" w:sz="4" w:space="0"/>
                    <w:bottom w:val="single" w:color="auto" w:sz="4" w:space="0"/>
                    <w:right w:val="single" w:color="auto" w:sz="4" w:space="0"/>
                  </w:tcBorders>
                  <w:vAlign w:val="center"/>
                </w:tcPr>
                <w:p w14:paraId="2969C18F">
                  <w:pPr>
                    <w:pStyle w:val="32"/>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序号</w:t>
                  </w:r>
                </w:p>
              </w:tc>
              <w:tc>
                <w:tcPr>
                  <w:tcW w:w="709" w:type="pct"/>
                  <w:tcBorders>
                    <w:top w:val="single" w:color="auto" w:sz="4" w:space="0"/>
                    <w:left w:val="single" w:color="auto" w:sz="4" w:space="0"/>
                    <w:bottom w:val="single" w:color="auto" w:sz="4" w:space="0"/>
                    <w:right w:val="single" w:color="auto" w:sz="4" w:space="0"/>
                  </w:tcBorders>
                  <w:vAlign w:val="center"/>
                </w:tcPr>
                <w:p w14:paraId="324D0A52">
                  <w:pPr>
                    <w:pStyle w:val="32"/>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位置</w:t>
                  </w:r>
                </w:p>
              </w:tc>
              <w:tc>
                <w:tcPr>
                  <w:tcW w:w="369" w:type="pct"/>
                  <w:tcBorders>
                    <w:top w:val="single" w:color="auto" w:sz="4" w:space="0"/>
                    <w:left w:val="single" w:color="auto" w:sz="4" w:space="0"/>
                    <w:bottom w:val="single" w:color="auto" w:sz="4" w:space="0"/>
                    <w:right w:val="single" w:color="auto" w:sz="4" w:space="0"/>
                  </w:tcBorders>
                  <w:vAlign w:val="center"/>
                </w:tcPr>
                <w:p w14:paraId="3EBB353F">
                  <w:pPr>
                    <w:pStyle w:val="32"/>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工况</w:t>
                  </w:r>
                </w:p>
              </w:tc>
              <w:tc>
                <w:tcPr>
                  <w:tcW w:w="702" w:type="pct"/>
                  <w:tcBorders>
                    <w:top w:val="single" w:color="auto" w:sz="4" w:space="0"/>
                    <w:left w:val="single" w:color="auto" w:sz="4" w:space="0"/>
                    <w:bottom w:val="single" w:color="auto" w:sz="4" w:space="0"/>
                    <w:right w:val="single" w:color="auto" w:sz="4" w:space="0"/>
                  </w:tcBorders>
                  <w:vAlign w:val="center"/>
                </w:tcPr>
                <w:p w14:paraId="6555559F">
                  <w:pPr>
                    <w:pStyle w:val="32"/>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周围剂量当量率(μSv/h)</w:t>
                  </w:r>
                </w:p>
              </w:tc>
              <w:tc>
                <w:tcPr>
                  <w:tcW w:w="556" w:type="pct"/>
                  <w:tcBorders>
                    <w:top w:val="single" w:color="auto" w:sz="4" w:space="0"/>
                    <w:left w:val="single" w:color="auto" w:sz="4" w:space="0"/>
                    <w:bottom w:val="single" w:color="auto" w:sz="4" w:space="0"/>
                    <w:right w:val="single" w:color="auto" w:sz="4" w:space="0"/>
                  </w:tcBorders>
                  <w:vAlign w:val="center"/>
                </w:tcPr>
                <w:p w14:paraId="05C56922">
                  <w:pPr>
                    <w:pStyle w:val="32"/>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居留因子</w:t>
                  </w:r>
                </w:p>
              </w:tc>
              <w:tc>
                <w:tcPr>
                  <w:tcW w:w="515" w:type="pct"/>
                  <w:tcBorders>
                    <w:top w:val="single" w:color="auto" w:sz="4" w:space="0"/>
                    <w:left w:val="single" w:color="auto" w:sz="4" w:space="0"/>
                    <w:bottom w:val="single" w:color="auto" w:sz="4" w:space="0"/>
                    <w:right w:val="single" w:color="auto" w:sz="4" w:space="0"/>
                  </w:tcBorders>
                  <w:vAlign w:val="center"/>
                </w:tcPr>
                <w:p w14:paraId="737F726A">
                  <w:pPr>
                    <w:pStyle w:val="32"/>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年照射时间</w:t>
                  </w:r>
                </w:p>
              </w:tc>
              <w:tc>
                <w:tcPr>
                  <w:tcW w:w="625" w:type="pct"/>
                  <w:tcBorders>
                    <w:top w:val="single" w:color="auto" w:sz="4" w:space="0"/>
                    <w:left w:val="single" w:color="auto" w:sz="4" w:space="0"/>
                    <w:bottom w:val="single" w:color="auto" w:sz="4" w:space="0"/>
                    <w:right w:val="single" w:color="auto" w:sz="4" w:space="0"/>
                  </w:tcBorders>
                  <w:vAlign w:val="center"/>
                </w:tcPr>
                <w:p w14:paraId="7BF2A546">
                  <w:pPr>
                    <w:pStyle w:val="32"/>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保护目标</w:t>
                  </w:r>
                </w:p>
              </w:tc>
              <w:tc>
                <w:tcPr>
                  <w:tcW w:w="758" w:type="pct"/>
                  <w:tcBorders>
                    <w:top w:val="single" w:color="auto" w:sz="4" w:space="0"/>
                    <w:left w:val="single" w:color="auto" w:sz="4" w:space="0"/>
                    <w:bottom w:val="single" w:color="auto" w:sz="4" w:space="0"/>
                  </w:tcBorders>
                  <w:vAlign w:val="center"/>
                </w:tcPr>
                <w:p w14:paraId="63D8C5B6">
                  <w:pPr>
                    <w:pStyle w:val="32"/>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年有效剂量(mSv/a)</w:t>
                  </w:r>
                </w:p>
              </w:tc>
              <w:tc>
                <w:tcPr>
                  <w:tcW w:w="498" w:type="pct"/>
                  <w:tcBorders>
                    <w:top w:val="single" w:color="auto" w:sz="4" w:space="0"/>
                    <w:left w:val="single" w:color="auto" w:sz="4" w:space="0"/>
                    <w:bottom w:val="single" w:color="auto" w:sz="4" w:space="0"/>
                  </w:tcBorders>
                  <w:vAlign w:val="center"/>
                </w:tcPr>
                <w:p w14:paraId="0EF240F5">
                  <w:pPr>
                    <w:pStyle w:val="32"/>
                    <w:snapToGrid w:val="0"/>
                    <w:jc w:val="center"/>
                    <w:rPr>
                      <w:rFonts w:hint="eastAsia" w:ascii="Times New Roman" w:hAnsi="Times New Roman" w:eastAsia="宋体" w:cs="Times New Roman"/>
                      <w:bCs/>
                      <w:color w:val="auto"/>
                      <w:sz w:val="18"/>
                      <w:szCs w:val="18"/>
                      <w:highlight w:val="none"/>
                      <w:lang w:val="en-US" w:eastAsia="zh-CN"/>
                    </w:rPr>
                  </w:pPr>
                  <w:r>
                    <w:rPr>
                      <w:rFonts w:hint="eastAsia" w:ascii="Times New Roman" w:hAnsi="Times New Roman" w:cs="Times New Roman"/>
                      <w:bCs/>
                      <w:color w:val="auto"/>
                      <w:sz w:val="18"/>
                      <w:szCs w:val="18"/>
                      <w:highlight w:val="none"/>
                      <w:lang w:val="en-US" w:eastAsia="zh-CN"/>
                    </w:rPr>
                    <w:t>管理目标值</w:t>
                  </w:r>
                </w:p>
              </w:tc>
            </w:tr>
            <w:tr w14:paraId="2A895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Merge w:val="restart"/>
                  <w:tcBorders>
                    <w:top w:val="single" w:color="auto" w:sz="4" w:space="0"/>
                    <w:bottom w:val="single" w:color="auto" w:sz="4" w:space="0"/>
                    <w:right w:val="single" w:color="auto" w:sz="4" w:space="0"/>
                  </w:tcBorders>
                  <w:vAlign w:val="center"/>
                </w:tcPr>
                <w:p w14:paraId="06B937BF">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70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7312B39">
                  <w:pPr>
                    <w:widowControl/>
                    <w:adjustRightInd w:val="0"/>
                    <w:snapToGrid w:val="0"/>
                    <w:jc w:val="center"/>
                    <w:textAlignment w:val="center"/>
                    <w:rPr>
                      <w:rFonts w:hint="default" w:ascii="Times New Roman" w:hAnsi="Times New Roman" w:cs="Times New Roman"/>
                      <w:bCs/>
                      <w:color w:val="auto"/>
                      <w:sz w:val="18"/>
                      <w:szCs w:val="18"/>
                      <w:highlight w:val="none"/>
                    </w:rPr>
                  </w:pPr>
                  <w:r>
                    <w:rPr>
                      <w:rStyle w:val="67"/>
                      <w:rFonts w:hint="eastAsia" w:ascii="Times New Roman" w:hAnsi="Times New Roman" w:cs="Times New Roman"/>
                      <w:bCs/>
                      <w:color w:val="auto"/>
                      <w:sz w:val="18"/>
                      <w:szCs w:val="18"/>
                      <w:highlight w:val="none"/>
                      <w:lang w:val="en-US" w:eastAsia="zh-CN" w:bidi="ar"/>
                    </w:rPr>
                    <w:t>患者卫生间30cm处</w:t>
                  </w:r>
                </w:p>
              </w:tc>
              <w:tc>
                <w:tcPr>
                  <w:tcW w:w="369" w:type="pct"/>
                  <w:tcBorders>
                    <w:top w:val="single" w:color="auto" w:sz="4" w:space="0"/>
                    <w:left w:val="single" w:color="auto" w:sz="4" w:space="0"/>
                    <w:bottom w:val="single" w:color="auto" w:sz="4" w:space="0"/>
                    <w:right w:val="single" w:color="auto" w:sz="4" w:space="0"/>
                  </w:tcBorders>
                  <w:vAlign w:val="center"/>
                </w:tcPr>
                <w:p w14:paraId="0A772818">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透视</w:t>
                  </w:r>
                </w:p>
              </w:tc>
              <w:tc>
                <w:tcPr>
                  <w:tcW w:w="1165" w:type="dxa"/>
                  <w:tcBorders>
                    <w:top w:val="single" w:color="auto" w:sz="4" w:space="0"/>
                    <w:left w:val="single" w:color="auto" w:sz="4" w:space="0"/>
                    <w:bottom w:val="single" w:color="auto" w:sz="4" w:space="0"/>
                    <w:right w:val="single" w:color="auto" w:sz="4" w:space="0"/>
                  </w:tcBorders>
                  <w:vAlign w:val="center"/>
                </w:tcPr>
                <w:p w14:paraId="2428C8B0">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3.59E-05</w:t>
                  </w:r>
                </w:p>
              </w:tc>
              <w:tc>
                <w:tcPr>
                  <w:tcW w:w="556" w:type="pct"/>
                  <w:vMerge w:val="restart"/>
                  <w:tcBorders>
                    <w:top w:val="single" w:color="auto" w:sz="4" w:space="0"/>
                    <w:left w:val="single" w:color="auto" w:sz="4" w:space="0"/>
                    <w:bottom w:val="single" w:color="auto" w:sz="4" w:space="0"/>
                    <w:right w:val="single" w:color="auto" w:sz="4" w:space="0"/>
                  </w:tcBorders>
                  <w:vAlign w:val="center"/>
                </w:tcPr>
                <w:p w14:paraId="444BAA79">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eastAsia" w:ascii="Times New Roman" w:hAnsi="Times New Roman" w:cs="Times New Roman"/>
                      <w:i w:val="0"/>
                      <w:iCs w:val="0"/>
                      <w:color w:val="auto"/>
                      <w:kern w:val="0"/>
                      <w:sz w:val="18"/>
                      <w:szCs w:val="18"/>
                      <w:highlight w:val="none"/>
                      <w:u w:val="none"/>
                      <w:lang w:val="en-US" w:eastAsia="zh-CN" w:bidi="ar"/>
                    </w:rPr>
                    <w:t>1</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r>
                    <w:rPr>
                      <w:rFonts w:hint="default" w:ascii="Times New Roman" w:hAnsi="Times New Roman" w:cs="Times New Roman"/>
                      <w:i w:val="0"/>
                      <w:iCs w:val="0"/>
                      <w:color w:val="auto"/>
                      <w:kern w:val="0"/>
                      <w:sz w:val="18"/>
                      <w:szCs w:val="18"/>
                      <w:highlight w:val="none"/>
                      <w:u w:val="none"/>
                      <w:lang w:val="en-US" w:eastAsia="zh-CN" w:bidi="ar"/>
                    </w:rPr>
                    <w:t>4</w:t>
                  </w:r>
                </w:p>
              </w:tc>
              <w:tc>
                <w:tcPr>
                  <w:tcW w:w="515" w:type="pct"/>
                  <w:vMerge w:val="restart"/>
                  <w:tcBorders>
                    <w:top w:val="single" w:color="auto" w:sz="4" w:space="0"/>
                    <w:left w:val="single" w:color="auto" w:sz="4" w:space="0"/>
                    <w:right w:val="single" w:color="auto" w:sz="4" w:space="0"/>
                  </w:tcBorders>
                  <w:vAlign w:val="center"/>
                </w:tcPr>
                <w:p w14:paraId="0DBE6131">
                  <w:pPr>
                    <w:pStyle w:val="32"/>
                    <w:snapToGrid w:val="0"/>
                    <w:jc w:val="center"/>
                    <w:rPr>
                      <w:rFonts w:hint="default" w:ascii="Times New Roman" w:hAnsi="Times New Roman" w:cs="Times New Roman"/>
                      <w:bCs/>
                      <w:color w:val="auto"/>
                      <w:sz w:val="18"/>
                      <w:szCs w:val="18"/>
                      <w:highlight w:val="none"/>
                    </w:rPr>
                  </w:pPr>
                </w:p>
              </w:tc>
              <w:tc>
                <w:tcPr>
                  <w:tcW w:w="625" w:type="pct"/>
                  <w:vMerge w:val="restart"/>
                  <w:tcBorders>
                    <w:top w:val="single" w:color="auto" w:sz="4" w:space="0"/>
                    <w:left w:val="single" w:color="auto" w:sz="4" w:space="0"/>
                    <w:bottom w:val="single" w:color="auto" w:sz="4" w:space="0"/>
                    <w:right w:val="single" w:color="auto" w:sz="4" w:space="0"/>
                  </w:tcBorders>
                  <w:vAlign w:val="center"/>
                </w:tcPr>
                <w:p w14:paraId="38CD8196">
                  <w:pPr>
                    <w:widowControl/>
                    <w:adjustRightInd w:val="0"/>
                    <w:snapToGrid w:val="0"/>
                    <w:jc w:val="center"/>
                    <w:textAlignment w:val="center"/>
                    <w:rPr>
                      <w:rFonts w:hint="eastAsia" w:ascii="Times New Roman" w:hAnsi="Times New Roman" w:eastAsia="宋体" w:cs="Times New Roman"/>
                      <w:bCs/>
                      <w:color w:val="auto"/>
                      <w:sz w:val="18"/>
                      <w:szCs w:val="18"/>
                      <w:highlight w:val="none"/>
                      <w:lang w:val="en-US" w:eastAsia="zh-CN"/>
                    </w:rPr>
                  </w:pPr>
                  <w:r>
                    <w:rPr>
                      <w:rFonts w:hint="eastAsia" w:ascii="Times New Roman" w:hAnsi="Times New Roman" w:cs="Times New Roman"/>
                      <w:bCs/>
                      <w:color w:val="auto"/>
                      <w:sz w:val="18"/>
                      <w:szCs w:val="18"/>
                      <w:highlight w:val="none"/>
                      <w:lang w:val="en-US" w:eastAsia="zh-CN"/>
                    </w:rPr>
                    <w:t>公众</w:t>
                  </w:r>
                </w:p>
              </w:tc>
              <w:tc>
                <w:tcPr>
                  <w:tcW w:w="1258" w:type="dxa"/>
                  <w:vMerge w:val="restart"/>
                  <w:tcBorders>
                    <w:top w:val="single" w:color="auto" w:sz="4" w:space="0"/>
                    <w:left w:val="single" w:color="auto" w:sz="4" w:space="0"/>
                    <w:bottom w:val="single" w:color="auto" w:sz="4" w:space="0"/>
                  </w:tcBorders>
                  <w:vAlign w:val="center"/>
                </w:tcPr>
                <w:p w14:paraId="65E36C5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1.68E-06</w:t>
                  </w:r>
                </w:p>
              </w:tc>
              <w:tc>
                <w:tcPr>
                  <w:tcW w:w="498" w:type="pct"/>
                  <w:vMerge w:val="restart"/>
                  <w:tcBorders>
                    <w:top w:val="single" w:color="auto" w:sz="4" w:space="0"/>
                    <w:left w:val="single" w:color="auto" w:sz="4" w:space="0"/>
                  </w:tcBorders>
                  <w:vAlign w:val="center"/>
                </w:tcPr>
                <w:p w14:paraId="0A00B8A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ascii="Times New Roman" w:hAnsi="Times New Roman" w:cs="Times New Roman"/>
                      <w:i w:val="0"/>
                      <w:iCs w:val="0"/>
                      <w:color w:val="auto"/>
                      <w:kern w:val="0"/>
                      <w:sz w:val="18"/>
                      <w:szCs w:val="18"/>
                      <w:highlight w:val="none"/>
                      <w:u w:val="none"/>
                      <w:lang w:val="en-US" w:eastAsia="zh-CN" w:bidi="ar"/>
                    </w:rPr>
                    <w:t>0.1</w:t>
                  </w:r>
                  <w:r>
                    <w:rPr>
                      <w:rFonts w:hint="default" w:ascii="Times New Roman" w:hAnsi="Times New Roman" w:cs="Times New Roman"/>
                      <w:bCs/>
                      <w:color w:val="auto"/>
                      <w:sz w:val="18"/>
                      <w:szCs w:val="18"/>
                      <w:highlight w:val="none"/>
                    </w:rPr>
                    <w:t>mSv/a</w:t>
                  </w:r>
                </w:p>
              </w:tc>
            </w:tr>
            <w:tr w14:paraId="688DD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Merge w:val="continue"/>
                  <w:tcBorders>
                    <w:top w:val="single" w:color="auto" w:sz="4" w:space="0"/>
                    <w:bottom w:val="single" w:color="auto" w:sz="4" w:space="0"/>
                    <w:right w:val="single" w:color="auto" w:sz="4" w:space="0"/>
                  </w:tcBorders>
                  <w:vAlign w:val="center"/>
                </w:tcPr>
                <w:p w14:paraId="005BAD9D">
                  <w:pPr>
                    <w:jc w:val="center"/>
                    <w:rPr>
                      <w:rFonts w:hint="default" w:ascii="Times New Roman" w:hAnsi="Times New Roman" w:cs="Times New Roman"/>
                      <w:bCs/>
                      <w:color w:val="auto"/>
                      <w:sz w:val="18"/>
                      <w:szCs w:val="18"/>
                      <w:highlight w:val="none"/>
                    </w:rPr>
                  </w:pPr>
                </w:p>
              </w:tc>
              <w:tc>
                <w:tcPr>
                  <w:tcW w:w="709" w:type="pct"/>
                  <w:vMerge w:val="continue"/>
                  <w:tcBorders>
                    <w:top w:val="single" w:color="auto" w:sz="4" w:space="0"/>
                    <w:left w:val="single" w:color="auto" w:sz="4" w:space="0"/>
                    <w:bottom w:val="single" w:color="auto" w:sz="4" w:space="0"/>
                    <w:right w:val="single" w:color="auto" w:sz="4" w:space="0"/>
                  </w:tcBorders>
                  <w:vAlign w:val="center"/>
                </w:tcPr>
                <w:p w14:paraId="70D5E256">
                  <w:pPr>
                    <w:jc w:val="center"/>
                    <w:rPr>
                      <w:rFonts w:hint="default" w:ascii="Times New Roman" w:hAnsi="Times New Roman" w:cs="Times New Roman"/>
                      <w:bCs/>
                      <w:color w:val="auto"/>
                      <w:sz w:val="18"/>
                      <w:szCs w:val="18"/>
                      <w:highlight w:val="none"/>
                    </w:rPr>
                  </w:pPr>
                </w:p>
              </w:tc>
              <w:tc>
                <w:tcPr>
                  <w:tcW w:w="369" w:type="pct"/>
                  <w:tcBorders>
                    <w:top w:val="single" w:color="auto" w:sz="4" w:space="0"/>
                    <w:left w:val="single" w:color="auto" w:sz="4" w:space="0"/>
                    <w:bottom w:val="single" w:color="auto" w:sz="4" w:space="0"/>
                    <w:right w:val="single" w:color="auto" w:sz="4" w:space="0"/>
                  </w:tcBorders>
                  <w:vAlign w:val="center"/>
                </w:tcPr>
                <w:p w14:paraId="0C5553D0">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拍片</w:t>
                  </w:r>
                </w:p>
              </w:tc>
              <w:tc>
                <w:tcPr>
                  <w:tcW w:w="1165" w:type="dxa"/>
                  <w:tcBorders>
                    <w:top w:val="single" w:color="auto" w:sz="4" w:space="0"/>
                    <w:left w:val="single" w:color="auto" w:sz="4" w:space="0"/>
                    <w:bottom w:val="single" w:color="auto" w:sz="4" w:space="0"/>
                    <w:right w:val="single" w:color="auto" w:sz="4" w:space="0"/>
                  </w:tcBorders>
                  <w:vAlign w:val="center"/>
                </w:tcPr>
                <w:p w14:paraId="6A2DD865">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7.87E-04</w:t>
                  </w:r>
                </w:p>
              </w:tc>
              <w:tc>
                <w:tcPr>
                  <w:tcW w:w="556" w:type="pct"/>
                  <w:vMerge w:val="continue"/>
                  <w:tcBorders>
                    <w:top w:val="single" w:color="auto" w:sz="4" w:space="0"/>
                    <w:left w:val="single" w:color="auto" w:sz="4" w:space="0"/>
                    <w:bottom w:val="single" w:color="auto" w:sz="4" w:space="0"/>
                    <w:right w:val="single" w:color="auto" w:sz="4" w:space="0"/>
                  </w:tcBorders>
                  <w:vAlign w:val="center"/>
                </w:tcPr>
                <w:p w14:paraId="3F3B8D65">
                  <w:pPr>
                    <w:pStyle w:val="32"/>
                    <w:snapToGrid w:val="0"/>
                    <w:jc w:val="center"/>
                    <w:rPr>
                      <w:rFonts w:hint="default" w:ascii="Times New Roman" w:hAnsi="Times New Roman" w:cs="Times New Roman"/>
                      <w:bCs/>
                      <w:color w:val="auto"/>
                      <w:sz w:val="18"/>
                      <w:szCs w:val="18"/>
                      <w:highlight w:val="none"/>
                    </w:rPr>
                  </w:pPr>
                </w:p>
              </w:tc>
              <w:tc>
                <w:tcPr>
                  <w:tcW w:w="515" w:type="pct"/>
                  <w:vMerge w:val="continue"/>
                  <w:tcBorders>
                    <w:left w:val="single" w:color="auto" w:sz="4" w:space="0"/>
                    <w:right w:val="single" w:color="auto" w:sz="4" w:space="0"/>
                  </w:tcBorders>
                  <w:vAlign w:val="center"/>
                </w:tcPr>
                <w:p w14:paraId="7F82A035">
                  <w:pPr>
                    <w:pStyle w:val="32"/>
                    <w:snapToGrid w:val="0"/>
                    <w:jc w:val="center"/>
                    <w:rPr>
                      <w:rFonts w:hint="default" w:ascii="Times New Roman" w:hAnsi="Times New Roman" w:cs="Times New Roman"/>
                      <w:bCs/>
                      <w:color w:val="auto"/>
                      <w:sz w:val="18"/>
                      <w:szCs w:val="18"/>
                      <w:highlight w:val="none"/>
                    </w:rPr>
                  </w:pPr>
                </w:p>
              </w:tc>
              <w:tc>
                <w:tcPr>
                  <w:tcW w:w="625" w:type="pct"/>
                  <w:vMerge w:val="continue"/>
                  <w:tcBorders>
                    <w:top w:val="single" w:color="auto" w:sz="4" w:space="0"/>
                    <w:left w:val="single" w:color="auto" w:sz="4" w:space="0"/>
                    <w:bottom w:val="single" w:color="auto" w:sz="4" w:space="0"/>
                    <w:right w:val="single" w:color="auto" w:sz="4" w:space="0"/>
                  </w:tcBorders>
                  <w:vAlign w:val="center"/>
                </w:tcPr>
                <w:p w14:paraId="1CD583DC">
                  <w:pPr>
                    <w:pStyle w:val="32"/>
                    <w:snapToGrid w:val="0"/>
                    <w:jc w:val="center"/>
                    <w:rPr>
                      <w:rFonts w:hint="default" w:ascii="Times New Roman" w:hAnsi="Times New Roman" w:cs="Times New Roman"/>
                      <w:bCs/>
                      <w:color w:val="auto"/>
                      <w:sz w:val="18"/>
                      <w:szCs w:val="18"/>
                      <w:highlight w:val="none"/>
                    </w:rPr>
                  </w:pPr>
                </w:p>
              </w:tc>
              <w:tc>
                <w:tcPr>
                  <w:tcW w:w="758" w:type="pct"/>
                  <w:vMerge w:val="continue"/>
                  <w:tcBorders>
                    <w:top w:val="single" w:color="auto" w:sz="4" w:space="0"/>
                    <w:left w:val="single" w:color="auto" w:sz="4" w:space="0"/>
                    <w:bottom w:val="single" w:color="auto" w:sz="4" w:space="0"/>
                  </w:tcBorders>
                  <w:vAlign w:val="center"/>
                </w:tcPr>
                <w:p w14:paraId="247D0EC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498" w:type="pct"/>
                  <w:vMerge w:val="continue"/>
                  <w:tcBorders>
                    <w:left w:val="single" w:color="auto" w:sz="4" w:space="0"/>
                  </w:tcBorders>
                  <w:vAlign w:val="center"/>
                </w:tcPr>
                <w:p w14:paraId="4D87405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6D762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Merge w:val="restart"/>
                  <w:tcBorders>
                    <w:top w:val="single" w:color="auto" w:sz="4" w:space="0"/>
                    <w:bottom w:val="single" w:color="auto" w:sz="4" w:space="0"/>
                    <w:right w:val="single" w:color="auto" w:sz="4" w:space="0"/>
                  </w:tcBorders>
                  <w:vAlign w:val="center"/>
                </w:tcPr>
                <w:p w14:paraId="0E4B245A">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2</w:t>
                  </w:r>
                </w:p>
              </w:tc>
              <w:tc>
                <w:tcPr>
                  <w:tcW w:w="70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BE87D52">
                  <w:pPr>
                    <w:widowControl/>
                    <w:adjustRightInd w:val="0"/>
                    <w:snapToGrid w:val="0"/>
                    <w:jc w:val="center"/>
                    <w:textAlignment w:val="center"/>
                    <w:rPr>
                      <w:rFonts w:hint="default" w:ascii="Times New Roman" w:hAnsi="Times New Roman" w:cs="Times New Roman"/>
                      <w:bCs/>
                      <w:color w:val="auto"/>
                      <w:sz w:val="18"/>
                      <w:szCs w:val="18"/>
                      <w:highlight w:val="none"/>
                    </w:rPr>
                  </w:pPr>
                  <w:r>
                    <w:rPr>
                      <w:rStyle w:val="67"/>
                      <w:rFonts w:hint="eastAsia" w:ascii="Times New Roman" w:hAnsi="Times New Roman" w:cs="Times New Roman"/>
                      <w:bCs/>
                      <w:color w:val="auto"/>
                      <w:sz w:val="18"/>
                      <w:szCs w:val="18"/>
                      <w:highlight w:val="none"/>
                      <w:lang w:val="en-US" w:eastAsia="zh-CN" w:bidi="ar"/>
                    </w:rPr>
                    <w:t>患者缓冲区屏蔽墙30cm处</w:t>
                  </w:r>
                </w:p>
              </w:tc>
              <w:tc>
                <w:tcPr>
                  <w:tcW w:w="369" w:type="pct"/>
                  <w:tcBorders>
                    <w:top w:val="single" w:color="auto" w:sz="4" w:space="0"/>
                    <w:left w:val="single" w:color="auto" w:sz="4" w:space="0"/>
                    <w:bottom w:val="single" w:color="auto" w:sz="4" w:space="0"/>
                    <w:right w:val="single" w:color="auto" w:sz="4" w:space="0"/>
                  </w:tcBorders>
                  <w:vAlign w:val="center"/>
                </w:tcPr>
                <w:p w14:paraId="6EF8B550">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透视</w:t>
                  </w:r>
                </w:p>
              </w:tc>
              <w:tc>
                <w:tcPr>
                  <w:tcW w:w="1165" w:type="dxa"/>
                  <w:tcBorders>
                    <w:top w:val="single" w:color="auto" w:sz="4" w:space="0"/>
                    <w:left w:val="single" w:color="auto" w:sz="4" w:space="0"/>
                    <w:bottom w:val="single" w:color="auto" w:sz="4" w:space="0"/>
                    <w:right w:val="single" w:color="auto" w:sz="4" w:space="0"/>
                  </w:tcBorders>
                  <w:vAlign w:val="center"/>
                </w:tcPr>
                <w:p w14:paraId="7ECB10C4">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3.92E-05</w:t>
                  </w:r>
                </w:p>
              </w:tc>
              <w:tc>
                <w:tcPr>
                  <w:tcW w:w="556" w:type="pct"/>
                  <w:vMerge w:val="restart"/>
                  <w:tcBorders>
                    <w:top w:val="single" w:color="auto" w:sz="4" w:space="0"/>
                    <w:left w:val="single" w:color="auto" w:sz="4" w:space="0"/>
                    <w:bottom w:val="single" w:color="auto" w:sz="4" w:space="0"/>
                    <w:right w:val="single" w:color="auto" w:sz="4" w:space="0"/>
                  </w:tcBorders>
                  <w:vAlign w:val="center"/>
                </w:tcPr>
                <w:p w14:paraId="27649431">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eastAsia" w:ascii="Times New Roman" w:hAnsi="Times New Roman" w:cs="Times New Roman"/>
                      <w:i w:val="0"/>
                      <w:iCs w:val="0"/>
                      <w:color w:val="auto"/>
                      <w:kern w:val="0"/>
                      <w:sz w:val="18"/>
                      <w:szCs w:val="18"/>
                      <w:highlight w:val="none"/>
                      <w:u w:val="none"/>
                      <w:lang w:val="en-US" w:eastAsia="zh-CN" w:bidi="ar"/>
                    </w:rPr>
                    <w:t>1</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r>
                    <w:rPr>
                      <w:rFonts w:hint="default" w:ascii="Times New Roman" w:hAnsi="Times New Roman" w:cs="Times New Roman"/>
                      <w:i w:val="0"/>
                      <w:iCs w:val="0"/>
                      <w:color w:val="auto"/>
                      <w:kern w:val="0"/>
                      <w:sz w:val="18"/>
                      <w:szCs w:val="18"/>
                      <w:highlight w:val="none"/>
                      <w:u w:val="none"/>
                      <w:lang w:val="en-US" w:eastAsia="zh-CN" w:bidi="ar"/>
                    </w:rPr>
                    <w:t>4</w:t>
                  </w:r>
                </w:p>
              </w:tc>
              <w:tc>
                <w:tcPr>
                  <w:tcW w:w="515" w:type="pct"/>
                  <w:vMerge w:val="continue"/>
                  <w:tcBorders>
                    <w:left w:val="single" w:color="auto" w:sz="4" w:space="0"/>
                    <w:right w:val="single" w:color="auto" w:sz="4" w:space="0"/>
                  </w:tcBorders>
                  <w:vAlign w:val="center"/>
                </w:tcPr>
                <w:p w14:paraId="44F9BFC3">
                  <w:pPr>
                    <w:pStyle w:val="32"/>
                    <w:snapToGrid w:val="0"/>
                    <w:jc w:val="center"/>
                    <w:rPr>
                      <w:rFonts w:hint="default" w:ascii="Times New Roman" w:hAnsi="Times New Roman" w:cs="Times New Roman"/>
                      <w:bCs/>
                      <w:color w:val="auto"/>
                      <w:sz w:val="18"/>
                      <w:szCs w:val="18"/>
                      <w:highlight w:val="none"/>
                    </w:rPr>
                  </w:pPr>
                </w:p>
              </w:tc>
              <w:tc>
                <w:tcPr>
                  <w:tcW w:w="625" w:type="pct"/>
                  <w:vMerge w:val="restart"/>
                  <w:tcBorders>
                    <w:top w:val="single" w:color="auto" w:sz="4" w:space="0"/>
                    <w:left w:val="single" w:color="auto" w:sz="4" w:space="0"/>
                    <w:bottom w:val="single" w:color="auto" w:sz="4" w:space="0"/>
                    <w:right w:val="single" w:color="auto" w:sz="4" w:space="0"/>
                  </w:tcBorders>
                  <w:vAlign w:val="center"/>
                </w:tcPr>
                <w:p w14:paraId="143C9393">
                  <w:pPr>
                    <w:widowControl/>
                    <w:adjustRightInd w:val="0"/>
                    <w:snapToGrid w:val="0"/>
                    <w:jc w:val="center"/>
                    <w:textAlignment w:val="center"/>
                    <w:rPr>
                      <w:rFonts w:hint="default" w:ascii="Times New Roman" w:hAnsi="Times New Roman" w:cs="Times New Roman"/>
                      <w:bCs/>
                      <w:color w:val="auto"/>
                      <w:sz w:val="18"/>
                      <w:szCs w:val="18"/>
                      <w:highlight w:val="none"/>
                    </w:rPr>
                  </w:pPr>
                  <w:r>
                    <w:rPr>
                      <w:rFonts w:hint="eastAsia" w:ascii="Times New Roman" w:hAnsi="Times New Roman" w:cs="Times New Roman"/>
                      <w:bCs/>
                      <w:color w:val="auto"/>
                      <w:sz w:val="18"/>
                      <w:szCs w:val="18"/>
                      <w:highlight w:val="none"/>
                      <w:lang w:val="en-US" w:eastAsia="zh-CN"/>
                    </w:rPr>
                    <w:t>公众</w:t>
                  </w:r>
                </w:p>
              </w:tc>
              <w:tc>
                <w:tcPr>
                  <w:tcW w:w="1258" w:type="dxa"/>
                  <w:vMerge w:val="restart"/>
                  <w:tcBorders>
                    <w:top w:val="single" w:color="auto" w:sz="4" w:space="0"/>
                    <w:left w:val="single" w:color="auto" w:sz="4" w:space="0"/>
                    <w:bottom w:val="single" w:color="auto" w:sz="4" w:space="0"/>
                  </w:tcBorders>
                  <w:vAlign w:val="center"/>
                </w:tcPr>
                <w:p w14:paraId="2C2D5EA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1.80E-06</w:t>
                  </w:r>
                </w:p>
              </w:tc>
              <w:tc>
                <w:tcPr>
                  <w:tcW w:w="498" w:type="pct"/>
                  <w:vMerge w:val="continue"/>
                  <w:tcBorders>
                    <w:left w:val="single" w:color="auto" w:sz="4" w:space="0"/>
                  </w:tcBorders>
                  <w:vAlign w:val="center"/>
                </w:tcPr>
                <w:p w14:paraId="3BF2C97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7A701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Merge w:val="continue"/>
                  <w:tcBorders>
                    <w:top w:val="single" w:color="auto" w:sz="4" w:space="0"/>
                    <w:bottom w:val="single" w:color="auto" w:sz="4" w:space="0"/>
                    <w:right w:val="single" w:color="auto" w:sz="4" w:space="0"/>
                  </w:tcBorders>
                  <w:vAlign w:val="center"/>
                </w:tcPr>
                <w:p w14:paraId="485683F6">
                  <w:pPr>
                    <w:jc w:val="center"/>
                    <w:rPr>
                      <w:rFonts w:hint="default" w:ascii="Times New Roman" w:hAnsi="Times New Roman" w:cs="Times New Roman"/>
                      <w:bCs/>
                      <w:color w:val="auto"/>
                      <w:sz w:val="18"/>
                      <w:szCs w:val="18"/>
                      <w:highlight w:val="none"/>
                    </w:rPr>
                  </w:pPr>
                </w:p>
              </w:tc>
              <w:tc>
                <w:tcPr>
                  <w:tcW w:w="709" w:type="pct"/>
                  <w:vMerge w:val="continue"/>
                  <w:tcBorders>
                    <w:top w:val="single" w:color="auto" w:sz="4" w:space="0"/>
                    <w:left w:val="single" w:color="auto" w:sz="4" w:space="0"/>
                    <w:bottom w:val="single" w:color="auto" w:sz="4" w:space="0"/>
                    <w:right w:val="single" w:color="auto" w:sz="4" w:space="0"/>
                  </w:tcBorders>
                  <w:vAlign w:val="center"/>
                </w:tcPr>
                <w:p w14:paraId="10E8F27B">
                  <w:pPr>
                    <w:jc w:val="center"/>
                    <w:rPr>
                      <w:rFonts w:hint="default" w:ascii="Times New Roman" w:hAnsi="Times New Roman" w:cs="Times New Roman"/>
                      <w:bCs/>
                      <w:color w:val="auto"/>
                      <w:sz w:val="18"/>
                      <w:szCs w:val="18"/>
                      <w:highlight w:val="none"/>
                    </w:rPr>
                  </w:pPr>
                </w:p>
              </w:tc>
              <w:tc>
                <w:tcPr>
                  <w:tcW w:w="369" w:type="pct"/>
                  <w:tcBorders>
                    <w:top w:val="single" w:color="auto" w:sz="4" w:space="0"/>
                    <w:left w:val="single" w:color="auto" w:sz="4" w:space="0"/>
                    <w:bottom w:val="single" w:color="auto" w:sz="4" w:space="0"/>
                    <w:right w:val="single" w:color="auto" w:sz="4" w:space="0"/>
                  </w:tcBorders>
                  <w:vAlign w:val="center"/>
                </w:tcPr>
                <w:p w14:paraId="2798A872">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拍片</w:t>
                  </w:r>
                </w:p>
              </w:tc>
              <w:tc>
                <w:tcPr>
                  <w:tcW w:w="1165" w:type="dxa"/>
                  <w:tcBorders>
                    <w:top w:val="single" w:color="auto" w:sz="4" w:space="0"/>
                    <w:left w:val="single" w:color="auto" w:sz="4" w:space="0"/>
                    <w:bottom w:val="single" w:color="auto" w:sz="4" w:space="0"/>
                    <w:right w:val="single" w:color="auto" w:sz="4" w:space="0"/>
                  </w:tcBorders>
                  <w:vAlign w:val="center"/>
                </w:tcPr>
                <w:p w14:paraId="58644710">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8.27E-04</w:t>
                  </w:r>
                </w:p>
              </w:tc>
              <w:tc>
                <w:tcPr>
                  <w:tcW w:w="556" w:type="pct"/>
                  <w:vMerge w:val="continue"/>
                  <w:tcBorders>
                    <w:top w:val="single" w:color="auto" w:sz="4" w:space="0"/>
                    <w:left w:val="single" w:color="auto" w:sz="4" w:space="0"/>
                    <w:bottom w:val="single" w:color="auto" w:sz="4" w:space="0"/>
                    <w:right w:val="single" w:color="auto" w:sz="4" w:space="0"/>
                  </w:tcBorders>
                  <w:vAlign w:val="center"/>
                </w:tcPr>
                <w:p w14:paraId="0490919A">
                  <w:pPr>
                    <w:pStyle w:val="32"/>
                    <w:snapToGrid w:val="0"/>
                    <w:jc w:val="center"/>
                    <w:rPr>
                      <w:rFonts w:hint="default" w:ascii="Times New Roman" w:hAnsi="Times New Roman" w:cs="Times New Roman"/>
                      <w:bCs/>
                      <w:color w:val="auto"/>
                      <w:sz w:val="18"/>
                      <w:szCs w:val="18"/>
                      <w:highlight w:val="none"/>
                    </w:rPr>
                  </w:pPr>
                </w:p>
              </w:tc>
              <w:tc>
                <w:tcPr>
                  <w:tcW w:w="515" w:type="pct"/>
                  <w:vMerge w:val="continue"/>
                  <w:tcBorders>
                    <w:left w:val="single" w:color="auto" w:sz="4" w:space="0"/>
                    <w:right w:val="single" w:color="auto" w:sz="4" w:space="0"/>
                  </w:tcBorders>
                  <w:vAlign w:val="center"/>
                </w:tcPr>
                <w:p w14:paraId="139C27D6">
                  <w:pPr>
                    <w:pStyle w:val="32"/>
                    <w:snapToGrid w:val="0"/>
                    <w:jc w:val="center"/>
                    <w:rPr>
                      <w:rFonts w:hint="default" w:ascii="Times New Roman" w:hAnsi="Times New Roman" w:cs="Times New Roman"/>
                      <w:bCs/>
                      <w:color w:val="auto"/>
                      <w:sz w:val="18"/>
                      <w:szCs w:val="18"/>
                      <w:highlight w:val="none"/>
                    </w:rPr>
                  </w:pPr>
                </w:p>
              </w:tc>
              <w:tc>
                <w:tcPr>
                  <w:tcW w:w="625" w:type="pct"/>
                  <w:vMerge w:val="continue"/>
                  <w:tcBorders>
                    <w:top w:val="single" w:color="auto" w:sz="4" w:space="0"/>
                    <w:left w:val="single" w:color="auto" w:sz="4" w:space="0"/>
                    <w:bottom w:val="single" w:color="auto" w:sz="4" w:space="0"/>
                    <w:right w:val="single" w:color="auto" w:sz="4" w:space="0"/>
                  </w:tcBorders>
                  <w:vAlign w:val="center"/>
                </w:tcPr>
                <w:p w14:paraId="2B440E51">
                  <w:pPr>
                    <w:pStyle w:val="32"/>
                    <w:snapToGrid w:val="0"/>
                    <w:jc w:val="center"/>
                    <w:rPr>
                      <w:rFonts w:hint="default" w:ascii="Times New Roman" w:hAnsi="Times New Roman" w:cs="Times New Roman"/>
                      <w:bCs/>
                      <w:color w:val="auto"/>
                      <w:sz w:val="18"/>
                      <w:szCs w:val="18"/>
                      <w:highlight w:val="none"/>
                    </w:rPr>
                  </w:pPr>
                </w:p>
              </w:tc>
              <w:tc>
                <w:tcPr>
                  <w:tcW w:w="758" w:type="pct"/>
                  <w:vMerge w:val="continue"/>
                  <w:tcBorders>
                    <w:top w:val="single" w:color="auto" w:sz="4" w:space="0"/>
                    <w:left w:val="single" w:color="auto" w:sz="4" w:space="0"/>
                    <w:bottom w:val="single" w:color="auto" w:sz="4" w:space="0"/>
                  </w:tcBorders>
                  <w:vAlign w:val="center"/>
                </w:tcPr>
                <w:p w14:paraId="6B7627D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498" w:type="pct"/>
                  <w:vMerge w:val="continue"/>
                  <w:tcBorders>
                    <w:left w:val="single" w:color="auto" w:sz="4" w:space="0"/>
                  </w:tcBorders>
                  <w:vAlign w:val="center"/>
                </w:tcPr>
                <w:p w14:paraId="33AC56E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6B115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Merge w:val="restart"/>
                  <w:tcBorders>
                    <w:top w:val="single" w:color="auto" w:sz="4" w:space="0"/>
                    <w:bottom w:val="single" w:color="auto" w:sz="4" w:space="0"/>
                    <w:right w:val="single" w:color="auto" w:sz="4" w:space="0"/>
                  </w:tcBorders>
                  <w:vAlign w:val="center"/>
                </w:tcPr>
                <w:p w14:paraId="44512D79">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3</w:t>
                  </w:r>
                </w:p>
              </w:tc>
              <w:tc>
                <w:tcPr>
                  <w:tcW w:w="70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C3FC48F">
                  <w:pPr>
                    <w:widowControl/>
                    <w:adjustRightInd w:val="0"/>
                    <w:snapToGrid w:val="0"/>
                    <w:jc w:val="center"/>
                    <w:textAlignment w:val="center"/>
                    <w:rPr>
                      <w:rFonts w:hint="default" w:ascii="Times New Roman" w:hAnsi="Times New Roman" w:cs="Times New Roman"/>
                      <w:bCs/>
                      <w:color w:val="auto"/>
                      <w:kern w:val="0"/>
                      <w:sz w:val="18"/>
                      <w:szCs w:val="18"/>
                      <w:highlight w:val="none"/>
                      <w:lang w:bidi="ar"/>
                    </w:rPr>
                  </w:pPr>
                  <w:r>
                    <w:rPr>
                      <w:rStyle w:val="67"/>
                      <w:rFonts w:hint="eastAsia" w:ascii="Times New Roman" w:hAnsi="Times New Roman" w:cs="Times New Roman"/>
                      <w:bCs/>
                      <w:color w:val="auto"/>
                      <w:sz w:val="18"/>
                      <w:szCs w:val="18"/>
                      <w:highlight w:val="none"/>
                      <w:lang w:val="en-US" w:eastAsia="zh-CN" w:bidi="ar"/>
                    </w:rPr>
                    <w:t>患者缓冲区电动推拉门30cm处</w:t>
                  </w:r>
                </w:p>
              </w:tc>
              <w:tc>
                <w:tcPr>
                  <w:tcW w:w="369" w:type="pct"/>
                  <w:tcBorders>
                    <w:top w:val="single" w:color="auto" w:sz="4" w:space="0"/>
                    <w:left w:val="single" w:color="auto" w:sz="4" w:space="0"/>
                    <w:bottom w:val="single" w:color="auto" w:sz="4" w:space="0"/>
                    <w:right w:val="single" w:color="auto" w:sz="4" w:space="0"/>
                  </w:tcBorders>
                  <w:vAlign w:val="center"/>
                </w:tcPr>
                <w:p w14:paraId="1607BD6D">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透视</w:t>
                  </w:r>
                </w:p>
              </w:tc>
              <w:tc>
                <w:tcPr>
                  <w:tcW w:w="1165" w:type="dxa"/>
                  <w:tcBorders>
                    <w:top w:val="single" w:color="auto" w:sz="4" w:space="0"/>
                    <w:left w:val="single" w:color="auto" w:sz="4" w:space="0"/>
                    <w:bottom w:val="single" w:color="auto" w:sz="4" w:space="0"/>
                    <w:right w:val="single" w:color="auto" w:sz="4" w:space="0"/>
                  </w:tcBorders>
                  <w:vAlign w:val="center"/>
                </w:tcPr>
                <w:p w14:paraId="05FF1ED2">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4.79E-03</w:t>
                  </w:r>
                </w:p>
              </w:tc>
              <w:tc>
                <w:tcPr>
                  <w:tcW w:w="556" w:type="pct"/>
                  <w:vMerge w:val="restart"/>
                  <w:tcBorders>
                    <w:top w:val="single" w:color="auto" w:sz="4" w:space="0"/>
                    <w:left w:val="single" w:color="auto" w:sz="4" w:space="0"/>
                    <w:bottom w:val="single" w:color="auto" w:sz="4" w:space="0"/>
                    <w:right w:val="single" w:color="auto" w:sz="4" w:space="0"/>
                  </w:tcBorders>
                  <w:vAlign w:val="center"/>
                </w:tcPr>
                <w:p w14:paraId="413D26E7">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 1/</w:t>
                  </w:r>
                  <w:r>
                    <w:rPr>
                      <w:rFonts w:hint="default" w:ascii="Times New Roman" w:hAnsi="Times New Roman" w:cs="Times New Roman"/>
                      <w:i w:val="0"/>
                      <w:iCs w:val="0"/>
                      <w:color w:val="auto"/>
                      <w:kern w:val="0"/>
                      <w:sz w:val="18"/>
                      <w:szCs w:val="18"/>
                      <w:highlight w:val="none"/>
                      <w:u w:val="none"/>
                      <w:lang w:val="en-US" w:eastAsia="zh-CN" w:bidi="ar"/>
                    </w:rPr>
                    <w:t>4</w:t>
                  </w:r>
                </w:p>
              </w:tc>
              <w:tc>
                <w:tcPr>
                  <w:tcW w:w="515" w:type="pct"/>
                  <w:vMerge w:val="continue"/>
                  <w:tcBorders>
                    <w:left w:val="single" w:color="auto" w:sz="4" w:space="0"/>
                    <w:right w:val="single" w:color="auto" w:sz="4" w:space="0"/>
                  </w:tcBorders>
                  <w:vAlign w:val="center"/>
                </w:tcPr>
                <w:p w14:paraId="77316BB7">
                  <w:pPr>
                    <w:pStyle w:val="32"/>
                    <w:snapToGrid w:val="0"/>
                    <w:jc w:val="center"/>
                    <w:rPr>
                      <w:rFonts w:hint="default" w:ascii="Times New Roman" w:hAnsi="Times New Roman" w:cs="Times New Roman"/>
                      <w:bCs/>
                      <w:color w:val="auto"/>
                      <w:sz w:val="18"/>
                      <w:szCs w:val="18"/>
                      <w:highlight w:val="none"/>
                    </w:rPr>
                  </w:pPr>
                </w:p>
              </w:tc>
              <w:tc>
                <w:tcPr>
                  <w:tcW w:w="625" w:type="pct"/>
                  <w:vMerge w:val="restart"/>
                  <w:tcBorders>
                    <w:top w:val="single" w:color="auto" w:sz="4" w:space="0"/>
                    <w:left w:val="single" w:color="auto" w:sz="4" w:space="0"/>
                    <w:bottom w:val="single" w:color="auto" w:sz="4" w:space="0"/>
                    <w:right w:val="single" w:color="auto" w:sz="4" w:space="0"/>
                  </w:tcBorders>
                  <w:vAlign w:val="center"/>
                </w:tcPr>
                <w:p w14:paraId="3DE0F242">
                  <w:pPr>
                    <w:widowControl/>
                    <w:adjustRightInd w:val="0"/>
                    <w:snapToGrid w:val="0"/>
                    <w:jc w:val="center"/>
                    <w:textAlignment w:val="center"/>
                    <w:rPr>
                      <w:rFonts w:hint="default" w:ascii="Times New Roman" w:hAnsi="Times New Roman" w:cs="Times New Roman"/>
                      <w:color w:val="auto"/>
                      <w:sz w:val="18"/>
                      <w:szCs w:val="18"/>
                      <w:highlight w:val="none"/>
                    </w:rPr>
                  </w:pPr>
                  <w:r>
                    <w:rPr>
                      <w:rFonts w:hint="eastAsia" w:ascii="Times New Roman" w:hAnsi="Times New Roman" w:cs="Times New Roman"/>
                      <w:bCs/>
                      <w:color w:val="auto"/>
                      <w:sz w:val="18"/>
                      <w:szCs w:val="18"/>
                      <w:highlight w:val="none"/>
                      <w:lang w:val="en-US" w:eastAsia="zh-CN"/>
                    </w:rPr>
                    <w:t>公众</w:t>
                  </w:r>
                </w:p>
              </w:tc>
              <w:tc>
                <w:tcPr>
                  <w:tcW w:w="1258" w:type="dxa"/>
                  <w:vMerge w:val="restart"/>
                  <w:tcBorders>
                    <w:top w:val="single" w:color="auto" w:sz="4" w:space="0"/>
                    <w:left w:val="single" w:color="auto" w:sz="4" w:space="0"/>
                    <w:bottom w:val="single" w:color="auto" w:sz="4" w:space="0"/>
                  </w:tcBorders>
                  <w:vAlign w:val="center"/>
                </w:tcPr>
                <w:p w14:paraId="33FF739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2.06E-04</w:t>
                  </w:r>
                </w:p>
              </w:tc>
              <w:tc>
                <w:tcPr>
                  <w:tcW w:w="498" w:type="pct"/>
                  <w:vMerge w:val="continue"/>
                  <w:tcBorders>
                    <w:left w:val="single" w:color="auto" w:sz="4" w:space="0"/>
                  </w:tcBorders>
                  <w:vAlign w:val="center"/>
                </w:tcPr>
                <w:p w14:paraId="3AAB7D9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69680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Merge w:val="continue"/>
                  <w:tcBorders>
                    <w:top w:val="single" w:color="auto" w:sz="4" w:space="0"/>
                    <w:bottom w:val="single" w:color="auto" w:sz="4" w:space="0"/>
                    <w:right w:val="single" w:color="auto" w:sz="4" w:space="0"/>
                  </w:tcBorders>
                  <w:vAlign w:val="center"/>
                </w:tcPr>
                <w:p w14:paraId="0AC88347">
                  <w:pPr>
                    <w:jc w:val="center"/>
                    <w:rPr>
                      <w:rFonts w:hint="default" w:ascii="Times New Roman" w:hAnsi="Times New Roman" w:cs="Times New Roman"/>
                      <w:bCs/>
                      <w:color w:val="auto"/>
                      <w:sz w:val="18"/>
                      <w:szCs w:val="18"/>
                      <w:highlight w:val="none"/>
                    </w:rPr>
                  </w:pPr>
                </w:p>
              </w:tc>
              <w:tc>
                <w:tcPr>
                  <w:tcW w:w="709" w:type="pct"/>
                  <w:vMerge w:val="continue"/>
                  <w:tcBorders>
                    <w:top w:val="single" w:color="auto" w:sz="4" w:space="0"/>
                    <w:left w:val="single" w:color="auto" w:sz="4" w:space="0"/>
                    <w:bottom w:val="single" w:color="auto" w:sz="4" w:space="0"/>
                    <w:right w:val="single" w:color="auto" w:sz="4" w:space="0"/>
                  </w:tcBorders>
                  <w:vAlign w:val="center"/>
                </w:tcPr>
                <w:p w14:paraId="32E9E8BE">
                  <w:pPr>
                    <w:jc w:val="center"/>
                    <w:rPr>
                      <w:rFonts w:hint="default" w:ascii="Times New Roman" w:hAnsi="Times New Roman" w:cs="Times New Roman"/>
                      <w:bCs/>
                      <w:color w:val="auto"/>
                      <w:kern w:val="0"/>
                      <w:sz w:val="18"/>
                      <w:szCs w:val="18"/>
                      <w:highlight w:val="none"/>
                      <w:lang w:bidi="ar"/>
                    </w:rPr>
                  </w:pPr>
                </w:p>
              </w:tc>
              <w:tc>
                <w:tcPr>
                  <w:tcW w:w="369" w:type="pct"/>
                  <w:tcBorders>
                    <w:top w:val="single" w:color="auto" w:sz="4" w:space="0"/>
                    <w:left w:val="single" w:color="auto" w:sz="4" w:space="0"/>
                    <w:bottom w:val="single" w:color="auto" w:sz="4" w:space="0"/>
                    <w:right w:val="single" w:color="auto" w:sz="4" w:space="0"/>
                  </w:tcBorders>
                  <w:vAlign w:val="center"/>
                </w:tcPr>
                <w:p w14:paraId="55B3B4A2">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拍片</w:t>
                  </w:r>
                </w:p>
              </w:tc>
              <w:tc>
                <w:tcPr>
                  <w:tcW w:w="1165" w:type="dxa"/>
                  <w:tcBorders>
                    <w:top w:val="single" w:color="auto" w:sz="4" w:space="0"/>
                    <w:left w:val="single" w:color="auto" w:sz="4" w:space="0"/>
                    <w:bottom w:val="single" w:color="auto" w:sz="4" w:space="0"/>
                    <w:right w:val="single" w:color="auto" w:sz="4" w:space="0"/>
                  </w:tcBorders>
                  <w:vAlign w:val="center"/>
                </w:tcPr>
                <w:p w14:paraId="6783EF4E">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8.90E-02</w:t>
                  </w:r>
                </w:p>
              </w:tc>
              <w:tc>
                <w:tcPr>
                  <w:tcW w:w="556" w:type="pct"/>
                  <w:vMerge w:val="continue"/>
                  <w:tcBorders>
                    <w:top w:val="single" w:color="auto" w:sz="4" w:space="0"/>
                    <w:left w:val="single" w:color="auto" w:sz="4" w:space="0"/>
                    <w:bottom w:val="single" w:color="auto" w:sz="4" w:space="0"/>
                    <w:right w:val="single" w:color="auto" w:sz="4" w:space="0"/>
                  </w:tcBorders>
                  <w:vAlign w:val="center"/>
                </w:tcPr>
                <w:p w14:paraId="015F8C35">
                  <w:pPr>
                    <w:pStyle w:val="32"/>
                    <w:snapToGrid w:val="0"/>
                    <w:jc w:val="center"/>
                    <w:rPr>
                      <w:rFonts w:hint="default" w:ascii="Times New Roman" w:hAnsi="Times New Roman" w:cs="Times New Roman"/>
                      <w:bCs/>
                      <w:color w:val="auto"/>
                      <w:sz w:val="18"/>
                      <w:szCs w:val="18"/>
                      <w:highlight w:val="none"/>
                    </w:rPr>
                  </w:pPr>
                </w:p>
              </w:tc>
              <w:tc>
                <w:tcPr>
                  <w:tcW w:w="515" w:type="pct"/>
                  <w:vMerge w:val="continue"/>
                  <w:tcBorders>
                    <w:left w:val="single" w:color="auto" w:sz="4" w:space="0"/>
                    <w:right w:val="single" w:color="auto" w:sz="4" w:space="0"/>
                  </w:tcBorders>
                  <w:vAlign w:val="center"/>
                </w:tcPr>
                <w:p w14:paraId="58357718">
                  <w:pPr>
                    <w:pStyle w:val="32"/>
                    <w:snapToGrid w:val="0"/>
                    <w:jc w:val="center"/>
                    <w:rPr>
                      <w:rFonts w:hint="default" w:ascii="Times New Roman" w:hAnsi="Times New Roman" w:cs="Times New Roman"/>
                      <w:bCs/>
                      <w:color w:val="auto"/>
                      <w:sz w:val="18"/>
                      <w:szCs w:val="18"/>
                      <w:highlight w:val="none"/>
                    </w:rPr>
                  </w:pPr>
                </w:p>
              </w:tc>
              <w:tc>
                <w:tcPr>
                  <w:tcW w:w="625" w:type="pct"/>
                  <w:vMerge w:val="continue"/>
                  <w:tcBorders>
                    <w:top w:val="single" w:color="auto" w:sz="4" w:space="0"/>
                    <w:left w:val="single" w:color="auto" w:sz="4" w:space="0"/>
                    <w:bottom w:val="single" w:color="auto" w:sz="4" w:space="0"/>
                    <w:right w:val="single" w:color="auto" w:sz="4" w:space="0"/>
                  </w:tcBorders>
                  <w:vAlign w:val="center"/>
                </w:tcPr>
                <w:p w14:paraId="01D9AA0D">
                  <w:pPr>
                    <w:widowControl/>
                    <w:adjustRightInd w:val="0"/>
                    <w:snapToGrid w:val="0"/>
                    <w:jc w:val="center"/>
                    <w:textAlignment w:val="center"/>
                    <w:rPr>
                      <w:rFonts w:hint="default" w:ascii="Times New Roman" w:hAnsi="Times New Roman" w:cs="Times New Roman"/>
                      <w:bCs/>
                      <w:color w:val="auto"/>
                      <w:sz w:val="18"/>
                      <w:szCs w:val="18"/>
                      <w:highlight w:val="none"/>
                    </w:rPr>
                  </w:pPr>
                </w:p>
              </w:tc>
              <w:tc>
                <w:tcPr>
                  <w:tcW w:w="758" w:type="pct"/>
                  <w:vMerge w:val="continue"/>
                  <w:tcBorders>
                    <w:top w:val="single" w:color="auto" w:sz="4" w:space="0"/>
                    <w:left w:val="single" w:color="auto" w:sz="4" w:space="0"/>
                    <w:bottom w:val="single" w:color="auto" w:sz="4" w:space="0"/>
                  </w:tcBorders>
                  <w:vAlign w:val="center"/>
                </w:tcPr>
                <w:p w14:paraId="5CD2D76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498" w:type="pct"/>
                  <w:vMerge w:val="continue"/>
                  <w:tcBorders>
                    <w:left w:val="single" w:color="auto" w:sz="4" w:space="0"/>
                  </w:tcBorders>
                  <w:vAlign w:val="center"/>
                </w:tcPr>
                <w:p w14:paraId="66938B9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6BB92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Merge w:val="restart"/>
                  <w:tcBorders>
                    <w:top w:val="single" w:color="auto" w:sz="4" w:space="0"/>
                    <w:bottom w:val="single" w:color="auto" w:sz="4" w:space="0"/>
                    <w:right w:val="single" w:color="auto" w:sz="4" w:space="0"/>
                  </w:tcBorders>
                  <w:vAlign w:val="center"/>
                </w:tcPr>
                <w:p w14:paraId="287CF7A0">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4</w:t>
                  </w:r>
                </w:p>
              </w:tc>
              <w:tc>
                <w:tcPr>
                  <w:tcW w:w="70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B548C70">
                  <w:pPr>
                    <w:widowControl/>
                    <w:adjustRightInd w:val="0"/>
                    <w:snapToGrid w:val="0"/>
                    <w:jc w:val="center"/>
                    <w:textAlignment w:val="center"/>
                    <w:rPr>
                      <w:rFonts w:hint="default" w:ascii="Times New Roman" w:hAnsi="Times New Roman" w:cs="Times New Roman"/>
                      <w:bCs/>
                      <w:color w:val="auto"/>
                      <w:sz w:val="18"/>
                      <w:szCs w:val="18"/>
                      <w:highlight w:val="none"/>
                    </w:rPr>
                  </w:pPr>
                  <w:r>
                    <w:rPr>
                      <w:rStyle w:val="67"/>
                      <w:rFonts w:hint="eastAsia" w:ascii="Times New Roman" w:hAnsi="Times New Roman" w:cs="Times New Roman"/>
                      <w:bCs/>
                      <w:color w:val="auto"/>
                      <w:sz w:val="18"/>
                      <w:szCs w:val="18"/>
                      <w:highlight w:val="none"/>
                      <w:lang w:val="en-US" w:eastAsia="zh-CN" w:bidi="ar"/>
                    </w:rPr>
                    <w:t>高值耗材存放处屏蔽墙30cm处</w:t>
                  </w:r>
                </w:p>
              </w:tc>
              <w:tc>
                <w:tcPr>
                  <w:tcW w:w="369" w:type="pct"/>
                  <w:tcBorders>
                    <w:top w:val="single" w:color="auto" w:sz="4" w:space="0"/>
                    <w:left w:val="single" w:color="auto" w:sz="4" w:space="0"/>
                    <w:bottom w:val="single" w:color="auto" w:sz="4" w:space="0"/>
                    <w:right w:val="single" w:color="auto" w:sz="4" w:space="0"/>
                  </w:tcBorders>
                  <w:vAlign w:val="center"/>
                </w:tcPr>
                <w:p w14:paraId="5BE24925">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透视</w:t>
                  </w:r>
                </w:p>
              </w:tc>
              <w:tc>
                <w:tcPr>
                  <w:tcW w:w="1165" w:type="dxa"/>
                  <w:tcBorders>
                    <w:top w:val="single" w:color="auto" w:sz="4" w:space="0"/>
                    <w:left w:val="single" w:color="auto" w:sz="4" w:space="0"/>
                    <w:bottom w:val="single" w:color="auto" w:sz="4" w:space="0"/>
                    <w:right w:val="single" w:color="auto" w:sz="4" w:space="0"/>
                  </w:tcBorders>
                  <w:vAlign w:val="center"/>
                </w:tcPr>
                <w:p w14:paraId="0AEC121E">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3.38E-05</w:t>
                  </w:r>
                </w:p>
              </w:tc>
              <w:tc>
                <w:tcPr>
                  <w:tcW w:w="556" w:type="pct"/>
                  <w:vMerge w:val="restart"/>
                  <w:tcBorders>
                    <w:top w:val="single" w:color="auto" w:sz="4" w:space="0"/>
                    <w:left w:val="single" w:color="auto" w:sz="4" w:space="0"/>
                    <w:bottom w:val="single" w:color="auto" w:sz="4" w:space="0"/>
                    <w:right w:val="single" w:color="auto" w:sz="4" w:space="0"/>
                  </w:tcBorders>
                  <w:vAlign w:val="center"/>
                </w:tcPr>
                <w:p w14:paraId="2332973D">
                  <w:pPr>
                    <w:keepNext w:val="0"/>
                    <w:keepLines w:val="0"/>
                    <w:widowControl/>
                    <w:suppressLineNumbers w:val="0"/>
                    <w:jc w:val="center"/>
                    <w:textAlignment w:val="center"/>
                    <w:rPr>
                      <w:rFonts w:hint="default" w:ascii="Times New Roman" w:hAnsi="Times New Roman" w:cs="Times New Roman"/>
                      <w:bCs/>
                      <w:color w:val="auto"/>
                      <w:sz w:val="18"/>
                      <w:szCs w:val="18"/>
                      <w:highlight w:val="no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 1/</w:t>
                  </w:r>
                  <w:r>
                    <w:rPr>
                      <w:rFonts w:hint="eastAsia" w:ascii="Times New Roman" w:hAnsi="Times New Roman" w:cs="Times New Roman"/>
                      <w:i w:val="0"/>
                      <w:iCs w:val="0"/>
                      <w:color w:val="auto"/>
                      <w:kern w:val="0"/>
                      <w:sz w:val="18"/>
                      <w:szCs w:val="18"/>
                      <w:highlight w:val="none"/>
                      <w:u w:val="none"/>
                      <w:lang w:val="en-US" w:eastAsia="zh-CN" w:bidi="ar"/>
                    </w:rPr>
                    <w:t>16</w:t>
                  </w:r>
                </w:p>
              </w:tc>
              <w:tc>
                <w:tcPr>
                  <w:tcW w:w="515" w:type="pct"/>
                  <w:vMerge w:val="continue"/>
                  <w:tcBorders>
                    <w:left w:val="single" w:color="auto" w:sz="4" w:space="0"/>
                    <w:right w:val="single" w:color="auto" w:sz="4" w:space="0"/>
                  </w:tcBorders>
                  <w:vAlign w:val="center"/>
                </w:tcPr>
                <w:p w14:paraId="71C668D2">
                  <w:pPr>
                    <w:pStyle w:val="32"/>
                    <w:snapToGrid w:val="0"/>
                    <w:jc w:val="center"/>
                    <w:rPr>
                      <w:rFonts w:hint="default" w:ascii="Times New Roman" w:hAnsi="Times New Roman" w:cs="Times New Roman"/>
                      <w:bCs/>
                      <w:color w:val="auto"/>
                      <w:sz w:val="18"/>
                      <w:szCs w:val="18"/>
                      <w:highlight w:val="none"/>
                    </w:rPr>
                  </w:pPr>
                </w:p>
              </w:tc>
              <w:tc>
                <w:tcPr>
                  <w:tcW w:w="625" w:type="pct"/>
                  <w:vMerge w:val="restart"/>
                  <w:tcBorders>
                    <w:top w:val="single" w:color="auto" w:sz="4" w:space="0"/>
                    <w:left w:val="single" w:color="auto" w:sz="4" w:space="0"/>
                    <w:bottom w:val="single" w:color="auto" w:sz="4" w:space="0"/>
                    <w:right w:val="single" w:color="auto" w:sz="4" w:space="0"/>
                  </w:tcBorders>
                  <w:vAlign w:val="center"/>
                </w:tcPr>
                <w:p w14:paraId="6ED5C186">
                  <w:pPr>
                    <w:widowControl/>
                    <w:adjustRightInd w:val="0"/>
                    <w:snapToGrid w:val="0"/>
                    <w:jc w:val="center"/>
                    <w:textAlignment w:val="center"/>
                    <w:rPr>
                      <w:rFonts w:hint="default" w:ascii="Times New Roman" w:hAnsi="Times New Roman" w:cs="Times New Roman"/>
                      <w:color w:val="auto"/>
                      <w:sz w:val="18"/>
                      <w:szCs w:val="18"/>
                      <w:highlight w:val="none"/>
                    </w:rPr>
                  </w:pPr>
                  <w:r>
                    <w:rPr>
                      <w:rFonts w:hint="eastAsia" w:ascii="Times New Roman" w:hAnsi="Times New Roman" w:cs="Times New Roman"/>
                      <w:bCs/>
                      <w:color w:val="auto"/>
                      <w:sz w:val="18"/>
                      <w:szCs w:val="18"/>
                      <w:highlight w:val="none"/>
                      <w:lang w:val="en-US" w:eastAsia="zh-CN"/>
                    </w:rPr>
                    <w:t>公众</w:t>
                  </w:r>
                </w:p>
              </w:tc>
              <w:tc>
                <w:tcPr>
                  <w:tcW w:w="1258" w:type="dxa"/>
                  <w:vMerge w:val="restart"/>
                  <w:tcBorders>
                    <w:top w:val="single" w:color="auto" w:sz="4" w:space="0"/>
                    <w:left w:val="single" w:color="auto" w:sz="4" w:space="0"/>
                    <w:bottom w:val="single" w:color="auto" w:sz="4" w:space="0"/>
                  </w:tcBorders>
                  <w:vAlign w:val="center"/>
                </w:tcPr>
                <w:p w14:paraId="22D8069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3.87E-07</w:t>
                  </w:r>
                </w:p>
              </w:tc>
              <w:tc>
                <w:tcPr>
                  <w:tcW w:w="498" w:type="pct"/>
                  <w:vMerge w:val="continue"/>
                  <w:tcBorders>
                    <w:left w:val="single" w:color="auto" w:sz="4" w:space="0"/>
                  </w:tcBorders>
                  <w:vAlign w:val="center"/>
                </w:tcPr>
                <w:p w14:paraId="5805DE2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2656B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Merge w:val="continue"/>
                  <w:tcBorders>
                    <w:top w:val="single" w:color="auto" w:sz="4" w:space="0"/>
                    <w:bottom w:val="single" w:color="auto" w:sz="4" w:space="0"/>
                    <w:right w:val="single" w:color="auto" w:sz="4" w:space="0"/>
                  </w:tcBorders>
                  <w:vAlign w:val="center"/>
                </w:tcPr>
                <w:p w14:paraId="545ADADC">
                  <w:pPr>
                    <w:jc w:val="center"/>
                    <w:rPr>
                      <w:rFonts w:hint="default" w:ascii="Times New Roman" w:hAnsi="Times New Roman" w:cs="Times New Roman"/>
                      <w:bCs/>
                      <w:color w:val="auto"/>
                      <w:sz w:val="18"/>
                      <w:szCs w:val="18"/>
                      <w:highlight w:val="none"/>
                    </w:rPr>
                  </w:pPr>
                </w:p>
              </w:tc>
              <w:tc>
                <w:tcPr>
                  <w:tcW w:w="709" w:type="pct"/>
                  <w:vMerge w:val="continue"/>
                  <w:tcBorders>
                    <w:top w:val="single" w:color="auto" w:sz="4" w:space="0"/>
                    <w:left w:val="single" w:color="auto" w:sz="4" w:space="0"/>
                    <w:bottom w:val="single" w:color="auto" w:sz="4" w:space="0"/>
                    <w:right w:val="single" w:color="auto" w:sz="4" w:space="0"/>
                  </w:tcBorders>
                  <w:vAlign w:val="center"/>
                </w:tcPr>
                <w:p w14:paraId="23223687">
                  <w:pPr>
                    <w:jc w:val="center"/>
                    <w:rPr>
                      <w:rFonts w:hint="default" w:ascii="Times New Roman" w:hAnsi="Times New Roman" w:cs="Times New Roman"/>
                      <w:bCs/>
                      <w:color w:val="auto"/>
                      <w:sz w:val="18"/>
                      <w:szCs w:val="18"/>
                      <w:highlight w:val="none"/>
                    </w:rPr>
                  </w:pPr>
                </w:p>
              </w:tc>
              <w:tc>
                <w:tcPr>
                  <w:tcW w:w="369" w:type="pct"/>
                  <w:tcBorders>
                    <w:top w:val="single" w:color="auto" w:sz="4" w:space="0"/>
                    <w:left w:val="single" w:color="auto" w:sz="4" w:space="0"/>
                    <w:bottom w:val="single" w:color="auto" w:sz="4" w:space="0"/>
                    <w:right w:val="single" w:color="auto" w:sz="4" w:space="0"/>
                  </w:tcBorders>
                  <w:vAlign w:val="center"/>
                </w:tcPr>
                <w:p w14:paraId="01E72415">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拍片</w:t>
                  </w:r>
                </w:p>
              </w:tc>
              <w:tc>
                <w:tcPr>
                  <w:tcW w:w="1165" w:type="dxa"/>
                  <w:tcBorders>
                    <w:top w:val="single" w:color="auto" w:sz="4" w:space="0"/>
                    <w:left w:val="single" w:color="auto" w:sz="4" w:space="0"/>
                    <w:bottom w:val="single" w:color="auto" w:sz="4" w:space="0"/>
                    <w:right w:val="single" w:color="auto" w:sz="4" w:space="0"/>
                  </w:tcBorders>
                  <w:vAlign w:val="center"/>
                </w:tcPr>
                <w:p w14:paraId="5A699942">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7.13E-04</w:t>
                  </w:r>
                </w:p>
              </w:tc>
              <w:tc>
                <w:tcPr>
                  <w:tcW w:w="556" w:type="pct"/>
                  <w:vMerge w:val="continue"/>
                  <w:tcBorders>
                    <w:top w:val="single" w:color="auto" w:sz="4" w:space="0"/>
                    <w:left w:val="single" w:color="auto" w:sz="4" w:space="0"/>
                    <w:bottom w:val="single" w:color="auto" w:sz="4" w:space="0"/>
                    <w:right w:val="single" w:color="auto" w:sz="4" w:space="0"/>
                  </w:tcBorders>
                  <w:vAlign w:val="center"/>
                </w:tcPr>
                <w:p w14:paraId="7B1137C3">
                  <w:pPr>
                    <w:pStyle w:val="32"/>
                    <w:snapToGrid w:val="0"/>
                    <w:jc w:val="center"/>
                    <w:rPr>
                      <w:rFonts w:hint="default" w:ascii="Times New Roman" w:hAnsi="Times New Roman" w:cs="Times New Roman"/>
                      <w:bCs/>
                      <w:color w:val="auto"/>
                      <w:sz w:val="18"/>
                      <w:szCs w:val="18"/>
                      <w:highlight w:val="none"/>
                    </w:rPr>
                  </w:pPr>
                </w:p>
              </w:tc>
              <w:tc>
                <w:tcPr>
                  <w:tcW w:w="515" w:type="pct"/>
                  <w:vMerge w:val="continue"/>
                  <w:tcBorders>
                    <w:left w:val="single" w:color="auto" w:sz="4" w:space="0"/>
                    <w:right w:val="single" w:color="auto" w:sz="4" w:space="0"/>
                  </w:tcBorders>
                  <w:vAlign w:val="center"/>
                </w:tcPr>
                <w:p w14:paraId="10F2C5C4">
                  <w:pPr>
                    <w:pStyle w:val="32"/>
                    <w:snapToGrid w:val="0"/>
                    <w:jc w:val="center"/>
                    <w:rPr>
                      <w:rFonts w:hint="default" w:ascii="Times New Roman" w:hAnsi="Times New Roman" w:cs="Times New Roman"/>
                      <w:bCs/>
                      <w:color w:val="auto"/>
                      <w:sz w:val="18"/>
                      <w:szCs w:val="18"/>
                      <w:highlight w:val="none"/>
                    </w:rPr>
                  </w:pPr>
                </w:p>
              </w:tc>
              <w:tc>
                <w:tcPr>
                  <w:tcW w:w="625" w:type="pct"/>
                  <w:vMerge w:val="continue"/>
                  <w:tcBorders>
                    <w:top w:val="single" w:color="auto" w:sz="4" w:space="0"/>
                    <w:left w:val="single" w:color="auto" w:sz="4" w:space="0"/>
                    <w:bottom w:val="single" w:color="auto" w:sz="4" w:space="0"/>
                    <w:right w:val="single" w:color="auto" w:sz="4" w:space="0"/>
                  </w:tcBorders>
                  <w:vAlign w:val="center"/>
                </w:tcPr>
                <w:p w14:paraId="0FADC82C">
                  <w:pPr>
                    <w:pStyle w:val="32"/>
                    <w:snapToGrid w:val="0"/>
                    <w:jc w:val="center"/>
                    <w:rPr>
                      <w:rFonts w:hint="default" w:ascii="Times New Roman" w:hAnsi="Times New Roman" w:cs="Times New Roman"/>
                      <w:bCs/>
                      <w:color w:val="auto"/>
                      <w:sz w:val="18"/>
                      <w:szCs w:val="18"/>
                      <w:highlight w:val="none"/>
                    </w:rPr>
                  </w:pPr>
                </w:p>
              </w:tc>
              <w:tc>
                <w:tcPr>
                  <w:tcW w:w="758" w:type="pct"/>
                  <w:vMerge w:val="continue"/>
                  <w:tcBorders>
                    <w:top w:val="single" w:color="auto" w:sz="4" w:space="0"/>
                    <w:left w:val="single" w:color="auto" w:sz="4" w:space="0"/>
                    <w:bottom w:val="single" w:color="auto" w:sz="4" w:space="0"/>
                  </w:tcBorders>
                  <w:vAlign w:val="center"/>
                </w:tcPr>
                <w:p w14:paraId="2358B78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498" w:type="pct"/>
                  <w:vMerge w:val="continue"/>
                  <w:tcBorders>
                    <w:left w:val="single" w:color="auto" w:sz="4" w:space="0"/>
                  </w:tcBorders>
                  <w:vAlign w:val="center"/>
                </w:tcPr>
                <w:p w14:paraId="7D29860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2DB3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Merge w:val="restart"/>
                  <w:tcBorders>
                    <w:top w:val="single" w:color="auto" w:sz="4" w:space="0"/>
                    <w:bottom w:val="single" w:color="auto" w:sz="4" w:space="0"/>
                    <w:right w:val="single" w:color="auto" w:sz="4" w:space="0"/>
                  </w:tcBorders>
                  <w:vAlign w:val="center"/>
                </w:tcPr>
                <w:p w14:paraId="7CD9AE19">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5</w:t>
                  </w:r>
                </w:p>
              </w:tc>
              <w:tc>
                <w:tcPr>
                  <w:tcW w:w="70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FA5D7A4">
                  <w:pPr>
                    <w:widowControl/>
                    <w:adjustRightInd w:val="0"/>
                    <w:snapToGrid w:val="0"/>
                    <w:jc w:val="center"/>
                    <w:textAlignment w:val="center"/>
                    <w:rPr>
                      <w:rFonts w:hint="default" w:ascii="Times New Roman" w:hAnsi="Times New Roman" w:cs="Times New Roman"/>
                      <w:bCs/>
                      <w:color w:val="auto"/>
                      <w:sz w:val="18"/>
                      <w:szCs w:val="18"/>
                      <w:highlight w:val="none"/>
                    </w:rPr>
                  </w:pPr>
                  <w:r>
                    <w:rPr>
                      <w:rStyle w:val="67"/>
                      <w:rFonts w:hint="eastAsia" w:ascii="Times New Roman" w:hAnsi="Times New Roman" w:cs="Times New Roman"/>
                      <w:bCs/>
                      <w:color w:val="auto"/>
                      <w:sz w:val="18"/>
                      <w:szCs w:val="18"/>
                      <w:highlight w:val="none"/>
                      <w:lang w:val="en-US" w:eastAsia="zh-CN" w:bidi="ar"/>
                    </w:rPr>
                    <w:t>高值耗材存放处平开门30cm处</w:t>
                  </w:r>
                </w:p>
              </w:tc>
              <w:tc>
                <w:tcPr>
                  <w:tcW w:w="369" w:type="pct"/>
                  <w:tcBorders>
                    <w:top w:val="single" w:color="auto" w:sz="4" w:space="0"/>
                    <w:left w:val="single" w:color="auto" w:sz="4" w:space="0"/>
                    <w:bottom w:val="single" w:color="auto" w:sz="4" w:space="0"/>
                    <w:right w:val="single" w:color="auto" w:sz="4" w:space="0"/>
                  </w:tcBorders>
                  <w:vAlign w:val="center"/>
                </w:tcPr>
                <w:p w14:paraId="2995730B">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透视</w:t>
                  </w:r>
                </w:p>
              </w:tc>
              <w:tc>
                <w:tcPr>
                  <w:tcW w:w="1165" w:type="dxa"/>
                  <w:tcBorders>
                    <w:top w:val="single" w:color="auto" w:sz="4" w:space="0"/>
                    <w:left w:val="single" w:color="auto" w:sz="4" w:space="0"/>
                    <w:bottom w:val="single" w:color="auto" w:sz="4" w:space="0"/>
                    <w:right w:val="single" w:color="auto" w:sz="4" w:space="0"/>
                  </w:tcBorders>
                  <w:vAlign w:val="center"/>
                </w:tcPr>
                <w:p w14:paraId="14B7493C">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5.64E-03</w:t>
                  </w:r>
                </w:p>
              </w:tc>
              <w:tc>
                <w:tcPr>
                  <w:tcW w:w="556" w:type="pct"/>
                  <w:vMerge w:val="restart"/>
                  <w:tcBorders>
                    <w:top w:val="single" w:color="auto" w:sz="4" w:space="0"/>
                    <w:left w:val="single" w:color="auto" w:sz="4" w:space="0"/>
                    <w:bottom w:val="single" w:color="auto" w:sz="4" w:space="0"/>
                    <w:right w:val="single" w:color="auto" w:sz="4" w:space="0"/>
                  </w:tcBorders>
                  <w:vAlign w:val="center"/>
                </w:tcPr>
                <w:p w14:paraId="1B82E50A">
                  <w:pPr>
                    <w:keepNext w:val="0"/>
                    <w:keepLines w:val="0"/>
                    <w:widowControl/>
                    <w:suppressLineNumbers w:val="0"/>
                    <w:jc w:val="center"/>
                    <w:textAlignment w:val="center"/>
                    <w:rPr>
                      <w:rFonts w:hint="default" w:ascii="Times New Roman" w:hAnsi="Times New Roman" w:cs="Times New Roman"/>
                      <w:bCs/>
                      <w:color w:val="auto"/>
                      <w:sz w:val="18"/>
                      <w:szCs w:val="18"/>
                      <w:highlight w:val="no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 1/</w:t>
                  </w:r>
                  <w:r>
                    <w:rPr>
                      <w:rFonts w:hint="eastAsia" w:ascii="Times New Roman" w:hAnsi="Times New Roman" w:cs="Times New Roman"/>
                      <w:i w:val="0"/>
                      <w:iCs w:val="0"/>
                      <w:color w:val="auto"/>
                      <w:kern w:val="0"/>
                      <w:sz w:val="18"/>
                      <w:szCs w:val="18"/>
                      <w:highlight w:val="none"/>
                      <w:u w:val="none"/>
                      <w:lang w:val="en-US" w:eastAsia="zh-CN" w:bidi="ar"/>
                    </w:rPr>
                    <w:t>16</w:t>
                  </w:r>
                </w:p>
              </w:tc>
              <w:tc>
                <w:tcPr>
                  <w:tcW w:w="515" w:type="pct"/>
                  <w:vMerge w:val="continue"/>
                  <w:tcBorders>
                    <w:left w:val="single" w:color="auto" w:sz="4" w:space="0"/>
                    <w:right w:val="single" w:color="auto" w:sz="4" w:space="0"/>
                  </w:tcBorders>
                  <w:vAlign w:val="center"/>
                </w:tcPr>
                <w:p w14:paraId="64DBFF4D">
                  <w:pPr>
                    <w:pStyle w:val="32"/>
                    <w:snapToGrid w:val="0"/>
                    <w:jc w:val="center"/>
                    <w:rPr>
                      <w:rFonts w:hint="default" w:ascii="Times New Roman" w:hAnsi="Times New Roman" w:cs="Times New Roman"/>
                      <w:bCs/>
                      <w:color w:val="auto"/>
                      <w:sz w:val="18"/>
                      <w:szCs w:val="18"/>
                      <w:highlight w:val="none"/>
                    </w:rPr>
                  </w:pPr>
                </w:p>
              </w:tc>
              <w:tc>
                <w:tcPr>
                  <w:tcW w:w="625" w:type="pct"/>
                  <w:vMerge w:val="restart"/>
                  <w:tcBorders>
                    <w:top w:val="single" w:color="auto" w:sz="4" w:space="0"/>
                    <w:left w:val="single" w:color="auto" w:sz="4" w:space="0"/>
                    <w:bottom w:val="single" w:color="auto" w:sz="4" w:space="0"/>
                    <w:right w:val="single" w:color="auto" w:sz="4" w:space="0"/>
                  </w:tcBorders>
                  <w:vAlign w:val="center"/>
                </w:tcPr>
                <w:p w14:paraId="3B8C4E86">
                  <w:pPr>
                    <w:adjustRightInd w:val="0"/>
                    <w:snapToGrid w:val="0"/>
                    <w:jc w:val="center"/>
                    <w:rPr>
                      <w:rFonts w:hint="default" w:ascii="Times New Roman" w:hAnsi="Times New Roman" w:cs="Times New Roman"/>
                      <w:bCs/>
                      <w:color w:val="auto"/>
                      <w:sz w:val="18"/>
                      <w:szCs w:val="18"/>
                      <w:highlight w:val="none"/>
                    </w:rPr>
                  </w:pPr>
                  <w:r>
                    <w:rPr>
                      <w:rFonts w:hint="eastAsia" w:ascii="Times New Roman" w:hAnsi="Times New Roman" w:cs="Times New Roman"/>
                      <w:bCs/>
                      <w:color w:val="auto"/>
                      <w:sz w:val="18"/>
                      <w:szCs w:val="18"/>
                      <w:highlight w:val="none"/>
                      <w:lang w:val="en-US" w:eastAsia="zh-CN"/>
                    </w:rPr>
                    <w:t>公众</w:t>
                  </w:r>
                </w:p>
              </w:tc>
              <w:tc>
                <w:tcPr>
                  <w:tcW w:w="1258" w:type="dxa"/>
                  <w:vMerge w:val="restart"/>
                  <w:tcBorders>
                    <w:top w:val="single" w:color="auto" w:sz="4" w:space="0"/>
                    <w:left w:val="single" w:color="auto" w:sz="4" w:space="0"/>
                    <w:bottom w:val="single" w:color="auto" w:sz="4" w:space="0"/>
                  </w:tcBorders>
                  <w:vAlign w:val="center"/>
                </w:tcPr>
                <w:p w14:paraId="39E6C57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6.07E-05</w:t>
                  </w:r>
                </w:p>
              </w:tc>
              <w:tc>
                <w:tcPr>
                  <w:tcW w:w="498" w:type="pct"/>
                  <w:vMerge w:val="continue"/>
                  <w:tcBorders>
                    <w:left w:val="single" w:color="auto" w:sz="4" w:space="0"/>
                  </w:tcBorders>
                  <w:vAlign w:val="center"/>
                </w:tcPr>
                <w:p w14:paraId="63F6C39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21130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Merge w:val="continue"/>
                  <w:tcBorders>
                    <w:top w:val="single" w:color="auto" w:sz="4" w:space="0"/>
                    <w:bottom w:val="single" w:color="auto" w:sz="4" w:space="0"/>
                    <w:right w:val="single" w:color="auto" w:sz="4" w:space="0"/>
                  </w:tcBorders>
                  <w:vAlign w:val="center"/>
                </w:tcPr>
                <w:p w14:paraId="1FADA315">
                  <w:pPr>
                    <w:jc w:val="center"/>
                    <w:rPr>
                      <w:rFonts w:hint="default" w:ascii="Times New Roman" w:hAnsi="Times New Roman" w:cs="Times New Roman"/>
                      <w:bCs/>
                      <w:color w:val="auto"/>
                      <w:sz w:val="18"/>
                      <w:szCs w:val="18"/>
                      <w:highlight w:val="none"/>
                    </w:rPr>
                  </w:pPr>
                </w:p>
              </w:tc>
              <w:tc>
                <w:tcPr>
                  <w:tcW w:w="709" w:type="pct"/>
                  <w:vMerge w:val="continue"/>
                  <w:tcBorders>
                    <w:top w:val="single" w:color="auto" w:sz="4" w:space="0"/>
                    <w:left w:val="single" w:color="auto" w:sz="4" w:space="0"/>
                    <w:bottom w:val="single" w:color="auto" w:sz="4" w:space="0"/>
                    <w:right w:val="single" w:color="auto" w:sz="4" w:space="0"/>
                  </w:tcBorders>
                  <w:vAlign w:val="center"/>
                </w:tcPr>
                <w:p w14:paraId="0493CCA6">
                  <w:pPr>
                    <w:jc w:val="center"/>
                    <w:rPr>
                      <w:rFonts w:hint="default" w:ascii="Times New Roman" w:hAnsi="Times New Roman" w:cs="Times New Roman"/>
                      <w:bCs/>
                      <w:color w:val="auto"/>
                      <w:sz w:val="18"/>
                      <w:szCs w:val="18"/>
                      <w:highlight w:val="none"/>
                    </w:rPr>
                  </w:pPr>
                </w:p>
              </w:tc>
              <w:tc>
                <w:tcPr>
                  <w:tcW w:w="369" w:type="pct"/>
                  <w:tcBorders>
                    <w:top w:val="single" w:color="auto" w:sz="4" w:space="0"/>
                    <w:left w:val="single" w:color="auto" w:sz="4" w:space="0"/>
                    <w:bottom w:val="single" w:color="auto" w:sz="4" w:space="0"/>
                    <w:right w:val="single" w:color="auto" w:sz="4" w:space="0"/>
                  </w:tcBorders>
                  <w:vAlign w:val="center"/>
                </w:tcPr>
                <w:p w14:paraId="0A64382D">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拍片</w:t>
                  </w:r>
                </w:p>
              </w:tc>
              <w:tc>
                <w:tcPr>
                  <w:tcW w:w="1165" w:type="dxa"/>
                  <w:tcBorders>
                    <w:top w:val="single" w:color="auto" w:sz="4" w:space="0"/>
                    <w:left w:val="single" w:color="auto" w:sz="4" w:space="0"/>
                    <w:bottom w:val="single" w:color="auto" w:sz="4" w:space="0"/>
                    <w:right w:val="single" w:color="auto" w:sz="4" w:space="0"/>
                  </w:tcBorders>
                  <w:vAlign w:val="center"/>
                </w:tcPr>
                <w:p w14:paraId="7CE11285">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1.05E-01</w:t>
                  </w:r>
                </w:p>
              </w:tc>
              <w:tc>
                <w:tcPr>
                  <w:tcW w:w="556" w:type="pct"/>
                  <w:vMerge w:val="continue"/>
                  <w:tcBorders>
                    <w:top w:val="single" w:color="auto" w:sz="4" w:space="0"/>
                    <w:left w:val="single" w:color="auto" w:sz="4" w:space="0"/>
                    <w:bottom w:val="single" w:color="auto" w:sz="4" w:space="0"/>
                    <w:right w:val="single" w:color="auto" w:sz="4" w:space="0"/>
                  </w:tcBorders>
                  <w:vAlign w:val="center"/>
                </w:tcPr>
                <w:p w14:paraId="282B215D">
                  <w:pPr>
                    <w:pStyle w:val="32"/>
                    <w:snapToGrid w:val="0"/>
                    <w:jc w:val="center"/>
                    <w:rPr>
                      <w:rFonts w:hint="default" w:ascii="Times New Roman" w:hAnsi="Times New Roman" w:cs="Times New Roman"/>
                      <w:bCs/>
                      <w:color w:val="auto"/>
                      <w:sz w:val="18"/>
                      <w:szCs w:val="18"/>
                      <w:highlight w:val="none"/>
                    </w:rPr>
                  </w:pPr>
                </w:p>
              </w:tc>
              <w:tc>
                <w:tcPr>
                  <w:tcW w:w="515" w:type="pct"/>
                  <w:vMerge w:val="continue"/>
                  <w:tcBorders>
                    <w:left w:val="single" w:color="auto" w:sz="4" w:space="0"/>
                    <w:right w:val="single" w:color="auto" w:sz="4" w:space="0"/>
                  </w:tcBorders>
                  <w:vAlign w:val="center"/>
                </w:tcPr>
                <w:p w14:paraId="49EDF3FD">
                  <w:pPr>
                    <w:pStyle w:val="32"/>
                    <w:snapToGrid w:val="0"/>
                    <w:jc w:val="center"/>
                    <w:rPr>
                      <w:rFonts w:hint="default" w:ascii="Times New Roman" w:hAnsi="Times New Roman" w:cs="Times New Roman"/>
                      <w:bCs/>
                      <w:color w:val="auto"/>
                      <w:sz w:val="18"/>
                      <w:szCs w:val="18"/>
                      <w:highlight w:val="none"/>
                    </w:rPr>
                  </w:pPr>
                </w:p>
              </w:tc>
              <w:tc>
                <w:tcPr>
                  <w:tcW w:w="625" w:type="pct"/>
                  <w:vMerge w:val="continue"/>
                  <w:tcBorders>
                    <w:top w:val="single" w:color="auto" w:sz="4" w:space="0"/>
                    <w:left w:val="single" w:color="auto" w:sz="4" w:space="0"/>
                    <w:bottom w:val="single" w:color="auto" w:sz="4" w:space="0"/>
                    <w:right w:val="single" w:color="auto" w:sz="4" w:space="0"/>
                  </w:tcBorders>
                  <w:vAlign w:val="center"/>
                </w:tcPr>
                <w:p w14:paraId="4B086D45">
                  <w:pPr>
                    <w:pStyle w:val="32"/>
                    <w:snapToGrid w:val="0"/>
                    <w:jc w:val="center"/>
                    <w:rPr>
                      <w:rFonts w:hint="default" w:ascii="Times New Roman" w:hAnsi="Times New Roman" w:cs="Times New Roman"/>
                      <w:bCs/>
                      <w:color w:val="auto"/>
                      <w:sz w:val="18"/>
                      <w:szCs w:val="18"/>
                      <w:highlight w:val="none"/>
                    </w:rPr>
                  </w:pPr>
                </w:p>
              </w:tc>
              <w:tc>
                <w:tcPr>
                  <w:tcW w:w="758" w:type="pct"/>
                  <w:vMerge w:val="continue"/>
                  <w:tcBorders>
                    <w:top w:val="single" w:color="auto" w:sz="4" w:space="0"/>
                    <w:left w:val="single" w:color="auto" w:sz="4" w:space="0"/>
                    <w:bottom w:val="single" w:color="auto" w:sz="4" w:space="0"/>
                  </w:tcBorders>
                  <w:vAlign w:val="center"/>
                </w:tcPr>
                <w:p w14:paraId="0B722FB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498" w:type="pct"/>
                  <w:vMerge w:val="continue"/>
                  <w:tcBorders>
                    <w:left w:val="single" w:color="auto" w:sz="4" w:space="0"/>
                  </w:tcBorders>
                  <w:vAlign w:val="center"/>
                </w:tcPr>
                <w:p w14:paraId="647FCC7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1029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Merge w:val="restart"/>
                  <w:tcBorders>
                    <w:top w:val="single" w:color="auto" w:sz="4" w:space="0"/>
                    <w:bottom w:val="single" w:color="auto" w:sz="4" w:space="0"/>
                    <w:right w:val="single" w:color="auto" w:sz="4" w:space="0"/>
                  </w:tcBorders>
                  <w:vAlign w:val="center"/>
                </w:tcPr>
                <w:p w14:paraId="245B7943">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6</w:t>
                  </w:r>
                </w:p>
              </w:tc>
              <w:tc>
                <w:tcPr>
                  <w:tcW w:w="70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3432493">
                  <w:pPr>
                    <w:widowControl/>
                    <w:adjustRightInd w:val="0"/>
                    <w:snapToGrid w:val="0"/>
                    <w:jc w:val="center"/>
                    <w:textAlignment w:val="center"/>
                    <w:rPr>
                      <w:rFonts w:hint="default" w:ascii="Times New Roman" w:hAnsi="Times New Roman" w:cs="Times New Roman"/>
                      <w:bCs/>
                      <w:color w:val="auto"/>
                      <w:sz w:val="18"/>
                      <w:szCs w:val="18"/>
                      <w:highlight w:val="none"/>
                    </w:rPr>
                  </w:pPr>
                  <w:r>
                    <w:rPr>
                      <w:rStyle w:val="67"/>
                      <w:rFonts w:hint="eastAsia" w:ascii="Times New Roman" w:hAnsi="Times New Roman" w:cs="Times New Roman"/>
                      <w:bCs/>
                      <w:color w:val="auto"/>
                      <w:sz w:val="18"/>
                      <w:szCs w:val="18"/>
                      <w:highlight w:val="none"/>
                      <w:lang w:val="en-US" w:eastAsia="zh-CN" w:bidi="ar"/>
                    </w:rPr>
                    <w:t>控制室观察窗30cm处</w:t>
                  </w:r>
                </w:p>
              </w:tc>
              <w:tc>
                <w:tcPr>
                  <w:tcW w:w="369" w:type="pct"/>
                  <w:tcBorders>
                    <w:top w:val="single" w:color="auto" w:sz="4" w:space="0"/>
                    <w:left w:val="single" w:color="auto" w:sz="4" w:space="0"/>
                    <w:bottom w:val="single" w:color="auto" w:sz="4" w:space="0"/>
                    <w:right w:val="single" w:color="auto" w:sz="4" w:space="0"/>
                  </w:tcBorders>
                  <w:vAlign w:val="center"/>
                </w:tcPr>
                <w:p w14:paraId="3C8D3ECB">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透视</w:t>
                  </w:r>
                </w:p>
              </w:tc>
              <w:tc>
                <w:tcPr>
                  <w:tcW w:w="1165" w:type="dxa"/>
                  <w:tcBorders>
                    <w:top w:val="single" w:color="auto" w:sz="4" w:space="0"/>
                    <w:left w:val="single" w:color="auto" w:sz="4" w:space="0"/>
                    <w:bottom w:val="single" w:color="auto" w:sz="4" w:space="0"/>
                    <w:right w:val="single" w:color="auto" w:sz="4" w:space="0"/>
                  </w:tcBorders>
                  <w:vAlign w:val="center"/>
                </w:tcPr>
                <w:p w14:paraId="203BD465">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5.64E-03</w:t>
                  </w:r>
                </w:p>
              </w:tc>
              <w:tc>
                <w:tcPr>
                  <w:tcW w:w="556" w:type="pct"/>
                  <w:vMerge w:val="restart"/>
                  <w:tcBorders>
                    <w:top w:val="single" w:color="auto" w:sz="4" w:space="0"/>
                    <w:left w:val="single" w:color="auto" w:sz="4" w:space="0"/>
                    <w:bottom w:val="single" w:color="auto" w:sz="4" w:space="0"/>
                    <w:right w:val="single" w:color="auto" w:sz="4" w:space="0"/>
                  </w:tcBorders>
                  <w:vAlign w:val="center"/>
                </w:tcPr>
                <w:p w14:paraId="1945549F">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r>
                    <w:rPr>
                      <w:rFonts w:hint="eastAsia" w:ascii="Times New Roman" w:hAnsi="Times New Roman" w:cs="Times New Roman"/>
                      <w:i w:val="0"/>
                      <w:iCs w:val="0"/>
                      <w:color w:val="auto"/>
                      <w:kern w:val="0"/>
                      <w:sz w:val="18"/>
                      <w:szCs w:val="18"/>
                      <w:highlight w:val="none"/>
                      <w:u w:val="none"/>
                      <w:lang w:val="en-US" w:eastAsia="zh-CN" w:bidi="ar"/>
                    </w:rPr>
                    <w:t>1</w:t>
                  </w:r>
                </w:p>
              </w:tc>
              <w:tc>
                <w:tcPr>
                  <w:tcW w:w="515" w:type="pct"/>
                  <w:vMerge w:val="continue"/>
                  <w:tcBorders>
                    <w:left w:val="single" w:color="auto" w:sz="4" w:space="0"/>
                    <w:right w:val="single" w:color="auto" w:sz="4" w:space="0"/>
                  </w:tcBorders>
                  <w:vAlign w:val="center"/>
                </w:tcPr>
                <w:p w14:paraId="1E2A9B32">
                  <w:pPr>
                    <w:pStyle w:val="32"/>
                    <w:snapToGrid w:val="0"/>
                    <w:jc w:val="center"/>
                    <w:rPr>
                      <w:rFonts w:hint="default" w:ascii="Times New Roman" w:hAnsi="Times New Roman" w:cs="Times New Roman"/>
                      <w:bCs/>
                      <w:color w:val="auto"/>
                      <w:sz w:val="18"/>
                      <w:szCs w:val="18"/>
                      <w:highlight w:val="none"/>
                    </w:rPr>
                  </w:pPr>
                </w:p>
              </w:tc>
              <w:tc>
                <w:tcPr>
                  <w:tcW w:w="625" w:type="pct"/>
                  <w:vMerge w:val="restart"/>
                  <w:tcBorders>
                    <w:top w:val="single" w:color="auto" w:sz="4" w:space="0"/>
                    <w:left w:val="single" w:color="auto" w:sz="4" w:space="0"/>
                    <w:bottom w:val="single" w:color="auto" w:sz="4" w:space="0"/>
                    <w:right w:val="single" w:color="auto" w:sz="4" w:space="0"/>
                  </w:tcBorders>
                  <w:vAlign w:val="center"/>
                </w:tcPr>
                <w:p w14:paraId="677BB528">
                  <w:pPr>
                    <w:pStyle w:val="32"/>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辐射工作人员</w:t>
                  </w:r>
                </w:p>
              </w:tc>
              <w:tc>
                <w:tcPr>
                  <w:tcW w:w="1258" w:type="dxa"/>
                  <w:vMerge w:val="restart"/>
                  <w:tcBorders>
                    <w:top w:val="single" w:color="auto" w:sz="4" w:space="0"/>
                    <w:left w:val="single" w:color="auto" w:sz="4" w:space="0"/>
                    <w:bottom w:val="single" w:color="auto" w:sz="4" w:space="0"/>
                  </w:tcBorders>
                  <w:vAlign w:val="center"/>
                </w:tcPr>
                <w:p w14:paraId="7811B5A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9.71E-04</w:t>
                  </w:r>
                </w:p>
              </w:tc>
              <w:tc>
                <w:tcPr>
                  <w:tcW w:w="498" w:type="pct"/>
                  <w:vMerge w:val="continue"/>
                  <w:tcBorders>
                    <w:left w:val="single" w:color="auto" w:sz="4" w:space="0"/>
                  </w:tcBorders>
                  <w:vAlign w:val="center"/>
                </w:tcPr>
                <w:p w14:paraId="4A0F9E5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0851A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Merge w:val="continue"/>
                  <w:tcBorders>
                    <w:top w:val="single" w:color="auto" w:sz="4" w:space="0"/>
                    <w:bottom w:val="single" w:color="auto" w:sz="4" w:space="0"/>
                    <w:right w:val="single" w:color="auto" w:sz="4" w:space="0"/>
                  </w:tcBorders>
                  <w:vAlign w:val="center"/>
                </w:tcPr>
                <w:p w14:paraId="70571999">
                  <w:pPr>
                    <w:jc w:val="center"/>
                    <w:rPr>
                      <w:rFonts w:hint="default" w:ascii="Times New Roman" w:hAnsi="Times New Roman" w:cs="Times New Roman"/>
                      <w:bCs/>
                      <w:color w:val="auto"/>
                      <w:sz w:val="18"/>
                      <w:szCs w:val="18"/>
                      <w:highlight w:val="none"/>
                    </w:rPr>
                  </w:pPr>
                </w:p>
              </w:tc>
              <w:tc>
                <w:tcPr>
                  <w:tcW w:w="709" w:type="pct"/>
                  <w:vMerge w:val="continue"/>
                  <w:tcBorders>
                    <w:top w:val="single" w:color="auto" w:sz="4" w:space="0"/>
                    <w:left w:val="single" w:color="auto" w:sz="4" w:space="0"/>
                    <w:bottom w:val="single" w:color="auto" w:sz="4" w:space="0"/>
                    <w:right w:val="single" w:color="auto" w:sz="4" w:space="0"/>
                  </w:tcBorders>
                  <w:vAlign w:val="center"/>
                </w:tcPr>
                <w:p w14:paraId="6076A502">
                  <w:pPr>
                    <w:jc w:val="center"/>
                    <w:rPr>
                      <w:rFonts w:hint="default" w:ascii="Times New Roman" w:hAnsi="Times New Roman" w:cs="Times New Roman"/>
                      <w:bCs/>
                      <w:color w:val="auto"/>
                      <w:sz w:val="18"/>
                      <w:szCs w:val="18"/>
                      <w:highlight w:val="none"/>
                    </w:rPr>
                  </w:pPr>
                </w:p>
              </w:tc>
              <w:tc>
                <w:tcPr>
                  <w:tcW w:w="369" w:type="pct"/>
                  <w:tcBorders>
                    <w:top w:val="single" w:color="auto" w:sz="4" w:space="0"/>
                    <w:left w:val="single" w:color="auto" w:sz="4" w:space="0"/>
                    <w:bottom w:val="single" w:color="auto" w:sz="4" w:space="0"/>
                    <w:right w:val="single" w:color="auto" w:sz="4" w:space="0"/>
                  </w:tcBorders>
                  <w:vAlign w:val="center"/>
                </w:tcPr>
                <w:p w14:paraId="73DBA3E6">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拍片</w:t>
                  </w:r>
                </w:p>
              </w:tc>
              <w:tc>
                <w:tcPr>
                  <w:tcW w:w="1165" w:type="dxa"/>
                  <w:tcBorders>
                    <w:top w:val="single" w:color="auto" w:sz="4" w:space="0"/>
                    <w:left w:val="single" w:color="auto" w:sz="4" w:space="0"/>
                    <w:bottom w:val="single" w:color="auto" w:sz="4" w:space="0"/>
                    <w:right w:val="single" w:color="auto" w:sz="4" w:space="0"/>
                  </w:tcBorders>
                  <w:vAlign w:val="center"/>
                </w:tcPr>
                <w:p w14:paraId="3D2D6BE6">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1.05E-01</w:t>
                  </w:r>
                </w:p>
              </w:tc>
              <w:tc>
                <w:tcPr>
                  <w:tcW w:w="556" w:type="pct"/>
                  <w:vMerge w:val="continue"/>
                  <w:tcBorders>
                    <w:top w:val="single" w:color="auto" w:sz="4" w:space="0"/>
                    <w:left w:val="single" w:color="auto" w:sz="4" w:space="0"/>
                    <w:bottom w:val="single" w:color="auto" w:sz="4" w:space="0"/>
                    <w:right w:val="single" w:color="auto" w:sz="4" w:space="0"/>
                  </w:tcBorders>
                  <w:vAlign w:val="center"/>
                </w:tcPr>
                <w:p w14:paraId="23F2F62F">
                  <w:pPr>
                    <w:pStyle w:val="32"/>
                    <w:snapToGrid w:val="0"/>
                    <w:jc w:val="center"/>
                    <w:rPr>
                      <w:rFonts w:hint="default" w:ascii="Times New Roman" w:hAnsi="Times New Roman" w:cs="Times New Roman"/>
                      <w:bCs/>
                      <w:color w:val="auto"/>
                      <w:sz w:val="18"/>
                      <w:szCs w:val="18"/>
                      <w:highlight w:val="none"/>
                    </w:rPr>
                  </w:pPr>
                </w:p>
              </w:tc>
              <w:tc>
                <w:tcPr>
                  <w:tcW w:w="515" w:type="pct"/>
                  <w:vMerge w:val="continue"/>
                  <w:tcBorders>
                    <w:left w:val="single" w:color="auto" w:sz="4" w:space="0"/>
                    <w:right w:val="single" w:color="auto" w:sz="4" w:space="0"/>
                  </w:tcBorders>
                  <w:vAlign w:val="center"/>
                </w:tcPr>
                <w:p w14:paraId="2D4C9E0F">
                  <w:pPr>
                    <w:pStyle w:val="32"/>
                    <w:snapToGrid w:val="0"/>
                    <w:jc w:val="center"/>
                    <w:rPr>
                      <w:rFonts w:hint="default" w:ascii="Times New Roman" w:hAnsi="Times New Roman" w:cs="Times New Roman"/>
                      <w:bCs/>
                      <w:color w:val="auto"/>
                      <w:sz w:val="18"/>
                      <w:szCs w:val="18"/>
                      <w:highlight w:val="none"/>
                    </w:rPr>
                  </w:pPr>
                </w:p>
              </w:tc>
              <w:tc>
                <w:tcPr>
                  <w:tcW w:w="625" w:type="pct"/>
                  <w:vMerge w:val="continue"/>
                  <w:tcBorders>
                    <w:top w:val="single" w:color="auto" w:sz="4" w:space="0"/>
                    <w:left w:val="single" w:color="auto" w:sz="4" w:space="0"/>
                    <w:bottom w:val="single" w:color="auto" w:sz="4" w:space="0"/>
                    <w:right w:val="single" w:color="auto" w:sz="4" w:space="0"/>
                  </w:tcBorders>
                  <w:vAlign w:val="center"/>
                </w:tcPr>
                <w:p w14:paraId="7B63AD89">
                  <w:pPr>
                    <w:pStyle w:val="32"/>
                    <w:snapToGrid w:val="0"/>
                    <w:jc w:val="center"/>
                    <w:rPr>
                      <w:rFonts w:hint="default" w:ascii="Times New Roman" w:hAnsi="Times New Roman" w:cs="Times New Roman"/>
                      <w:bCs/>
                      <w:color w:val="auto"/>
                      <w:sz w:val="18"/>
                      <w:szCs w:val="18"/>
                      <w:highlight w:val="none"/>
                    </w:rPr>
                  </w:pPr>
                </w:p>
              </w:tc>
              <w:tc>
                <w:tcPr>
                  <w:tcW w:w="758" w:type="pct"/>
                  <w:vMerge w:val="continue"/>
                  <w:tcBorders>
                    <w:top w:val="single" w:color="auto" w:sz="4" w:space="0"/>
                    <w:left w:val="single" w:color="auto" w:sz="4" w:space="0"/>
                    <w:bottom w:val="single" w:color="auto" w:sz="4" w:space="0"/>
                  </w:tcBorders>
                  <w:vAlign w:val="center"/>
                </w:tcPr>
                <w:p w14:paraId="0FABFF3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498" w:type="pct"/>
                  <w:vMerge w:val="continue"/>
                  <w:tcBorders>
                    <w:left w:val="single" w:color="auto" w:sz="4" w:space="0"/>
                  </w:tcBorders>
                  <w:vAlign w:val="center"/>
                </w:tcPr>
                <w:p w14:paraId="09FC4C2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75D6D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Merge w:val="restart"/>
                  <w:tcBorders>
                    <w:top w:val="single" w:color="auto" w:sz="4" w:space="0"/>
                    <w:bottom w:val="single" w:color="auto" w:sz="4" w:space="0"/>
                    <w:right w:val="single" w:color="auto" w:sz="4" w:space="0"/>
                  </w:tcBorders>
                  <w:vAlign w:val="center"/>
                </w:tcPr>
                <w:p w14:paraId="7FA5CC0B">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7</w:t>
                  </w:r>
                </w:p>
              </w:tc>
              <w:tc>
                <w:tcPr>
                  <w:tcW w:w="70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844B63C">
                  <w:pPr>
                    <w:widowControl/>
                    <w:adjustRightInd w:val="0"/>
                    <w:snapToGrid w:val="0"/>
                    <w:jc w:val="center"/>
                    <w:textAlignment w:val="center"/>
                    <w:rPr>
                      <w:rFonts w:hint="default" w:ascii="Times New Roman" w:hAnsi="Times New Roman" w:cs="Times New Roman"/>
                      <w:bCs/>
                      <w:color w:val="auto"/>
                      <w:sz w:val="18"/>
                      <w:szCs w:val="18"/>
                      <w:highlight w:val="none"/>
                    </w:rPr>
                  </w:pPr>
                  <w:r>
                    <w:rPr>
                      <w:rStyle w:val="67"/>
                      <w:rFonts w:hint="eastAsia" w:ascii="Times New Roman" w:hAnsi="Times New Roman" w:cs="Times New Roman"/>
                      <w:bCs/>
                      <w:color w:val="auto"/>
                      <w:sz w:val="18"/>
                      <w:szCs w:val="18"/>
                      <w:highlight w:val="none"/>
                      <w:lang w:val="en-US" w:eastAsia="zh-CN" w:bidi="ar"/>
                    </w:rPr>
                    <w:t>控制室屏蔽墙30cm处</w:t>
                  </w:r>
                </w:p>
              </w:tc>
              <w:tc>
                <w:tcPr>
                  <w:tcW w:w="369" w:type="pct"/>
                  <w:tcBorders>
                    <w:top w:val="single" w:color="auto" w:sz="4" w:space="0"/>
                    <w:left w:val="single" w:color="auto" w:sz="4" w:space="0"/>
                    <w:bottom w:val="single" w:color="auto" w:sz="4" w:space="0"/>
                    <w:right w:val="single" w:color="auto" w:sz="4" w:space="0"/>
                  </w:tcBorders>
                  <w:vAlign w:val="center"/>
                </w:tcPr>
                <w:p w14:paraId="788FF47C">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透视</w:t>
                  </w:r>
                </w:p>
              </w:tc>
              <w:tc>
                <w:tcPr>
                  <w:tcW w:w="1165" w:type="dxa"/>
                  <w:tcBorders>
                    <w:top w:val="single" w:color="auto" w:sz="4" w:space="0"/>
                    <w:left w:val="single" w:color="auto" w:sz="4" w:space="0"/>
                    <w:bottom w:val="single" w:color="auto" w:sz="4" w:space="0"/>
                    <w:right w:val="single" w:color="auto" w:sz="4" w:space="0"/>
                  </w:tcBorders>
                  <w:vAlign w:val="center"/>
                </w:tcPr>
                <w:p w14:paraId="63D6DADA">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3.38E-05</w:t>
                  </w:r>
                </w:p>
              </w:tc>
              <w:tc>
                <w:tcPr>
                  <w:tcW w:w="556" w:type="pct"/>
                  <w:vMerge w:val="restart"/>
                  <w:tcBorders>
                    <w:top w:val="single" w:color="auto" w:sz="4" w:space="0"/>
                    <w:left w:val="single" w:color="auto" w:sz="4" w:space="0"/>
                    <w:bottom w:val="single" w:color="auto" w:sz="4" w:space="0"/>
                    <w:right w:val="single" w:color="auto" w:sz="4" w:space="0"/>
                  </w:tcBorders>
                  <w:vAlign w:val="center"/>
                </w:tcPr>
                <w:p w14:paraId="4C5C211C">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1    </w:t>
                  </w:r>
                </w:p>
              </w:tc>
              <w:tc>
                <w:tcPr>
                  <w:tcW w:w="515" w:type="pct"/>
                  <w:vMerge w:val="continue"/>
                  <w:tcBorders>
                    <w:left w:val="single" w:color="auto" w:sz="4" w:space="0"/>
                    <w:right w:val="single" w:color="auto" w:sz="4" w:space="0"/>
                  </w:tcBorders>
                  <w:vAlign w:val="center"/>
                </w:tcPr>
                <w:p w14:paraId="60672BFE">
                  <w:pPr>
                    <w:pStyle w:val="32"/>
                    <w:snapToGrid w:val="0"/>
                    <w:jc w:val="center"/>
                    <w:rPr>
                      <w:rFonts w:hint="default" w:ascii="Times New Roman" w:hAnsi="Times New Roman" w:cs="Times New Roman"/>
                      <w:bCs/>
                      <w:color w:val="auto"/>
                      <w:sz w:val="18"/>
                      <w:szCs w:val="18"/>
                      <w:highlight w:val="none"/>
                    </w:rPr>
                  </w:pPr>
                </w:p>
              </w:tc>
              <w:tc>
                <w:tcPr>
                  <w:tcW w:w="625" w:type="pct"/>
                  <w:vMerge w:val="restart"/>
                  <w:tcBorders>
                    <w:top w:val="single" w:color="auto" w:sz="4" w:space="0"/>
                    <w:left w:val="single" w:color="auto" w:sz="4" w:space="0"/>
                    <w:bottom w:val="single" w:color="auto" w:sz="4" w:space="0"/>
                    <w:right w:val="single" w:color="auto" w:sz="4" w:space="0"/>
                  </w:tcBorders>
                  <w:vAlign w:val="center"/>
                </w:tcPr>
                <w:p w14:paraId="69FC24C7">
                  <w:pPr>
                    <w:pStyle w:val="32"/>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辐射工作人员</w:t>
                  </w:r>
                </w:p>
              </w:tc>
              <w:tc>
                <w:tcPr>
                  <w:tcW w:w="1258" w:type="dxa"/>
                  <w:vMerge w:val="restart"/>
                  <w:tcBorders>
                    <w:top w:val="single" w:color="auto" w:sz="4" w:space="0"/>
                    <w:left w:val="single" w:color="auto" w:sz="4" w:space="0"/>
                    <w:bottom w:val="single" w:color="auto" w:sz="4" w:space="0"/>
                  </w:tcBorders>
                  <w:vAlign w:val="center"/>
                </w:tcPr>
                <w:p w14:paraId="785ADE5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6.19E-06</w:t>
                  </w:r>
                </w:p>
              </w:tc>
              <w:tc>
                <w:tcPr>
                  <w:tcW w:w="498" w:type="pct"/>
                  <w:vMerge w:val="continue"/>
                  <w:tcBorders>
                    <w:left w:val="single" w:color="auto" w:sz="4" w:space="0"/>
                  </w:tcBorders>
                  <w:vAlign w:val="center"/>
                </w:tcPr>
                <w:p w14:paraId="76AB90E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20A5A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Merge w:val="continue"/>
                  <w:tcBorders>
                    <w:top w:val="single" w:color="auto" w:sz="4" w:space="0"/>
                    <w:bottom w:val="single" w:color="auto" w:sz="4" w:space="0"/>
                    <w:right w:val="single" w:color="auto" w:sz="4" w:space="0"/>
                  </w:tcBorders>
                  <w:vAlign w:val="center"/>
                </w:tcPr>
                <w:p w14:paraId="45E1BFCE">
                  <w:pPr>
                    <w:jc w:val="center"/>
                    <w:rPr>
                      <w:rFonts w:hint="default" w:ascii="Times New Roman" w:hAnsi="Times New Roman" w:cs="Times New Roman"/>
                      <w:bCs/>
                      <w:color w:val="auto"/>
                      <w:sz w:val="18"/>
                      <w:szCs w:val="18"/>
                      <w:highlight w:val="none"/>
                    </w:rPr>
                  </w:pPr>
                </w:p>
              </w:tc>
              <w:tc>
                <w:tcPr>
                  <w:tcW w:w="709" w:type="pct"/>
                  <w:vMerge w:val="continue"/>
                  <w:tcBorders>
                    <w:top w:val="single" w:color="auto" w:sz="4" w:space="0"/>
                    <w:left w:val="single" w:color="auto" w:sz="4" w:space="0"/>
                    <w:bottom w:val="single" w:color="auto" w:sz="4" w:space="0"/>
                    <w:right w:val="single" w:color="auto" w:sz="4" w:space="0"/>
                  </w:tcBorders>
                  <w:vAlign w:val="center"/>
                </w:tcPr>
                <w:p w14:paraId="42B7273A">
                  <w:pPr>
                    <w:jc w:val="center"/>
                    <w:rPr>
                      <w:rFonts w:hint="default" w:ascii="Times New Roman" w:hAnsi="Times New Roman" w:cs="Times New Roman"/>
                      <w:bCs/>
                      <w:color w:val="auto"/>
                      <w:sz w:val="18"/>
                      <w:szCs w:val="18"/>
                      <w:highlight w:val="none"/>
                    </w:rPr>
                  </w:pPr>
                </w:p>
              </w:tc>
              <w:tc>
                <w:tcPr>
                  <w:tcW w:w="369" w:type="pct"/>
                  <w:tcBorders>
                    <w:top w:val="single" w:color="auto" w:sz="4" w:space="0"/>
                    <w:left w:val="single" w:color="auto" w:sz="4" w:space="0"/>
                    <w:bottom w:val="single" w:color="auto" w:sz="4" w:space="0"/>
                    <w:right w:val="single" w:color="auto" w:sz="4" w:space="0"/>
                  </w:tcBorders>
                  <w:vAlign w:val="center"/>
                </w:tcPr>
                <w:p w14:paraId="762FC014">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拍片</w:t>
                  </w:r>
                </w:p>
              </w:tc>
              <w:tc>
                <w:tcPr>
                  <w:tcW w:w="1165" w:type="dxa"/>
                  <w:tcBorders>
                    <w:top w:val="single" w:color="auto" w:sz="4" w:space="0"/>
                    <w:left w:val="single" w:color="auto" w:sz="4" w:space="0"/>
                    <w:bottom w:val="single" w:color="auto" w:sz="4" w:space="0"/>
                    <w:right w:val="single" w:color="auto" w:sz="4" w:space="0"/>
                  </w:tcBorders>
                  <w:vAlign w:val="center"/>
                </w:tcPr>
                <w:p w14:paraId="3BA86737">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7.13E-04</w:t>
                  </w:r>
                </w:p>
              </w:tc>
              <w:tc>
                <w:tcPr>
                  <w:tcW w:w="556" w:type="pct"/>
                  <w:vMerge w:val="continue"/>
                  <w:tcBorders>
                    <w:top w:val="single" w:color="auto" w:sz="4" w:space="0"/>
                    <w:left w:val="single" w:color="auto" w:sz="4" w:space="0"/>
                    <w:bottom w:val="single" w:color="auto" w:sz="4" w:space="0"/>
                    <w:right w:val="single" w:color="auto" w:sz="4" w:space="0"/>
                  </w:tcBorders>
                  <w:vAlign w:val="center"/>
                </w:tcPr>
                <w:p w14:paraId="29458984">
                  <w:pPr>
                    <w:pStyle w:val="32"/>
                    <w:snapToGrid w:val="0"/>
                    <w:jc w:val="center"/>
                    <w:rPr>
                      <w:rFonts w:hint="default" w:ascii="Times New Roman" w:hAnsi="Times New Roman" w:cs="Times New Roman"/>
                      <w:bCs/>
                      <w:color w:val="auto"/>
                      <w:sz w:val="18"/>
                      <w:szCs w:val="18"/>
                      <w:highlight w:val="none"/>
                    </w:rPr>
                  </w:pPr>
                </w:p>
              </w:tc>
              <w:tc>
                <w:tcPr>
                  <w:tcW w:w="515" w:type="pct"/>
                  <w:vMerge w:val="continue"/>
                  <w:tcBorders>
                    <w:left w:val="single" w:color="auto" w:sz="4" w:space="0"/>
                    <w:right w:val="single" w:color="auto" w:sz="4" w:space="0"/>
                  </w:tcBorders>
                  <w:vAlign w:val="center"/>
                </w:tcPr>
                <w:p w14:paraId="1C9E7DAD">
                  <w:pPr>
                    <w:pStyle w:val="32"/>
                    <w:snapToGrid w:val="0"/>
                    <w:jc w:val="center"/>
                    <w:rPr>
                      <w:rFonts w:hint="default" w:ascii="Times New Roman" w:hAnsi="Times New Roman" w:cs="Times New Roman"/>
                      <w:bCs/>
                      <w:color w:val="auto"/>
                      <w:sz w:val="18"/>
                      <w:szCs w:val="18"/>
                      <w:highlight w:val="none"/>
                    </w:rPr>
                  </w:pPr>
                </w:p>
              </w:tc>
              <w:tc>
                <w:tcPr>
                  <w:tcW w:w="625" w:type="pct"/>
                  <w:vMerge w:val="continue"/>
                  <w:tcBorders>
                    <w:top w:val="single" w:color="auto" w:sz="4" w:space="0"/>
                    <w:left w:val="single" w:color="auto" w:sz="4" w:space="0"/>
                    <w:bottom w:val="single" w:color="auto" w:sz="4" w:space="0"/>
                    <w:right w:val="single" w:color="auto" w:sz="4" w:space="0"/>
                  </w:tcBorders>
                  <w:vAlign w:val="center"/>
                </w:tcPr>
                <w:p w14:paraId="2E2CE262">
                  <w:pPr>
                    <w:pStyle w:val="32"/>
                    <w:snapToGrid w:val="0"/>
                    <w:jc w:val="center"/>
                    <w:rPr>
                      <w:rFonts w:hint="default" w:ascii="Times New Roman" w:hAnsi="Times New Roman" w:cs="Times New Roman"/>
                      <w:bCs/>
                      <w:color w:val="auto"/>
                      <w:sz w:val="18"/>
                      <w:szCs w:val="18"/>
                      <w:highlight w:val="none"/>
                    </w:rPr>
                  </w:pPr>
                </w:p>
              </w:tc>
              <w:tc>
                <w:tcPr>
                  <w:tcW w:w="758" w:type="pct"/>
                  <w:vMerge w:val="continue"/>
                  <w:tcBorders>
                    <w:top w:val="single" w:color="auto" w:sz="4" w:space="0"/>
                    <w:left w:val="single" w:color="auto" w:sz="4" w:space="0"/>
                    <w:bottom w:val="single" w:color="auto" w:sz="4" w:space="0"/>
                  </w:tcBorders>
                  <w:vAlign w:val="center"/>
                </w:tcPr>
                <w:p w14:paraId="600A4D3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498" w:type="pct"/>
                  <w:vMerge w:val="continue"/>
                  <w:tcBorders>
                    <w:left w:val="single" w:color="auto" w:sz="4" w:space="0"/>
                  </w:tcBorders>
                  <w:vAlign w:val="center"/>
                </w:tcPr>
                <w:p w14:paraId="6E101D8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0ECD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Merge w:val="restart"/>
                  <w:tcBorders>
                    <w:top w:val="single" w:color="auto" w:sz="4" w:space="0"/>
                    <w:right w:val="single" w:color="auto" w:sz="4" w:space="0"/>
                  </w:tcBorders>
                  <w:vAlign w:val="center"/>
                </w:tcPr>
                <w:p w14:paraId="09638748">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8</w:t>
                  </w:r>
                </w:p>
              </w:tc>
              <w:tc>
                <w:tcPr>
                  <w:tcW w:w="709" w:type="pct"/>
                  <w:vMerge w:val="restart"/>
                  <w:tcBorders>
                    <w:top w:val="single" w:color="auto" w:sz="4" w:space="0"/>
                    <w:left w:val="single" w:color="auto" w:sz="4" w:space="0"/>
                    <w:right w:val="single" w:color="auto" w:sz="4" w:space="0"/>
                  </w:tcBorders>
                  <w:shd w:val="clear" w:color="auto" w:fill="auto"/>
                  <w:vAlign w:val="center"/>
                </w:tcPr>
                <w:p w14:paraId="1730461F">
                  <w:pPr>
                    <w:widowControl/>
                    <w:adjustRightInd w:val="0"/>
                    <w:snapToGrid w:val="0"/>
                    <w:jc w:val="center"/>
                    <w:textAlignment w:val="center"/>
                    <w:rPr>
                      <w:rFonts w:hint="default" w:ascii="Times New Roman" w:hAnsi="Times New Roman" w:cs="Times New Roman"/>
                      <w:bCs/>
                      <w:color w:val="auto"/>
                      <w:sz w:val="18"/>
                      <w:szCs w:val="18"/>
                      <w:highlight w:val="none"/>
                    </w:rPr>
                  </w:pPr>
                  <w:r>
                    <w:rPr>
                      <w:rFonts w:hint="eastAsia" w:ascii="Times New Roman" w:hAnsi="Times New Roman" w:cs="Times New Roman"/>
                      <w:bCs/>
                      <w:color w:val="auto"/>
                      <w:sz w:val="18"/>
                      <w:szCs w:val="18"/>
                      <w:highlight w:val="none"/>
                      <w:lang w:val="en-US" w:eastAsia="zh-CN" w:bidi="ar"/>
                    </w:rPr>
                    <w:t>控制室平开门30cm处</w:t>
                  </w:r>
                </w:p>
              </w:tc>
              <w:tc>
                <w:tcPr>
                  <w:tcW w:w="369" w:type="pct"/>
                  <w:tcBorders>
                    <w:top w:val="single" w:color="auto" w:sz="4" w:space="0"/>
                    <w:left w:val="single" w:color="auto" w:sz="4" w:space="0"/>
                    <w:bottom w:val="single" w:color="auto" w:sz="4" w:space="0"/>
                    <w:right w:val="single" w:color="auto" w:sz="4" w:space="0"/>
                  </w:tcBorders>
                  <w:vAlign w:val="center"/>
                </w:tcPr>
                <w:p w14:paraId="20DD14BF">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透视</w:t>
                  </w:r>
                </w:p>
              </w:tc>
              <w:tc>
                <w:tcPr>
                  <w:tcW w:w="1165" w:type="dxa"/>
                  <w:tcBorders>
                    <w:top w:val="single" w:color="auto" w:sz="4" w:space="0"/>
                    <w:left w:val="single" w:color="auto" w:sz="4" w:space="0"/>
                    <w:bottom w:val="single" w:color="auto" w:sz="4" w:space="0"/>
                    <w:right w:val="single" w:color="auto" w:sz="4" w:space="0"/>
                  </w:tcBorders>
                  <w:vAlign w:val="center"/>
                </w:tcPr>
                <w:p w14:paraId="13FE143F">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2.78E-03</w:t>
                  </w:r>
                </w:p>
              </w:tc>
              <w:tc>
                <w:tcPr>
                  <w:tcW w:w="556" w:type="pct"/>
                  <w:vMerge w:val="restart"/>
                  <w:tcBorders>
                    <w:top w:val="single" w:color="auto" w:sz="4" w:space="0"/>
                    <w:left w:val="single" w:color="auto" w:sz="4" w:space="0"/>
                    <w:right w:val="single" w:color="auto" w:sz="4" w:space="0"/>
                  </w:tcBorders>
                  <w:vAlign w:val="center"/>
                </w:tcPr>
                <w:p w14:paraId="3711237D">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1    </w:t>
                  </w:r>
                </w:p>
              </w:tc>
              <w:tc>
                <w:tcPr>
                  <w:tcW w:w="515" w:type="pct"/>
                  <w:vMerge w:val="continue"/>
                  <w:tcBorders>
                    <w:left w:val="single" w:color="auto" w:sz="4" w:space="0"/>
                    <w:right w:val="single" w:color="auto" w:sz="4" w:space="0"/>
                  </w:tcBorders>
                  <w:vAlign w:val="center"/>
                </w:tcPr>
                <w:p w14:paraId="16B511C6">
                  <w:pPr>
                    <w:pStyle w:val="32"/>
                    <w:snapToGrid w:val="0"/>
                    <w:jc w:val="center"/>
                    <w:rPr>
                      <w:rFonts w:hint="default" w:ascii="Times New Roman" w:hAnsi="Times New Roman" w:cs="Times New Roman"/>
                      <w:bCs/>
                      <w:color w:val="auto"/>
                      <w:sz w:val="18"/>
                      <w:szCs w:val="18"/>
                      <w:highlight w:val="none"/>
                    </w:rPr>
                  </w:pPr>
                </w:p>
              </w:tc>
              <w:tc>
                <w:tcPr>
                  <w:tcW w:w="625" w:type="pct"/>
                  <w:vMerge w:val="restart"/>
                  <w:tcBorders>
                    <w:top w:val="single" w:color="auto" w:sz="4" w:space="0"/>
                    <w:left w:val="single" w:color="auto" w:sz="4" w:space="0"/>
                    <w:right w:val="single" w:color="auto" w:sz="4" w:space="0"/>
                  </w:tcBorders>
                  <w:vAlign w:val="center"/>
                </w:tcPr>
                <w:p w14:paraId="4718A0F7">
                  <w:pPr>
                    <w:pStyle w:val="32"/>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辐射工作人员</w:t>
                  </w:r>
                </w:p>
              </w:tc>
              <w:tc>
                <w:tcPr>
                  <w:tcW w:w="1258" w:type="dxa"/>
                  <w:vMerge w:val="restart"/>
                  <w:tcBorders>
                    <w:top w:val="single" w:color="auto" w:sz="4" w:space="0"/>
                    <w:left w:val="single" w:color="auto" w:sz="4" w:space="0"/>
                  </w:tcBorders>
                  <w:vAlign w:val="center"/>
                </w:tcPr>
                <w:p w14:paraId="3AF03B1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4.77E-04</w:t>
                  </w:r>
                </w:p>
              </w:tc>
              <w:tc>
                <w:tcPr>
                  <w:tcW w:w="498" w:type="pct"/>
                  <w:vMerge w:val="continue"/>
                  <w:tcBorders>
                    <w:left w:val="single" w:color="auto" w:sz="4" w:space="0"/>
                  </w:tcBorders>
                  <w:vAlign w:val="center"/>
                </w:tcPr>
                <w:p w14:paraId="353F6B7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274F3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Merge w:val="continue"/>
                  <w:tcBorders>
                    <w:bottom w:val="single" w:color="auto" w:sz="4" w:space="0"/>
                    <w:right w:val="single" w:color="auto" w:sz="4" w:space="0"/>
                  </w:tcBorders>
                  <w:vAlign w:val="center"/>
                </w:tcPr>
                <w:p w14:paraId="4489DDE1">
                  <w:pPr>
                    <w:jc w:val="center"/>
                    <w:rPr>
                      <w:rFonts w:hint="default" w:ascii="Times New Roman" w:hAnsi="Times New Roman" w:cs="Times New Roman"/>
                      <w:bCs/>
                      <w:color w:val="auto"/>
                      <w:sz w:val="18"/>
                      <w:szCs w:val="18"/>
                      <w:highlight w:val="none"/>
                    </w:rPr>
                  </w:pPr>
                </w:p>
              </w:tc>
              <w:tc>
                <w:tcPr>
                  <w:tcW w:w="709" w:type="pct"/>
                  <w:vMerge w:val="continue"/>
                  <w:tcBorders>
                    <w:left w:val="single" w:color="auto" w:sz="4" w:space="0"/>
                    <w:bottom w:val="single" w:color="auto" w:sz="4" w:space="0"/>
                    <w:right w:val="single" w:color="auto" w:sz="4" w:space="0"/>
                  </w:tcBorders>
                  <w:vAlign w:val="center"/>
                </w:tcPr>
                <w:p w14:paraId="0DD50383">
                  <w:pPr>
                    <w:jc w:val="center"/>
                    <w:rPr>
                      <w:rFonts w:hint="default" w:ascii="Times New Roman" w:hAnsi="Times New Roman" w:cs="Times New Roman"/>
                      <w:bCs/>
                      <w:color w:val="auto"/>
                      <w:sz w:val="18"/>
                      <w:szCs w:val="18"/>
                      <w:highlight w:val="none"/>
                    </w:rPr>
                  </w:pPr>
                </w:p>
              </w:tc>
              <w:tc>
                <w:tcPr>
                  <w:tcW w:w="369" w:type="pct"/>
                  <w:tcBorders>
                    <w:top w:val="single" w:color="auto" w:sz="4" w:space="0"/>
                    <w:left w:val="single" w:color="auto" w:sz="4" w:space="0"/>
                    <w:bottom w:val="single" w:color="auto" w:sz="4" w:space="0"/>
                    <w:right w:val="single" w:color="auto" w:sz="4" w:space="0"/>
                  </w:tcBorders>
                  <w:vAlign w:val="center"/>
                </w:tcPr>
                <w:p w14:paraId="079BC8C0">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拍片</w:t>
                  </w:r>
                </w:p>
              </w:tc>
              <w:tc>
                <w:tcPr>
                  <w:tcW w:w="1165" w:type="dxa"/>
                  <w:tcBorders>
                    <w:top w:val="single" w:color="auto" w:sz="4" w:space="0"/>
                    <w:left w:val="single" w:color="auto" w:sz="4" w:space="0"/>
                    <w:bottom w:val="single" w:color="auto" w:sz="4" w:space="0"/>
                    <w:right w:val="single" w:color="auto" w:sz="4" w:space="0"/>
                  </w:tcBorders>
                  <w:vAlign w:val="center"/>
                </w:tcPr>
                <w:p w14:paraId="2B56ABC8">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5.14E-02</w:t>
                  </w:r>
                </w:p>
              </w:tc>
              <w:tc>
                <w:tcPr>
                  <w:tcW w:w="556" w:type="pct"/>
                  <w:vMerge w:val="continue"/>
                  <w:tcBorders>
                    <w:left w:val="single" w:color="auto" w:sz="4" w:space="0"/>
                    <w:bottom w:val="single" w:color="auto" w:sz="4" w:space="0"/>
                    <w:right w:val="single" w:color="auto" w:sz="4" w:space="0"/>
                  </w:tcBorders>
                  <w:vAlign w:val="center"/>
                </w:tcPr>
                <w:p w14:paraId="125D270B">
                  <w:pPr>
                    <w:pStyle w:val="32"/>
                    <w:snapToGrid w:val="0"/>
                    <w:jc w:val="center"/>
                    <w:rPr>
                      <w:rFonts w:hint="default" w:ascii="Times New Roman" w:hAnsi="Times New Roman" w:cs="Times New Roman"/>
                      <w:bCs/>
                      <w:color w:val="auto"/>
                      <w:sz w:val="18"/>
                      <w:szCs w:val="18"/>
                      <w:highlight w:val="none"/>
                    </w:rPr>
                  </w:pPr>
                </w:p>
              </w:tc>
              <w:tc>
                <w:tcPr>
                  <w:tcW w:w="515" w:type="pct"/>
                  <w:vMerge w:val="continue"/>
                  <w:tcBorders>
                    <w:left w:val="single" w:color="auto" w:sz="4" w:space="0"/>
                    <w:right w:val="single" w:color="auto" w:sz="4" w:space="0"/>
                  </w:tcBorders>
                  <w:vAlign w:val="center"/>
                </w:tcPr>
                <w:p w14:paraId="425A5356">
                  <w:pPr>
                    <w:pStyle w:val="32"/>
                    <w:snapToGrid w:val="0"/>
                    <w:jc w:val="center"/>
                    <w:rPr>
                      <w:rFonts w:hint="default" w:ascii="Times New Roman" w:hAnsi="Times New Roman" w:cs="Times New Roman"/>
                      <w:bCs/>
                      <w:color w:val="auto"/>
                      <w:sz w:val="18"/>
                      <w:szCs w:val="18"/>
                      <w:highlight w:val="none"/>
                    </w:rPr>
                  </w:pPr>
                </w:p>
              </w:tc>
              <w:tc>
                <w:tcPr>
                  <w:tcW w:w="625" w:type="pct"/>
                  <w:vMerge w:val="continue"/>
                  <w:tcBorders>
                    <w:left w:val="single" w:color="auto" w:sz="4" w:space="0"/>
                    <w:bottom w:val="single" w:color="auto" w:sz="4" w:space="0"/>
                    <w:right w:val="single" w:color="auto" w:sz="4" w:space="0"/>
                  </w:tcBorders>
                  <w:vAlign w:val="center"/>
                </w:tcPr>
                <w:p w14:paraId="1C12D145">
                  <w:pPr>
                    <w:pStyle w:val="32"/>
                    <w:snapToGrid w:val="0"/>
                    <w:jc w:val="center"/>
                    <w:rPr>
                      <w:rFonts w:hint="default" w:ascii="Times New Roman" w:hAnsi="Times New Roman" w:cs="Times New Roman"/>
                      <w:bCs/>
                      <w:color w:val="auto"/>
                      <w:sz w:val="18"/>
                      <w:szCs w:val="18"/>
                      <w:highlight w:val="none"/>
                    </w:rPr>
                  </w:pPr>
                </w:p>
              </w:tc>
              <w:tc>
                <w:tcPr>
                  <w:tcW w:w="758" w:type="pct"/>
                  <w:vMerge w:val="continue"/>
                  <w:tcBorders>
                    <w:left w:val="single" w:color="auto" w:sz="4" w:space="0"/>
                    <w:bottom w:val="single" w:color="auto" w:sz="4" w:space="0"/>
                  </w:tcBorders>
                  <w:vAlign w:val="center"/>
                </w:tcPr>
                <w:p w14:paraId="650EDCA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498" w:type="pct"/>
                  <w:vMerge w:val="continue"/>
                  <w:tcBorders>
                    <w:left w:val="single" w:color="auto" w:sz="4" w:space="0"/>
                  </w:tcBorders>
                  <w:vAlign w:val="center"/>
                </w:tcPr>
                <w:p w14:paraId="30C1AD1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64150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Merge w:val="restart"/>
                  <w:tcBorders>
                    <w:top w:val="single" w:color="auto" w:sz="4" w:space="0"/>
                    <w:right w:val="single" w:color="auto" w:sz="4" w:space="0"/>
                  </w:tcBorders>
                  <w:vAlign w:val="center"/>
                </w:tcPr>
                <w:p w14:paraId="0DCDE578">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9</w:t>
                  </w:r>
                </w:p>
              </w:tc>
              <w:tc>
                <w:tcPr>
                  <w:tcW w:w="709" w:type="pct"/>
                  <w:vMerge w:val="restart"/>
                  <w:tcBorders>
                    <w:top w:val="single" w:color="auto" w:sz="4" w:space="0"/>
                    <w:left w:val="single" w:color="auto" w:sz="4" w:space="0"/>
                    <w:right w:val="single" w:color="auto" w:sz="4" w:space="0"/>
                  </w:tcBorders>
                  <w:shd w:val="clear" w:color="auto" w:fill="auto"/>
                  <w:vAlign w:val="center"/>
                </w:tcPr>
                <w:p w14:paraId="0D821C6C">
                  <w:pPr>
                    <w:widowControl/>
                    <w:adjustRightInd w:val="0"/>
                    <w:snapToGrid w:val="0"/>
                    <w:jc w:val="center"/>
                    <w:textAlignment w:val="center"/>
                    <w:rPr>
                      <w:rFonts w:hint="default" w:ascii="Times New Roman" w:hAnsi="Times New Roman" w:cs="Times New Roman"/>
                      <w:bCs/>
                      <w:color w:val="auto"/>
                      <w:sz w:val="18"/>
                      <w:szCs w:val="18"/>
                      <w:highlight w:val="none"/>
                    </w:rPr>
                  </w:pPr>
                  <w:r>
                    <w:rPr>
                      <w:rFonts w:hint="eastAsia" w:ascii="Times New Roman" w:hAnsi="Times New Roman" w:cs="Times New Roman"/>
                      <w:bCs/>
                      <w:color w:val="auto"/>
                      <w:sz w:val="18"/>
                      <w:szCs w:val="18"/>
                      <w:highlight w:val="none"/>
                      <w:lang w:val="en-US" w:eastAsia="zh-CN"/>
                    </w:rPr>
                    <w:t>污物间屏蔽墙30cm处</w:t>
                  </w:r>
                </w:p>
              </w:tc>
              <w:tc>
                <w:tcPr>
                  <w:tcW w:w="369" w:type="pct"/>
                  <w:tcBorders>
                    <w:top w:val="single" w:color="auto" w:sz="4" w:space="0"/>
                    <w:left w:val="single" w:color="auto" w:sz="4" w:space="0"/>
                    <w:bottom w:val="single" w:color="auto" w:sz="4" w:space="0"/>
                    <w:right w:val="single" w:color="auto" w:sz="4" w:space="0"/>
                  </w:tcBorders>
                  <w:vAlign w:val="center"/>
                </w:tcPr>
                <w:p w14:paraId="0B04228E">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透视</w:t>
                  </w:r>
                </w:p>
              </w:tc>
              <w:tc>
                <w:tcPr>
                  <w:tcW w:w="1165" w:type="dxa"/>
                  <w:tcBorders>
                    <w:top w:val="single" w:color="auto" w:sz="4" w:space="0"/>
                    <w:left w:val="single" w:color="auto" w:sz="4" w:space="0"/>
                    <w:bottom w:val="single" w:color="auto" w:sz="4" w:space="0"/>
                    <w:right w:val="single" w:color="auto" w:sz="4" w:space="0"/>
                  </w:tcBorders>
                  <w:vAlign w:val="center"/>
                </w:tcPr>
                <w:p w14:paraId="0716BACF">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1.77E-05</w:t>
                  </w:r>
                </w:p>
              </w:tc>
              <w:tc>
                <w:tcPr>
                  <w:tcW w:w="556" w:type="pct"/>
                  <w:vMerge w:val="restart"/>
                  <w:tcBorders>
                    <w:top w:val="single" w:color="auto" w:sz="4" w:space="0"/>
                    <w:left w:val="single" w:color="auto" w:sz="4" w:space="0"/>
                    <w:right w:val="single" w:color="auto" w:sz="4" w:space="0"/>
                  </w:tcBorders>
                  <w:vAlign w:val="center"/>
                </w:tcPr>
                <w:p w14:paraId="13BA490C">
                  <w:pPr>
                    <w:keepNext w:val="0"/>
                    <w:keepLines w:val="0"/>
                    <w:widowControl/>
                    <w:suppressLineNumbers w:val="0"/>
                    <w:jc w:val="center"/>
                    <w:textAlignment w:val="center"/>
                    <w:rPr>
                      <w:rFonts w:hint="default" w:ascii="Times New Roman" w:hAnsi="Times New Roman" w:cs="Times New Roman"/>
                      <w:bCs/>
                      <w:color w:val="auto"/>
                      <w:sz w:val="18"/>
                      <w:szCs w:val="18"/>
                      <w:highlight w:val="no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1/</w:t>
                  </w:r>
                  <w:r>
                    <w:rPr>
                      <w:rFonts w:hint="eastAsia" w:ascii="Times New Roman" w:hAnsi="Times New Roman" w:cs="Times New Roman"/>
                      <w:i w:val="0"/>
                      <w:iCs w:val="0"/>
                      <w:color w:val="auto"/>
                      <w:kern w:val="0"/>
                      <w:sz w:val="18"/>
                      <w:szCs w:val="18"/>
                      <w:highlight w:val="none"/>
                      <w:u w:val="none"/>
                      <w:lang w:val="en-US" w:eastAsia="zh-CN" w:bidi="ar"/>
                    </w:rPr>
                    <w:t>16</w:t>
                  </w:r>
                </w:p>
              </w:tc>
              <w:tc>
                <w:tcPr>
                  <w:tcW w:w="515" w:type="pct"/>
                  <w:vMerge w:val="continue"/>
                  <w:tcBorders>
                    <w:left w:val="single" w:color="auto" w:sz="4" w:space="0"/>
                    <w:right w:val="single" w:color="auto" w:sz="4" w:space="0"/>
                  </w:tcBorders>
                  <w:vAlign w:val="center"/>
                </w:tcPr>
                <w:p w14:paraId="7039E0D8">
                  <w:pPr>
                    <w:pStyle w:val="32"/>
                    <w:snapToGrid w:val="0"/>
                    <w:jc w:val="center"/>
                    <w:rPr>
                      <w:rFonts w:hint="default" w:ascii="Times New Roman" w:hAnsi="Times New Roman" w:cs="Times New Roman"/>
                      <w:bCs/>
                      <w:color w:val="auto"/>
                      <w:sz w:val="18"/>
                      <w:szCs w:val="18"/>
                      <w:highlight w:val="none"/>
                    </w:rPr>
                  </w:pPr>
                </w:p>
              </w:tc>
              <w:tc>
                <w:tcPr>
                  <w:tcW w:w="625" w:type="pct"/>
                  <w:vMerge w:val="restart"/>
                  <w:tcBorders>
                    <w:top w:val="single" w:color="auto" w:sz="4" w:space="0"/>
                    <w:left w:val="single" w:color="auto" w:sz="4" w:space="0"/>
                    <w:right w:val="single" w:color="auto" w:sz="4" w:space="0"/>
                  </w:tcBorders>
                  <w:vAlign w:val="center"/>
                </w:tcPr>
                <w:p w14:paraId="7EF0EA7E">
                  <w:pPr>
                    <w:pStyle w:val="32"/>
                    <w:snapToGrid w:val="0"/>
                    <w:jc w:val="center"/>
                    <w:rPr>
                      <w:rFonts w:hint="default" w:ascii="Times New Roman" w:hAnsi="Times New Roman" w:cs="Times New Roman"/>
                      <w:bCs/>
                      <w:color w:val="auto"/>
                      <w:sz w:val="18"/>
                      <w:szCs w:val="18"/>
                      <w:highlight w:val="none"/>
                    </w:rPr>
                  </w:pPr>
                  <w:r>
                    <w:rPr>
                      <w:rFonts w:hint="eastAsia" w:ascii="Times New Roman" w:hAnsi="Times New Roman" w:cs="Times New Roman"/>
                      <w:bCs/>
                      <w:color w:val="auto"/>
                      <w:sz w:val="18"/>
                      <w:szCs w:val="18"/>
                      <w:highlight w:val="none"/>
                      <w:lang w:val="en-US" w:eastAsia="zh-CN"/>
                    </w:rPr>
                    <w:t>公众</w:t>
                  </w:r>
                </w:p>
              </w:tc>
              <w:tc>
                <w:tcPr>
                  <w:tcW w:w="1258" w:type="dxa"/>
                  <w:vMerge w:val="restart"/>
                  <w:tcBorders>
                    <w:top w:val="single" w:color="auto" w:sz="4" w:space="0"/>
                    <w:left w:val="single" w:color="auto" w:sz="4" w:space="0"/>
                  </w:tcBorders>
                  <w:vAlign w:val="center"/>
                </w:tcPr>
                <w:p w14:paraId="2D99676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2.03E-07</w:t>
                  </w:r>
                </w:p>
              </w:tc>
              <w:tc>
                <w:tcPr>
                  <w:tcW w:w="498" w:type="pct"/>
                  <w:vMerge w:val="continue"/>
                  <w:tcBorders>
                    <w:left w:val="single" w:color="auto" w:sz="4" w:space="0"/>
                  </w:tcBorders>
                  <w:vAlign w:val="center"/>
                </w:tcPr>
                <w:p w14:paraId="066C0E4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045B6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Merge w:val="continue"/>
                  <w:tcBorders>
                    <w:bottom w:val="single" w:color="auto" w:sz="4" w:space="0"/>
                    <w:right w:val="single" w:color="auto" w:sz="4" w:space="0"/>
                  </w:tcBorders>
                  <w:vAlign w:val="center"/>
                </w:tcPr>
                <w:p w14:paraId="7342B931">
                  <w:pPr>
                    <w:jc w:val="center"/>
                    <w:rPr>
                      <w:rFonts w:hint="default" w:ascii="Times New Roman" w:hAnsi="Times New Roman" w:cs="Times New Roman"/>
                      <w:bCs/>
                      <w:color w:val="auto"/>
                      <w:sz w:val="18"/>
                      <w:szCs w:val="18"/>
                      <w:highlight w:val="none"/>
                    </w:rPr>
                  </w:pPr>
                </w:p>
              </w:tc>
              <w:tc>
                <w:tcPr>
                  <w:tcW w:w="709" w:type="pct"/>
                  <w:vMerge w:val="continue"/>
                  <w:tcBorders>
                    <w:left w:val="single" w:color="auto" w:sz="4" w:space="0"/>
                    <w:bottom w:val="single" w:color="auto" w:sz="4" w:space="0"/>
                    <w:right w:val="single" w:color="auto" w:sz="4" w:space="0"/>
                  </w:tcBorders>
                  <w:vAlign w:val="center"/>
                </w:tcPr>
                <w:p w14:paraId="1C52CA73">
                  <w:pPr>
                    <w:jc w:val="center"/>
                    <w:rPr>
                      <w:rFonts w:hint="default" w:ascii="Times New Roman" w:hAnsi="Times New Roman" w:cs="Times New Roman"/>
                      <w:bCs/>
                      <w:color w:val="auto"/>
                      <w:sz w:val="18"/>
                      <w:szCs w:val="18"/>
                      <w:highlight w:val="none"/>
                    </w:rPr>
                  </w:pPr>
                </w:p>
              </w:tc>
              <w:tc>
                <w:tcPr>
                  <w:tcW w:w="369" w:type="pct"/>
                  <w:tcBorders>
                    <w:top w:val="single" w:color="auto" w:sz="4" w:space="0"/>
                    <w:left w:val="single" w:color="auto" w:sz="4" w:space="0"/>
                    <w:bottom w:val="single" w:color="auto" w:sz="4" w:space="0"/>
                    <w:right w:val="single" w:color="auto" w:sz="4" w:space="0"/>
                  </w:tcBorders>
                  <w:vAlign w:val="center"/>
                </w:tcPr>
                <w:p w14:paraId="0E1D1221">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拍片</w:t>
                  </w:r>
                </w:p>
              </w:tc>
              <w:tc>
                <w:tcPr>
                  <w:tcW w:w="1165" w:type="dxa"/>
                  <w:tcBorders>
                    <w:top w:val="single" w:color="auto" w:sz="4" w:space="0"/>
                    <w:left w:val="single" w:color="auto" w:sz="4" w:space="0"/>
                    <w:bottom w:val="single" w:color="auto" w:sz="4" w:space="0"/>
                    <w:right w:val="single" w:color="auto" w:sz="4" w:space="0"/>
                  </w:tcBorders>
                  <w:vAlign w:val="center"/>
                </w:tcPr>
                <w:p w14:paraId="27836E06">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3.75E-04</w:t>
                  </w:r>
                </w:p>
              </w:tc>
              <w:tc>
                <w:tcPr>
                  <w:tcW w:w="556" w:type="pct"/>
                  <w:vMerge w:val="continue"/>
                  <w:tcBorders>
                    <w:left w:val="single" w:color="auto" w:sz="4" w:space="0"/>
                    <w:bottom w:val="single" w:color="auto" w:sz="4" w:space="0"/>
                    <w:right w:val="single" w:color="auto" w:sz="4" w:space="0"/>
                  </w:tcBorders>
                  <w:vAlign w:val="center"/>
                </w:tcPr>
                <w:p w14:paraId="3B6C7E41">
                  <w:pPr>
                    <w:pStyle w:val="32"/>
                    <w:snapToGrid w:val="0"/>
                    <w:jc w:val="center"/>
                    <w:rPr>
                      <w:rFonts w:hint="default" w:ascii="Times New Roman" w:hAnsi="Times New Roman" w:cs="Times New Roman"/>
                      <w:bCs/>
                      <w:color w:val="auto"/>
                      <w:sz w:val="18"/>
                      <w:szCs w:val="18"/>
                      <w:highlight w:val="none"/>
                    </w:rPr>
                  </w:pPr>
                </w:p>
              </w:tc>
              <w:tc>
                <w:tcPr>
                  <w:tcW w:w="515" w:type="pct"/>
                  <w:vMerge w:val="continue"/>
                  <w:tcBorders>
                    <w:left w:val="single" w:color="auto" w:sz="4" w:space="0"/>
                    <w:right w:val="single" w:color="auto" w:sz="4" w:space="0"/>
                  </w:tcBorders>
                  <w:vAlign w:val="center"/>
                </w:tcPr>
                <w:p w14:paraId="43EC87C6">
                  <w:pPr>
                    <w:pStyle w:val="32"/>
                    <w:snapToGrid w:val="0"/>
                    <w:jc w:val="center"/>
                    <w:rPr>
                      <w:rFonts w:hint="default" w:ascii="Times New Roman" w:hAnsi="Times New Roman" w:cs="Times New Roman"/>
                      <w:bCs/>
                      <w:color w:val="auto"/>
                      <w:sz w:val="18"/>
                      <w:szCs w:val="18"/>
                      <w:highlight w:val="none"/>
                    </w:rPr>
                  </w:pPr>
                </w:p>
              </w:tc>
              <w:tc>
                <w:tcPr>
                  <w:tcW w:w="625" w:type="pct"/>
                  <w:vMerge w:val="continue"/>
                  <w:tcBorders>
                    <w:left w:val="single" w:color="auto" w:sz="4" w:space="0"/>
                    <w:bottom w:val="single" w:color="auto" w:sz="4" w:space="0"/>
                    <w:right w:val="single" w:color="auto" w:sz="4" w:space="0"/>
                  </w:tcBorders>
                  <w:vAlign w:val="center"/>
                </w:tcPr>
                <w:p w14:paraId="58279C7C">
                  <w:pPr>
                    <w:pStyle w:val="32"/>
                    <w:snapToGrid w:val="0"/>
                    <w:jc w:val="center"/>
                    <w:rPr>
                      <w:rFonts w:hint="default" w:ascii="Times New Roman" w:hAnsi="Times New Roman" w:cs="Times New Roman"/>
                      <w:bCs/>
                      <w:color w:val="auto"/>
                      <w:sz w:val="18"/>
                      <w:szCs w:val="18"/>
                      <w:highlight w:val="none"/>
                    </w:rPr>
                  </w:pPr>
                </w:p>
              </w:tc>
              <w:tc>
                <w:tcPr>
                  <w:tcW w:w="758" w:type="pct"/>
                  <w:vMerge w:val="continue"/>
                  <w:tcBorders>
                    <w:left w:val="single" w:color="auto" w:sz="4" w:space="0"/>
                    <w:bottom w:val="single" w:color="auto" w:sz="4" w:space="0"/>
                  </w:tcBorders>
                  <w:vAlign w:val="center"/>
                </w:tcPr>
                <w:p w14:paraId="5AD2C82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498" w:type="pct"/>
                  <w:vMerge w:val="continue"/>
                  <w:tcBorders>
                    <w:left w:val="single" w:color="auto" w:sz="4" w:space="0"/>
                  </w:tcBorders>
                  <w:vAlign w:val="center"/>
                </w:tcPr>
                <w:p w14:paraId="3AE4C2B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28AD3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Merge w:val="restart"/>
                  <w:tcBorders>
                    <w:top w:val="single" w:color="auto" w:sz="4" w:space="0"/>
                    <w:right w:val="single" w:color="auto" w:sz="4" w:space="0"/>
                  </w:tcBorders>
                  <w:vAlign w:val="center"/>
                </w:tcPr>
                <w:p w14:paraId="3FABCF0B">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10</w:t>
                  </w:r>
                </w:p>
              </w:tc>
              <w:tc>
                <w:tcPr>
                  <w:tcW w:w="709" w:type="pct"/>
                  <w:vMerge w:val="restart"/>
                  <w:tcBorders>
                    <w:top w:val="single" w:color="auto" w:sz="4" w:space="0"/>
                    <w:left w:val="single" w:color="auto" w:sz="4" w:space="0"/>
                    <w:right w:val="single" w:color="auto" w:sz="4" w:space="0"/>
                  </w:tcBorders>
                  <w:shd w:val="clear" w:color="auto" w:fill="auto"/>
                  <w:vAlign w:val="center"/>
                </w:tcPr>
                <w:p w14:paraId="7C7E4E21">
                  <w:pPr>
                    <w:widowControl/>
                    <w:adjustRightInd w:val="0"/>
                    <w:snapToGrid w:val="0"/>
                    <w:jc w:val="center"/>
                    <w:textAlignment w:val="center"/>
                    <w:rPr>
                      <w:rFonts w:hint="default" w:ascii="Times New Roman" w:hAnsi="Times New Roman" w:cs="Times New Roman"/>
                      <w:bCs/>
                      <w:color w:val="auto"/>
                      <w:sz w:val="18"/>
                      <w:szCs w:val="18"/>
                      <w:highlight w:val="none"/>
                    </w:rPr>
                  </w:pPr>
                  <w:r>
                    <w:rPr>
                      <w:rFonts w:hint="eastAsia" w:ascii="Times New Roman" w:hAnsi="Times New Roman" w:cs="Times New Roman"/>
                      <w:bCs/>
                      <w:color w:val="auto"/>
                      <w:sz w:val="18"/>
                      <w:szCs w:val="18"/>
                      <w:highlight w:val="none"/>
                      <w:lang w:val="en-US" w:eastAsia="zh-CN"/>
                    </w:rPr>
                    <w:t>污物间平开门30cm处</w:t>
                  </w:r>
                </w:p>
              </w:tc>
              <w:tc>
                <w:tcPr>
                  <w:tcW w:w="369" w:type="pct"/>
                  <w:tcBorders>
                    <w:top w:val="single" w:color="auto" w:sz="4" w:space="0"/>
                    <w:left w:val="single" w:color="auto" w:sz="4" w:space="0"/>
                    <w:bottom w:val="single" w:color="auto" w:sz="4" w:space="0"/>
                    <w:right w:val="single" w:color="auto" w:sz="4" w:space="0"/>
                  </w:tcBorders>
                  <w:vAlign w:val="center"/>
                </w:tcPr>
                <w:p w14:paraId="4AFCED14">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透视</w:t>
                  </w:r>
                </w:p>
              </w:tc>
              <w:tc>
                <w:tcPr>
                  <w:tcW w:w="1165" w:type="dxa"/>
                  <w:tcBorders>
                    <w:top w:val="single" w:color="auto" w:sz="4" w:space="0"/>
                    <w:left w:val="single" w:color="auto" w:sz="4" w:space="0"/>
                    <w:bottom w:val="single" w:color="auto" w:sz="4" w:space="0"/>
                    <w:right w:val="single" w:color="auto" w:sz="4" w:space="0"/>
                  </w:tcBorders>
                  <w:vAlign w:val="center"/>
                </w:tcPr>
                <w:p w14:paraId="4C382219">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2.38E-03</w:t>
                  </w:r>
                </w:p>
              </w:tc>
              <w:tc>
                <w:tcPr>
                  <w:tcW w:w="556" w:type="pct"/>
                  <w:vMerge w:val="restart"/>
                  <w:tcBorders>
                    <w:top w:val="single" w:color="auto" w:sz="4" w:space="0"/>
                    <w:left w:val="single" w:color="auto" w:sz="4" w:space="0"/>
                    <w:right w:val="single" w:color="auto" w:sz="4" w:space="0"/>
                  </w:tcBorders>
                  <w:vAlign w:val="center"/>
                </w:tcPr>
                <w:p w14:paraId="2CEF604C">
                  <w:pPr>
                    <w:keepNext w:val="0"/>
                    <w:keepLines w:val="0"/>
                    <w:widowControl/>
                    <w:suppressLineNumbers w:val="0"/>
                    <w:jc w:val="center"/>
                    <w:textAlignment w:val="center"/>
                    <w:rPr>
                      <w:rFonts w:hint="default" w:ascii="Times New Roman" w:hAnsi="Times New Roman" w:cs="Times New Roman"/>
                      <w:bCs/>
                      <w:color w:val="auto"/>
                      <w:sz w:val="18"/>
                      <w:szCs w:val="18"/>
                      <w:highlight w:val="no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1/</w:t>
                  </w:r>
                  <w:r>
                    <w:rPr>
                      <w:rFonts w:hint="eastAsia" w:ascii="Times New Roman" w:hAnsi="Times New Roman" w:cs="Times New Roman"/>
                      <w:i w:val="0"/>
                      <w:iCs w:val="0"/>
                      <w:color w:val="auto"/>
                      <w:kern w:val="0"/>
                      <w:sz w:val="18"/>
                      <w:szCs w:val="18"/>
                      <w:highlight w:val="none"/>
                      <w:u w:val="none"/>
                      <w:lang w:val="en-US" w:eastAsia="zh-CN" w:bidi="ar"/>
                    </w:rPr>
                    <w:t>16</w:t>
                  </w:r>
                </w:p>
              </w:tc>
              <w:tc>
                <w:tcPr>
                  <w:tcW w:w="515" w:type="pct"/>
                  <w:vMerge w:val="continue"/>
                  <w:tcBorders>
                    <w:left w:val="single" w:color="auto" w:sz="4" w:space="0"/>
                    <w:right w:val="single" w:color="auto" w:sz="4" w:space="0"/>
                  </w:tcBorders>
                  <w:vAlign w:val="center"/>
                </w:tcPr>
                <w:p w14:paraId="0797A17E">
                  <w:pPr>
                    <w:pStyle w:val="32"/>
                    <w:snapToGrid w:val="0"/>
                    <w:jc w:val="center"/>
                    <w:rPr>
                      <w:rFonts w:hint="default" w:ascii="Times New Roman" w:hAnsi="Times New Roman" w:cs="Times New Roman"/>
                      <w:bCs/>
                      <w:color w:val="auto"/>
                      <w:sz w:val="18"/>
                      <w:szCs w:val="18"/>
                      <w:highlight w:val="none"/>
                    </w:rPr>
                  </w:pPr>
                </w:p>
              </w:tc>
              <w:tc>
                <w:tcPr>
                  <w:tcW w:w="625" w:type="pct"/>
                  <w:vMerge w:val="restart"/>
                  <w:tcBorders>
                    <w:top w:val="single" w:color="auto" w:sz="4" w:space="0"/>
                    <w:left w:val="single" w:color="auto" w:sz="4" w:space="0"/>
                    <w:right w:val="single" w:color="auto" w:sz="4" w:space="0"/>
                  </w:tcBorders>
                  <w:vAlign w:val="center"/>
                </w:tcPr>
                <w:p w14:paraId="0F875D9B">
                  <w:pPr>
                    <w:pStyle w:val="32"/>
                    <w:snapToGrid w:val="0"/>
                    <w:jc w:val="center"/>
                    <w:rPr>
                      <w:rFonts w:hint="default" w:ascii="Times New Roman" w:hAnsi="Times New Roman" w:cs="Times New Roman"/>
                      <w:bCs/>
                      <w:color w:val="auto"/>
                      <w:sz w:val="18"/>
                      <w:szCs w:val="18"/>
                      <w:highlight w:val="none"/>
                    </w:rPr>
                  </w:pPr>
                  <w:r>
                    <w:rPr>
                      <w:rFonts w:hint="eastAsia" w:ascii="Times New Roman" w:hAnsi="Times New Roman" w:cs="Times New Roman"/>
                      <w:bCs/>
                      <w:color w:val="auto"/>
                      <w:sz w:val="18"/>
                      <w:szCs w:val="18"/>
                      <w:highlight w:val="none"/>
                      <w:lang w:val="en-US" w:eastAsia="zh-CN"/>
                    </w:rPr>
                    <w:t>公众</w:t>
                  </w:r>
                </w:p>
              </w:tc>
              <w:tc>
                <w:tcPr>
                  <w:tcW w:w="1258" w:type="dxa"/>
                  <w:vMerge w:val="restart"/>
                  <w:tcBorders>
                    <w:top w:val="single" w:color="auto" w:sz="4" w:space="0"/>
                    <w:left w:val="single" w:color="auto" w:sz="4" w:space="0"/>
                  </w:tcBorders>
                  <w:vAlign w:val="center"/>
                </w:tcPr>
                <w:p w14:paraId="15BAFC1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2.56E-05</w:t>
                  </w:r>
                </w:p>
              </w:tc>
              <w:tc>
                <w:tcPr>
                  <w:tcW w:w="498" w:type="pct"/>
                  <w:vMerge w:val="continue"/>
                  <w:tcBorders>
                    <w:left w:val="single" w:color="auto" w:sz="4" w:space="0"/>
                  </w:tcBorders>
                  <w:vAlign w:val="center"/>
                </w:tcPr>
                <w:p w14:paraId="5EDF191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70138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Merge w:val="continue"/>
                  <w:tcBorders>
                    <w:bottom w:val="single" w:color="auto" w:sz="4" w:space="0"/>
                    <w:right w:val="single" w:color="auto" w:sz="4" w:space="0"/>
                  </w:tcBorders>
                  <w:vAlign w:val="center"/>
                </w:tcPr>
                <w:p w14:paraId="10E1023A">
                  <w:pPr>
                    <w:jc w:val="center"/>
                    <w:rPr>
                      <w:rFonts w:hint="default" w:ascii="Times New Roman" w:hAnsi="Times New Roman" w:cs="Times New Roman"/>
                      <w:bCs/>
                      <w:color w:val="auto"/>
                      <w:sz w:val="18"/>
                      <w:szCs w:val="18"/>
                      <w:highlight w:val="none"/>
                    </w:rPr>
                  </w:pPr>
                </w:p>
              </w:tc>
              <w:tc>
                <w:tcPr>
                  <w:tcW w:w="709" w:type="pct"/>
                  <w:vMerge w:val="continue"/>
                  <w:tcBorders>
                    <w:left w:val="single" w:color="auto" w:sz="4" w:space="0"/>
                    <w:bottom w:val="single" w:color="auto" w:sz="4" w:space="0"/>
                    <w:right w:val="single" w:color="auto" w:sz="4" w:space="0"/>
                  </w:tcBorders>
                  <w:vAlign w:val="center"/>
                </w:tcPr>
                <w:p w14:paraId="1C4FA104">
                  <w:pPr>
                    <w:jc w:val="center"/>
                    <w:rPr>
                      <w:rFonts w:hint="default" w:ascii="Times New Roman" w:hAnsi="Times New Roman" w:cs="Times New Roman"/>
                      <w:bCs/>
                      <w:color w:val="auto"/>
                      <w:sz w:val="18"/>
                      <w:szCs w:val="18"/>
                      <w:highlight w:val="none"/>
                    </w:rPr>
                  </w:pPr>
                </w:p>
              </w:tc>
              <w:tc>
                <w:tcPr>
                  <w:tcW w:w="369" w:type="pct"/>
                  <w:tcBorders>
                    <w:top w:val="single" w:color="auto" w:sz="4" w:space="0"/>
                    <w:left w:val="single" w:color="auto" w:sz="4" w:space="0"/>
                    <w:bottom w:val="single" w:color="auto" w:sz="4" w:space="0"/>
                    <w:right w:val="single" w:color="auto" w:sz="4" w:space="0"/>
                  </w:tcBorders>
                  <w:vAlign w:val="center"/>
                </w:tcPr>
                <w:p w14:paraId="73B96807">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拍片</w:t>
                  </w:r>
                </w:p>
              </w:tc>
              <w:tc>
                <w:tcPr>
                  <w:tcW w:w="1165" w:type="dxa"/>
                  <w:tcBorders>
                    <w:top w:val="single" w:color="auto" w:sz="4" w:space="0"/>
                    <w:left w:val="single" w:color="auto" w:sz="4" w:space="0"/>
                    <w:bottom w:val="single" w:color="auto" w:sz="4" w:space="0"/>
                    <w:right w:val="single" w:color="auto" w:sz="4" w:space="0"/>
                  </w:tcBorders>
                  <w:vAlign w:val="center"/>
                </w:tcPr>
                <w:p w14:paraId="6D3BECB8">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4.41E-02</w:t>
                  </w:r>
                </w:p>
              </w:tc>
              <w:tc>
                <w:tcPr>
                  <w:tcW w:w="556" w:type="pct"/>
                  <w:vMerge w:val="continue"/>
                  <w:tcBorders>
                    <w:left w:val="single" w:color="auto" w:sz="4" w:space="0"/>
                    <w:bottom w:val="single" w:color="auto" w:sz="4" w:space="0"/>
                    <w:right w:val="single" w:color="auto" w:sz="4" w:space="0"/>
                  </w:tcBorders>
                  <w:vAlign w:val="center"/>
                </w:tcPr>
                <w:p w14:paraId="1008C3DA">
                  <w:pPr>
                    <w:pStyle w:val="32"/>
                    <w:snapToGrid w:val="0"/>
                    <w:jc w:val="center"/>
                    <w:rPr>
                      <w:rFonts w:hint="default" w:ascii="Times New Roman" w:hAnsi="Times New Roman" w:cs="Times New Roman"/>
                      <w:bCs/>
                      <w:color w:val="auto"/>
                      <w:sz w:val="18"/>
                      <w:szCs w:val="18"/>
                      <w:highlight w:val="none"/>
                    </w:rPr>
                  </w:pPr>
                </w:p>
              </w:tc>
              <w:tc>
                <w:tcPr>
                  <w:tcW w:w="515" w:type="pct"/>
                  <w:vMerge w:val="continue"/>
                  <w:tcBorders>
                    <w:left w:val="single" w:color="auto" w:sz="4" w:space="0"/>
                    <w:right w:val="single" w:color="auto" w:sz="4" w:space="0"/>
                  </w:tcBorders>
                  <w:vAlign w:val="center"/>
                </w:tcPr>
                <w:p w14:paraId="32CB5CDD">
                  <w:pPr>
                    <w:pStyle w:val="32"/>
                    <w:snapToGrid w:val="0"/>
                    <w:jc w:val="center"/>
                    <w:rPr>
                      <w:rFonts w:hint="default" w:ascii="Times New Roman" w:hAnsi="Times New Roman" w:cs="Times New Roman"/>
                      <w:bCs/>
                      <w:color w:val="auto"/>
                      <w:sz w:val="18"/>
                      <w:szCs w:val="18"/>
                      <w:highlight w:val="none"/>
                    </w:rPr>
                  </w:pPr>
                </w:p>
              </w:tc>
              <w:tc>
                <w:tcPr>
                  <w:tcW w:w="625" w:type="pct"/>
                  <w:vMerge w:val="continue"/>
                  <w:tcBorders>
                    <w:left w:val="single" w:color="auto" w:sz="4" w:space="0"/>
                    <w:bottom w:val="single" w:color="auto" w:sz="4" w:space="0"/>
                    <w:right w:val="single" w:color="auto" w:sz="4" w:space="0"/>
                  </w:tcBorders>
                  <w:vAlign w:val="center"/>
                </w:tcPr>
                <w:p w14:paraId="5582CB4B">
                  <w:pPr>
                    <w:pStyle w:val="32"/>
                    <w:snapToGrid w:val="0"/>
                    <w:jc w:val="center"/>
                    <w:rPr>
                      <w:rFonts w:hint="default" w:ascii="Times New Roman" w:hAnsi="Times New Roman" w:cs="Times New Roman"/>
                      <w:bCs/>
                      <w:color w:val="auto"/>
                      <w:sz w:val="18"/>
                      <w:szCs w:val="18"/>
                      <w:highlight w:val="none"/>
                    </w:rPr>
                  </w:pPr>
                </w:p>
              </w:tc>
              <w:tc>
                <w:tcPr>
                  <w:tcW w:w="758" w:type="pct"/>
                  <w:vMerge w:val="continue"/>
                  <w:tcBorders>
                    <w:left w:val="single" w:color="auto" w:sz="4" w:space="0"/>
                    <w:bottom w:val="single" w:color="auto" w:sz="4" w:space="0"/>
                  </w:tcBorders>
                  <w:vAlign w:val="center"/>
                </w:tcPr>
                <w:p w14:paraId="3EB8AE6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498" w:type="pct"/>
                  <w:vMerge w:val="continue"/>
                  <w:tcBorders>
                    <w:left w:val="single" w:color="auto" w:sz="4" w:space="0"/>
                  </w:tcBorders>
                  <w:vAlign w:val="center"/>
                </w:tcPr>
                <w:p w14:paraId="4028A60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73A62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Merge w:val="restart"/>
                  <w:tcBorders>
                    <w:top w:val="single" w:color="auto" w:sz="4" w:space="0"/>
                    <w:right w:val="single" w:color="auto" w:sz="4" w:space="0"/>
                  </w:tcBorders>
                  <w:vAlign w:val="center"/>
                </w:tcPr>
                <w:p w14:paraId="3F0EF3B8">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11</w:t>
                  </w:r>
                </w:p>
              </w:tc>
              <w:tc>
                <w:tcPr>
                  <w:tcW w:w="709" w:type="pct"/>
                  <w:vMerge w:val="restart"/>
                  <w:tcBorders>
                    <w:top w:val="single" w:color="auto" w:sz="4" w:space="0"/>
                    <w:left w:val="single" w:color="auto" w:sz="4" w:space="0"/>
                    <w:right w:val="single" w:color="auto" w:sz="4" w:space="0"/>
                  </w:tcBorders>
                  <w:shd w:val="clear" w:color="auto" w:fill="auto"/>
                  <w:vAlign w:val="center"/>
                </w:tcPr>
                <w:p w14:paraId="3484665D">
                  <w:pPr>
                    <w:widowControl/>
                    <w:adjustRightInd w:val="0"/>
                    <w:snapToGrid w:val="0"/>
                    <w:jc w:val="center"/>
                    <w:textAlignment w:val="center"/>
                    <w:rPr>
                      <w:rFonts w:hint="default" w:ascii="Times New Roman" w:hAnsi="Times New Roman" w:cs="Times New Roman"/>
                      <w:bCs/>
                      <w:color w:val="auto"/>
                      <w:sz w:val="18"/>
                      <w:szCs w:val="18"/>
                      <w:highlight w:val="none"/>
                    </w:rPr>
                  </w:pPr>
                  <w:r>
                    <w:rPr>
                      <w:rStyle w:val="67"/>
                      <w:rFonts w:hint="eastAsia" w:ascii="Times New Roman" w:hAnsi="Times New Roman" w:cs="Times New Roman"/>
                      <w:bCs/>
                      <w:color w:val="auto"/>
                      <w:sz w:val="18"/>
                      <w:szCs w:val="18"/>
                      <w:highlight w:val="none"/>
                      <w:lang w:val="en-US" w:eastAsia="zh-CN" w:bidi="ar"/>
                    </w:rPr>
                    <w:t>设备间屏蔽墙30cm处</w:t>
                  </w:r>
                </w:p>
              </w:tc>
              <w:tc>
                <w:tcPr>
                  <w:tcW w:w="369" w:type="pct"/>
                  <w:tcBorders>
                    <w:top w:val="single" w:color="auto" w:sz="4" w:space="0"/>
                    <w:left w:val="single" w:color="auto" w:sz="4" w:space="0"/>
                    <w:bottom w:val="single" w:color="auto" w:sz="4" w:space="0"/>
                    <w:right w:val="single" w:color="auto" w:sz="4" w:space="0"/>
                  </w:tcBorders>
                  <w:vAlign w:val="center"/>
                </w:tcPr>
                <w:p w14:paraId="7A10288C">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透视</w:t>
                  </w:r>
                </w:p>
              </w:tc>
              <w:tc>
                <w:tcPr>
                  <w:tcW w:w="1165" w:type="dxa"/>
                  <w:tcBorders>
                    <w:top w:val="single" w:color="auto" w:sz="4" w:space="0"/>
                    <w:left w:val="single" w:color="auto" w:sz="4" w:space="0"/>
                    <w:bottom w:val="single" w:color="auto" w:sz="4" w:space="0"/>
                    <w:right w:val="single" w:color="auto" w:sz="4" w:space="0"/>
                  </w:tcBorders>
                  <w:vAlign w:val="center"/>
                </w:tcPr>
                <w:p w14:paraId="548680A0">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2.13E-05</w:t>
                  </w:r>
                </w:p>
              </w:tc>
              <w:tc>
                <w:tcPr>
                  <w:tcW w:w="556" w:type="pct"/>
                  <w:vMerge w:val="restart"/>
                  <w:tcBorders>
                    <w:top w:val="single" w:color="auto" w:sz="4" w:space="0"/>
                    <w:left w:val="single" w:color="auto" w:sz="4" w:space="0"/>
                    <w:right w:val="single" w:color="auto" w:sz="4" w:space="0"/>
                  </w:tcBorders>
                  <w:vAlign w:val="center"/>
                </w:tcPr>
                <w:p w14:paraId="223836C7">
                  <w:pPr>
                    <w:keepNext w:val="0"/>
                    <w:keepLines w:val="0"/>
                    <w:widowControl/>
                    <w:suppressLineNumbers w:val="0"/>
                    <w:jc w:val="center"/>
                    <w:textAlignment w:val="center"/>
                    <w:rPr>
                      <w:rFonts w:hint="default" w:ascii="Times New Roman" w:hAnsi="Times New Roman" w:cs="Times New Roman"/>
                      <w:bCs/>
                      <w:color w:val="auto"/>
                      <w:sz w:val="18"/>
                      <w:szCs w:val="18"/>
                      <w:highlight w:val="no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1/</w:t>
                  </w:r>
                  <w:r>
                    <w:rPr>
                      <w:rFonts w:hint="eastAsia" w:ascii="Times New Roman" w:hAnsi="Times New Roman" w:cs="Times New Roman"/>
                      <w:i w:val="0"/>
                      <w:iCs w:val="0"/>
                      <w:color w:val="auto"/>
                      <w:kern w:val="0"/>
                      <w:sz w:val="18"/>
                      <w:szCs w:val="18"/>
                      <w:highlight w:val="none"/>
                      <w:u w:val="none"/>
                      <w:lang w:val="en-US" w:eastAsia="zh-CN" w:bidi="ar"/>
                    </w:rPr>
                    <w:t>16</w:t>
                  </w:r>
                </w:p>
              </w:tc>
              <w:tc>
                <w:tcPr>
                  <w:tcW w:w="515" w:type="pct"/>
                  <w:vMerge w:val="continue"/>
                  <w:tcBorders>
                    <w:left w:val="single" w:color="auto" w:sz="4" w:space="0"/>
                    <w:right w:val="single" w:color="auto" w:sz="4" w:space="0"/>
                  </w:tcBorders>
                  <w:vAlign w:val="center"/>
                </w:tcPr>
                <w:p w14:paraId="377F2ED5">
                  <w:pPr>
                    <w:pStyle w:val="32"/>
                    <w:snapToGrid w:val="0"/>
                    <w:jc w:val="center"/>
                    <w:rPr>
                      <w:rFonts w:hint="default" w:ascii="Times New Roman" w:hAnsi="Times New Roman" w:cs="Times New Roman"/>
                      <w:bCs/>
                      <w:color w:val="auto"/>
                      <w:sz w:val="18"/>
                      <w:szCs w:val="18"/>
                      <w:highlight w:val="none"/>
                    </w:rPr>
                  </w:pPr>
                </w:p>
              </w:tc>
              <w:tc>
                <w:tcPr>
                  <w:tcW w:w="625" w:type="pct"/>
                  <w:vMerge w:val="restart"/>
                  <w:tcBorders>
                    <w:top w:val="single" w:color="auto" w:sz="4" w:space="0"/>
                    <w:left w:val="single" w:color="auto" w:sz="4" w:space="0"/>
                    <w:right w:val="single" w:color="auto" w:sz="4" w:space="0"/>
                  </w:tcBorders>
                  <w:vAlign w:val="center"/>
                </w:tcPr>
                <w:p w14:paraId="0785C039">
                  <w:pPr>
                    <w:pStyle w:val="32"/>
                    <w:snapToGrid w:val="0"/>
                    <w:jc w:val="center"/>
                    <w:rPr>
                      <w:rFonts w:hint="default" w:ascii="Times New Roman" w:hAnsi="Times New Roman" w:cs="Times New Roman"/>
                      <w:bCs/>
                      <w:color w:val="auto"/>
                      <w:sz w:val="18"/>
                      <w:szCs w:val="18"/>
                      <w:highlight w:val="none"/>
                    </w:rPr>
                  </w:pPr>
                  <w:r>
                    <w:rPr>
                      <w:rFonts w:hint="eastAsia" w:ascii="Times New Roman" w:hAnsi="Times New Roman" w:cs="Times New Roman"/>
                      <w:bCs/>
                      <w:color w:val="auto"/>
                      <w:sz w:val="18"/>
                      <w:szCs w:val="18"/>
                      <w:highlight w:val="none"/>
                      <w:lang w:val="en-US" w:eastAsia="zh-CN"/>
                    </w:rPr>
                    <w:t>公众</w:t>
                  </w:r>
                </w:p>
              </w:tc>
              <w:tc>
                <w:tcPr>
                  <w:tcW w:w="1258" w:type="dxa"/>
                  <w:vMerge w:val="restart"/>
                  <w:tcBorders>
                    <w:top w:val="single" w:color="auto" w:sz="4" w:space="0"/>
                    <w:left w:val="single" w:color="auto" w:sz="4" w:space="0"/>
                  </w:tcBorders>
                  <w:vAlign w:val="center"/>
                </w:tcPr>
                <w:p w14:paraId="06708C6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2.44E-07</w:t>
                  </w:r>
                </w:p>
              </w:tc>
              <w:tc>
                <w:tcPr>
                  <w:tcW w:w="498" w:type="pct"/>
                  <w:vMerge w:val="continue"/>
                  <w:tcBorders>
                    <w:left w:val="single" w:color="auto" w:sz="4" w:space="0"/>
                  </w:tcBorders>
                  <w:vAlign w:val="center"/>
                </w:tcPr>
                <w:p w14:paraId="62CE01B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238B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Merge w:val="continue"/>
                  <w:tcBorders>
                    <w:bottom w:val="single" w:color="auto" w:sz="4" w:space="0"/>
                    <w:right w:val="single" w:color="auto" w:sz="4" w:space="0"/>
                  </w:tcBorders>
                  <w:vAlign w:val="center"/>
                </w:tcPr>
                <w:p w14:paraId="5C5CBADC">
                  <w:pPr>
                    <w:jc w:val="center"/>
                    <w:rPr>
                      <w:rFonts w:hint="default" w:ascii="Times New Roman" w:hAnsi="Times New Roman" w:cs="Times New Roman"/>
                      <w:bCs/>
                      <w:color w:val="auto"/>
                      <w:sz w:val="18"/>
                      <w:szCs w:val="18"/>
                      <w:highlight w:val="none"/>
                    </w:rPr>
                  </w:pPr>
                </w:p>
              </w:tc>
              <w:tc>
                <w:tcPr>
                  <w:tcW w:w="709" w:type="pct"/>
                  <w:vMerge w:val="continue"/>
                  <w:tcBorders>
                    <w:left w:val="single" w:color="auto" w:sz="4" w:space="0"/>
                    <w:bottom w:val="single" w:color="auto" w:sz="4" w:space="0"/>
                    <w:right w:val="single" w:color="auto" w:sz="4" w:space="0"/>
                  </w:tcBorders>
                  <w:vAlign w:val="center"/>
                </w:tcPr>
                <w:p w14:paraId="4A453823">
                  <w:pPr>
                    <w:jc w:val="center"/>
                    <w:rPr>
                      <w:rFonts w:hint="default" w:ascii="Times New Roman" w:hAnsi="Times New Roman" w:cs="Times New Roman"/>
                      <w:bCs/>
                      <w:color w:val="auto"/>
                      <w:sz w:val="18"/>
                      <w:szCs w:val="18"/>
                      <w:highlight w:val="none"/>
                    </w:rPr>
                  </w:pPr>
                </w:p>
              </w:tc>
              <w:tc>
                <w:tcPr>
                  <w:tcW w:w="369" w:type="pct"/>
                  <w:tcBorders>
                    <w:top w:val="single" w:color="auto" w:sz="4" w:space="0"/>
                    <w:left w:val="single" w:color="auto" w:sz="4" w:space="0"/>
                    <w:bottom w:val="single" w:color="auto" w:sz="4" w:space="0"/>
                    <w:right w:val="single" w:color="auto" w:sz="4" w:space="0"/>
                  </w:tcBorders>
                  <w:vAlign w:val="center"/>
                </w:tcPr>
                <w:p w14:paraId="0FF05779">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拍片</w:t>
                  </w:r>
                </w:p>
              </w:tc>
              <w:tc>
                <w:tcPr>
                  <w:tcW w:w="1165" w:type="dxa"/>
                  <w:tcBorders>
                    <w:top w:val="single" w:color="auto" w:sz="4" w:space="0"/>
                    <w:left w:val="single" w:color="auto" w:sz="4" w:space="0"/>
                    <w:bottom w:val="single" w:color="auto" w:sz="4" w:space="0"/>
                    <w:right w:val="single" w:color="auto" w:sz="4" w:space="0"/>
                  </w:tcBorders>
                  <w:vAlign w:val="center"/>
                </w:tcPr>
                <w:p w14:paraId="50A047F4">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4.49E-04</w:t>
                  </w:r>
                </w:p>
              </w:tc>
              <w:tc>
                <w:tcPr>
                  <w:tcW w:w="556" w:type="pct"/>
                  <w:vMerge w:val="continue"/>
                  <w:tcBorders>
                    <w:left w:val="single" w:color="auto" w:sz="4" w:space="0"/>
                    <w:bottom w:val="single" w:color="auto" w:sz="4" w:space="0"/>
                    <w:right w:val="single" w:color="auto" w:sz="4" w:space="0"/>
                  </w:tcBorders>
                  <w:vAlign w:val="center"/>
                </w:tcPr>
                <w:p w14:paraId="1A0E07FE">
                  <w:pPr>
                    <w:pStyle w:val="32"/>
                    <w:snapToGrid w:val="0"/>
                    <w:jc w:val="center"/>
                    <w:rPr>
                      <w:rFonts w:hint="default" w:ascii="Times New Roman" w:hAnsi="Times New Roman" w:cs="Times New Roman"/>
                      <w:bCs/>
                      <w:color w:val="auto"/>
                      <w:sz w:val="18"/>
                      <w:szCs w:val="18"/>
                      <w:highlight w:val="none"/>
                    </w:rPr>
                  </w:pPr>
                </w:p>
              </w:tc>
              <w:tc>
                <w:tcPr>
                  <w:tcW w:w="515" w:type="pct"/>
                  <w:vMerge w:val="continue"/>
                  <w:tcBorders>
                    <w:left w:val="single" w:color="auto" w:sz="4" w:space="0"/>
                    <w:right w:val="single" w:color="auto" w:sz="4" w:space="0"/>
                  </w:tcBorders>
                  <w:vAlign w:val="center"/>
                </w:tcPr>
                <w:p w14:paraId="2FE9B16C">
                  <w:pPr>
                    <w:pStyle w:val="32"/>
                    <w:snapToGrid w:val="0"/>
                    <w:jc w:val="center"/>
                    <w:rPr>
                      <w:rFonts w:hint="default" w:ascii="Times New Roman" w:hAnsi="Times New Roman" w:cs="Times New Roman"/>
                      <w:bCs/>
                      <w:color w:val="auto"/>
                      <w:sz w:val="18"/>
                      <w:szCs w:val="18"/>
                      <w:highlight w:val="none"/>
                    </w:rPr>
                  </w:pPr>
                </w:p>
              </w:tc>
              <w:tc>
                <w:tcPr>
                  <w:tcW w:w="625" w:type="pct"/>
                  <w:vMerge w:val="continue"/>
                  <w:tcBorders>
                    <w:left w:val="single" w:color="auto" w:sz="4" w:space="0"/>
                    <w:bottom w:val="single" w:color="auto" w:sz="4" w:space="0"/>
                    <w:right w:val="single" w:color="auto" w:sz="4" w:space="0"/>
                  </w:tcBorders>
                  <w:vAlign w:val="center"/>
                </w:tcPr>
                <w:p w14:paraId="6AC5D672">
                  <w:pPr>
                    <w:pStyle w:val="32"/>
                    <w:snapToGrid w:val="0"/>
                    <w:jc w:val="center"/>
                    <w:rPr>
                      <w:rFonts w:hint="default" w:ascii="Times New Roman" w:hAnsi="Times New Roman" w:cs="Times New Roman"/>
                      <w:bCs/>
                      <w:color w:val="auto"/>
                      <w:sz w:val="18"/>
                      <w:szCs w:val="18"/>
                      <w:highlight w:val="none"/>
                    </w:rPr>
                  </w:pPr>
                </w:p>
              </w:tc>
              <w:tc>
                <w:tcPr>
                  <w:tcW w:w="758" w:type="pct"/>
                  <w:vMerge w:val="continue"/>
                  <w:tcBorders>
                    <w:left w:val="single" w:color="auto" w:sz="4" w:space="0"/>
                    <w:bottom w:val="single" w:color="auto" w:sz="4" w:space="0"/>
                  </w:tcBorders>
                  <w:vAlign w:val="center"/>
                </w:tcPr>
                <w:p w14:paraId="192B94F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498" w:type="pct"/>
                  <w:vMerge w:val="continue"/>
                  <w:tcBorders>
                    <w:left w:val="single" w:color="auto" w:sz="4" w:space="0"/>
                  </w:tcBorders>
                  <w:vAlign w:val="center"/>
                </w:tcPr>
                <w:p w14:paraId="04DFC21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4C54E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Merge w:val="restart"/>
                  <w:tcBorders>
                    <w:top w:val="single" w:color="auto" w:sz="4" w:space="0"/>
                    <w:right w:val="single" w:color="auto" w:sz="4" w:space="0"/>
                  </w:tcBorders>
                  <w:vAlign w:val="center"/>
                </w:tcPr>
                <w:p w14:paraId="088D87B6">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12</w:t>
                  </w:r>
                </w:p>
              </w:tc>
              <w:tc>
                <w:tcPr>
                  <w:tcW w:w="709" w:type="pct"/>
                  <w:vMerge w:val="restart"/>
                  <w:tcBorders>
                    <w:top w:val="single" w:color="auto" w:sz="4" w:space="0"/>
                    <w:left w:val="single" w:color="auto" w:sz="4" w:space="0"/>
                    <w:right w:val="single" w:color="auto" w:sz="4" w:space="0"/>
                  </w:tcBorders>
                  <w:shd w:val="clear" w:color="auto" w:fill="auto"/>
                  <w:vAlign w:val="center"/>
                </w:tcPr>
                <w:p w14:paraId="67FF9515">
                  <w:pPr>
                    <w:widowControl/>
                    <w:adjustRightInd w:val="0"/>
                    <w:snapToGrid w:val="0"/>
                    <w:jc w:val="center"/>
                    <w:textAlignment w:val="center"/>
                    <w:rPr>
                      <w:rFonts w:hint="default" w:ascii="Times New Roman" w:hAnsi="Times New Roman" w:cs="Times New Roman"/>
                      <w:bCs/>
                      <w:color w:val="auto"/>
                      <w:sz w:val="18"/>
                      <w:szCs w:val="18"/>
                      <w:highlight w:val="none"/>
                    </w:rPr>
                  </w:pPr>
                  <w:r>
                    <w:rPr>
                      <w:rStyle w:val="67"/>
                      <w:rFonts w:hint="eastAsia" w:ascii="Times New Roman" w:hAnsi="Times New Roman" w:cs="Times New Roman"/>
                      <w:bCs/>
                      <w:color w:val="auto"/>
                      <w:sz w:val="18"/>
                      <w:szCs w:val="18"/>
                      <w:highlight w:val="none"/>
                      <w:lang w:val="en-US" w:eastAsia="zh-CN" w:bidi="ar"/>
                    </w:rPr>
                    <w:t>设备间平开门30cm处</w:t>
                  </w:r>
                </w:p>
              </w:tc>
              <w:tc>
                <w:tcPr>
                  <w:tcW w:w="369" w:type="pct"/>
                  <w:tcBorders>
                    <w:top w:val="single" w:color="auto" w:sz="4" w:space="0"/>
                    <w:left w:val="single" w:color="auto" w:sz="4" w:space="0"/>
                    <w:bottom w:val="single" w:color="auto" w:sz="4" w:space="0"/>
                    <w:right w:val="single" w:color="auto" w:sz="4" w:space="0"/>
                  </w:tcBorders>
                  <w:vAlign w:val="center"/>
                </w:tcPr>
                <w:p w14:paraId="6146E819">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透视</w:t>
                  </w:r>
                </w:p>
              </w:tc>
              <w:tc>
                <w:tcPr>
                  <w:tcW w:w="1165" w:type="dxa"/>
                  <w:tcBorders>
                    <w:top w:val="single" w:color="auto" w:sz="4" w:space="0"/>
                    <w:left w:val="single" w:color="auto" w:sz="4" w:space="0"/>
                    <w:bottom w:val="single" w:color="auto" w:sz="4" w:space="0"/>
                    <w:right w:val="single" w:color="auto" w:sz="4" w:space="0"/>
                  </w:tcBorders>
                  <w:vAlign w:val="center"/>
                </w:tcPr>
                <w:p w14:paraId="7A38682B">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2.38E-03</w:t>
                  </w:r>
                </w:p>
              </w:tc>
              <w:tc>
                <w:tcPr>
                  <w:tcW w:w="556" w:type="pct"/>
                  <w:vMerge w:val="restart"/>
                  <w:tcBorders>
                    <w:top w:val="single" w:color="auto" w:sz="4" w:space="0"/>
                    <w:left w:val="single" w:color="auto" w:sz="4" w:space="0"/>
                    <w:right w:val="single" w:color="auto" w:sz="4" w:space="0"/>
                  </w:tcBorders>
                  <w:vAlign w:val="center"/>
                </w:tcPr>
                <w:p w14:paraId="67D19C5E">
                  <w:pPr>
                    <w:keepNext w:val="0"/>
                    <w:keepLines w:val="0"/>
                    <w:widowControl/>
                    <w:suppressLineNumbers w:val="0"/>
                    <w:jc w:val="center"/>
                    <w:textAlignment w:val="center"/>
                    <w:rPr>
                      <w:rFonts w:hint="default" w:ascii="Times New Roman" w:hAnsi="Times New Roman" w:cs="Times New Roman"/>
                      <w:bCs/>
                      <w:color w:val="auto"/>
                      <w:sz w:val="18"/>
                      <w:szCs w:val="18"/>
                      <w:highlight w:val="no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1/</w:t>
                  </w:r>
                  <w:r>
                    <w:rPr>
                      <w:rFonts w:hint="eastAsia" w:ascii="Times New Roman" w:hAnsi="Times New Roman" w:cs="Times New Roman"/>
                      <w:i w:val="0"/>
                      <w:iCs w:val="0"/>
                      <w:color w:val="auto"/>
                      <w:kern w:val="0"/>
                      <w:sz w:val="18"/>
                      <w:szCs w:val="18"/>
                      <w:highlight w:val="none"/>
                      <w:u w:val="none"/>
                      <w:lang w:val="en-US" w:eastAsia="zh-CN" w:bidi="ar"/>
                    </w:rPr>
                    <w:t>16</w:t>
                  </w:r>
                </w:p>
              </w:tc>
              <w:tc>
                <w:tcPr>
                  <w:tcW w:w="515" w:type="pct"/>
                  <w:vMerge w:val="continue"/>
                  <w:tcBorders>
                    <w:left w:val="single" w:color="auto" w:sz="4" w:space="0"/>
                    <w:right w:val="single" w:color="auto" w:sz="4" w:space="0"/>
                  </w:tcBorders>
                  <w:vAlign w:val="center"/>
                </w:tcPr>
                <w:p w14:paraId="2E2ADE86">
                  <w:pPr>
                    <w:pStyle w:val="32"/>
                    <w:snapToGrid w:val="0"/>
                    <w:jc w:val="center"/>
                    <w:rPr>
                      <w:rFonts w:hint="default" w:ascii="Times New Roman" w:hAnsi="Times New Roman" w:cs="Times New Roman"/>
                      <w:bCs/>
                      <w:color w:val="auto"/>
                      <w:sz w:val="18"/>
                      <w:szCs w:val="18"/>
                      <w:highlight w:val="none"/>
                    </w:rPr>
                  </w:pPr>
                </w:p>
              </w:tc>
              <w:tc>
                <w:tcPr>
                  <w:tcW w:w="625" w:type="pct"/>
                  <w:vMerge w:val="restart"/>
                  <w:tcBorders>
                    <w:top w:val="single" w:color="auto" w:sz="4" w:space="0"/>
                    <w:left w:val="single" w:color="auto" w:sz="4" w:space="0"/>
                    <w:right w:val="single" w:color="auto" w:sz="4" w:space="0"/>
                  </w:tcBorders>
                  <w:vAlign w:val="center"/>
                </w:tcPr>
                <w:p w14:paraId="413AC7A6">
                  <w:pPr>
                    <w:pStyle w:val="32"/>
                    <w:snapToGrid w:val="0"/>
                    <w:jc w:val="center"/>
                    <w:rPr>
                      <w:rFonts w:hint="default" w:ascii="Times New Roman" w:hAnsi="Times New Roman" w:cs="Times New Roman"/>
                      <w:bCs/>
                      <w:color w:val="auto"/>
                      <w:sz w:val="18"/>
                      <w:szCs w:val="18"/>
                      <w:highlight w:val="none"/>
                    </w:rPr>
                  </w:pPr>
                  <w:r>
                    <w:rPr>
                      <w:rFonts w:hint="eastAsia" w:ascii="Times New Roman" w:hAnsi="Times New Roman" w:cs="Times New Roman"/>
                      <w:bCs/>
                      <w:color w:val="auto"/>
                      <w:sz w:val="18"/>
                      <w:szCs w:val="18"/>
                      <w:highlight w:val="none"/>
                      <w:lang w:val="en-US" w:eastAsia="zh-CN"/>
                    </w:rPr>
                    <w:t>公众</w:t>
                  </w:r>
                </w:p>
              </w:tc>
              <w:tc>
                <w:tcPr>
                  <w:tcW w:w="1258" w:type="dxa"/>
                  <w:vMerge w:val="restart"/>
                  <w:tcBorders>
                    <w:top w:val="single" w:color="auto" w:sz="4" w:space="0"/>
                    <w:left w:val="single" w:color="auto" w:sz="4" w:space="0"/>
                  </w:tcBorders>
                  <w:vAlign w:val="center"/>
                </w:tcPr>
                <w:p w14:paraId="569FD24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2.56E-05</w:t>
                  </w:r>
                </w:p>
              </w:tc>
              <w:tc>
                <w:tcPr>
                  <w:tcW w:w="498" w:type="pct"/>
                  <w:vMerge w:val="continue"/>
                  <w:tcBorders>
                    <w:left w:val="single" w:color="auto" w:sz="4" w:space="0"/>
                  </w:tcBorders>
                  <w:vAlign w:val="center"/>
                </w:tcPr>
                <w:p w14:paraId="1E6EF5A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68C53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Merge w:val="continue"/>
                  <w:tcBorders>
                    <w:bottom w:val="single" w:color="auto" w:sz="4" w:space="0"/>
                    <w:right w:val="single" w:color="auto" w:sz="4" w:space="0"/>
                  </w:tcBorders>
                  <w:vAlign w:val="center"/>
                </w:tcPr>
                <w:p w14:paraId="73B1A214">
                  <w:pPr>
                    <w:jc w:val="center"/>
                    <w:rPr>
                      <w:rFonts w:hint="default" w:ascii="Times New Roman" w:hAnsi="Times New Roman" w:cs="Times New Roman"/>
                      <w:bCs/>
                      <w:color w:val="auto"/>
                      <w:sz w:val="18"/>
                      <w:szCs w:val="18"/>
                      <w:highlight w:val="none"/>
                    </w:rPr>
                  </w:pPr>
                </w:p>
              </w:tc>
              <w:tc>
                <w:tcPr>
                  <w:tcW w:w="709" w:type="pct"/>
                  <w:vMerge w:val="continue"/>
                  <w:tcBorders>
                    <w:left w:val="single" w:color="auto" w:sz="4" w:space="0"/>
                    <w:bottom w:val="single" w:color="auto" w:sz="4" w:space="0"/>
                    <w:right w:val="single" w:color="auto" w:sz="4" w:space="0"/>
                  </w:tcBorders>
                  <w:vAlign w:val="center"/>
                </w:tcPr>
                <w:p w14:paraId="59E7403A">
                  <w:pPr>
                    <w:jc w:val="center"/>
                    <w:rPr>
                      <w:rFonts w:hint="default" w:ascii="Times New Roman" w:hAnsi="Times New Roman" w:cs="Times New Roman"/>
                      <w:bCs/>
                      <w:color w:val="auto"/>
                      <w:sz w:val="18"/>
                      <w:szCs w:val="18"/>
                      <w:highlight w:val="none"/>
                    </w:rPr>
                  </w:pPr>
                </w:p>
              </w:tc>
              <w:tc>
                <w:tcPr>
                  <w:tcW w:w="369" w:type="pct"/>
                  <w:tcBorders>
                    <w:top w:val="single" w:color="auto" w:sz="4" w:space="0"/>
                    <w:left w:val="single" w:color="auto" w:sz="4" w:space="0"/>
                    <w:bottom w:val="single" w:color="auto" w:sz="4" w:space="0"/>
                    <w:right w:val="single" w:color="auto" w:sz="4" w:space="0"/>
                  </w:tcBorders>
                  <w:vAlign w:val="center"/>
                </w:tcPr>
                <w:p w14:paraId="33FD0A3F">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拍片</w:t>
                  </w:r>
                </w:p>
              </w:tc>
              <w:tc>
                <w:tcPr>
                  <w:tcW w:w="1165" w:type="dxa"/>
                  <w:tcBorders>
                    <w:top w:val="single" w:color="auto" w:sz="4" w:space="0"/>
                    <w:left w:val="single" w:color="auto" w:sz="4" w:space="0"/>
                    <w:bottom w:val="single" w:color="auto" w:sz="4" w:space="0"/>
                    <w:right w:val="single" w:color="auto" w:sz="4" w:space="0"/>
                  </w:tcBorders>
                  <w:vAlign w:val="center"/>
                </w:tcPr>
                <w:p w14:paraId="01F31F16">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4.41E-02</w:t>
                  </w:r>
                </w:p>
              </w:tc>
              <w:tc>
                <w:tcPr>
                  <w:tcW w:w="556" w:type="pct"/>
                  <w:vMerge w:val="continue"/>
                  <w:tcBorders>
                    <w:left w:val="single" w:color="auto" w:sz="4" w:space="0"/>
                    <w:bottom w:val="single" w:color="auto" w:sz="4" w:space="0"/>
                    <w:right w:val="single" w:color="auto" w:sz="4" w:space="0"/>
                  </w:tcBorders>
                  <w:vAlign w:val="center"/>
                </w:tcPr>
                <w:p w14:paraId="25DDC27F">
                  <w:pPr>
                    <w:pStyle w:val="32"/>
                    <w:snapToGrid w:val="0"/>
                    <w:jc w:val="center"/>
                    <w:rPr>
                      <w:rFonts w:hint="default" w:ascii="Times New Roman" w:hAnsi="Times New Roman" w:cs="Times New Roman"/>
                      <w:bCs/>
                      <w:color w:val="auto"/>
                      <w:sz w:val="18"/>
                      <w:szCs w:val="18"/>
                      <w:highlight w:val="none"/>
                    </w:rPr>
                  </w:pPr>
                </w:p>
              </w:tc>
              <w:tc>
                <w:tcPr>
                  <w:tcW w:w="515" w:type="pct"/>
                  <w:vMerge w:val="continue"/>
                  <w:tcBorders>
                    <w:left w:val="single" w:color="auto" w:sz="4" w:space="0"/>
                    <w:right w:val="single" w:color="auto" w:sz="4" w:space="0"/>
                  </w:tcBorders>
                  <w:vAlign w:val="center"/>
                </w:tcPr>
                <w:p w14:paraId="5F7142D9">
                  <w:pPr>
                    <w:pStyle w:val="32"/>
                    <w:snapToGrid w:val="0"/>
                    <w:jc w:val="center"/>
                    <w:rPr>
                      <w:rFonts w:hint="default" w:ascii="Times New Roman" w:hAnsi="Times New Roman" w:cs="Times New Roman"/>
                      <w:bCs/>
                      <w:color w:val="auto"/>
                      <w:sz w:val="18"/>
                      <w:szCs w:val="18"/>
                      <w:highlight w:val="none"/>
                    </w:rPr>
                  </w:pPr>
                </w:p>
              </w:tc>
              <w:tc>
                <w:tcPr>
                  <w:tcW w:w="625" w:type="pct"/>
                  <w:vMerge w:val="continue"/>
                  <w:tcBorders>
                    <w:left w:val="single" w:color="auto" w:sz="4" w:space="0"/>
                    <w:bottom w:val="single" w:color="auto" w:sz="4" w:space="0"/>
                    <w:right w:val="single" w:color="auto" w:sz="4" w:space="0"/>
                  </w:tcBorders>
                  <w:vAlign w:val="center"/>
                </w:tcPr>
                <w:p w14:paraId="0408815D">
                  <w:pPr>
                    <w:pStyle w:val="32"/>
                    <w:snapToGrid w:val="0"/>
                    <w:jc w:val="center"/>
                    <w:rPr>
                      <w:rFonts w:hint="default" w:ascii="Times New Roman" w:hAnsi="Times New Roman" w:cs="Times New Roman"/>
                      <w:bCs/>
                      <w:color w:val="auto"/>
                      <w:sz w:val="18"/>
                      <w:szCs w:val="18"/>
                      <w:highlight w:val="none"/>
                    </w:rPr>
                  </w:pPr>
                </w:p>
              </w:tc>
              <w:tc>
                <w:tcPr>
                  <w:tcW w:w="758" w:type="pct"/>
                  <w:vMerge w:val="continue"/>
                  <w:tcBorders>
                    <w:left w:val="single" w:color="auto" w:sz="4" w:space="0"/>
                    <w:bottom w:val="single" w:color="auto" w:sz="4" w:space="0"/>
                  </w:tcBorders>
                  <w:vAlign w:val="center"/>
                </w:tcPr>
                <w:p w14:paraId="466D5CC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498" w:type="pct"/>
                  <w:vMerge w:val="continue"/>
                  <w:tcBorders>
                    <w:left w:val="single" w:color="auto" w:sz="4" w:space="0"/>
                  </w:tcBorders>
                  <w:vAlign w:val="center"/>
                </w:tcPr>
                <w:p w14:paraId="4A7EDB5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3EB14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Merge w:val="restart"/>
                  <w:tcBorders>
                    <w:top w:val="single" w:color="auto" w:sz="4" w:space="0"/>
                    <w:right w:val="single" w:color="auto" w:sz="4" w:space="0"/>
                  </w:tcBorders>
                  <w:vAlign w:val="center"/>
                </w:tcPr>
                <w:p w14:paraId="097465EC">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13</w:t>
                  </w:r>
                </w:p>
              </w:tc>
              <w:tc>
                <w:tcPr>
                  <w:tcW w:w="709" w:type="pct"/>
                  <w:vMerge w:val="restart"/>
                  <w:tcBorders>
                    <w:top w:val="single" w:color="auto" w:sz="4" w:space="0"/>
                    <w:left w:val="single" w:color="auto" w:sz="4" w:space="0"/>
                    <w:right w:val="single" w:color="auto" w:sz="4" w:space="0"/>
                  </w:tcBorders>
                  <w:shd w:val="clear" w:color="auto" w:fill="auto"/>
                  <w:vAlign w:val="center"/>
                </w:tcPr>
                <w:p w14:paraId="7F9E7EB4">
                  <w:pPr>
                    <w:widowControl/>
                    <w:adjustRightInd w:val="0"/>
                    <w:snapToGrid w:val="0"/>
                    <w:jc w:val="center"/>
                    <w:textAlignment w:val="center"/>
                    <w:rPr>
                      <w:rFonts w:hint="default" w:ascii="Times New Roman" w:hAnsi="Times New Roman" w:eastAsia="宋体" w:cs="Times New Roman"/>
                      <w:bCs/>
                      <w:color w:val="auto"/>
                      <w:kern w:val="2"/>
                      <w:sz w:val="18"/>
                      <w:szCs w:val="18"/>
                      <w:highlight w:val="none"/>
                      <w:u w:val="none"/>
                      <w:lang w:val="en-US" w:eastAsia="zh-CN" w:bidi="ar"/>
                    </w:rPr>
                  </w:pPr>
                  <w:r>
                    <w:rPr>
                      <w:rStyle w:val="67"/>
                      <w:rFonts w:hint="eastAsia" w:ascii="Times New Roman" w:hAnsi="Times New Roman" w:cs="Times New Roman"/>
                      <w:bCs/>
                      <w:color w:val="auto"/>
                      <w:sz w:val="18"/>
                      <w:szCs w:val="18"/>
                      <w:highlight w:val="none"/>
                      <w:lang w:val="en-US" w:eastAsia="zh-CN" w:bidi="ar"/>
                    </w:rPr>
                    <w:t>DSA机头楼下30cm处</w:t>
                  </w:r>
                </w:p>
              </w:tc>
              <w:tc>
                <w:tcPr>
                  <w:tcW w:w="369" w:type="pct"/>
                  <w:tcBorders>
                    <w:top w:val="single" w:color="auto" w:sz="4" w:space="0"/>
                    <w:left w:val="single" w:color="auto" w:sz="4" w:space="0"/>
                    <w:bottom w:val="single" w:color="auto" w:sz="4" w:space="0"/>
                    <w:right w:val="single" w:color="auto" w:sz="4" w:space="0"/>
                  </w:tcBorders>
                  <w:vAlign w:val="center"/>
                </w:tcPr>
                <w:p w14:paraId="27A1F5EB">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透视</w:t>
                  </w:r>
                </w:p>
              </w:tc>
              <w:tc>
                <w:tcPr>
                  <w:tcW w:w="1165" w:type="dxa"/>
                  <w:tcBorders>
                    <w:top w:val="single" w:color="auto" w:sz="4" w:space="0"/>
                    <w:left w:val="single" w:color="auto" w:sz="4" w:space="0"/>
                    <w:bottom w:val="single" w:color="auto" w:sz="4" w:space="0"/>
                    <w:right w:val="single" w:color="auto" w:sz="4" w:space="0"/>
                  </w:tcBorders>
                  <w:vAlign w:val="center"/>
                </w:tcPr>
                <w:p w14:paraId="3F227A02">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1.16E-04</w:t>
                  </w:r>
                </w:p>
              </w:tc>
              <w:tc>
                <w:tcPr>
                  <w:tcW w:w="556" w:type="pct"/>
                  <w:vMerge w:val="restart"/>
                  <w:tcBorders>
                    <w:top w:val="single" w:color="auto" w:sz="4" w:space="0"/>
                    <w:left w:val="single" w:color="auto" w:sz="4" w:space="0"/>
                    <w:right w:val="single" w:color="auto" w:sz="4" w:space="0"/>
                  </w:tcBorders>
                  <w:vAlign w:val="center"/>
                </w:tcPr>
                <w:p w14:paraId="723A0B8A">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515" w:type="pct"/>
                  <w:vMerge w:val="continue"/>
                  <w:tcBorders>
                    <w:left w:val="single" w:color="auto" w:sz="4" w:space="0"/>
                    <w:right w:val="single" w:color="auto" w:sz="4" w:space="0"/>
                  </w:tcBorders>
                  <w:vAlign w:val="center"/>
                </w:tcPr>
                <w:p w14:paraId="7527E6E1">
                  <w:pPr>
                    <w:pStyle w:val="32"/>
                    <w:snapToGrid w:val="0"/>
                    <w:jc w:val="center"/>
                    <w:rPr>
                      <w:rFonts w:hint="default" w:ascii="Times New Roman" w:hAnsi="Times New Roman" w:cs="Times New Roman"/>
                      <w:bCs/>
                      <w:color w:val="auto"/>
                      <w:sz w:val="18"/>
                      <w:szCs w:val="18"/>
                      <w:highlight w:val="none"/>
                    </w:rPr>
                  </w:pPr>
                </w:p>
              </w:tc>
              <w:tc>
                <w:tcPr>
                  <w:tcW w:w="625" w:type="pct"/>
                  <w:vMerge w:val="restart"/>
                  <w:tcBorders>
                    <w:top w:val="single" w:color="auto" w:sz="4" w:space="0"/>
                    <w:left w:val="single" w:color="auto" w:sz="4" w:space="0"/>
                    <w:right w:val="single" w:color="auto" w:sz="4" w:space="0"/>
                  </w:tcBorders>
                  <w:vAlign w:val="center"/>
                </w:tcPr>
                <w:p w14:paraId="51595301">
                  <w:pPr>
                    <w:pStyle w:val="32"/>
                    <w:snapToGrid w:val="0"/>
                    <w:jc w:val="center"/>
                    <w:rPr>
                      <w:rFonts w:hint="default" w:ascii="Times New Roman" w:hAnsi="Times New Roman" w:cs="Times New Roman"/>
                      <w:bCs/>
                      <w:color w:val="auto"/>
                      <w:sz w:val="18"/>
                      <w:szCs w:val="18"/>
                      <w:highlight w:val="none"/>
                    </w:rPr>
                  </w:pPr>
                  <w:r>
                    <w:rPr>
                      <w:rFonts w:hint="eastAsia" w:ascii="Times New Roman" w:hAnsi="Times New Roman" w:cs="Times New Roman"/>
                      <w:bCs/>
                      <w:color w:val="auto"/>
                      <w:sz w:val="18"/>
                      <w:szCs w:val="18"/>
                      <w:highlight w:val="none"/>
                      <w:lang w:val="en-US" w:eastAsia="zh-CN"/>
                    </w:rPr>
                    <w:t>公众</w:t>
                  </w:r>
                </w:p>
              </w:tc>
              <w:tc>
                <w:tcPr>
                  <w:tcW w:w="1258" w:type="dxa"/>
                  <w:vMerge w:val="restart"/>
                  <w:tcBorders>
                    <w:top w:val="single" w:color="auto" w:sz="4" w:space="0"/>
                    <w:left w:val="single" w:color="auto" w:sz="4" w:space="0"/>
                  </w:tcBorders>
                  <w:vAlign w:val="center"/>
                </w:tcPr>
                <w:p w14:paraId="00D1DFC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2.14E-05</w:t>
                  </w:r>
                </w:p>
              </w:tc>
              <w:tc>
                <w:tcPr>
                  <w:tcW w:w="498" w:type="pct"/>
                  <w:vMerge w:val="continue"/>
                  <w:tcBorders>
                    <w:left w:val="single" w:color="auto" w:sz="4" w:space="0"/>
                  </w:tcBorders>
                  <w:vAlign w:val="center"/>
                </w:tcPr>
                <w:p w14:paraId="6D11FC4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4FC35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Merge w:val="continue"/>
                  <w:tcBorders>
                    <w:bottom w:val="single" w:color="auto" w:sz="4" w:space="0"/>
                    <w:right w:val="single" w:color="auto" w:sz="4" w:space="0"/>
                  </w:tcBorders>
                  <w:vAlign w:val="center"/>
                </w:tcPr>
                <w:p w14:paraId="00BB0EF0">
                  <w:pPr>
                    <w:jc w:val="center"/>
                    <w:rPr>
                      <w:rFonts w:hint="default" w:ascii="Times New Roman" w:hAnsi="Times New Roman" w:cs="Times New Roman"/>
                      <w:bCs/>
                      <w:color w:val="auto"/>
                      <w:sz w:val="18"/>
                      <w:szCs w:val="18"/>
                      <w:highlight w:val="none"/>
                    </w:rPr>
                  </w:pPr>
                </w:p>
              </w:tc>
              <w:tc>
                <w:tcPr>
                  <w:tcW w:w="709" w:type="pct"/>
                  <w:vMerge w:val="continue"/>
                  <w:tcBorders>
                    <w:left w:val="single" w:color="auto" w:sz="4" w:space="0"/>
                    <w:bottom w:val="single" w:color="auto" w:sz="4" w:space="0"/>
                    <w:right w:val="single" w:color="auto" w:sz="4" w:space="0"/>
                  </w:tcBorders>
                  <w:vAlign w:val="center"/>
                </w:tcPr>
                <w:p w14:paraId="7FB7EB41">
                  <w:pPr>
                    <w:jc w:val="center"/>
                    <w:rPr>
                      <w:rFonts w:hint="default" w:ascii="Times New Roman" w:hAnsi="Times New Roman" w:cs="Times New Roman"/>
                      <w:bCs/>
                      <w:color w:val="auto"/>
                      <w:sz w:val="18"/>
                      <w:szCs w:val="18"/>
                      <w:highlight w:val="none"/>
                    </w:rPr>
                  </w:pPr>
                </w:p>
              </w:tc>
              <w:tc>
                <w:tcPr>
                  <w:tcW w:w="369" w:type="pct"/>
                  <w:tcBorders>
                    <w:top w:val="single" w:color="auto" w:sz="4" w:space="0"/>
                    <w:left w:val="single" w:color="auto" w:sz="4" w:space="0"/>
                    <w:bottom w:val="single" w:color="auto" w:sz="4" w:space="0"/>
                    <w:right w:val="single" w:color="auto" w:sz="4" w:space="0"/>
                  </w:tcBorders>
                  <w:vAlign w:val="center"/>
                </w:tcPr>
                <w:p w14:paraId="401DD13F">
                  <w:pPr>
                    <w:keepNext w:val="0"/>
                    <w:keepLines w:val="0"/>
                    <w:widowControl/>
                    <w:suppressLineNumbers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拍片</w:t>
                  </w:r>
                </w:p>
              </w:tc>
              <w:tc>
                <w:tcPr>
                  <w:tcW w:w="1165" w:type="dxa"/>
                  <w:tcBorders>
                    <w:top w:val="single" w:color="auto" w:sz="4" w:space="0"/>
                    <w:left w:val="single" w:color="auto" w:sz="4" w:space="0"/>
                    <w:bottom w:val="single" w:color="auto" w:sz="4" w:space="0"/>
                    <w:right w:val="single" w:color="auto" w:sz="4" w:space="0"/>
                  </w:tcBorders>
                  <w:vAlign w:val="center"/>
                </w:tcPr>
                <w:p w14:paraId="34319B8D">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2.49E-03</w:t>
                  </w:r>
                </w:p>
              </w:tc>
              <w:tc>
                <w:tcPr>
                  <w:tcW w:w="556" w:type="pct"/>
                  <w:vMerge w:val="continue"/>
                  <w:tcBorders>
                    <w:left w:val="single" w:color="auto" w:sz="4" w:space="0"/>
                    <w:bottom w:val="single" w:color="auto" w:sz="4" w:space="0"/>
                    <w:right w:val="single" w:color="auto" w:sz="4" w:space="0"/>
                  </w:tcBorders>
                  <w:vAlign w:val="center"/>
                </w:tcPr>
                <w:p w14:paraId="4EEEA52B">
                  <w:pPr>
                    <w:pStyle w:val="32"/>
                    <w:snapToGrid w:val="0"/>
                    <w:jc w:val="center"/>
                    <w:rPr>
                      <w:rFonts w:hint="default" w:ascii="Times New Roman" w:hAnsi="Times New Roman" w:cs="Times New Roman"/>
                      <w:bCs/>
                      <w:color w:val="auto"/>
                      <w:sz w:val="18"/>
                      <w:szCs w:val="18"/>
                      <w:highlight w:val="none"/>
                    </w:rPr>
                  </w:pPr>
                </w:p>
              </w:tc>
              <w:tc>
                <w:tcPr>
                  <w:tcW w:w="515" w:type="pct"/>
                  <w:vMerge w:val="continue"/>
                  <w:tcBorders>
                    <w:left w:val="single" w:color="auto" w:sz="4" w:space="0"/>
                    <w:right w:val="single" w:color="auto" w:sz="4" w:space="0"/>
                  </w:tcBorders>
                  <w:vAlign w:val="center"/>
                </w:tcPr>
                <w:p w14:paraId="65799145">
                  <w:pPr>
                    <w:pStyle w:val="32"/>
                    <w:snapToGrid w:val="0"/>
                    <w:jc w:val="center"/>
                    <w:rPr>
                      <w:rFonts w:hint="default" w:ascii="Times New Roman" w:hAnsi="Times New Roman" w:cs="Times New Roman"/>
                      <w:bCs/>
                      <w:color w:val="auto"/>
                      <w:sz w:val="18"/>
                      <w:szCs w:val="18"/>
                      <w:highlight w:val="none"/>
                    </w:rPr>
                  </w:pPr>
                </w:p>
              </w:tc>
              <w:tc>
                <w:tcPr>
                  <w:tcW w:w="625" w:type="pct"/>
                  <w:vMerge w:val="continue"/>
                  <w:tcBorders>
                    <w:left w:val="single" w:color="auto" w:sz="4" w:space="0"/>
                    <w:bottom w:val="single" w:color="auto" w:sz="4" w:space="0"/>
                    <w:right w:val="single" w:color="auto" w:sz="4" w:space="0"/>
                  </w:tcBorders>
                  <w:vAlign w:val="center"/>
                </w:tcPr>
                <w:p w14:paraId="4982127E">
                  <w:pPr>
                    <w:pStyle w:val="32"/>
                    <w:snapToGrid w:val="0"/>
                    <w:jc w:val="center"/>
                    <w:rPr>
                      <w:rFonts w:hint="default" w:ascii="Times New Roman" w:hAnsi="Times New Roman" w:cs="Times New Roman"/>
                      <w:bCs/>
                      <w:color w:val="auto"/>
                      <w:sz w:val="18"/>
                      <w:szCs w:val="18"/>
                      <w:highlight w:val="none"/>
                    </w:rPr>
                  </w:pPr>
                </w:p>
              </w:tc>
              <w:tc>
                <w:tcPr>
                  <w:tcW w:w="758" w:type="pct"/>
                  <w:vMerge w:val="continue"/>
                  <w:tcBorders>
                    <w:left w:val="single" w:color="auto" w:sz="4" w:space="0"/>
                    <w:bottom w:val="single" w:color="auto" w:sz="4" w:space="0"/>
                  </w:tcBorders>
                  <w:vAlign w:val="center"/>
                </w:tcPr>
                <w:p w14:paraId="77317C0E">
                  <w:pPr>
                    <w:widowControl/>
                    <w:adjustRightInd w:val="0"/>
                    <w:snapToGrid w:val="0"/>
                    <w:jc w:val="center"/>
                    <w:textAlignment w:val="center"/>
                    <w:rPr>
                      <w:rFonts w:hint="default" w:ascii="Times New Roman" w:hAnsi="Times New Roman" w:cs="Times New Roman"/>
                      <w:bCs/>
                      <w:color w:val="auto"/>
                      <w:sz w:val="18"/>
                      <w:szCs w:val="18"/>
                      <w:highlight w:val="none"/>
                    </w:rPr>
                  </w:pPr>
                </w:p>
              </w:tc>
              <w:tc>
                <w:tcPr>
                  <w:tcW w:w="498" w:type="pct"/>
                  <w:vMerge w:val="continue"/>
                  <w:tcBorders>
                    <w:left w:val="single" w:color="auto" w:sz="4" w:space="0"/>
                    <w:bottom w:val="single" w:color="auto" w:sz="4" w:space="0"/>
                  </w:tcBorders>
                  <w:vAlign w:val="center"/>
                </w:tcPr>
                <w:p w14:paraId="1CCE9BF1">
                  <w:pPr>
                    <w:widowControl/>
                    <w:adjustRightInd w:val="0"/>
                    <w:snapToGrid w:val="0"/>
                    <w:jc w:val="center"/>
                    <w:textAlignment w:val="center"/>
                    <w:rPr>
                      <w:rFonts w:hint="default" w:ascii="Times New Roman" w:hAnsi="Times New Roman" w:cs="Times New Roman"/>
                      <w:bCs/>
                      <w:color w:val="auto"/>
                      <w:sz w:val="18"/>
                      <w:szCs w:val="18"/>
                      <w:highlight w:val="none"/>
                    </w:rPr>
                  </w:pPr>
                </w:p>
              </w:tc>
            </w:tr>
            <w:tr w14:paraId="301C9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01" w:type="pct"/>
                  <w:gridSpan w:val="8"/>
                  <w:tcBorders>
                    <w:top w:val="single" w:color="auto" w:sz="4" w:space="0"/>
                    <w:bottom w:val="single" w:color="auto" w:sz="4" w:space="0"/>
                  </w:tcBorders>
                  <w:shd w:val="clear" w:color="auto" w:fill="9BBB59" w:themeFill="accent3"/>
                  <w:vAlign w:val="center"/>
                </w:tcPr>
                <w:p w14:paraId="23260B5E">
                  <w:pPr>
                    <w:widowControl/>
                    <w:adjustRightInd w:val="0"/>
                    <w:snapToGrid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医护人员</w:t>
                  </w:r>
                </w:p>
              </w:tc>
              <w:tc>
                <w:tcPr>
                  <w:tcW w:w="498" w:type="pct"/>
                  <w:tcBorders>
                    <w:top w:val="single" w:color="auto" w:sz="4" w:space="0"/>
                    <w:bottom w:val="single" w:color="auto" w:sz="4" w:space="0"/>
                  </w:tcBorders>
                  <w:shd w:val="clear" w:color="auto" w:fill="9BBB59" w:themeFill="accent3"/>
                  <w:vAlign w:val="center"/>
                </w:tcPr>
                <w:p w14:paraId="511DE643">
                  <w:pPr>
                    <w:widowControl/>
                    <w:adjustRightInd w:val="0"/>
                    <w:snapToGrid w:val="0"/>
                    <w:jc w:val="center"/>
                    <w:textAlignment w:val="center"/>
                    <w:rPr>
                      <w:rFonts w:hint="default" w:ascii="Times New Roman" w:hAnsi="Times New Roman" w:cs="Times New Roman"/>
                      <w:bCs/>
                      <w:color w:val="auto"/>
                      <w:sz w:val="18"/>
                      <w:szCs w:val="18"/>
                      <w:highlight w:val="none"/>
                    </w:rPr>
                  </w:pPr>
                </w:p>
              </w:tc>
            </w:tr>
            <w:tr w14:paraId="215E4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tcBorders>
                    <w:top w:val="single" w:color="auto" w:sz="4" w:space="0"/>
                    <w:bottom w:val="single" w:color="auto" w:sz="4" w:space="0"/>
                    <w:right w:val="single" w:color="auto" w:sz="4" w:space="0"/>
                  </w:tcBorders>
                  <w:vAlign w:val="center"/>
                </w:tcPr>
                <w:p w14:paraId="2E1E7EC9">
                  <w:pPr>
                    <w:pStyle w:val="32"/>
                    <w:snapToGrid w:val="0"/>
                    <w:jc w:val="center"/>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cs="Times New Roman"/>
                      <w:bCs/>
                      <w:color w:val="auto"/>
                      <w:sz w:val="18"/>
                      <w:szCs w:val="18"/>
                      <w:highlight w:val="none"/>
                      <w:lang w:val="en-US" w:eastAsia="zh-CN"/>
                    </w:rPr>
                    <w:t>科室</w:t>
                  </w:r>
                </w:p>
              </w:tc>
              <w:tc>
                <w:tcPr>
                  <w:tcW w:w="709" w:type="pct"/>
                  <w:tcBorders>
                    <w:top w:val="single" w:color="auto" w:sz="4" w:space="0"/>
                    <w:left w:val="single" w:color="auto" w:sz="4" w:space="0"/>
                    <w:bottom w:val="single" w:color="auto" w:sz="4" w:space="0"/>
                    <w:right w:val="single" w:color="auto" w:sz="4" w:space="0"/>
                  </w:tcBorders>
                  <w:shd w:val="clear" w:color="auto" w:fill="auto"/>
                  <w:vAlign w:val="center"/>
                </w:tcPr>
                <w:p w14:paraId="06AD666F">
                  <w:pPr>
                    <w:pStyle w:val="32"/>
                    <w:snapToGrid w:val="0"/>
                    <w:jc w:val="center"/>
                    <w:rPr>
                      <w:rStyle w:val="45"/>
                      <w:rFonts w:hint="default" w:ascii="Times New Roman" w:hAnsi="Times New Roman" w:cs="Times New Roman"/>
                      <w:color w:val="auto"/>
                      <w:sz w:val="18"/>
                      <w:szCs w:val="18"/>
                      <w:highlight w:val="none"/>
                      <w:lang w:bidi="ar"/>
                    </w:rPr>
                  </w:pPr>
                  <w:r>
                    <w:rPr>
                      <w:rFonts w:hint="default" w:ascii="Times New Roman" w:hAnsi="Times New Roman" w:cs="Times New Roman"/>
                      <w:bCs/>
                      <w:color w:val="auto"/>
                      <w:sz w:val="18"/>
                      <w:szCs w:val="18"/>
                      <w:highlight w:val="none"/>
                    </w:rPr>
                    <w:t>岗位</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6B45A18A">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工况</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5681AEEF">
                  <w:pPr>
                    <w:widowControl/>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cs="Times New Roman"/>
                      <w:bCs/>
                      <w:color w:val="auto"/>
                      <w:sz w:val="18"/>
                      <w:szCs w:val="18"/>
                      <w:highlight w:val="none"/>
                    </w:rPr>
                    <w:t>周围剂量当量率(μSv/h)</w:t>
                  </w:r>
                </w:p>
              </w:tc>
              <w:tc>
                <w:tcPr>
                  <w:tcW w:w="556" w:type="pct"/>
                  <w:tcBorders>
                    <w:top w:val="single" w:color="auto" w:sz="4" w:space="0"/>
                    <w:left w:val="single" w:color="auto" w:sz="4" w:space="0"/>
                    <w:bottom w:val="single" w:color="auto" w:sz="4" w:space="0"/>
                    <w:right w:val="single" w:color="auto" w:sz="4" w:space="0"/>
                  </w:tcBorders>
                  <w:shd w:val="clear" w:color="auto" w:fill="auto"/>
                  <w:vAlign w:val="center"/>
                </w:tcPr>
                <w:p w14:paraId="00A5A0B1">
                  <w:pPr>
                    <w:pStyle w:val="32"/>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居留因子</w:t>
                  </w:r>
                </w:p>
              </w:tc>
              <w:tc>
                <w:tcPr>
                  <w:tcW w:w="515" w:type="pct"/>
                  <w:tcBorders>
                    <w:top w:val="single" w:color="auto" w:sz="4" w:space="0"/>
                    <w:left w:val="single" w:color="auto" w:sz="4" w:space="0"/>
                    <w:bottom w:val="single" w:color="auto" w:sz="4" w:space="0"/>
                    <w:right w:val="single" w:color="auto" w:sz="4" w:space="0"/>
                  </w:tcBorders>
                  <w:shd w:val="clear" w:color="auto" w:fill="auto"/>
                  <w:vAlign w:val="center"/>
                </w:tcPr>
                <w:p w14:paraId="5E00D42E">
                  <w:pPr>
                    <w:pStyle w:val="32"/>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年照射时间</w:t>
                  </w:r>
                </w:p>
              </w:tc>
              <w:tc>
                <w:tcPr>
                  <w:tcW w:w="625" w:type="pct"/>
                  <w:tcBorders>
                    <w:top w:val="single" w:color="auto" w:sz="4" w:space="0"/>
                    <w:left w:val="single" w:color="auto" w:sz="4" w:space="0"/>
                    <w:bottom w:val="single" w:color="auto" w:sz="4" w:space="0"/>
                    <w:right w:val="single" w:color="auto" w:sz="4" w:space="0"/>
                  </w:tcBorders>
                  <w:shd w:val="clear" w:color="auto" w:fill="auto"/>
                  <w:vAlign w:val="center"/>
                </w:tcPr>
                <w:p w14:paraId="4601452C">
                  <w:pPr>
                    <w:pStyle w:val="32"/>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保护目标</w:t>
                  </w:r>
                </w:p>
              </w:tc>
              <w:tc>
                <w:tcPr>
                  <w:tcW w:w="758" w:type="pct"/>
                  <w:tcBorders>
                    <w:top w:val="single" w:color="auto" w:sz="4" w:space="0"/>
                    <w:left w:val="single" w:color="auto" w:sz="4" w:space="0"/>
                    <w:bottom w:val="single" w:color="auto" w:sz="4" w:space="0"/>
                  </w:tcBorders>
                  <w:shd w:val="clear" w:color="auto" w:fill="auto"/>
                  <w:vAlign w:val="center"/>
                </w:tcPr>
                <w:p w14:paraId="17AA3BC1">
                  <w:pPr>
                    <w:pStyle w:val="32"/>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年有效剂量(mSv/a)</w:t>
                  </w:r>
                </w:p>
              </w:tc>
              <w:tc>
                <w:tcPr>
                  <w:tcW w:w="498" w:type="pct"/>
                  <w:tcBorders>
                    <w:top w:val="single" w:color="auto" w:sz="4" w:space="0"/>
                    <w:left w:val="single" w:color="auto" w:sz="4" w:space="0"/>
                    <w:bottom w:val="single" w:color="auto" w:sz="4" w:space="0"/>
                  </w:tcBorders>
                  <w:shd w:val="clear" w:color="auto" w:fill="auto"/>
                  <w:vAlign w:val="center"/>
                </w:tcPr>
                <w:p w14:paraId="6A34F554">
                  <w:pPr>
                    <w:pStyle w:val="32"/>
                    <w:snapToGrid w:val="0"/>
                    <w:jc w:val="center"/>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cs="Times New Roman"/>
                      <w:bCs/>
                      <w:color w:val="auto"/>
                      <w:sz w:val="18"/>
                      <w:szCs w:val="18"/>
                      <w:highlight w:val="none"/>
                      <w:lang w:val="en-US" w:eastAsia="zh-CN"/>
                    </w:rPr>
                    <w:t>管理目标值</w:t>
                  </w:r>
                </w:p>
              </w:tc>
            </w:tr>
            <w:tr w14:paraId="637CD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263" w:type="pct"/>
                  <w:vMerge w:val="restart"/>
                  <w:tcBorders>
                    <w:top w:val="single" w:color="auto" w:sz="4" w:space="0"/>
                    <w:right w:val="single" w:color="auto" w:sz="4" w:space="0"/>
                  </w:tcBorders>
                  <w:vAlign w:val="center"/>
                </w:tcPr>
                <w:p w14:paraId="5AB02156">
                  <w:pPr>
                    <w:pStyle w:val="32"/>
                    <w:snapToGrid w:val="0"/>
                    <w:jc w:val="center"/>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cs="Times New Roman"/>
                      <w:bCs/>
                      <w:color w:val="auto"/>
                      <w:sz w:val="18"/>
                      <w:szCs w:val="18"/>
                      <w:highlight w:val="none"/>
                      <w:lang w:val="en-US" w:eastAsia="zh-CN"/>
                    </w:rPr>
                    <w:t>神经内科</w:t>
                  </w:r>
                </w:p>
              </w:tc>
              <w:tc>
                <w:tcPr>
                  <w:tcW w:w="709" w:type="pct"/>
                  <w:vMerge w:val="restart"/>
                  <w:tcBorders>
                    <w:top w:val="single" w:color="auto" w:sz="4" w:space="0"/>
                    <w:left w:val="single" w:color="auto" w:sz="4" w:space="0"/>
                    <w:right w:val="single" w:color="auto" w:sz="4" w:space="0"/>
                  </w:tcBorders>
                  <w:shd w:val="clear" w:color="auto" w:fill="auto"/>
                  <w:vAlign w:val="center"/>
                </w:tcPr>
                <w:p w14:paraId="4462AFA8">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bCs/>
                      <w:color w:val="auto"/>
                      <w:sz w:val="18"/>
                      <w:szCs w:val="18"/>
                      <w:highlight w:val="none"/>
                    </w:rPr>
                    <w:t>第一手术位（</w:t>
                  </w:r>
                  <w:r>
                    <w:rPr>
                      <w:rFonts w:hint="eastAsia" w:ascii="Times New Roman" w:hAnsi="Times New Roman" w:cs="Times New Roman"/>
                      <w:bCs/>
                      <w:color w:val="auto"/>
                      <w:sz w:val="18"/>
                      <w:szCs w:val="18"/>
                      <w:highlight w:val="none"/>
                      <w:lang w:val="en-US" w:eastAsia="zh-CN"/>
                    </w:rPr>
                    <w:t>医师</w:t>
                  </w:r>
                  <w:r>
                    <w:rPr>
                      <w:rFonts w:hint="default" w:ascii="Times New Roman" w:hAnsi="Times New Roman" w:cs="Times New Roman"/>
                      <w:bCs/>
                      <w:color w:val="auto"/>
                      <w:sz w:val="18"/>
                      <w:szCs w:val="18"/>
                      <w:highlight w:val="none"/>
                    </w:rPr>
                    <w:t>）</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39E36810">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透视</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32263EE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45.58</w:t>
                  </w:r>
                </w:p>
              </w:tc>
              <w:tc>
                <w:tcPr>
                  <w:tcW w:w="556" w:type="pct"/>
                  <w:tcBorders>
                    <w:top w:val="single" w:color="auto" w:sz="4" w:space="0"/>
                    <w:left w:val="single" w:color="auto" w:sz="4" w:space="0"/>
                    <w:bottom w:val="single" w:color="auto" w:sz="4" w:space="0"/>
                    <w:right w:val="single" w:color="auto" w:sz="4" w:space="0"/>
                  </w:tcBorders>
                  <w:shd w:val="clear" w:color="auto" w:fill="auto"/>
                  <w:vAlign w:val="center"/>
                </w:tcPr>
                <w:p w14:paraId="6AEC7041">
                  <w:pPr>
                    <w:pStyle w:val="32"/>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c>
                <w:tcPr>
                  <w:tcW w:w="515" w:type="pct"/>
                  <w:tcBorders>
                    <w:top w:val="single" w:color="auto" w:sz="4" w:space="0"/>
                    <w:left w:val="single" w:color="auto" w:sz="4" w:space="0"/>
                    <w:bottom w:val="single" w:color="auto" w:sz="4" w:space="0"/>
                    <w:right w:val="single" w:color="auto" w:sz="4" w:space="0"/>
                  </w:tcBorders>
                  <w:shd w:val="clear" w:color="auto" w:fill="auto"/>
                  <w:vAlign w:val="center"/>
                </w:tcPr>
                <w:p w14:paraId="2E435724">
                  <w:pPr>
                    <w:widowControl/>
                    <w:adjustRightInd w:val="0"/>
                    <w:snapToGrid w:val="0"/>
                    <w:jc w:val="center"/>
                    <w:textAlignment w:val="center"/>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cs="Times New Roman"/>
                      <w:bCs/>
                      <w:color w:val="auto"/>
                      <w:sz w:val="18"/>
                      <w:szCs w:val="18"/>
                      <w:highlight w:val="none"/>
                      <w:lang w:val="en-US" w:eastAsia="zh-CN"/>
                    </w:rPr>
                    <w:t>31.34</w:t>
                  </w:r>
                </w:p>
              </w:tc>
              <w:tc>
                <w:tcPr>
                  <w:tcW w:w="625" w:type="pct"/>
                  <w:vMerge w:val="restart"/>
                  <w:tcBorders>
                    <w:top w:val="single" w:color="auto" w:sz="4" w:space="0"/>
                    <w:left w:val="single" w:color="auto" w:sz="4" w:space="0"/>
                    <w:right w:val="single" w:color="auto" w:sz="4" w:space="0"/>
                  </w:tcBorders>
                  <w:shd w:val="clear" w:color="auto" w:fill="auto"/>
                  <w:vAlign w:val="center"/>
                </w:tcPr>
                <w:p w14:paraId="79E5C423">
                  <w:pPr>
                    <w:pStyle w:val="32"/>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辐射工作人员</w:t>
                  </w:r>
                </w:p>
              </w:tc>
              <w:tc>
                <w:tcPr>
                  <w:tcW w:w="1258" w:type="dxa"/>
                  <w:vMerge w:val="restart"/>
                  <w:tcBorders>
                    <w:top w:val="single" w:color="auto" w:sz="4" w:space="0"/>
                    <w:left w:val="single" w:color="auto" w:sz="4" w:space="0"/>
                  </w:tcBorders>
                  <w:shd w:val="clear" w:color="auto" w:fill="auto"/>
                  <w:vAlign w:val="center"/>
                </w:tcPr>
                <w:p w14:paraId="17C3642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1.45E+00</w:t>
                  </w:r>
                </w:p>
              </w:tc>
              <w:tc>
                <w:tcPr>
                  <w:tcW w:w="498" w:type="pct"/>
                  <w:vMerge w:val="restart"/>
                  <w:tcBorders>
                    <w:top w:val="single" w:color="auto" w:sz="4" w:space="0"/>
                    <w:left w:val="single" w:color="auto" w:sz="4" w:space="0"/>
                  </w:tcBorders>
                  <w:shd w:val="clear" w:color="auto" w:fill="auto"/>
                  <w:vAlign w:val="center"/>
                </w:tcPr>
                <w:p w14:paraId="4C37B468">
                  <w:pPr>
                    <w:widowControl/>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cs="Times New Roman"/>
                      <w:i w:val="0"/>
                      <w:iCs w:val="0"/>
                      <w:color w:val="auto"/>
                      <w:kern w:val="0"/>
                      <w:sz w:val="18"/>
                      <w:szCs w:val="18"/>
                      <w:highlight w:val="none"/>
                      <w:u w:val="none"/>
                      <w:lang w:val="en-US" w:eastAsia="zh-CN" w:bidi="ar"/>
                    </w:rPr>
                    <w:t>5</w:t>
                  </w:r>
                  <w:r>
                    <w:rPr>
                      <w:rFonts w:hint="default" w:ascii="Times New Roman" w:hAnsi="Times New Roman" w:cs="Times New Roman"/>
                      <w:bCs/>
                      <w:color w:val="auto"/>
                      <w:sz w:val="18"/>
                      <w:szCs w:val="18"/>
                      <w:highlight w:val="none"/>
                    </w:rPr>
                    <w:t>mSv/a</w:t>
                  </w:r>
                </w:p>
              </w:tc>
            </w:tr>
            <w:tr w14:paraId="3402E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263" w:type="pct"/>
                  <w:vMerge w:val="continue"/>
                  <w:tcBorders>
                    <w:right w:val="single" w:color="auto" w:sz="4" w:space="0"/>
                  </w:tcBorders>
                  <w:vAlign w:val="center"/>
                </w:tcPr>
                <w:p w14:paraId="1FDBED80">
                  <w:pPr>
                    <w:pStyle w:val="32"/>
                    <w:snapToGrid w:val="0"/>
                    <w:jc w:val="center"/>
                    <w:rPr>
                      <w:rFonts w:hint="eastAsia" w:ascii="Times New Roman" w:hAnsi="Times New Roman" w:cs="Times New Roman"/>
                      <w:bCs/>
                      <w:color w:val="auto"/>
                      <w:sz w:val="18"/>
                      <w:szCs w:val="18"/>
                      <w:highlight w:val="none"/>
                      <w:lang w:val="en-US" w:eastAsia="zh-CN"/>
                    </w:rPr>
                  </w:pPr>
                </w:p>
              </w:tc>
              <w:tc>
                <w:tcPr>
                  <w:tcW w:w="709" w:type="pct"/>
                  <w:vMerge w:val="continue"/>
                  <w:tcBorders>
                    <w:left w:val="single" w:color="auto" w:sz="4" w:space="0"/>
                    <w:right w:val="single" w:color="auto" w:sz="4" w:space="0"/>
                  </w:tcBorders>
                  <w:shd w:val="clear" w:color="auto" w:fill="auto"/>
                  <w:vAlign w:val="center"/>
                </w:tcPr>
                <w:p w14:paraId="7159C1D5">
                  <w:pPr>
                    <w:widowControl/>
                    <w:jc w:val="center"/>
                    <w:textAlignment w:val="center"/>
                    <w:rPr>
                      <w:rFonts w:hint="default" w:ascii="Times New Roman" w:hAnsi="Times New Roman" w:cs="Times New Roman"/>
                      <w:bCs/>
                      <w:color w:val="auto"/>
                      <w:sz w:val="18"/>
                      <w:szCs w:val="18"/>
                      <w:highlight w:val="none"/>
                    </w:rPr>
                  </w:pP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7192383E">
                  <w:pPr>
                    <w:adjustRightInd w:val="0"/>
                    <w:snapToGrid w:val="0"/>
                    <w:jc w:val="center"/>
                    <w:rPr>
                      <w:rFonts w:hint="eastAsia" w:ascii="Times New Roman" w:hAnsi="Times New Roman" w:eastAsia="宋体" w:cs="Times New Roman"/>
                      <w:bCs/>
                      <w:color w:val="auto"/>
                      <w:sz w:val="18"/>
                      <w:szCs w:val="18"/>
                      <w:highlight w:val="none"/>
                      <w:lang w:val="en-US" w:eastAsia="zh-CN"/>
                    </w:rPr>
                  </w:pPr>
                  <w:r>
                    <w:rPr>
                      <w:rFonts w:hint="eastAsia" w:ascii="Times New Roman" w:hAnsi="Times New Roman" w:cs="Times New Roman"/>
                      <w:bCs/>
                      <w:color w:val="auto"/>
                      <w:sz w:val="18"/>
                      <w:szCs w:val="18"/>
                      <w:highlight w:val="none"/>
                      <w:lang w:val="en-US" w:eastAsia="zh-CN"/>
                    </w:rPr>
                    <w:t>拍片</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5EAE9B7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15.47</w:t>
                  </w:r>
                </w:p>
              </w:tc>
              <w:tc>
                <w:tcPr>
                  <w:tcW w:w="556" w:type="pct"/>
                  <w:tcBorders>
                    <w:top w:val="single" w:color="auto" w:sz="4" w:space="0"/>
                    <w:left w:val="single" w:color="auto" w:sz="4" w:space="0"/>
                    <w:bottom w:val="single" w:color="auto" w:sz="4" w:space="0"/>
                    <w:right w:val="single" w:color="auto" w:sz="4" w:space="0"/>
                  </w:tcBorders>
                  <w:shd w:val="clear" w:color="auto" w:fill="auto"/>
                  <w:vAlign w:val="center"/>
                </w:tcPr>
                <w:p w14:paraId="20223A9A">
                  <w:pPr>
                    <w:pStyle w:val="32"/>
                    <w:snapToGrid w:val="0"/>
                    <w:jc w:val="center"/>
                    <w:rPr>
                      <w:rFonts w:hint="eastAsia" w:ascii="Times New Roman" w:hAnsi="Times New Roman" w:eastAsia="宋体" w:cs="Times New Roman"/>
                      <w:bCs/>
                      <w:color w:val="auto"/>
                      <w:sz w:val="18"/>
                      <w:szCs w:val="18"/>
                      <w:highlight w:val="none"/>
                      <w:lang w:val="en-US" w:eastAsia="zh-CN"/>
                    </w:rPr>
                  </w:pPr>
                  <w:r>
                    <w:rPr>
                      <w:rFonts w:hint="eastAsia" w:ascii="Times New Roman" w:hAnsi="Times New Roman" w:cs="Times New Roman"/>
                      <w:bCs/>
                      <w:color w:val="auto"/>
                      <w:sz w:val="18"/>
                      <w:szCs w:val="18"/>
                      <w:highlight w:val="none"/>
                      <w:lang w:val="en-US" w:eastAsia="zh-CN"/>
                    </w:rPr>
                    <w:t>1</w:t>
                  </w:r>
                </w:p>
              </w:tc>
              <w:tc>
                <w:tcPr>
                  <w:tcW w:w="515" w:type="pct"/>
                  <w:tcBorders>
                    <w:top w:val="single" w:color="auto" w:sz="4" w:space="0"/>
                    <w:left w:val="single" w:color="auto" w:sz="4" w:space="0"/>
                    <w:bottom w:val="single" w:color="auto" w:sz="4" w:space="0"/>
                    <w:right w:val="single" w:color="auto" w:sz="4" w:space="0"/>
                  </w:tcBorders>
                  <w:shd w:val="clear" w:color="auto" w:fill="auto"/>
                  <w:vAlign w:val="center"/>
                </w:tcPr>
                <w:p w14:paraId="0E9ADB38">
                  <w:pPr>
                    <w:widowControl/>
                    <w:adjustRightInd w:val="0"/>
                    <w:snapToGrid w:val="0"/>
                    <w:jc w:val="center"/>
                    <w:textAlignment w:val="center"/>
                    <w:rPr>
                      <w:rFonts w:hint="default"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1.57</w:t>
                  </w:r>
                </w:p>
              </w:tc>
              <w:tc>
                <w:tcPr>
                  <w:tcW w:w="625" w:type="pct"/>
                  <w:vMerge w:val="continue"/>
                  <w:tcBorders>
                    <w:left w:val="single" w:color="auto" w:sz="4" w:space="0"/>
                    <w:right w:val="single" w:color="auto" w:sz="4" w:space="0"/>
                  </w:tcBorders>
                  <w:shd w:val="clear" w:color="auto" w:fill="auto"/>
                  <w:vAlign w:val="center"/>
                </w:tcPr>
                <w:p w14:paraId="4110BE14">
                  <w:pPr>
                    <w:pStyle w:val="32"/>
                    <w:snapToGrid w:val="0"/>
                    <w:jc w:val="center"/>
                    <w:rPr>
                      <w:rFonts w:hint="default" w:ascii="Times New Roman" w:hAnsi="Times New Roman" w:cs="Times New Roman"/>
                      <w:bCs/>
                      <w:color w:val="auto"/>
                      <w:sz w:val="18"/>
                      <w:szCs w:val="18"/>
                      <w:highlight w:val="none"/>
                    </w:rPr>
                  </w:pPr>
                </w:p>
              </w:tc>
              <w:tc>
                <w:tcPr>
                  <w:tcW w:w="758" w:type="pct"/>
                  <w:vMerge w:val="continue"/>
                  <w:tcBorders>
                    <w:left w:val="single" w:color="auto" w:sz="4" w:space="0"/>
                    <w:bottom w:val="single" w:color="auto" w:sz="4" w:space="0"/>
                  </w:tcBorders>
                  <w:shd w:val="clear" w:color="auto" w:fill="auto"/>
                  <w:vAlign w:val="center"/>
                </w:tcPr>
                <w:p w14:paraId="24618DA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498" w:type="pct"/>
                  <w:vMerge w:val="continue"/>
                  <w:tcBorders>
                    <w:left w:val="single" w:color="auto" w:sz="4" w:space="0"/>
                  </w:tcBorders>
                  <w:shd w:val="clear" w:color="auto" w:fill="auto"/>
                  <w:vAlign w:val="center"/>
                </w:tcPr>
                <w:p w14:paraId="0892DD55">
                  <w:pPr>
                    <w:widowControl/>
                    <w:jc w:val="center"/>
                    <w:textAlignment w:val="center"/>
                    <w:rPr>
                      <w:rFonts w:hint="default" w:ascii="Times New Roman" w:hAnsi="Times New Roman" w:eastAsia="宋体" w:cs="Times New Roman"/>
                      <w:color w:val="auto"/>
                      <w:sz w:val="18"/>
                      <w:szCs w:val="18"/>
                      <w:highlight w:val="none"/>
                      <w:lang w:val="en-US" w:eastAsia="zh-CN"/>
                    </w:rPr>
                  </w:pPr>
                </w:p>
              </w:tc>
            </w:tr>
            <w:tr w14:paraId="7736E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263" w:type="pct"/>
                  <w:vMerge w:val="continue"/>
                  <w:tcBorders>
                    <w:bottom w:val="single" w:color="auto" w:sz="4" w:space="0"/>
                    <w:right w:val="single" w:color="auto" w:sz="4" w:space="0"/>
                  </w:tcBorders>
                  <w:vAlign w:val="center"/>
                </w:tcPr>
                <w:p w14:paraId="72A3EA87">
                  <w:pPr>
                    <w:pStyle w:val="32"/>
                    <w:snapToGrid w:val="0"/>
                    <w:jc w:val="center"/>
                    <w:rPr>
                      <w:rFonts w:hint="default" w:ascii="Times New Roman" w:hAnsi="Times New Roman" w:cs="Times New Roman"/>
                      <w:bCs/>
                      <w:color w:val="auto"/>
                      <w:sz w:val="18"/>
                      <w:szCs w:val="18"/>
                      <w:highlight w:val="none"/>
                    </w:rPr>
                  </w:pPr>
                </w:p>
              </w:tc>
              <w:tc>
                <w:tcPr>
                  <w:tcW w:w="709" w:type="pct"/>
                  <w:vMerge w:val="restart"/>
                  <w:tcBorders>
                    <w:left w:val="single" w:color="auto" w:sz="4" w:space="0"/>
                    <w:right w:val="single" w:color="auto" w:sz="4" w:space="0"/>
                  </w:tcBorders>
                  <w:shd w:val="clear" w:color="auto" w:fill="auto"/>
                  <w:vAlign w:val="center"/>
                </w:tcPr>
                <w:p w14:paraId="438A8BF5">
                  <w:pPr>
                    <w:widowControl/>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第</w:t>
                  </w:r>
                  <w:r>
                    <w:rPr>
                      <w:rFonts w:hint="eastAsia" w:ascii="Times New Roman" w:hAnsi="Times New Roman" w:cs="Times New Roman"/>
                      <w:bCs/>
                      <w:color w:val="auto"/>
                      <w:sz w:val="18"/>
                      <w:szCs w:val="18"/>
                      <w:highlight w:val="none"/>
                      <w:lang w:val="en-US" w:eastAsia="zh-CN"/>
                    </w:rPr>
                    <w:t>二</w:t>
                  </w:r>
                  <w:r>
                    <w:rPr>
                      <w:rFonts w:hint="default" w:ascii="Times New Roman" w:hAnsi="Times New Roman" w:cs="Times New Roman"/>
                      <w:bCs/>
                      <w:color w:val="auto"/>
                      <w:sz w:val="18"/>
                      <w:szCs w:val="18"/>
                      <w:highlight w:val="none"/>
                    </w:rPr>
                    <w:t>手术位（</w:t>
                  </w:r>
                  <w:r>
                    <w:rPr>
                      <w:rFonts w:hint="eastAsia" w:ascii="Times New Roman" w:hAnsi="Times New Roman" w:cs="Times New Roman"/>
                      <w:bCs/>
                      <w:color w:val="auto"/>
                      <w:sz w:val="18"/>
                      <w:szCs w:val="18"/>
                      <w:highlight w:val="none"/>
                      <w:lang w:val="en-US" w:eastAsia="zh-CN"/>
                    </w:rPr>
                    <w:t>护师</w:t>
                  </w:r>
                  <w:r>
                    <w:rPr>
                      <w:rFonts w:hint="default" w:ascii="Times New Roman" w:hAnsi="Times New Roman" w:cs="Times New Roman"/>
                      <w:bCs/>
                      <w:color w:val="auto"/>
                      <w:sz w:val="18"/>
                      <w:szCs w:val="18"/>
                      <w:highlight w:val="none"/>
                    </w:rPr>
                    <w:t>）</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5E431779">
                  <w:pPr>
                    <w:adjustRightInd w:val="0"/>
                    <w:snapToGrid w:val="0"/>
                    <w:jc w:val="center"/>
                    <w:rPr>
                      <w:rFonts w:hint="eastAsia" w:ascii="Times New Roman" w:hAnsi="Times New Roman" w:eastAsia="宋体" w:cs="Times New Roman"/>
                      <w:bCs/>
                      <w:color w:val="auto"/>
                      <w:sz w:val="18"/>
                      <w:szCs w:val="18"/>
                      <w:highlight w:val="none"/>
                      <w:lang w:val="en-US" w:eastAsia="zh-CN"/>
                    </w:rPr>
                  </w:pPr>
                  <w:r>
                    <w:rPr>
                      <w:rFonts w:hint="default" w:ascii="Times New Roman" w:hAnsi="Times New Roman" w:cs="Times New Roman"/>
                      <w:bCs/>
                      <w:color w:val="auto"/>
                      <w:sz w:val="18"/>
                      <w:szCs w:val="18"/>
                      <w:highlight w:val="none"/>
                    </w:rPr>
                    <w:t>透视</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3913CDE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25.38</w:t>
                  </w:r>
                </w:p>
              </w:tc>
              <w:tc>
                <w:tcPr>
                  <w:tcW w:w="556" w:type="pct"/>
                  <w:tcBorders>
                    <w:top w:val="single" w:color="auto" w:sz="4" w:space="0"/>
                    <w:left w:val="single" w:color="auto" w:sz="4" w:space="0"/>
                    <w:bottom w:val="single" w:color="auto" w:sz="4" w:space="0"/>
                    <w:right w:val="single" w:color="auto" w:sz="4" w:space="0"/>
                  </w:tcBorders>
                  <w:shd w:val="clear" w:color="auto" w:fill="auto"/>
                  <w:vAlign w:val="center"/>
                </w:tcPr>
                <w:p w14:paraId="582AF9D2">
                  <w:pPr>
                    <w:pStyle w:val="32"/>
                    <w:snapToGrid w:val="0"/>
                    <w:jc w:val="center"/>
                    <w:rPr>
                      <w:rFonts w:hint="eastAsia" w:ascii="Times New Roman" w:hAnsi="Times New Roman" w:eastAsia="宋体" w:cs="Times New Roman"/>
                      <w:bCs/>
                      <w:color w:val="auto"/>
                      <w:sz w:val="18"/>
                      <w:szCs w:val="18"/>
                      <w:highlight w:val="none"/>
                      <w:lang w:val="en-US" w:eastAsia="zh-CN"/>
                    </w:rPr>
                  </w:pPr>
                  <w:r>
                    <w:rPr>
                      <w:rFonts w:hint="eastAsia" w:ascii="Times New Roman" w:hAnsi="Times New Roman" w:cs="Times New Roman"/>
                      <w:bCs/>
                      <w:color w:val="auto"/>
                      <w:sz w:val="18"/>
                      <w:szCs w:val="18"/>
                      <w:highlight w:val="none"/>
                      <w:lang w:val="en-US" w:eastAsia="zh-CN"/>
                    </w:rPr>
                    <w:t>1</w:t>
                  </w:r>
                </w:p>
              </w:tc>
              <w:tc>
                <w:tcPr>
                  <w:tcW w:w="515" w:type="pct"/>
                  <w:tcBorders>
                    <w:top w:val="single" w:color="auto" w:sz="4" w:space="0"/>
                    <w:left w:val="single" w:color="auto" w:sz="4" w:space="0"/>
                    <w:bottom w:val="single" w:color="auto" w:sz="4" w:space="0"/>
                    <w:right w:val="single" w:color="auto" w:sz="4" w:space="0"/>
                  </w:tcBorders>
                  <w:shd w:val="clear" w:color="auto" w:fill="auto"/>
                  <w:vAlign w:val="center"/>
                </w:tcPr>
                <w:p w14:paraId="72490162">
                  <w:pPr>
                    <w:widowControl/>
                    <w:adjustRightInd w:val="0"/>
                    <w:snapToGrid w:val="0"/>
                    <w:jc w:val="center"/>
                    <w:textAlignment w:val="center"/>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cs="Times New Roman"/>
                      <w:bCs/>
                      <w:color w:val="auto"/>
                      <w:sz w:val="18"/>
                      <w:szCs w:val="18"/>
                      <w:highlight w:val="none"/>
                      <w:lang w:val="en-US" w:eastAsia="zh-CN"/>
                    </w:rPr>
                    <w:t>56.67</w:t>
                  </w:r>
                </w:p>
              </w:tc>
              <w:tc>
                <w:tcPr>
                  <w:tcW w:w="625" w:type="pct"/>
                  <w:vMerge w:val="continue"/>
                  <w:tcBorders>
                    <w:left w:val="single" w:color="auto" w:sz="4" w:space="0"/>
                    <w:right w:val="single" w:color="auto" w:sz="4" w:space="0"/>
                  </w:tcBorders>
                  <w:shd w:val="clear" w:color="auto" w:fill="auto"/>
                  <w:vAlign w:val="center"/>
                </w:tcPr>
                <w:p w14:paraId="79D3CE2A">
                  <w:pPr>
                    <w:pStyle w:val="32"/>
                    <w:snapToGrid w:val="0"/>
                    <w:jc w:val="center"/>
                    <w:rPr>
                      <w:rFonts w:hint="default" w:ascii="Times New Roman" w:hAnsi="Times New Roman" w:cs="Times New Roman"/>
                      <w:bCs/>
                      <w:color w:val="auto"/>
                      <w:sz w:val="18"/>
                      <w:szCs w:val="18"/>
                      <w:highlight w:val="none"/>
                    </w:rPr>
                  </w:pPr>
                </w:p>
              </w:tc>
              <w:tc>
                <w:tcPr>
                  <w:tcW w:w="1258" w:type="dxa"/>
                  <w:vMerge w:val="restart"/>
                  <w:tcBorders>
                    <w:top w:val="single" w:color="auto" w:sz="4" w:space="0"/>
                    <w:left w:val="single" w:color="auto" w:sz="4" w:space="0"/>
                  </w:tcBorders>
                  <w:shd w:val="clear" w:color="auto" w:fill="auto"/>
                  <w:vAlign w:val="center"/>
                </w:tcPr>
                <w:p w14:paraId="1781C40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1.47E+00</w:t>
                  </w:r>
                </w:p>
              </w:tc>
              <w:tc>
                <w:tcPr>
                  <w:tcW w:w="498" w:type="pct"/>
                  <w:vMerge w:val="continue"/>
                  <w:tcBorders>
                    <w:left w:val="single" w:color="auto" w:sz="4" w:space="0"/>
                  </w:tcBorders>
                  <w:shd w:val="clear" w:color="auto" w:fill="auto"/>
                  <w:vAlign w:val="center"/>
                </w:tcPr>
                <w:p w14:paraId="0C781683">
                  <w:pPr>
                    <w:widowControl/>
                    <w:jc w:val="center"/>
                    <w:textAlignment w:val="center"/>
                    <w:rPr>
                      <w:rFonts w:hint="default" w:ascii="Times New Roman" w:hAnsi="Times New Roman" w:eastAsia="宋体" w:cs="Times New Roman"/>
                      <w:color w:val="auto"/>
                      <w:sz w:val="18"/>
                      <w:szCs w:val="18"/>
                      <w:highlight w:val="none"/>
                      <w:lang w:val="en-US" w:eastAsia="zh-CN"/>
                    </w:rPr>
                  </w:pPr>
                </w:p>
              </w:tc>
            </w:tr>
            <w:tr w14:paraId="319A9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263" w:type="pct"/>
                  <w:vMerge w:val="continue"/>
                  <w:tcBorders>
                    <w:bottom w:val="single" w:color="auto" w:sz="4" w:space="0"/>
                    <w:right w:val="single" w:color="auto" w:sz="4" w:space="0"/>
                  </w:tcBorders>
                  <w:vAlign w:val="center"/>
                </w:tcPr>
                <w:p w14:paraId="24FD35A0">
                  <w:pPr>
                    <w:pStyle w:val="32"/>
                    <w:snapToGrid w:val="0"/>
                    <w:jc w:val="center"/>
                    <w:rPr>
                      <w:rFonts w:hint="default" w:ascii="Times New Roman" w:hAnsi="Times New Roman" w:cs="Times New Roman"/>
                      <w:bCs/>
                      <w:color w:val="auto"/>
                      <w:sz w:val="18"/>
                      <w:szCs w:val="18"/>
                      <w:highlight w:val="none"/>
                    </w:rPr>
                  </w:pPr>
                </w:p>
              </w:tc>
              <w:tc>
                <w:tcPr>
                  <w:tcW w:w="709" w:type="pct"/>
                  <w:vMerge w:val="continue"/>
                  <w:tcBorders>
                    <w:left w:val="single" w:color="auto" w:sz="4" w:space="0"/>
                    <w:bottom w:val="single" w:color="auto" w:sz="4" w:space="0"/>
                    <w:right w:val="single" w:color="auto" w:sz="4" w:space="0"/>
                  </w:tcBorders>
                  <w:shd w:val="clear" w:color="auto" w:fill="auto"/>
                  <w:vAlign w:val="center"/>
                </w:tcPr>
                <w:p w14:paraId="05995F33">
                  <w:pPr>
                    <w:widowControl/>
                    <w:jc w:val="center"/>
                    <w:textAlignment w:val="center"/>
                    <w:rPr>
                      <w:rFonts w:hint="default" w:ascii="Times New Roman" w:hAnsi="Times New Roman" w:cs="Times New Roman"/>
                      <w:bCs/>
                      <w:color w:val="auto"/>
                      <w:sz w:val="18"/>
                      <w:szCs w:val="18"/>
                      <w:highlight w:val="none"/>
                    </w:rPr>
                  </w:pP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48A677C6">
                  <w:pPr>
                    <w:adjustRightInd w:val="0"/>
                    <w:snapToGrid w:val="0"/>
                    <w:jc w:val="center"/>
                    <w:rPr>
                      <w:rFonts w:hint="eastAsia" w:ascii="Times New Roman" w:hAnsi="Times New Roman" w:cs="Times New Roman"/>
                      <w:bCs/>
                      <w:color w:val="auto"/>
                      <w:sz w:val="18"/>
                      <w:szCs w:val="18"/>
                      <w:highlight w:val="none"/>
                      <w:lang w:val="en-US" w:eastAsia="zh-CN"/>
                    </w:rPr>
                  </w:pPr>
                  <w:r>
                    <w:rPr>
                      <w:rFonts w:hint="eastAsia" w:ascii="Times New Roman" w:hAnsi="Times New Roman" w:cs="Times New Roman"/>
                      <w:bCs/>
                      <w:color w:val="auto"/>
                      <w:sz w:val="18"/>
                      <w:szCs w:val="18"/>
                      <w:highlight w:val="none"/>
                      <w:lang w:val="en-US" w:eastAsia="zh-CN"/>
                    </w:rPr>
                    <w:t>拍片</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6F32540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12.67</w:t>
                  </w:r>
                </w:p>
              </w:tc>
              <w:tc>
                <w:tcPr>
                  <w:tcW w:w="556" w:type="pct"/>
                  <w:tcBorders>
                    <w:top w:val="single" w:color="auto" w:sz="4" w:space="0"/>
                    <w:left w:val="single" w:color="auto" w:sz="4" w:space="0"/>
                    <w:bottom w:val="single" w:color="auto" w:sz="4" w:space="0"/>
                    <w:right w:val="single" w:color="auto" w:sz="4" w:space="0"/>
                  </w:tcBorders>
                  <w:shd w:val="clear" w:color="auto" w:fill="auto"/>
                  <w:vAlign w:val="center"/>
                </w:tcPr>
                <w:p w14:paraId="773C1323">
                  <w:pPr>
                    <w:pStyle w:val="32"/>
                    <w:snapToGrid w:val="0"/>
                    <w:jc w:val="center"/>
                    <w:rPr>
                      <w:rFonts w:hint="default" w:ascii="Times New Roman" w:hAnsi="Times New Roman" w:cs="Times New Roman"/>
                      <w:bCs/>
                      <w:color w:val="auto"/>
                      <w:sz w:val="18"/>
                      <w:szCs w:val="18"/>
                      <w:highlight w:val="none"/>
                      <w:lang w:val="en-US" w:eastAsia="zh-CN"/>
                    </w:rPr>
                  </w:pPr>
                  <w:r>
                    <w:rPr>
                      <w:rFonts w:hint="eastAsia" w:ascii="Times New Roman" w:hAnsi="Times New Roman" w:cs="Times New Roman"/>
                      <w:bCs/>
                      <w:color w:val="auto"/>
                      <w:sz w:val="18"/>
                      <w:szCs w:val="18"/>
                      <w:highlight w:val="none"/>
                      <w:lang w:val="en-US" w:eastAsia="zh-CN"/>
                    </w:rPr>
                    <w:t>1</w:t>
                  </w:r>
                </w:p>
              </w:tc>
              <w:tc>
                <w:tcPr>
                  <w:tcW w:w="515" w:type="pct"/>
                  <w:tcBorders>
                    <w:top w:val="single" w:color="auto" w:sz="4" w:space="0"/>
                    <w:left w:val="single" w:color="auto" w:sz="4" w:space="0"/>
                    <w:bottom w:val="single" w:color="auto" w:sz="4" w:space="0"/>
                    <w:right w:val="single" w:color="auto" w:sz="4" w:space="0"/>
                  </w:tcBorders>
                  <w:shd w:val="clear" w:color="auto" w:fill="auto"/>
                  <w:vAlign w:val="center"/>
                </w:tcPr>
                <w:p w14:paraId="2602DE52">
                  <w:pPr>
                    <w:widowControl/>
                    <w:adjustRightInd w:val="0"/>
                    <w:snapToGrid w:val="0"/>
                    <w:jc w:val="center"/>
                    <w:textAlignment w:val="center"/>
                    <w:rPr>
                      <w:rFonts w:hint="default"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2.84</w:t>
                  </w:r>
                </w:p>
              </w:tc>
              <w:tc>
                <w:tcPr>
                  <w:tcW w:w="625" w:type="pct"/>
                  <w:vMerge w:val="continue"/>
                  <w:tcBorders>
                    <w:left w:val="single" w:color="auto" w:sz="4" w:space="0"/>
                    <w:right w:val="single" w:color="auto" w:sz="4" w:space="0"/>
                  </w:tcBorders>
                  <w:shd w:val="clear" w:color="auto" w:fill="auto"/>
                  <w:vAlign w:val="center"/>
                </w:tcPr>
                <w:p w14:paraId="63AC4EB5">
                  <w:pPr>
                    <w:pStyle w:val="32"/>
                    <w:snapToGrid w:val="0"/>
                    <w:jc w:val="center"/>
                    <w:rPr>
                      <w:rFonts w:hint="default" w:ascii="Times New Roman" w:hAnsi="Times New Roman" w:cs="Times New Roman"/>
                      <w:bCs/>
                      <w:color w:val="auto"/>
                      <w:sz w:val="18"/>
                      <w:szCs w:val="18"/>
                      <w:highlight w:val="none"/>
                    </w:rPr>
                  </w:pPr>
                </w:p>
              </w:tc>
              <w:tc>
                <w:tcPr>
                  <w:tcW w:w="758" w:type="pct"/>
                  <w:vMerge w:val="continue"/>
                  <w:tcBorders>
                    <w:left w:val="single" w:color="auto" w:sz="4" w:space="0"/>
                    <w:bottom w:val="single" w:color="auto" w:sz="4" w:space="0"/>
                  </w:tcBorders>
                  <w:shd w:val="clear" w:color="auto" w:fill="auto"/>
                  <w:vAlign w:val="center"/>
                </w:tcPr>
                <w:p w14:paraId="312D0DD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498" w:type="pct"/>
                  <w:vMerge w:val="continue"/>
                  <w:tcBorders>
                    <w:left w:val="single" w:color="auto" w:sz="4" w:space="0"/>
                  </w:tcBorders>
                  <w:shd w:val="clear" w:color="auto" w:fill="auto"/>
                  <w:vAlign w:val="center"/>
                </w:tcPr>
                <w:p w14:paraId="470022BB">
                  <w:pPr>
                    <w:widowControl/>
                    <w:jc w:val="center"/>
                    <w:textAlignment w:val="center"/>
                    <w:rPr>
                      <w:rFonts w:hint="default" w:ascii="Times New Roman" w:hAnsi="Times New Roman" w:eastAsia="宋体" w:cs="Times New Roman"/>
                      <w:color w:val="auto"/>
                      <w:sz w:val="18"/>
                      <w:szCs w:val="18"/>
                      <w:highlight w:val="none"/>
                      <w:lang w:val="en-US" w:eastAsia="zh-CN"/>
                    </w:rPr>
                  </w:pPr>
                </w:p>
              </w:tc>
            </w:tr>
            <w:tr w14:paraId="0C569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263" w:type="pct"/>
                  <w:vMerge w:val="restart"/>
                  <w:tcBorders>
                    <w:top w:val="single" w:color="auto" w:sz="4" w:space="0"/>
                    <w:right w:val="single" w:color="auto" w:sz="4" w:space="0"/>
                  </w:tcBorders>
                  <w:vAlign w:val="center"/>
                </w:tcPr>
                <w:p w14:paraId="52FA6E45">
                  <w:pPr>
                    <w:pStyle w:val="32"/>
                    <w:snapToGrid w:val="0"/>
                    <w:jc w:val="center"/>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cs="Times New Roman"/>
                      <w:bCs/>
                      <w:color w:val="auto"/>
                      <w:sz w:val="18"/>
                      <w:szCs w:val="18"/>
                      <w:highlight w:val="none"/>
                      <w:lang w:val="en-US" w:eastAsia="zh-CN"/>
                    </w:rPr>
                    <w:t>神经外科</w:t>
                  </w:r>
                </w:p>
              </w:tc>
              <w:tc>
                <w:tcPr>
                  <w:tcW w:w="709" w:type="pct"/>
                  <w:vMerge w:val="restart"/>
                  <w:tcBorders>
                    <w:top w:val="single" w:color="auto" w:sz="4" w:space="0"/>
                    <w:left w:val="single" w:color="auto" w:sz="4" w:space="0"/>
                    <w:right w:val="single" w:color="auto" w:sz="4" w:space="0"/>
                  </w:tcBorders>
                  <w:shd w:val="clear" w:color="auto" w:fill="auto"/>
                  <w:vAlign w:val="center"/>
                </w:tcPr>
                <w:p w14:paraId="77E8E436">
                  <w:pPr>
                    <w:widowControl/>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s="Times New Roman"/>
                      <w:bCs/>
                      <w:color w:val="auto"/>
                      <w:sz w:val="18"/>
                      <w:szCs w:val="18"/>
                      <w:highlight w:val="none"/>
                    </w:rPr>
                    <w:t>第一手术位（</w:t>
                  </w:r>
                  <w:r>
                    <w:rPr>
                      <w:rFonts w:hint="eastAsia" w:ascii="Times New Roman" w:hAnsi="Times New Roman" w:cs="Times New Roman"/>
                      <w:bCs/>
                      <w:color w:val="auto"/>
                      <w:sz w:val="18"/>
                      <w:szCs w:val="18"/>
                      <w:highlight w:val="none"/>
                      <w:lang w:val="en-US" w:eastAsia="zh-CN"/>
                    </w:rPr>
                    <w:t>医师</w:t>
                  </w:r>
                  <w:r>
                    <w:rPr>
                      <w:rFonts w:hint="default" w:ascii="Times New Roman" w:hAnsi="Times New Roman" w:cs="Times New Roman"/>
                      <w:bCs/>
                      <w:color w:val="auto"/>
                      <w:sz w:val="18"/>
                      <w:szCs w:val="18"/>
                      <w:highlight w:val="none"/>
                    </w:rPr>
                    <w:t>）</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1E78EBB8">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透视</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3961216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45.58</w:t>
                  </w:r>
                </w:p>
              </w:tc>
              <w:tc>
                <w:tcPr>
                  <w:tcW w:w="556" w:type="pct"/>
                  <w:tcBorders>
                    <w:top w:val="single" w:color="auto" w:sz="4" w:space="0"/>
                    <w:left w:val="single" w:color="auto" w:sz="4" w:space="0"/>
                    <w:bottom w:val="single" w:color="auto" w:sz="4" w:space="0"/>
                    <w:right w:val="single" w:color="auto" w:sz="4" w:space="0"/>
                  </w:tcBorders>
                  <w:shd w:val="clear" w:color="auto" w:fill="auto"/>
                  <w:vAlign w:val="center"/>
                </w:tcPr>
                <w:p w14:paraId="6A28E0BC">
                  <w:pPr>
                    <w:pStyle w:val="32"/>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c>
                <w:tcPr>
                  <w:tcW w:w="515" w:type="pct"/>
                  <w:tcBorders>
                    <w:top w:val="single" w:color="auto" w:sz="4" w:space="0"/>
                    <w:left w:val="single" w:color="auto" w:sz="4" w:space="0"/>
                    <w:bottom w:val="single" w:color="auto" w:sz="4" w:space="0"/>
                    <w:right w:val="single" w:color="auto" w:sz="4" w:space="0"/>
                  </w:tcBorders>
                  <w:shd w:val="clear" w:color="auto" w:fill="auto"/>
                  <w:vAlign w:val="center"/>
                </w:tcPr>
                <w:p w14:paraId="05DB0B63">
                  <w:pPr>
                    <w:keepNext w:val="0"/>
                    <w:keepLines w:val="0"/>
                    <w:widowControl/>
                    <w:suppressLineNumbers w:val="0"/>
                    <w:jc w:val="center"/>
                    <w:textAlignment w:val="center"/>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cs="Times New Roman"/>
                      <w:bCs/>
                      <w:color w:val="auto"/>
                      <w:sz w:val="18"/>
                      <w:szCs w:val="18"/>
                      <w:highlight w:val="none"/>
                      <w:lang w:val="en-US" w:eastAsia="zh-CN"/>
                    </w:rPr>
                    <w:t>18.1</w:t>
                  </w:r>
                </w:p>
              </w:tc>
              <w:tc>
                <w:tcPr>
                  <w:tcW w:w="625" w:type="pct"/>
                  <w:vMerge w:val="continue"/>
                  <w:tcBorders>
                    <w:left w:val="single" w:color="auto" w:sz="4" w:space="0"/>
                    <w:right w:val="single" w:color="auto" w:sz="4" w:space="0"/>
                  </w:tcBorders>
                  <w:shd w:val="clear" w:color="auto" w:fill="auto"/>
                  <w:vAlign w:val="center"/>
                </w:tcPr>
                <w:p w14:paraId="322772F9">
                  <w:pPr>
                    <w:pStyle w:val="32"/>
                    <w:snapToGrid w:val="0"/>
                    <w:jc w:val="center"/>
                    <w:rPr>
                      <w:rFonts w:hint="default" w:ascii="Times New Roman" w:hAnsi="Times New Roman" w:cs="Times New Roman"/>
                      <w:bCs/>
                      <w:color w:val="auto"/>
                      <w:sz w:val="18"/>
                      <w:szCs w:val="18"/>
                      <w:highlight w:val="none"/>
                    </w:rPr>
                  </w:pPr>
                </w:p>
              </w:tc>
              <w:tc>
                <w:tcPr>
                  <w:tcW w:w="1258" w:type="dxa"/>
                  <w:vMerge w:val="restart"/>
                  <w:tcBorders>
                    <w:top w:val="single" w:color="auto" w:sz="4" w:space="0"/>
                    <w:left w:val="single" w:color="auto" w:sz="4" w:space="0"/>
                  </w:tcBorders>
                  <w:shd w:val="clear" w:color="auto" w:fill="auto"/>
                  <w:vAlign w:val="center"/>
                </w:tcPr>
                <w:p w14:paraId="2AEDAD9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8.39E-01</w:t>
                  </w:r>
                </w:p>
              </w:tc>
              <w:tc>
                <w:tcPr>
                  <w:tcW w:w="498" w:type="pct"/>
                  <w:vMerge w:val="continue"/>
                  <w:tcBorders>
                    <w:left w:val="single" w:color="auto" w:sz="4" w:space="0"/>
                  </w:tcBorders>
                  <w:shd w:val="clear" w:color="auto" w:fill="auto"/>
                  <w:vAlign w:val="center"/>
                </w:tcPr>
                <w:p w14:paraId="23441274">
                  <w:pPr>
                    <w:widowControl/>
                    <w:jc w:val="center"/>
                    <w:textAlignment w:val="center"/>
                    <w:rPr>
                      <w:rFonts w:hint="default" w:ascii="Times New Roman" w:hAnsi="Times New Roman" w:eastAsia="宋体" w:cs="Times New Roman"/>
                      <w:color w:val="auto"/>
                      <w:sz w:val="18"/>
                      <w:szCs w:val="18"/>
                      <w:highlight w:val="none"/>
                      <w:lang w:val="en-US" w:eastAsia="zh-CN"/>
                    </w:rPr>
                  </w:pPr>
                </w:p>
              </w:tc>
            </w:tr>
            <w:tr w14:paraId="2E6DD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263" w:type="pct"/>
                  <w:vMerge w:val="continue"/>
                  <w:tcBorders>
                    <w:right w:val="single" w:color="auto" w:sz="4" w:space="0"/>
                  </w:tcBorders>
                  <w:vAlign w:val="center"/>
                </w:tcPr>
                <w:p w14:paraId="7A64ADB7">
                  <w:pPr>
                    <w:pStyle w:val="32"/>
                    <w:snapToGrid w:val="0"/>
                    <w:jc w:val="center"/>
                    <w:rPr>
                      <w:rFonts w:hint="eastAsia" w:ascii="Times New Roman" w:hAnsi="Times New Roman" w:cs="Times New Roman"/>
                      <w:bCs/>
                      <w:color w:val="auto"/>
                      <w:sz w:val="18"/>
                      <w:szCs w:val="18"/>
                      <w:highlight w:val="none"/>
                      <w:lang w:val="en-US" w:eastAsia="zh-CN"/>
                    </w:rPr>
                  </w:pPr>
                </w:p>
              </w:tc>
              <w:tc>
                <w:tcPr>
                  <w:tcW w:w="709" w:type="pct"/>
                  <w:vMerge w:val="continue"/>
                  <w:tcBorders>
                    <w:left w:val="single" w:color="auto" w:sz="4" w:space="0"/>
                    <w:right w:val="single" w:color="auto" w:sz="4" w:space="0"/>
                  </w:tcBorders>
                  <w:shd w:val="clear" w:color="auto" w:fill="auto"/>
                  <w:vAlign w:val="center"/>
                </w:tcPr>
                <w:p w14:paraId="0E60A7AF">
                  <w:pPr>
                    <w:widowControl/>
                    <w:jc w:val="center"/>
                    <w:textAlignment w:val="center"/>
                    <w:rPr>
                      <w:rFonts w:hint="default" w:ascii="Times New Roman" w:hAnsi="Times New Roman" w:cs="Times New Roman"/>
                      <w:bCs/>
                      <w:color w:val="auto"/>
                      <w:sz w:val="18"/>
                      <w:szCs w:val="18"/>
                      <w:highlight w:val="none"/>
                    </w:rPr>
                  </w:pP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42C7A727">
                  <w:pPr>
                    <w:adjustRightInd w:val="0"/>
                    <w:snapToGrid w:val="0"/>
                    <w:jc w:val="center"/>
                    <w:rPr>
                      <w:rFonts w:hint="default" w:ascii="Times New Roman" w:hAnsi="Times New Roman" w:cs="Times New Roman"/>
                      <w:bCs/>
                      <w:color w:val="auto"/>
                      <w:sz w:val="18"/>
                      <w:szCs w:val="18"/>
                      <w:highlight w:val="none"/>
                    </w:rPr>
                  </w:pPr>
                  <w:r>
                    <w:rPr>
                      <w:rFonts w:hint="eastAsia" w:ascii="Times New Roman" w:hAnsi="Times New Roman" w:cs="Times New Roman"/>
                      <w:bCs/>
                      <w:color w:val="auto"/>
                      <w:sz w:val="18"/>
                      <w:szCs w:val="18"/>
                      <w:highlight w:val="none"/>
                      <w:lang w:val="en-US" w:eastAsia="zh-CN"/>
                    </w:rPr>
                    <w:t>拍片</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6A71FED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15.47</w:t>
                  </w:r>
                </w:p>
              </w:tc>
              <w:tc>
                <w:tcPr>
                  <w:tcW w:w="556" w:type="pct"/>
                  <w:tcBorders>
                    <w:top w:val="single" w:color="auto" w:sz="4" w:space="0"/>
                    <w:left w:val="single" w:color="auto" w:sz="4" w:space="0"/>
                    <w:bottom w:val="single" w:color="auto" w:sz="4" w:space="0"/>
                    <w:right w:val="single" w:color="auto" w:sz="4" w:space="0"/>
                  </w:tcBorders>
                  <w:shd w:val="clear" w:color="auto" w:fill="auto"/>
                  <w:vAlign w:val="center"/>
                </w:tcPr>
                <w:p w14:paraId="191D38E2">
                  <w:pPr>
                    <w:pStyle w:val="32"/>
                    <w:snapToGrid w:val="0"/>
                    <w:jc w:val="center"/>
                    <w:rPr>
                      <w:rFonts w:hint="eastAsia" w:ascii="Times New Roman" w:hAnsi="Times New Roman" w:eastAsia="宋体" w:cs="Times New Roman"/>
                      <w:bCs/>
                      <w:color w:val="auto"/>
                      <w:sz w:val="18"/>
                      <w:szCs w:val="18"/>
                      <w:highlight w:val="none"/>
                      <w:lang w:val="en-US" w:eastAsia="zh-CN"/>
                    </w:rPr>
                  </w:pPr>
                  <w:r>
                    <w:rPr>
                      <w:rFonts w:hint="eastAsia" w:ascii="Times New Roman" w:hAnsi="Times New Roman" w:cs="Times New Roman"/>
                      <w:bCs/>
                      <w:color w:val="auto"/>
                      <w:sz w:val="18"/>
                      <w:szCs w:val="18"/>
                      <w:highlight w:val="none"/>
                      <w:lang w:val="en-US" w:eastAsia="zh-CN"/>
                    </w:rPr>
                    <w:t>1</w:t>
                  </w:r>
                </w:p>
              </w:tc>
              <w:tc>
                <w:tcPr>
                  <w:tcW w:w="515" w:type="pct"/>
                  <w:tcBorders>
                    <w:top w:val="single" w:color="auto" w:sz="4" w:space="0"/>
                    <w:left w:val="single" w:color="auto" w:sz="4" w:space="0"/>
                    <w:bottom w:val="single" w:color="auto" w:sz="4" w:space="0"/>
                    <w:right w:val="single" w:color="auto" w:sz="4" w:space="0"/>
                  </w:tcBorders>
                  <w:shd w:val="clear" w:color="auto" w:fill="auto"/>
                  <w:vAlign w:val="center"/>
                </w:tcPr>
                <w:p w14:paraId="284B989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ascii="Times New Roman" w:hAnsi="Times New Roman" w:cs="Times New Roman"/>
                      <w:i w:val="0"/>
                      <w:iCs w:val="0"/>
                      <w:color w:val="auto"/>
                      <w:kern w:val="0"/>
                      <w:sz w:val="18"/>
                      <w:szCs w:val="18"/>
                      <w:highlight w:val="none"/>
                      <w:u w:val="none"/>
                      <w:lang w:val="en-US" w:eastAsia="zh-CN" w:bidi="ar"/>
                    </w:rPr>
                    <w:t>0.9</w:t>
                  </w:r>
                </w:p>
              </w:tc>
              <w:tc>
                <w:tcPr>
                  <w:tcW w:w="625" w:type="pct"/>
                  <w:vMerge w:val="continue"/>
                  <w:tcBorders>
                    <w:left w:val="single" w:color="auto" w:sz="4" w:space="0"/>
                    <w:right w:val="single" w:color="auto" w:sz="4" w:space="0"/>
                  </w:tcBorders>
                  <w:shd w:val="clear" w:color="auto" w:fill="auto"/>
                  <w:vAlign w:val="center"/>
                </w:tcPr>
                <w:p w14:paraId="2BE103A0">
                  <w:pPr>
                    <w:pStyle w:val="32"/>
                    <w:snapToGrid w:val="0"/>
                    <w:jc w:val="center"/>
                    <w:rPr>
                      <w:rFonts w:hint="default" w:ascii="Times New Roman" w:hAnsi="Times New Roman" w:cs="Times New Roman"/>
                      <w:bCs/>
                      <w:color w:val="auto"/>
                      <w:sz w:val="18"/>
                      <w:szCs w:val="18"/>
                      <w:highlight w:val="none"/>
                    </w:rPr>
                  </w:pPr>
                </w:p>
              </w:tc>
              <w:tc>
                <w:tcPr>
                  <w:tcW w:w="758" w:type="pct"/>
                  <w:vMerge w:val="continue"/>
                  <w:tcBorders>
                    <w:left w:val="single" w:color="auto" w:sz="4" w:space="0"/>
                    <w:bottom w:val="single" w:color="auto" w:sz="4" w:space="0"/>
                  </w:tcBorders>
                  <w:shd w:val="clear" w:color="auto" w:fill="auto"/>
                  <w:vAlign w:val="center"/>
                </w:tcPr>
                <w:p w14:paraId="0CA0EF2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498" w:type="pct"/>
                  <w:vMerge w:val="continue"/>
                  <w:tcBorders>
                    <w:left w:val="single" w:color="auto" w:sz="4" w:space="0"/>
                  </w:tcBorders>
                  <w:shd w:val="clear" w:color="auto" w:fill="auto"/>
                  <w:vAlign w:val="center"/>
                </w:tcPr>
                <w:p w14:paraId="7AC396CA">
                  <w:pPr>
                    <w:widowControl/>
                    <w:jc w:val="center"/>
                    <w:textAlignment w:val="center"/>
                    <w:rPr>
                      <w:rFonts w:hint="default" w:ascii="Times New Roman" w:hAnsi="Times New Roman" w:eastAsia="宋体" w:cs="Times New Roman"/>
                      <w:color w:val="auto"/>
                      <w:sz w:val="18"/>
                      <w:szCs w:val="18"/>
                      <w:highlight w:val="none"/>
                      <w:lang w:val="en-US" w:eastAsia="zh-CN"/>
                    </w:rPr>
                  </w:pPr>
                </w:p>
              </w:tc>
            </w:tr>
            <w:tr w14:paraId="18112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263" w:type="pct"/>
                  <w:vMerge w:val="continue"/>
                  <w:tcBorders>
                    <w:right w:val="single" w:color="auto" w:sz="4" w:space="0"/>
                  </w:tcBorders>
                  <w:vAlign w:val="center"/>
                </w:tcPr>
                <w:p w14:paraId="63BB41C0">
                  <w:pPr>
                    <w:pStyle w:val="32"/>
                    <w:snapToGrid w:val="0"/>
                    <w:jc w:val="center"/>
                    <w:rPr>
                      <w:rFonts w:hint="default" w:ascii="Times New Roman" w:hAnsi="Times New Roman" w:cs="Times New Roman"/>
                      <w:bCs/>
                      <w:color w:val="auto"/>
                      <w:sz w:val="18"/>
                      <w:szCs w:val="18"/>
                      <w:highlight w:val="none"/>
                    </w:rPr>
                  </w:pPr>
                </w:p>
              </w:tc>
              <w:tc>
                <w:tcPr>
                  <w:tcW w:w="709" w:type="pct"/>
                  <w:vMerge w:val="restart"/>
                  <w:tcBorders>
                    <w:left w:val="single" w:color="auto" w:sz="4" w:space="0"/>
                    <w:right w:val="single" w:color="auto" w:sz="4" w:space="0"/>
                  </w:tcBorders>
                  <w:shd w:val="clear" w:color="auto" w:fill="auto"/>
                  <w:vAlign w:val="center"/>
                </w:tcPr>
                <w:p w14:paraId="12C3C8BB">
                  <w:pPr>
                    <w:widowControl/>
                    <w:jc w:val="center"/>
                    <w:textAlignment w:val="center"/>
                    <w:rPr>
                      <w:rFonts w:hint="default" w:ascii="Times New Roman" w:hAnsi="Times New Roman" w:eastAsia="宋体" w:cs="Times New Roman"/>
                      <w:bCs/>
                      <w:color w:val="auto"/>
                      <w:kern w:val="2"/>
                      <w:sz w:val="18"/>
                      <w:szCs w:val="18"/>
                      <w:highlight w:val="none"/>
                      <w:lang w:val="en-US" w:eastAsia="zh-CN" w:bidi="ar-SA"/>
                    </w:rPr>
                  </w:pPr>
                  <w:r>
                    <w:rPr>
                      <w:rFonts w:hint="default" w:ascii="Times New Roman" w:hAnsi="Times New Roman" w:cs="Times New Roman"/>
                      <w:bCs/>
                      <w:color w:val="auto"/>
                      <w:sz w:val="18"/>
                      <w:szCs w:val="18"/>
                      <w:highlight w:val="none"/>
                    </w:rPr>
                    <w:t>第</w:t>
                  </w:r>
                  <w:r>
                    <w:rPr>
                      <w:rFonts w:hint="eastAsia" w:ascii="Times New Roman" w:hAnsi="Times New Roman" w:cs="Times New Roman"/>
                      <w:bCs/>
                      <w:color w:val="auto"/>
                      <w:sz w:val="18"/>
                      <w:szCs w:val="18"/>
                      <w:highlight w:val="none"/>
                      <w:lang w:val="en-US" w:eastAsia="zh-CN"/>
                    </w:rPr>
                    <w:t>二</w:t>
                  </w:r>
                  <w:r>
                    <w:rPr>
                      <w:rFonts w:hint="default" w:ascii="Times New Roman" w:hAnsi="Times New Roman" w:cs="Times New Roman"/>
                      <w:bCs/>
                      <w:color w:val="auto"/>
                      <w:sz w:val="18"/>
                      <w:szCs w:val="18"/>
                      <w:highlight w:val="none"/>
                    </w:rPr>
                    <w:t>手术位（</w:t>
                  </w:r>
                  <w:r>
                    <w:rPr>
                      <w:rFonts w:hint="eastAsia" w:ascii="Times New Roman" w:hAnsi="Times New Roman" w:cs="Times New Roman"/>
                      <w:bCs/>
                      <w:color w:val="auto"/>
                      <w:sz w:val="18"/>
                      <w:szCs w:val="18"/>
                      <w:highlight w:val="none"/>
                      <w:lang w:val="en-US" w:eastAsia="zh-CN"/>
                    </w:rPr>
                    <w:t>护师</w:t>
                  </w:r>
                  <w:r>
                    <w:rPr>
                      <w:rFonts w:hint="default" w:ascii="Times New Roman" w:hAnsi="Times New Roman" w:cs="Times New Roman"/>
                      <w:bCs/>
                      <w:color w:val="auto"/>
                      <w:sz w:val="18"/>
                      <w:szCs w:val="18"/>
                      <w:highlight w:val="none"/>
                    </w:rPr>
                    <w:t>）</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24034CC3">
                  <w:pPr>
                    <w:adjustRightInd w:val="0"/>
                    <w:snapToGrid w:val="0"/>
                    <w:jc w:val="center"/>
                    <w:rPr>
                      <w:rFonts w:hint="eastAsia" w:ascii="Times New Roman" w:hAnsi="Times New Roman" w:eastAsia="宋体" w:cs="Times New Roman"/>
                      <w:bCs/>
                      <w:color w:val="auto"/>
                      <w:sz w:val="18"/>
                      <w:szCs w:val="18"/>
                      <w:highlight w:val="none"/>
                      <w:lang w:val="en-US" w:eastAsia="zh-CN"/>
                    </w:rPr>
                  </w:pPr>
                  <w:r>
                    <w:rPr>
                      <w:rFonts w:hint="default" w:ascii="Times New Roman" w:hAnsi="Times New Roman" w:cs="Times New Roman"/>
                      <w:bCs/>
                      <w:color w:val="auto"/>
                      <w:sz w:val="18"/>
                      <w:szCs w:val="18"/>
                      <w:highlight w:val="none"/>
                    </w:rPr>
                    <w:t>透视</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6F62365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25.38</w:t>
                  </w:r>
                </w:p>
              </w:tc>
              <w:tc>
                <w:tcPr>
                  <w:tcW w:w="556" w:type="pct"/>
                  <w:tcBorders>
                    <w:top w:val="single" w:color="auto" w:sz="4" w:space="0"/>
                    <w:left w:val="single" w:color="auto" w:sz="4" w:space="0"/>
                    <w:bottom w:val="single" w:color="auto" w:sz="4" w:space="0"/>
                    <w:right w:val="single" w:color="auto" w:sz="4" w:space="0"/>
                  </w:tcBorders>
                  <w:shd w:val="clear" w:color="auto" w:fill="auto"/>
                  <w:vAlign w:val="center"/>
                </w:tcPr>
                <w:p w14:paraId="423C503A">
                  <w:pPr>
                    <w:pStyle w:val="32"/>
                    <w:snapToGrid w:val="0"/>
                    <w:jc w:val="center"/>
                    <w:rPr>
                      <w:rFonts w:hint="eastAsia" w:ascii="Times New Roman" w:hAnsi="Times New Roman" w:eastAsia="宋体" w:cs="Times New Roman"/>
                      <w:bCs/>
                      <w:color w:val="auto"/>
                      <w:sz w:val="18"/>
                      <w:szCs w:val="18"/>
                      <w:highlight w:val="none"/>
                      <w:lang w:val="en-US" w:eastAsia="zh-CN"/>
                    </w:rPr>
                  </w:pPr>
                  <w:r>
                    <w:rPr>
                      <w:rFonts w:hint="eastAsia" w:ascii="Times New Roman" w:hAnsi="Times New Roman" w:cs="Times New Roman"/>
                      <w:bCs/>
                      <w:color w:val="auto"/>
                      <w:sz w:val="18"/>
                      <w:szCs w:val="18"/>
                      <w:highlight w:val="none"/>
                      <w:lang w:val="en-US" w:eastAsia="zh-CN"/>
                    </w:rPr>
                    <w:t>1</w:t>
                  </w:r>
                </w:p>
              </w:tc>
              <w:tc>
                <w:tcPr>
                  <w:tcW w:w="515" w:type="pct"/>
                  <w:tcBorders>
                    <w:top w:val="single" w:color="auto" w:sz="4" w:space="0"/>
                    <w:left w:val="single" w:color="auto" w:sz="4" w:space="0"/>
                    <w:bottom w:val="single" w:color="auto" w:sz="4" w:space="0"/>
                    <w:right w:val="single" w:color="auto" w:sz="4" w:space="0"/>
                  </w:tcBorders>
                  <w:shd w:val="clear" w:color="auto" w:fill="auto"/>
                  <w:vAlign w:val="center"/>
                </w:tcPr>
                <w:p w14:paraId="4504DB9D">
                  <w:pPr>
                    <w:keepNext w:val="0"/>
                    <w:keepLines w:val="0"/>
                    <w:widowControl/>
                    <w:suppressLineNumbers w:val="0"/>
                    <w:jc w:val="center"/>
                    <w:textAlignment w:val="center"/>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cs="Times New Roman"/>
                      <w:bCs/>
                      <w:color w:val="auto"/>
                      <w:sz w:val="18"/>
                      <w:szCs w:val="18"/>
                      <w:highlight w:val="none"/>
                      <w:lang w:val="en-US" w:eastAsia="zh-CN"/>
                    </w:rPr>
                    <w:t>32.5</w:t>
                  </w:r>
                </w:p>
              </w:tc>
              <w:tc>
                <w:tcPr>
                  <w:tcW w:w="625" w:type="pct"/>
                  <w:vMerge w:val="continue"/>
                  <w:tcBorders>
                    <w:left w:val="single" w:color="auto" w:sz="4" w:space="0"/>
                    <w:right w:val="single" w:color="auto" w:sz="4" w:space="0"/>
                  </w:tcBorders>
                  <w:shd w:val="clear" w:color="auto" w:fill="auto"/>
                  <w:vAlign w:val="center"/>
                </w:tcPr>
                <w:p w14:paraId="70A5B701">
                  <w:pPr>
                    <w:pStyle w:val="32"/>
                    <w:snapToGrid w:val="0"/>
                    <w:jc w:val="center"/>
                    <w:rPr>
                      <w:rFonts w:hint="default" w:ascii="Times New Roman" w:hAnsi="Times New Roman" w:cs="Times New Roman"/>
                      <w:bCs/>
                      <w:color w:val="auto"/>
                      <w:sz w:val="18"/>
                      <w:szCs w:val="18"/>
                      <w:highlight w:val="none"/>
                    </w:rPr>
                  </w:pPr>
                </w:p>
              </w:tc>
              <w:tc>
                <w:tcPr>
                  <w:tcW w:w="1258" w:type="dxa"/>
                  <w:vMerge w:val="restart"/>
                  <w:tcBorders>
                    <w:top w:val="single" w:color="auto" w:sz="4" w:space="0"/>
                    <w:left w:val="single" w:color="auto" w:sz="4" w:space="0"/>
                  </w:tcBorders>
                  <w:shd w:val="clear" w:color="auto" w:fill="auto"/>
                  <w:vAlign w:val="center"/>
                </w:tcPr>
                <w:p w14:paraId="775FEBF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8.45E-01</w:t>
                  </w:r>
                </w:p>
              </w:tc>
              <w:tc>
                <w:tcPr>
                  <w:tcW w:w="498" w:type="pct"/>
                  <w:vMerge w:val="continue"/>
                  <w:tcBorders>
                    <w:left w:val="single" w:color="auto" w:sz="4" w:space="0"/>
                  </w:tcBorders>
                  <w:shd w:val="clear" w:color="auto" w:fill="auto"/>
                  <w:vAlign w:val="center"/>
                </w:tcPr>
                <w:p w14:paraId="5F894DD8">
                  <w:pPr>
                    <w:widowControl/>
                    <w:jc w:val="center"/>
                    <w:textAlignment w:val="center"/>
                    <w:rPr>
                      <w:rFonts w:hint="default" w:ascii="Times New Roman" w:hAnsi="Times New Roman" w:eastAsia="宋体" w:cs="Times New Roman"/>
                      <w:color w:val="auto"/>
                      <w:sz w:val="18"/>
                      <w:szCs w:val="18"/>
                      <w:highlight w:val="none"/>
                      <w:lang w:val="en-US" w:eastAsia="zh-CN"/>
                    </w:rPr>
                  </w:pPr>
                </w:p>
              </w:tc>
            </w:tr>
            <w:tr w14:paraId="02D96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263" w:type="pct"/>
                  <w:vMerge w:val="continue"/>
                  <w:tcBorders>
                    <w:bottom w:val="single" w:color="auto" w:sz="4" w:space="0"/>
                    <w:right w:val="single" w:color="auto" w:sz="4" w:space="0"/>
                  </w:tcBorders>
                  <w:vAlign w:val="center"/>
                </w:tcPr>
                <w:p w14:paraId="39EB2039">
                  <w:pPr>
                    <w:pStyle w:val="32"/>
                    <w:snapToGrid w:val="0"/>
                    <w:jc w:val="center"/>
                    <w:rPr>
                      <w:rFonts w:hint="default" w:ascii="Times New Roman" w:hAnsi="Times New Roman" w:cs="Times New Roman"/>
                      <w:bCs/>
                      <w:color w:val="auto"/>
                      <w:sz w:val="18"/>
                      <w:szCs w:val="18"/>
                      <w:highlight w:val="none"/>
                    </w:rPr>
                  </w:pPr>
                </w:p>
              </w:tc>
              <w:tc>
                <w:tcPr>
                  <w:tcW w:w="709" w:type="pct"/>
                  <w:vMerge w:val="continue"/>
                  <w:tcBorders>
                    <w:left w:val="single" w:color="auto" w:sz="4" w:space="0"/>
                    <w:bottom w:val="single" w:color="auto" w:sz="4" w:space="0"/>
                    <w:right w:val="single" w:color="auto" w:sz="4" w:space="0"/>
                  </w:tcBorders>
                  <w:shd w:val="clear" w:color="auto" w:fill="auto"/>
                  <w:vAlign w:val="center"/>
                </w:tcPr>
                <w:p w14:paraId="3AC49ABF">
                  <w:pPr>
                    <w:widowControl/>
                    <w:jc w:val="center"/>
                    <w:textAlignment w:val="center"/>
                    <w:rPr>
                      <w:rFonts w:hint="default" w:ascii="Times New Roman" w:hAnsi="Times New Roman" w:cs="Times New Roman"/>
                      <w:bCs/>
                      <w:color w:val="auto"/>
                      <w:sz w:val="18"/>
                      <w:szCs w:val="18"/>
                      <w:highlight w:val="none"/>
                    </w:rPr>
                  </w:pP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3B9D8DED">
                  <w:pPr>
                    <w:adjustRightInd w:val="0"/>
                    <w:snapToGrid w:val="0"/>
                    <w:jc w:val="center"/>
                    <w:rPr>
                      <w:rFonts w:hint="eastAsia" w:ascii="Times New Roman" w:hAnsi="Times New Roman" w:cs="Times New Roman"/>
                      <w:bCs/>
                      <w:color w:val="auto"/>
                      <w:sz w:val="18"/>
                      <w:szCs w:val="18"/>
                      <w:highlight w:val="none"/>
                      <w:lang w:val="en-US" w:eastAsia="zh-CN"/>
                    </w:rPr>
                  </w:pPr>
                  <w:r>
                    <w:rPr>
                      <w:rFonts w:hint="eastAsia" w:ascii="Times New Roman" w:hAnsi="Times New Roman" w:cs="Times New Roman"/>
                      <w:bCs/>
                      <w:color w:val="auto"/>
                      <w:sz w:val="18"/>
                      <w:szCs w:val="18"/>
                      <w:highlight w:val="none"/>
                      <w:lang w:val="en-US" w:eastAsia="zh-CN"/>
                    </w:rPr>
                    <w:t>拍片</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73BC388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12.67</w:t>
                  </w:r>
                </w:p>
              </w:tc>
              <w:tc>
                <w:tcPr>
                  <w:tcW w:w="556" w:type="pct"/>
                  <w:tcBorders>
                    <w:top w:val="single" w:color="auto" w:sz="4" w:space="0"/>
                    <w:left w:val="single" w:color="auto" w:sz="4" w:space="0"/>
                    <w:bottom w:val="single" w:color="auto" w:sz="4" w:space="0"/>
                    <w:right w:val="single" w:color="auto" w:sz="4" w:space="0"/>
                  </w:tcBorders>
                  <w:shd w:val="clear" w:color="auto" w:fill="auto"/>
                  <w:vAlign w:val="center"/>
                </w:tcPr>
                <w:p w14:paraId="007D57FB">
                  <w:pPr>
                    <w:pStyle w:val="32"/>
                    <w:snapToGrid w:val="0"/>
                    <w:jc w:val="center"/>
                    <w:rPr>
                      <w:rFonts w:hint="default" w:ascii="Times New Roman" w:hAnsi="Times New Roman" w:cs="Times New Roman"/>
                      <w:bCs/>
                      <w:color w:val="auto"/>
                      <w:sz w:val="18"/>
                      <w:szCs w:val="18"/>
                      <w:highlight w:val="none"/>
                      <w:lang w:val="en-US" w:eastAsia="zh-CN"/>
                    </w:rPr>
                  </w:pPr>
                  <w:r>
                    <w:rPr>
                      <w:rFonts w:hint="eastAsia" w:ascii="Times New Roman" w:hAnsi="Times New Roman" w:cs="Times New Roman"/>
                      <w:bCs/>
                      <w:color w:val="auto"/>
                      <w:sz w:val="18"/>
                      <w:szCs w:val="18"/>
                      <w:highlight w:val="none"/>
                      <w:lang w:val="en-US" w:eastAsia="zh-CN"/>
                    </w:rPr>
                    <w:t>1</w:t>
                  </w:r>
                </w:p>
              </w:tc>
              <w:tc>
                <w:tcPr>
                  <w:tcW w:w="515" w:type="pct"/>
                  <w:tcBorders>
                    <w:top w:val="single" w:color="auto" w:sz="4" w:space="0"/>
                    <w:left w:val="single" w:color="auto" w:sz="4" w:space="0"/>
                    <w:bottom w:val="single" w:color="auto" w:sz="4" w:space="0"/>
                    <w:right w:val="single" w:color="auto" w:sz="4" w:space="0"/>
                  </w:tcBorders>
                  <w:shd w:val="clear" w:color="auto" w:fill="auto"/>
                  <w:vAlign w:val="center"/>
                </w:tcPr>
                <w:p w14:paraId="79B9D11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ascii="Times New Roman" w:hAnsi="Times New Roman" w:cs="Times New Roman"/>
                      <w:i w:val="0"/>
                      <w:iCs w:val="0"/>
                      <w:color w:val="auto"/>
                      <w:kern w:val="0"/>
                      <w:sz w:val="18"/>
                      <w:szCs w:val="18"/>
                      <w:highlight w:val="none"/>
                      <w:u w:val="none"/>
                      <w:lang w:val="en-US" w:eastAsia="zh-CN" w:bidi="ar"/>
                    </w:rPr>
                    <w:t>1.625</w:t>
                  </w:r>
                </w:p>
              </w:tc>
              <w:tc>
                <w:tcPr>
                  <w:tcW w:w="625" w:type="pct"/>
                  <w:vMerge w:val="continue"/>
                  <w:tcBorders>
                    <w:left w:val="single" w:color="auto" w:sz="4" w:space="0"/>
                    <w:bottom w:val="single" w:color="auto" w:sz="4" w:space="0"/>
                    <w:right w:val="single" w:color="auto" w:sz="4" w:space="0"/>
                  </w:tcBorders>
                  <w:shd w:val="clear" w:color="auto" w:fill="auto"/>
                  <w:vAlign w:val="center"/>
                </w:tcPr>
                <w:p w14:paraId="1E5906A3">
                  <w:pPr>
                    <w:pStyle w:val="32"/>
                    <w:snapToGrid w:val="0"/>
                    <w:jc w:val="center"/>
                    <w:rPr>
                      <w:rFonts w:hint="default" w:ascii="Times New Roman" w:hAnsi="Times New Roman" w:cs="Times New Roman"/>
                      <w:bCs/>
                      <w:color w:val="auto"/>
                      <w:sz w:val="18"/>
                      <w:szCs w:val="18"/>
                      <w:highlight w:val="none"/>
                    </w:rPr>
                  </w:pPr>
                </w:p>
              </w:tc>
              <w:tc>
                <w:tcPr>
                  <w:tcW w:w="758" w:type="pct"/>
                  <w:vMerge w:val="continue"/>
                  <w:tcBorders>
                    <w:left w:val="single" w:color="auto" w:sz="4" w:space="0"/>
                    <w:bottom w:val="single" w:color="auto" w:sz="4" w:space="0"/>
                  </w:tcBorders>
                  <w:shd w:val="clear" w:color="auto" w:fill="auto"/>
                  <w:vAlign w:val="center"/>
                </w:tcPr>
                <w:p w14:paraId="71F75AD5">
                  <w:pPr>
                    <w:widowControl/>
                    <w:jc w:val="center"/>
                    <w:textAlignment w:val="center"/>
                    <w:rPr>
                      <w:rFonts w:hint="default" w:ascii="Times New Roman" w:hAnsi="Times New Roman" w:eastAsia="宋体" w:cs="Times New Roman"/>
                      <w:color w:val="auto"/>
                      <w:sz w:val="18"/>
                      <w:szCs w:val="18"/>
                      <w:highlight w:val="none"/>
                      <w:lang w:val="en-US" w:eastAsia="zh-CN"/>
                    </w:rPr>
                  </w:pPr>
                </w:p>
              </w:tc>
              <w:tc>
                <w:tcPr>
                  <w:tcW w:w="498" w:type="pct"/>
                  <w:vMerge w:val="continue"/>
                  <w:tcBorders>
                    <w:left w:val="single" w:color="auto" w:sz="4" w:space="0"/>
                    <w:bottom w:val="single" w:color="auto" w:sz="4" w:space="0"/>
                  </w:tcBorders>
                  <w:shd w:val="clear" w:color="auto" w:fill="auto"/>
                  <w:vAlign w:val="center"/>
                </w:tcPr>
                <w:p w14:paraId="7286412D">
                  <w:pPr>
                    <w:widowControl/>
                    <w:jc w:val="center"/>
                    <w:textAlignment w:val="center"/>
                    <w:rPr>
                      <w:rFonts w:hint="default" w:ascii="Times New Roman" w:hAnsi="Times New Roman" w:eastAsia="宋体" w:cs="Times New Roman"/>
                      <w:color w:val="auto"/>
                      <w:sz w:val="18"/>
                      <w:szCs w:val="18"/>
                      <w:highlight w:val="none"/>
                      <w:lang w:val="en-US" w:eastAsia="zh-CN"/>
                    </w:rPr>
                  </w:pPr>
                </w:p>
              </w:tc>
            </w:tr>
          </w:tbl>
          <w:p w14:paraId="37DEB709">
            <w:pPr>
              <w:keepNext w:val="0"/>
              <w:keepLines w:val="0"/>
              <w:pageBreakBefore w:val="0"/>
              <w:widowControl w:val="0"/>
              <w:kinsoku/>
              <w:wordWrap/>
              <w:overflowPunct/>
              <w:topLinePunct w:val="0"/>
              <w:autoSpaceDE/>
              <w:autoSpaceDN/>
              <w:bidi w:val="0"/>
              <w:adjustRightInd/>
              <w:snapToGrid/>
              <w:spacing w:line="360" w:lineRule="auto"/>
              <w:ind w:firstLine="472" w:firstLineChars="200"/>
              <w:jc w:val="both"/>
              <w:textAlignment w:val="auto"/>
              <w:rPr>
                <w:rFonts w:hint="default" w:ascii="Times New Roman" w:hAnsi="Times New Roman" w:cs="Times New Roman"/>
                <w:color w:val="auto"/>
                <w:spacing w:val="-2"/>
                <w:sz w:val="24"/>
                <w:szCs w:val="24"/>
                <w:highlight w:val="none"/>
                <w:lang w:val="en-US" w:eastAsia="zh-CN"/>
              </w:rPr>
            </w:pPr>
            <w:r>
              <w:rPr>
                <w:rFonts w:hint="default" w:ascii="Times New Roman" w:hAnsi="Times New Roman" w:cs="Times New Roman"/>
                <w:color w:val="auto"/>
                <w:spacing w:val="-2"/>
                <w:sz w:val="24"/>
                <w:szCs w:val="24"/>
                <w:highlight w:val="none"/>
                <w:lang w:val="en-US" w:eastAsia="zh-CN"/>
              </w:rPr>
              <w:t>其他保护目标年有效剂量估算：</w:t>
            </w:r>
          </w:p>
          <w:p w14:paraId="510C50FD">
            <w:pPr>
              <w:keepNext w:val="0"/>
              <w:keepLines w:val="0"/>
              <w:pageBreakBefore w:val="0"/>
              <w:widowControl w:val="0"/>
              <w:kinsoku/>
              <w:wordWrap/>
              <w:overflowPunct/>
              <w:topLinePunct w:val="0"/>
              <w:autoSpaceDE/>
              <w:autoSpaceDN/>
              <w:bidi w:val="0"/>
              <w:adjustRightInd/>
              <w:snapToGrid/>
              <w:spacing w:line="360" w:lineRule="auto"/>
              <w:ind w:firstLine="472" w:firstLineChars="200"/>
              <w:jc w:val="both"/>
              <w:textAlignment w:val="auto"/>
              <w:rPr>
                <w:rFonts w:hint="eastAsia" w:ascii="Times New Roman" w:hAnsi="Times New Roman" w:cs="Times New Roman"/>
                <w:color w:val="auto"/>
                <w:spacing w:val="-2"/>
                <w:sz w:val="24"/>
                <w:szCs w:val="24"/>
                <w:highlight w:val="none"/>
                <w:lang w:val="en-US" w:eastAsia="zh-CN"/>
              </w:rPr>
            </w:pPr>
            <w:r>
              <w:rPr>
                <w:rFonts w:hint="default" w:ascii="Times New Roman" w:hAnsi="Times New Roman" w:cs="Times New Roman"/>
                <w:color w:val="auto"/>
                <w:spacing w:val="-2"/>
                <w:sz w:val="24"/>
                <w:szCs w:val="24"/>
                <w:highlight w:val="none"/>
                <w:lang w:val="en-US" w:eastAsia="zh-CN"/>
              </w:rPr>
              <w:t>本项目DSA机房外边界外50m范围还包括的保护目标包括：</w:t>
            </w:r>
            <w:r>
              <w:rPr>
                <w:rFonts w:hint="eastAsia" w:ascii="Times New Roman" w:hAnsi="Times New Roman" w:cs="Times New Roman"/>
                <w:color w:val="auto"/>
                <w:spacing w:val="-2"/>
                <w:sz w:val="24"/>
                <w:szCs w:val="24"/>
                <w:highlight w:val="none"/>
                <w:lang w:val="en-US" w:eastAsia="zh-CN"/>
              </w:rPr>
              <w:t>1#医疗综合楼办公室（东侧30m）、血液科观察室（西侧8m）、血液透析大厅患者走廊（西侧6m）、体检中心（南侧15m）、电梯厅（南侧7m）、一楼北侧出入口（北侧17m）、一楼东侧出入口（东侧19m）、一楼体育场（北侧50m）。</w:t>
            </w:r>
          </w:p>
          <w:p w14:paraId="2DF5326F">
            <w:pPr>
              <w:keepNext w:val="0"/>
              <w:keepLines w:val="0"/>
              <w:pageBreakBefore w:val="0"/>
              <w:widowControl w:val="0"/>
              <w:kinsoku/>
              <w:wordWrap/>
              <w:overflowPunct/>
              <w:topLinePunct w:val="0"/>
              <w:autoSpaceDE/>
              <w:autoSpaceDN/>
              <w:bidi w:val="0"/>
              <w:adjustRightInd/>
              <w:snapToGrid/>
              <w:spacing w:line="360" w:lineRule="auto"/>
              <w:ind w:firstLine="472" w:firstLineChars="200"/>
              <w:jc w:val="both"/>
              <w:textAlignment w:val="auto"/>
              <w:rPr>
                <w:rFonts w:hint="eastAsia" w:ascii="Times New Roman" w:hAnsi="Times New Roman" w:cs="Times New Roman"/>
                <w:color w:val="auto"/>
                <w:spacing w:val="-2"/>
                <w:sz w:val="24"/>
                <w:szCs w:val="24"/>
                <w:highlight w:val="none"/>
                <w:lang w:val="en-US" w:eastAsia="zh-CN"/>
              </w:rPr>
            </w:pPr>
            <w:r>
              <w:rPr>
                <w:rFonts w:hint="eastAsia" w:ascii="Times New Roman" w:hAnsi="Times New Roman" w:cs="Times New Roman"/>
                <w:color w:val="auto"/>
                <w:spacing w:val="-2"/>
                <w:sz w:val="24"/>
                <w:szCs w:val="24"/>
                <w:highlight w:val="none"/>
                <w:lang w:val="en-US" w:eastAsia="zh-CN"/>
              </w:rPr>
              <w:t>保守以表11-9中6#关注点控制室观察窗30cm处作为体检中心、电梯厅剂量率参考点；</w:t>
            </w:r>
          </w:p>
          <w:p w14:paraId="756B0978">
            <w:pPr>
              <w:keepNext w:val="0"/>
              <w:keepLines w:val="0"/>
              <w:pageBreakBefore w:val="0"/>
              <w:widowControl w:val="0"/>
              <w:kinsoku/>
              <w:wordWrap/>
              <w:overflowPunct/>
              <w:topLinePunct w:val="0"/>
              <w:autoSpaceDE/>
              <w:autoSpaceDN/>
              <w:bidi w:val="0"/>
              <w:adjustRightInd/>
              <w:snapToGrid/>
              <w:spacing w:line="360" w:lineRule="auto"/>
              <w:ind w:firstLine="472" w:firstLineChars="200"/>
              <w:jc w:val="both"/>
              <w:textAlignment w:val="auto"/>
              <w:rPr>
                <w:rFonts w:hint="eastAsia" w:ascii="Times New Roman" w:hAnsi="Times New Roman" w:cs="Times New Roman"/>
                <w:color w:val="auto"/>
                <w:spacing w:val="-2"/>
                <w:sz w:val="24"/>
                <w:szCs w:val="24"/>
                <w:highlight w:val="none"/>
                <w:lang w:val="en-US" w:eastAsia="zh-CN"/>
              </w:rPr>
            </w:pPr>
            <w:r>
              <w:rPr>
                <w:rFonts w:hint="eastAsia" w:ascii="Times New Roman" w:hAnsi="Times New Roman" w:cs="Times New Roman"/>
                <w:color w:val="auto"/>
                <w:spacing w:val="-2"/>
                <w:sz w:val="24"/>
                <w:szCs w:val="24"/>
                <w:highlight w:val="none"/>
                <w:lang w:val="en-US" w:eastAsia="zh-CN"/>
              </w:rPr>
              <w:t>保守以11-9中10#关注点污物间平开门30cm处作为1#医疗综合楼办公室、一楼东侧出入口剂量率参考点；</w:t>
            </w:r>
          </w:p>
          <w:p w14:paraId="7AF1B13D">
            <w:pPr>
              <w:keepNext w:val="0"/>
              <w:keepLines w:val="0"/>
              <w:pageBreakBefore w:val="0"/>
              <w:widowControl w:val="0"/>
              <w:kinsoku/>
              <w:wordWrap/>
              <w:overflowPunct/>
              <w:topLinePunct w:val="0"/>
              <w:autoSpaceDE/>
              <w:autoSpaceDN/>
              <w:bidi w:val="0"/>
              <w:adjustRightInd/>
              <w:snapToGrid/>
              <w:spacing w:line="360" w:lineRule="auto"/>
              <w:ind w:firstLine="472" w:firstLineChars="200"/>
              <w:jc w:val="both"/>
              <w:textAlignment w:val="auto"/>
              <w:rPr>
                <w:rFonts w:hint="eastAsia" w:ascii="Times New Roman" w:hAnsi="Times New Roman" w:cs="Times New Roman"/>
                <w:color w:val="auto"/>
                <w:spacing w:val="-2"/>
                <w:sz w:val="24"/>
                <w:szCs w:val="24"/>
                <w:highlight w:val="none"/>
                <w:lang w:val="en-US" w:eastAsia="zh-CN"/>
              </w:rPr>
            </w:pPr>
            <w:r>
              <w:rPr>
                <w:rFonts w:hint="eastAsia" w:ascii="Times New Roman" w:hAnsi="Times New Roman" w:cs="Times New Roman"/>
                <w:color w:val="auto"/>
                <w:spacing w:val="-2"/>
                <w:sz w:val="24"/>
                <w:szCs w:val="24"/>
                <w:highlight w:val="none"/>
                <w:lang w:val="en-US" w:eastAsia="zh-CN"/>
              </w:rPr>
              <w:t>保守以11-9中3#关注点患者缓冲区电动推拉门30cm处作为血液科观察室、血液透析大厅患者走廊剂量率参考点；</w:t>
            </w:r>
          </w:p>
          <w:p w14:paraId="47768AB1">
            <w:pPr>
              <w:keepNext w:val="0"/>
              <w:keepLines w:val="0"/>
              <w:pageBreakBefore w:val="0"/>
              <w:widowControl w:val="0"/>
              <w:kinsoku/>
              <w:wordWrap/>
              <w:overflowPunct/>
              <w:topLinePunct w:val="0"/>
              <w:autoSpaceDE/>
              <w:autoSpaceDN/>
              <w:bidi w:val="0"/>
              <w:adjustRightInd/>
              <w:snapToGrid/>
              <w:spacing w:line="360" w:lineRule="auto"/>
              <w:ind w:firstLine="472" w:firstLineChars="200"/>
              <w:jc w:val="both"/>
              <w:textAlignment w:val="auto"/>
              <w:rPr>
                <w:rFonts w:hint="default"/>
                <w:color w:val="auto"/>
                <w:highlight w:val="none"/>
                <w:lang w:val="en-US"/>
              </w:rPr>
            </w:pPr>
            <w:r>
              <w:rPr>
                <w:rFonts w:hint="eastAsia" w:ascii="Times New Roman" w:hAnsi="Times New Roman" w:cs="Times New Roman"/>
                <w:color w:val="auto"/>
                <w:spacing w:val="-2"/>
                <w:sz w:val="24"/>
                <w:szCs w:val="24"/>
                <w:highlight w:val="none"/>
                <w:lang w:val="en-US" w:eastAsia="zh-CN"/>
              </w:rPr>
              <w:t>保守以11-9中11#关注点设备间屏蔽墙30cm处作为一楼北侧出入口、一楼体育场廊剂量率参考点。</w:t>
            </w:r>
          </w:p>
          <w:p w14:paraId="26DEA6A3">
            <w:pPr>
              <w:pStyle w:val="32"/>
              <w:numPr>
                <w:ilvl w:val="0"/>
                <w:numId w:val="22"/>
              </w:numPr>
              <w:snapToGrid w:val="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 </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本项目DSA周围50m范围内其他保护目标年有效剂量一览表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0"/>
              <w:gridCol w:w="1627"/>
              <w:gridCol w:w="617"/>
              <w:gridCol w:w="678"/>
              <w:gridCol w:w="956"/>
              <w:gridCol w:w="827"/>
              <w:gridCol w:w="1060"/>
              <w:gridCol w:w="1110"/>
              <w:gridCol w:w="1006"/>
            </w:tblGrid>
            <w:tr w14:paraId="53C01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7" w:type="pct"/>
                  <w:vAlign w:val="center"/>
                </w:tcPr>
                <w:p w14:paraId="179CC57E">
                  <w:pPr>
                    <w:autoSpaceDE w:val="0"/>
                    <w:autoSpaceDN w:val="0"/>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序号</w:t>
                  </w:r>
                </w:p>
              </w:tc>
              <w:tc>
                <w:tcPr>
                  <w:tcW w:w="981" w:type="pct"/>
                  <w:vAlign w:val="center"/>
                </w:tcPr>
                <w:p w14:paraId="4CB8B71C">
                  <w:pPr>
                    <w:autoSpaceDE w:val="0"/>
                    <w:autoSpaceDN w:val="0"/>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保护目标名称</w:t>
                  </w:r>
                </w:p>
              </w:tc>
              <w:tc>
                <w:tcPr>
                  <w:tcW w:w="372" w:type="pct"/>
                  <w:vAlign w:val="center"/>
                </w:tcPr>
                <w:p w14:paraId="352F369D">
                  <w:pPr>
                    <w:autoSpaceDE w:val="0"/>
                    <w:autoSpaceDN w:val="0"/>
                    <w:adjustRightInd w:val="0"/>
                    <w:snapToGrid w:val="0"/>
                    <w:jc w:val="center"/>
                    <w:rPr>
                      <w:rFonts w:hint="eastAsia" w:ascii="Times New Roman" w:hAnsi="Times New Roman" w:eastAsia="宋体" w:cs="Times New Roman"/>
                      <w:color w:val="auto"/>
                      <w:sz w:val="18"/>
                      <w:szCs w:val="18"/>
                      <w:highlight w:val="none"/>
                      <w:lang w:eastAsia="zh-CN"/>
                    </w:rPr>
                  </w:pPr>
                  <w:r>
                    <w:rPr>
                      <w:rFonts w:hint="eastAsia" w:ascii="Times New Roman" w:hAnsi="Times New Roman" w:cs="Times New Roman"/>
                      <w:color w:val="auto"/>
                      <w:sz w:val="18"/>
                      <w:szCs w:val="18"/>
                      <w:highlight w:val="none"/>
                      <w:lang w:val="en-US" w:eastAsia="zh-CN"/>
                    </w:rPr>
                    <w:t>方位</w:t>
                  </w:r>
                </w:p>
              </w:tc>
              <w:tc>
                <w:tcPr>
                  <w:tcW w:w="408" w:type="pct"/>
                  <w:vAlign w:val="center"/>
                </w:tcPr>
                <w:p w14:paraId="4F6CC7A2">
                  <w:pPr>
                    <w:autoSpaceDE w:val="0"/>
                    <w:autoSpaceDN w:val="0"/>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居留因子</w:t>
                  </w:r>
                </w:p>
              </w:tc>
              <w:tc>
                <w:tcPr>
                  <w:tcW w:w="576" w:type="pct"/>
                  <w:vAlign w:val="center"/>
                </w:tcPr>
                <w:p w14:paraId="56F3B70F">
                  <w:pPr>
                    <w:adjustRightInd w:val="0"/>
                    <w:snapToGrid w:val="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受照</w:t>
                  </w:r>
                </w:p>
                <w:p w14:paraId="0FA85957">
                  <w:pPr>
                    <w:adjustRightInd w:val="0"/>
                    <w:snapToGrid w:val="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时间(h)</w:t>
                  </w:r>
                </w:p>
              </w:tc>
              <w:tc>
                <w:tcPr>
                  <w:tcW w:w="1137" w:type="pct"/>
                  <w:gridSpan w:val="2"/>
                  <w:vAlign w:val="center"/>
                </w:tcPr>
                <w:p w14:paraId="27BAB71B">
                  <w:pPr>
                    <w:adjustRightInd w:val="0"/>
                    <w:snapToGrid w:val="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sz w:val="18"/>
                      <w:szCs w:val="18"/>
                      <w:highlight w:val="none"/>
                    </w:rPr>
                    <w:t>参考点</w:t>
                  </w:r>
                  <w:r>
                    <w:rPr>
                      <w:rFonts w:hint="default" w:ascii="Times New Roman" w:hAnsi="Times New Roman" w:cs="Times New Roman"/>
                      <w:bCs/>
                      <w:color w:val="auto"/>
                      <w:sz w:val="18"/>
                      <w:szCs w:val="18"/>
                      <w:highlight w:val="none"/>
                    </w:rPr>
                    <w:t>周围剂量当量率</w:t>
                  </w:r>
                  <w:r>
                    <w:rPr>
                      <w:rFonts w:hint="default" w:ascii="Times New Roman" w:hAnsi="Times New Roman" w:cs="Times New Roman"/>
                      <w:color w:val="auto"/>
                      <w:sz w:val="18"/>
                      <w:szCs w:val="18"/>
                      <w:highlight w:val="none"/>
                    </w:rPr>
                    <w:t>（</w:t>
                  </w:r>
                  <w:r>
                    <w:rPr>
                      <w:rFonts w:hint="default" w:ascii="Times New Roman" w:hAnsi="Times New Roman" w:cs="Times New Roman"/>
                      <w:bCs/>
                      <w:color w:val="auto"/>
                      <w:sz w:val="18"/>
                      <w:szCs w:val="18"/>
                      <w:highlight w:val="none"/>
                    </w:rPr>
                    <w:t>μSv/h</w:t>
                  </w:r>
                  <w:r>
                    <w:rPr>
                      <w:rFonts w:hint="default" w:ascii="Times New Roman" w:hAnsi="Times New Roman" w:cs="Times New Roman"/>
                      <w:color w:val="auto"/>
                      <w:sz w:val="18"/>
                      <w:szCs w:val="18"/>
                      <w:highlight w:val="none"/>
                    </w:rPr>
                    <w:t>）</w:t>
                  </w:r>
                </w:p>
              </w:tc>
              <w:tc>
                <w:tcPr>
                  <w:tcW w:w="669" w:type="pct"/>
                  <w:vAlign w:val="center"/>
                </w:tcPr>
                <w:p w14:paraId="1876FA67">
                  <w:pPr>
                    <w:adjustRightInd w:val="0"/>
                    <w:snapToGrid w:val="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年有效剂量</w:t>
                  </w:r>
                  <w:r>
                    <w:rPr>
                      <w:rFonts w:hint="default" w:ascii="Times New Roman" w:hAnsi="Times New Roman" w:cs="Times New Roman"/>
                      <w:color w:val="auto"/>
                      <w:sz w:val="18"/>
                      <w:szCs w:val="18"/>
                      <w:highlight w:val="none"/>
                    </w:rPr>
                    <w:t>（mSv/a）</w:t>
                  </w:r>
                </w:p>
              </w:tc>
              <w:tc>
                <w:tcPr>
                  <w:tcW w:w="606" w:type="pct"/>
                  <w:vAlign w:val="center"/>
                </w:tcPr>
                <w:p w14:paraId="5D1AC8ED">
                  <w:pPr>
                    <w:adjustRightInd w:val="0"/>
                    <w:snapToGrid w:val="0"/>
                    <w:jc w:val="center"/>
                    <w:rPr>
                      <w:rFonts w:hint="default" w:ascii="Times New Roman" w:hAnsi="Times New Roman" w:eastAsia="宋体" w:cs="Times New Roman"/>
                      <w:color w:val="auto"/>
                      <w:kern w:val="0"/>
                      <w:sz w:val="18"/>
                      <w:szCs w:val="18"/>
                      <w:highlight w:val="none"/>
                      <w:lang w:val="en-US" w:eastAsia="zh-CN"/>
                    </w:rPr>
                  </w:pPr>
                  <w:r>
                    <w:rPr>
                      <w:rFonts w:hint="eastAsia" w:ascii="Times New Roman" w:hAnsi="Times New Roman" w:cs="Times New Roman"/>
                      <w:color w:val="auto"/>
                      <w:kern w:val="0"/>
                      <w:sz w:val="18"/>
                      <w:szCs w:val="18"/>
                      <w:highlight w:val="none"/>
                      <w:lang w:val="en-US" w:eastAsia="zh-CN"/>
                    </w:rPr>
                    <w:t>管理目标值</w:t>
                  </w:r>
                  <w:r>
                    <w:rPr>
                      <w:rFonts w:hint="default" w:ascii="Times New Roman" w:hAnsi="Times New Roman" w:cs="Times New Roman"/>
                      <w:color w:val="auto"/>
                      <w:sz w:val="18"/>
                      <w:szCs w:val="18"/>
                      <w:highlight w:val="none"/>
                    </w:rPr>
                    <w:t>（mSv/a）</w:t>
                  </w:r>
                </w:p>
              </w:tc>
            </w:tr>
            <w:tr w14:paraId="5009C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7" w:type="pct"/>
                  <w:vMerge w:val="restart"/>
                  <w:vAlign w:val="center"/>
                </w:tcPr>
                <w:p w14:paraId="4ACEF746">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w:t>
                  </w:r>
                </w:p>
              </w:tc>
              <w:tc>
                <w:tcPr>
                  <w:tcW w:w="981" w:type="pct"/>
                  <w:vMerge w:val="restart"/>
                  <w:vAlign w:val="center"/>
                </w:tcPr>
                <w:p w14:paraId="10E6B0E8">
                  <w:pPr>
                    <w:autoSpaceDE w:val="0"/>
                    <w:autoSpaceDN w:val="0"/>
                    <w:adjustRightInd w:val="0"/>
                    <w:snapToGrid w:val="0"/>
                    <w:jc w:val="center"/>
                    <w:rPr>
                      <w:rFonts w:hint="default" w:ascii="Times New Roman" w:hAnsi="Times New Roman" w:eastAsia="宋体" w:cs="Times New Roman"/>
                      <w:color w:val="auto"/>
                      <w:spacing w:val="-2"/>
                      <w:sz w:val="18"/>
                      <w:szCs w:val="18"/>
                      <w:highlight w:val="none"/>
                      <w:lang w:val="en-US" w:eastAsia="zh-CN"/>
                    </w:rPr>
                  </w:pPr>
                  <w:r>
                    <w:rPr>
                      <w:rFonts w:hint="eastAsia" w:ascii="Times New Roman" w:hAnsi="Times New Roman" w:cs="Times New Roman"/>
                      <w:color w:val="auto"/>
                      <w:sz w:val="18"/>
                      <w:szCs w:val="18"/>
                      <w:highlight w:val="none"/>
                      <w:lang w:val="en-US" w:eastAsia="zh-CN"/>
                    </w:rPr>
                    <w:t>1#医疗综合楼办公室</w:t>
                  </w:r>
                </w:p>
              </w:tc>
              <w:tc>
                <w:tcPr>
                  <w:tcW w:w="372" w:type="pct"/>
                  <w:vMerge w:val="restart"/>
                  <w:vAlign w:val="center"/>
                </w:tcPr>
                <w:p w14:paraId="2C7155FE">
                  <w:pPr>
                    <w:adjustRightInd w:val="0"/>
                    <w:snapToGrid w:val="0"/>
                    <w:jc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东侧</w:t>
                  </w:r>
                </w:p>
              </w:tc>
              <w:tc>
                <w:tcPr>
                  <w:tcW w:w="408" w:type="pct"/>
                  <w:vMerge w:val="restart"/>
                  <w:vAlign w:val="center"/>
                </w:tcPr>
                <w:p w14:paraId="7B6AF861">
                  <w:pPr>
                    <w:adjustRightInd w:val="0"/>
                    <w:snapToGrid w:val="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1</w:t>
                  </w:r>
                </w:p>
              </w:tc>
              <w:tc>
                <w:tcPr>
                  <w:tcW w:w="576" w:type="pct"/>
                  <w:vMerge w:val="restart"/>
                  <w:vAlign w:val="center"/>
                </w:tcPr>
                <w:p w14:paraId="6861EDD6">
                  <w:pPr>
                    <w:widowControl/>
                    <w:adjustRightInd w:val="0"/>
                    <w:snapToGrid w:val="0"/>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透视：</w:t>
                  </w:r>
                  <w:r>
                    <w:rPr>
                      <w:rFonts w:hint="eastAsia" w:ascii="Times New Roman" w:hAnsi="Times New Roman" w:cs="Times New Roman"/>
                      <w:bCs/>
                      <w:color w:val="auto"/>
                      <w:sz w:val="18"/>
                      <w:szCs w:val="18"/>
                      <w:highlight w:val="none"/>
                      <w:lang w:val="en-US" w:eastAsia="zh-CN"/>
                    </w:rPr>
                    <w:t>89.167</w:t>
                  </w:r>
                  <w:r>
                    <w:rPr>
                      <w:rFonts w:hint="default" w:ascii="Times New Roman" w:hAnsi="Times New Roman" w:cs="Times New Roman"/>
                      <w:bCs/>
                      <w:color w:val="auto"/>
                      <w:sz w:val="18"/>
                      <w:szCs w:val="18"/>
                      <w:highlight w:val="none"/>
                    </w:rPr>
                    <w:t>h；拍片</w:t>
                  </w:r>
                  <w:r>
                    <w:rPr>
                      <w:rFonts w:hint="eastAsia" w:ascii="Times New Roman" w:hAnsi="Times New Roman" w:cs="Times New Roman"/>
                      <w:bCs/>
                      <w:color w:val="auto"/>
                      <w:sz w:val="18"/>
                      <w:szCs w:val="18"/>
                      <w:highlight w:val="none"/>
                      <w:lang w:val="en-US" w:eastAsia="zh-CN"/>
                    </w:rPr>
                    <w:t>4.458</w:t>
                  </w:r>
                  <w:r>
                    <w:rPr>
                      <w:rFonts w:hint="default" w:ascii="Times New Roman" w:hAnsi="Times New Roman" w:cs="Times New Roman"/>
                      <w:bCs/>
                      <w:color w:val="auto"/>
                      <w:sz w:val="18"/>
                      <w:szCs w:val="18"/>
                      <w:highlight w:val="none"/>
                    </w:rPr>
                    <w:t>h</w:t>
                  </w:r>
                </w:p>
              </w:tc>
              <w:tc>
                <w:tcPr>
                  <w:tcW w:w="498" w:type="pct"/>
                  <w:vAlign w:val="center"/>
                </w:tcPr>
                <w:p w14:paraId="1007FA2F">
                  <w:pPr>
                    <w:pStyle w:val="32"/>
                    <w:snapToGrid w:val="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透视</w:t>
                  </w:r>
                </w:p>
              </w:tc>
              <w:tc>
                <w:tcPr>
                  <w:tcW w:w="1060" w:type="dxa"/>
                  <w:shd w:val="clear" w:color="auto" w:fill="auto"/>
                  <w:vAlign w:val="center"/>
                </w:tcPr>
                <w:p w14:paraId="1CD8370A">
                  <w:pPr>
                    <w:keepNext w:val="0"/>
                    <w:keepLines w:val="0"/>
                    <w:widowControl/>
                    <w:suppressLineNumbers w:val="0"/>
                    <w:jc w:val="center"/>
                    <w:textAlignment w:val="center"/>
                    <w:rPr>
                      <w:rFonts w:hint="default" w:ascii="Times New Roman" w:hAnsi="Times New Roman" w:cs="Times New Roman"/>
                      <w:bCs/>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2.38E-03</w:t>
                  </w:r>
                </w:p>
              </w:tc>
              <w:tc>
                <w:tcPr>
                  <w:tcW w:w="1110" w:type="dxa"/>
                  <w:vMerge w:val="restart"/>
                  <w:vAlign w:val="center"/>
                </w:tcPr>
                <w:p w14:paraId="44889A1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4.09E-04</w:t>
                  </w:r>
                </w:p>
              </w:tc>
              <w:tc>
                <w:tcPr>
                  <w:tcW w:w="606" w:type="pct"/>
                  <w:vMerge w:val="restart"/>
                  <w:vAlign w:val="center"/>
                </w:tcPr>
                <w:p w14:paraId="1014BE5A">
                  <w:pPr>
                    <w:keepNext w:val="0"/>
                    <w:keepLines w:val="0"/>
                    <w:widowControl/>
                    <w:suppressLineNumbers w:val="0"/>
                    <w:jc w:val="center"/>
                    <w:textAlignment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0.1</w:t>
                  </w:r>
                </w:p>
              </w:tc>
            </w:tr>
            <w:tr w14:paraId="545AC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7" w:type="pct"/>
                  <w:vMerge w:val="continue"/>
                  <w:vAlign w:val="center"/>
                </w:tcPr>
                <w:p w14:paraId="558D0895">
                  <w:pPr>
                    <w:adjustRightInd w:val="0"/>
                    <w:snapToGrid w:val="0"/>
                    <w:jc w:val="center"/>
                    <w:rPr>
                      <w:rFonts w:hint="default" w:ascii="Times New Roman" w:hAnsi="Times New Roman" w:cs="Times New Roman"/>
                      <w:color w:val="auto"/>
                      <w:sz w:val="18"/>
                      <w:szCs w:val="18"/>
                      <w:highlight w:val="none"/>
                    </w:rPr>
                  </w:pPr>
                </w:p>
              </w:tc>
              <w:tc>
                <w:tcPr>
                  <w:tcW w:w="981" w:type="pct"/>
                  <w:vMerge w:val="continue"/>
                  <w:vAlign w:val="center"/>
                </w:tcPr>
                <w:p w14:paraId="39FA8ED0">
                  <w:pPr>
                    <w:pStyle w:val="32"/>
                    <w:snapToGrid w:val="0"/>
                    <w:jc w:val="center"/>
                    <w:rPr>
                      <w:rFonts w:hint="default" w:ascii="Times New Roman" w:hAnsi="Times New Roman" w:cs="Times New Roman"/>
                      <w:color w:val="auto"/>
                      <w:sz w:val="18"/>
                      <w:szCs w:val="18"/>
                      <w:highlight w:val="none"/>
                    </w:rPr>
                  </w:pPr>
                </w:p>
              </w:tc>
              <w:tc>
                <w:tcPr>
                  <w:tcW w:w="372" w:type="pct"/>
                  <w:vMerge w:val="continue"/>
                  <w:vAlign w:val="center"/>
                </w:tcPr>
                <w:p w14:paraId="5A1B2477">
                  <w:pPr>
                    <w:adjustRightInd w:val="0"/>
                    <w:snapToGrid w:val="0"/>
                    <w:jc w:val="center"/>
                    <w:rPr>
                      <w:rFonts w:hint="default" w:ascii="Times New Roman" w:hAnsi="Times New Roman" w:cs="Times New Roman"/>
                      <w:color w:val="auto"/>
                      <w:sz w:val="18"/>
                      <w:szCs w:val="18"/>
                      <w:highlight w:val="none"/>
                    </w:rPr>
                  </w:pPr>
                </w:p>
              </w:tc>
              <w:tc>
                <w:tcPr>
                  <w:tcW w:w="408" w:type="pct"/>
                  <w:vMerge w:val="continue"/>
                  <w:vAlign w:val="center"/>
                </w:tcPr>
                <w:p w14:paraId="09454E70">
                  <w:pPr>
                    <w:adjustRightInd w:val="0"/>
                    <w:snapToGrid w:val="0"/>
                    <w:jc w:val="center"/>
                    <w:rPr>
                      <w:rFonts w:hint="default" w:ascii="Times New Roman" w:hAnsi="Times New Roman" w:cs="Times New Roman"/>
                      <w:color w:val="auto"/>
                      <w:sz w:val="18"/>
                      <w:szCs w:val="18"/>
                      <w:highlight w:val="none"/>
                    </w:rPr>
                  </w:pPr>
                </w:p>
              </w:tc>
              <w:tc>
                <w:tcPr>
                  <w:tcW w:w="576" w:type="pct"/>
                  <w:vMerge w:val="continue"/>
                  <w:vAlign w:val="center"/>
                </w:tcPr>
                <w:p w14:paraId="4F90DEC6">
                  <w:pPr>
                    <w:widowControl/>
                    <w:adjustRightInd w:val="0"/>
                    <w:snapToGrid w:val="0"/>
                    <w:jc w:val="center"/>
                    <w:textAlignment w:val="center"/>
                    <w:rPr>
                      <w:rFonts w:hint="default" w:ascii="Times New Roman" w:hAnsi="Times New Roman" w:cs="Times New Roman"/>
                      <w:bCs/>
                      <w:color w:val="auto"/>
                      <w:sz w:val="18"/>
                      <w:szCs w:val="18"/>
                      <w:highlight w:val="none"/>
                    </w:rPr>
                  </w:pPr>
                </w:p>
              </w:tc>
              <w:tc>
                <w:tcPr>
                  <w:tcW w:w="498" w:type="pct"/>
                  <w:vAlign w:val="center"/>
                </w:tcPr>
                <w:p w14:paraId="1DB27547">
                  <w:pPr>
                    <w:pStyle w:val="32"/>
                    <w:snapToGrid w:val="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拍片</w:t>
                  </w:r>
                </w:p>
              </w:tc>
              <w:tc>
                <w:tcPr>
                  <w:tcW w:w="1060" w:type="dxa"/>
                  <w:shd w:val="clear" w:color="auto" w:fill="auto"/>
                  <w:vAlign w:val="center"/>
                </w:tcPr>
                <w:p w14:paraId="35DBEA5C">
                  <w:pPr>
                    <w:keepNext w:val="0"/>
                    <w:keepLines w:val="0"/>
                    <w:widowControl/>
                    <w:suppressLineNumbers w:val="0"/>
                    <w:jc w:val="center"/>
                    <w:textAlignment w:val="center"/>
                    <w:rPr>
                      <w:rFonts w:hint="default" w:ascii="Times New Roman" w:hAnsi="Times New Roman" w:cs="Times New Roman"/>
                      <w:bCs/>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4.41E-02</w:t>
                  </w:r>
                </w:p>
              </w:tc>
              <w:tc>
                <w:tcPr>
                  <w:tcW w:w="669" w:type="pct"/>
                  <w:vMerge w:val="continue"/>
                  <w:vAlign w:val="center"/>
                </w:tcPr>
                <w:p w14:paraId="5310E8E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606" w:type="pct"/>
                  <w:vMerge w:val="continue"/>
                  <w:vAlign w:val="center"/>
                </w:tcPr>
                <w:p w14:paraId="58E4DFC7">
                  <w:pPr>
                    <w:widowControl/>
                    <w:adjustRightInd w:val="0"/>
                    <w:snapToGrid w:val="0"/>
                    <w:jc w:val="center"/>
                    <w:textAlignment w:val="center"/>
                    <w:rPr>
                      <w:rFonts w:hint="default" w:ascii="Times New Roman" w:hAnsi="Times New Roman" w:cs="Times New Roman"/>
                      <w:color w:val="auto"/>
                      <w:kern w:val="0"/>
                      <w:sz w:val="18"/>
                      <w:szCs w:val="18"/>
                      <w:highlight w:val="none"/>
                    </w:rPr>
                  </w:pPr>
                </w:p>
              </w:tc>
            </w:tr>
            <w:tr w14:paraId="443C8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7" w:type="pct"/>
                  <w:vMerge w:val="restart"/>
                  <w:vAlign w:val="center"/>
                </w:tcPr>
                <w:p w14:paraId="593BF366">
                  <w:pPr>
                    <w:adjustRightInd w:val="0"/>
                    <w:snapToGrid w:val="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2</w:t>
                  </w:r>
                </w:p>
              </w:tc>
              <w:tc>
                <w:tcPr>
                  <w:tcW w:w="981" w:type="pct"/>
                  <w:vMerge w:val="restart"/>
                  <w:vAlign w:val="center"/>
                </w:tcPr>
                <w:p w14:paraId="77201CE2">
                  <w:pPr>
                    <w:autoSpaceDE w:val="0"/>
                    <w:autoSpaceDN w:val="0"/>
                    <w:adjustRightInd w:val="0"/>
                    <w:snapToGrid w:val="0"/>
                    <w:jc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血液科观察室</w:t>
                  </w:r>
                </w:p>
              </w:tc>
              <w:tc>
                <w:tcPr>
                  <w:tcW w:w="372" w:type="pct"/>
                  <w:vMerge w:val="restart"/>
                  <w:vAlign w:val="center"/>
                </w:tcPr>
                <w:p w14:paraId="2FF0A7D4">
                  <w:pPr>
                    <w:adjustRightInd w:val="0"/>
                    <w:snapToGrid w:val="0"/>
                    <w:jc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西侧</w:t>
                  </w:r>
                </w:p>
              </w:tc>
              <w:tc>
                <w:tcPr>
                  <w:tcW w:w="408" w:type="pct"/>
                  <w:vMerge w:val="restart"/>
                  <w:vAlign w:val="center"/>
                </w:tcPr>
                <w:p w14:paraId="4EF67EF8">
                  <w:pPr>
                    <w:adjustRightInd w:val="0"/>
                    <w:snapToGrid w:val="0"/>
                    <w:jc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1</w:t>
                  </w:r>
                </w:p>
              </w:tc>
              <w:tc>
                <w:tcPr>
                  <w:tcW w:w="576" w:type="pct"/>
                  <w:vMerge w:val="continue"/>
                  <w:vAlign w:val="center"/>
                </w:tcPr>
                <w:p w14:paraId="20B83F08">
                  <w:pPr>
                    <w:widowControl/>
                    <w:adjustRightInd w:val="0"/>
                    <w:snapToGrid w:val="0"/>
                    <w:jc w:val="center"/>
                    <w:textAlignment w:val="center"/>
                    <w:rPr>
                      <w:rFonts w:hint="default" w:ascii="Times New Roman" w:hAnsi="Times New Roman" w:cs="Times New Roman"/>
                      <w:bCs/>
                      <w:color w:val="auto"/>
                      <w:sz w:val="18"/>
                      <w:szCs w:val="18"/>
                      <w:highlight w:val="none"/>
                    </w:rPr>
                  </w:pPr>
                </w:p>
              </w:tc>
              <w:tc>
                <w:tcPr>
                  <w:tcW w:w="498" w:type="pct"/>
                  <w:shd w:val="clear" w:color="auto" w:fill="auto"/>
                  <w:vAlign w:val="center"/>
                </w:tcPr>
                <w:p w14:paraId="2222897B">
                  <w:pPr>
                    <w:pStyle w:val="32"/>
                    <w:snapToGrid w:val="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透视</w:t>
                  </w:r>
                </w:p>
              </w:tc>
              <w:tc>
                <w:tcPr>
                  <w:tcW w:w="1060" w:type="dxa"/>
                  <w:shd w:val="clear" w:color="auto" w:fill="auto"/>
                  <w:vAlign w:val="center"/>
                </w:tcPr>
                <w:p w14:paraId="5219580F">
                  <w:pPr>
                    <w:keepNext w:val="0"/>
                    <w:keepLines w:val="0"/>
                    <w:widowControl/>
                    <w:suppressLineNumbers w:val="0"/>
                    <w:jc w:val="center"/>
                    <w:textAlignment w:val="center"/>
                    <w:rPr>
                      <w:rFonts w:hint="default" w:ascii="Times New Roman" w:hAnsi="Times New Roman" w:cs="Times New Roman"/>
                      <w:bCs/>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4.79E-03</w:t>
                  </w:r>
                </w:p>
              </w:tc>
              <w:tc>
                <w:tcPr>
                  <w:tcW w:w="1110" w:type="dxa"/>
                  <w:vMerge w:val="restart"/>
                  <w:vAlign w:val="center"/>
                </w:tcPr>
                <w:p w14:paraId="631A4D4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8.24E-04</w:t>
                  </w:r>
                </w:p>
              </w:tc>
              <w:tc>
                <w:tcPr>
                  <w:tcW w:w="606" w:type="pct"/>
                  <w:vMerge w:val="restart"/>
                  <w:vAlign w:val="center"/>
                </w:tcPr>
                <w:p w14:paraId="18A1BC8B">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rPr>
                  </w:pPr>
                  <w:r>
                    <w:rPr>
                      <w:rFonts w:hint="eastAsia" w:ascii="Times New Roman" w:hAnsi="Times New Roman" w:cs="Times New Roman"/>
                      <w:color w:val="auto"/>
                      <w:sz w:val="18"/>
                      <w:szCs w:val="18"/>
                      <w:highlight w:val="none"/>
                      <w:lang w:val="en-US" w:eastAsia="zh-CN"/>
                    </w:rPr>
                    <w:t>0.1</w:t>
                  </w:r>
                </w:p>
              </w:tc>
            </w:tr>
            <w:tr w14:paraId="58A9E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7" w:type="pct"/>
                  <w:vMerge w:val="continue"/>
                  <w:vAlign w:val="center"/>
                </w:tcPr>
                <w:p w14:paraId="7FC12984">
                  <w:pPr>
                    <w:adjustRightInd w:val="0"/>
                    <w:snapToGrid w:val="0"/>
                    <w:jc w:val="center"/>
                    <w:rPr>
                      <w:rFonts w:hint="default" w:ascii="Times New Roman" w:hAnsi="Times New Roman" w:cs="Times New Roman"/>
                      <w:color w:val="auto"/>
                      <w:sz w:val="18"/>
                      <w:szCs w:val="18"/>
                      <w:highlight w:val="none"/>
                    </w:rPr>
                  </w:pPr>
                </w:p>
              </w:tc>
              <w:tc>
                <w:tcPr>
                  <w:tcW w:w="981" w:type="pct"/>
                  <w:vMerge w:val="continue"/>
                  <w:vAlign w:val="center"/>
                </w:tcPr>
                <w:p w14:paraId="5E1D2EB1">
                  <w:pPr>
                    <w:pStyle w:val="32"/>
                    <w:snapToGrid w:val="0"/>
                    <w:jc w:val="center"/>
                    <w:rPr>
                      <w:rFonts w:hint="default" w:ascii="Times New Roman" w:hAnsi="Times New Roman" w:cs="Times New Roman"/>
                      <w:color w:val="auto"/>
                      <w:sz w:val="18"/>
                      <w:szCs w:val="18"/>
                      <w:highlight w:val="none"/>
                    </w:rPr>
                  </w:pPr>
                </w:p>
              </w:tc>
              <w:tc>
                <w:tcPr>
                  <w:tcW w:w="372" w:type="pct"/>
                  <w:vMerge w:val="continue"/>
                  <w:vAlign w:val="center"/>
                </w:tcPr>
                <w:p w14:paraId="6EFE2D94">
                  <w:pPr>
                    <w:adjustRightInd w:val="0"/>
                    <w:snapToGrid w:val="0"/>
                    <w:jc w:val="center"/>
                    <w:rPr>
                      <w:rFonts w:hint="default" w:ascii="Times New Roman" w:hAnsi="Times New Roman" w:cs="Times New Roman"/>
                      <w:color w:val="auto"/>
                      <w:sz w:val="18"/>
                      <w:szCs w:val="18"/>
                      <w:highlight w:val="none"/>
                    </w:rPr>
                  </w:pPr>
                </w:p>
              </w:tc>
              <w:tc>
                <w:tcPr>
                  <w:tcW w:w="408" w:type="pct"/>
                  <w:vMerge w:val="continue"/>
                  <w:vAlign w:val="center"/>
                </w:tcPr>
                <w:p w14:paraId="497A04A5">
                  <w:pPr>
                    <w:adjustRightInd w:val="0"/>
                    <w:snapToGrid w:val="0"/>
                    <w:jc w:val="center"/>
                    <w:rPr>
                      <w:rFonts w:hint="default" w:ascii="Times New Roman" w:hAnsi="Times New Roman" w:cs="Times New Roman"/>
                      <w:color w:val="auto"/>
                      <w:sz w:val="18"/>
                      <w:szCs w:val="18"/>
                      <w:highlight w:val="none"/>
                    </w:rPr>
                  </w:pPr>
                </w:p>
              </w:tc>
              <w:tc>
                <w:tcPr>
                  <w:tcW w:w="576" w:type="pct"/>
                  <w:vMerge w:val="continue"/>
                  <w:vAlign w:val="center"/>
                </w:tcPr>
                <w:p w14:paraId="3AFB8228">
                  <w:pPr>
                    <w:widowControl/>
                    <w:adjustRightInd w:val="0"/>
                    <w:snapToGrid w:val="0"/>
                    <w:jc w:val="center"/>
                    <w:textAlignment w:val="center"/>
                    <w:rPr>
                      <w:rFonts w:hint="default" w:ascii="Times New Roman" w:hAnsi="Times New Roman" w:cs="Times New Roman"/>
                      <w:bCs/>
                      <w:color w:val="auto"/>
                      <w:sz w:val="18"/>
                      <w:szCs w:val="18"/>
                      <w:highlight w:val="none"/>
                    </w:rPr>
                  </w:pPr>
                </w:p>
              </w:tc>
              <w:tc>
                <w:tcPr>
                  <w:tcW w:w="498" w:type="pct"/>
                  <w:shd w:val="clear" w:color="auto" w:fill="auto"/>
                  <w:vAlign w:val="center"/>
                </w:tcPr>
                <w:p w14:paraId="47A58AB2">
                  <w:pPr>
                    <w:pStyle w:val="32"/>
                    <w:snapToGrid w:val="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拍片</w:t>
                  </w:r>
                </w:p>
              </w:tc>
              <w:tc>
                <w:tcPr>
                  <w:tcW w:w="1060" w:type="dxa"/>
                  <w:shd w:val="clear" w:color="auto" w:fill="auto"/>
                  <w:vAlign w:val="center"/>
                </w:tcPr>
                <w:p w14:paraId="6ECA4C84">
                  <w:pPr>
                    <w:keepNext w:val="0"/>
                    <w:keepLines w:val="0"/>
                    <w:widowControl/>
                    <w:suppressLineNumbers w:val="0"/>
                    <w:jc w:val="center"/>
                    <w:textAlignment w:val="center"/>
                    <w:rPr>
                      <w:rFonts w:hint="default" w:ascii="Times New Roman" w:hAnsi="Times New Roman" w:cs="Times New Roman"/>
                      <w:bCs/>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8.90E-02</w:t>
                  </w:r>
                </w:p>
              </w:tc>
              <w:tc>
                <w:tcPr>
                  <w:tcW w:w="669" w:type="pct"/>
                  <w:vMerge w:val="continue"/>
                  <w:vAlign w:val="center"/>
                </w:tcPr>
                <w:p w14:paraId="160A65C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606" w:type="pct"/>
                  <w:vMerge w:val="continue"/>
                  <w:vAlign w:val="center"/>
                </w:tcPr>
                <w:p w14:paraId="647AB43C">
                  <w:pPr>
                    <w:widowControl/>
                    <w:adjustRightInd w:val="0"/>
                    <w:snapToGrid w:val="0"/>
                    <w:jc w:val="center"/>
                    <w:textAlignment w:val="center"/>
                    <w:rPr>
                      <w:rFonts w:hint="default" w:ascii="Times New Roman" w:hAnsi="Times New Roman" w:cs="Times New Roman"/>
                      <w:color w:val="auto"/>
                      <w:kern w:val="0"/>
                      <w:sz w:val="18"/>
                      <w:szCs w:val="18"/>
                      <w:highlight w:val="none"/>
                    </w:rPr>
                  </w:pPr>
                </w:p>
              </w:tc>
            </w:tr>
            <w:tr w14:paraId="42F77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7" w:type="pct"/>
                  <w:vMerge w:val="restart"/>
                  <w:vAlign w:val="center"/>
                </w:tcPr>
                <w:p w14:paraId="27489E4D">
                  <w:pPr>
                    <w:adjustRightInd w:val="0"/>
                    <w:snapToGrid w:val="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3</w:t>
                  </w:r>
                </w:p>
              </w:tc>
              <w:tc>
                <w:tcPr>
                  <w:tcW w:w="981" w:type="pct"/>
                  <w:vMerge w:val="restart"/>
                  <w:vAlign w:val="center"/>
                </w:tcPr>
                <w:p w14:paraId="408D59C1">
                  <w:pPr>
                    <w:autoSpaceDE w:val="0"/>
                    <w:autoSpaceDN w:val="0"/>
                    <w:adjustRightInd w:val="0"/>
                    <w:snapToGrid w:val="0"/>
                    <w:jc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血液透析大厅患者走廊</w:t>
                  </w:r>
                </w:p>
              </w:tc>
              <w:tc>
                <w:tcPr>
                  <w:tcW w:w="372" w:type="pct"/>
                  <w:vMerge w:val="restart"/>
                  <w:vAlign w:val="center"/>
                </w:tcPr>
                <w:p w14:paraId="0857D552">
                  <w:pPr>
                    <w:adjustRightInd w:val="0"/>
                    <w:snapToGrid w:val="0"/>
                    <w:jc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西侧</w:t>
                  </w:r>
                </w:p>
              </w:tc>
              <w:tc>
                <w:tcPr>
                  <w:tcW w:w="408" w:type="pct"/>
                  <w:vMerge w:val="restart"/>
                  <w:vAlign w:val="center"/>
                </w:tcPr>
                <w:p w14:paraId="7A18AF61">
                  <w:pPr>
                    <w:adjustRightInd w:val="0"/>
                    <w:snapToGrid w:val="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1/</w:t>
                  </w:r>
                  <w:r>
                    <w:rPr>
                      <w:rFonts w:hint="eastAsia" w:ascii="Times New Roman" w:hAnsi="Times New Roman" w:cs="Times New Roman"/>
                      <w:color w:val="auto"/>
                      <w:sz w:val="18"/>
                      <w:szCs w:val="18"/>
                      <w:highlight w:val="none"/>
                      <w:lang w:val="en-US" w:eastAsia="zh-CN"/>
                    </w:rPr>
                    <w:t>4</w:t>
                  </w:r>
                </w:p>
              </w:tc>
              <w:tc>
                <w:tcPr>
                  <w:tcW w:w="576" w:type="pct"/>
                  <w:vMerge w:val="continue"/>
                  <w:vAlign w:val="center"/>
                </w:tcPr>
                <w:p w14:paraId="19E4E449">
                  <w:pPr>
                    <w:widowControl/>
                    <w:adjustRightInd w:val="0"/>
                    <w:snapToGrid w:val="0"/>
                    <w:jc w:val="center"/>
                    <w:textAlignment w:val="center"/>
                    <w:rPr>
                      <w:rFonts w:hint="default" w:ascii="Times New Roman" w:hAnsi="Times New Roman" w:cs="Times New Roman"/>
                      <w:bCs/>
                      <w:color w:val="auto"/>
                      <w:sz w:val="18"/>
                      <w:szCs w:val="18"/>
                      <w:highlight w:val="none"/>
                    </w:rPr>
                  </w:pPr>
                </w:p>
              </w:tc>
              <w:tc>
                <w:tcPr>
                  <w:tcW w:w="498" w:type="pct"/>
                  <w:vAlign w:val="center"/>
                </w:tcPr>
                <w:p w14:paraId="3334F5AB">
                  <w:pPr>
                    <w:pStyle w:val="32"/>
                    <w:snapToGrid w:val="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透视</w:t>
                  </w:r>
                </w:p>
              </w:tc>
              <w:tc>
                <w:tcPr>
                  <w:tcW w:w="1060" w:type="dxa"/>
                  <w:vAlign w:val="center"/>
                </w:tcPr>
                <w:p w14:paraId="33CA5A90">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4.79E-03</w:t>
                  </w:r>
                </w:p>
              </w:tc>
              <w:tc>
                <w:tcPr>
                  <w:tcW w:w="1110" w:type="dxa"/>
                  <w:vMerge w:val="restart"/>
                  <w:vAlign w:val="center"/>
                </w:tcPr>
                <w:p w14:paraId="726C29E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2.06E-04</w:t>
                  </w:r>
                </w:p>
              </w:tc>
              <w:tc>
                <w:tcPr>
                  <w:tcW w:w="606" w:type="pct"/>
                  <w:vMerge w:val="restart"/>
                  <w:vAlign w:val="center"/>
                </w:tcPr>
                <w:p w14:paraId="7F67D3ED">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rPr>
                  </w:pPr>
                  <w:r>
                    <w:rPr>
                      <w:rFonts w:hint="eastAsia" w:ascii="Times New Roman" w:hAnsi="Times New Roman" w:cs="Times New Roman"/>
                      <w:color w:val="auto"/>
                      <w:sz w:val="18"/>
                      <w:szCs w:val="18"/>
                      <w:highlight w:val="none"/>
                      <w:lang w:val="en-US" w:eastAsia="zh-CN"/>
                    </w:rPr>
                    <w:t>0.1</w:t>
                  </w:r>
                </w:p>
              </w:tc>
            </w:tr>
            <w:tr w14:paraId="614CD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7" w:type="pct"/>
                  <w:vMerge w:val="continue"/>
                  <w:vAlign w:val="center"/>
                </w:tcPr>
                <w:p w14:paraId="4BC62088">
                  <w:pPr>
                    <w:adjustRightInd w:val="0"/>
                    <w:snapToGrid w:val="0"/>
                    <w:jc w:val="center"/>
                    <w:rPr>
                      <w:rFonts w:hint="default" w:ascii="Times New Roman" w:hAnsi="Times New Roman" w:cs="Times New Roman"/>
                      <w:color w:val="auto"/>
                      <w:sz w:val="18"/>
                      <w:szCs w:val="18"/>
                      <w:highlight w:val="none"/>
                    </w:rPr>
                  </w:pPr>
                </w:p>
              </w:tc>
              <w:tc>
                <w:tcPr>
                  <w:tcW w:w="981" w:type="pct"/>
                  <w:vMerge w:val="continue"/>
                  <w:vAlign w:val="center"/>
                </w:tcPr>
                <w:p w14:paraId="462FF1B5">
                  <w:pPr>
                    <w:pStyle w:val="32"/>
                    <w:snapToGrid w:val="0"/>
                    <w:jc w:val="center"/>
                    <w:rPr>
                      <w:rFonts w:hint="default" w:ascii="Times New Roman" w:hAnsi="Times New Roman" w:cs="Times New Roman"/>
                      <w:color w:val="auto"/>
                      <w:sz w:val="18"/>
                      <w:szCs w:val="18"/>
                      <w:highlight w:val="none"/>
                    </w:rPr>
                  </w:pPr>
                </w:p>
              </w:tc>
              <w:tc>
                <w:tcPr>
                  <w:tcW w:w="372" w:type="pct"/>
                  <w:vMerge w:val="continue"/>
                  <w:vAlign w:val="center"/>
                </w:tcPr>
                <w:p w14:paraId="0026F600">
                  <w:pPr>
                    <w:adjustRightInd w:val="0"/>
                    <w:snapToGrid w:val="0"/>
                    <w:jc w:val="center"/>
                    <w:rPr>
                      <w:rFonts w:hint="default" w:ascii="Times New Roman" w:hAnsi="Times New Roman" w:cs="Times New Roman"/>
                      <w:color w:val="auto"/>
                      <w:sz w:val="18"/>
                      <w:szCs w:val="18"/>
                      <w:highlight w:val="none"/>
                    </w:rPr>
                  </w:pPr>
                </w:p>
              </w:tc>
              <w:tc>
                <w:tcPr>
                  <w:tcW w:w="408" w:type="pct"/>
                  <w:vMerge w:val="continue"/>
                  <w:vAlign w:val="center"/>
                </w:tcPr>
                <w:p w14:paraId="0E96807E">
                  <w:pPr>
                    <w:adjustRightInd w:val="0"/>
                    <w:snapToGrid w:val="0"/>
                    <w:jc w:val="center"/>
                    <w:rPr>
                      <w:rFonts w:hint="default" w:ascii="Times New Roman" w:hAnsi="Times New Roman" w:cs="Times New Roman"/>
                      <w:color w:val="auto"/>
                      <w:sz w:val="18"/>
                      <w:szCs w:val="18"/>
                      <w:highlight w:val="none"/>
                    </w:rPr>
                  </w:pPr>
                </w:p>
              </w:tc>
              <w:tc>
                <w:tcPr>
                  <w:tcW w:w="576" w:type="pct"/>
                  <w:vMerge w:val="continue"/>
                  <w:vAlign w:val="center"/>
                </w:tcPr>
                <w:p w14:paraId="6DBEA72B">
                  <w:pPr>
                    <w:widowControl/>
                    <w:adjustRightInd w:val="0"/>
                    <w:snapToGrid w:val="0"/>
                    <w:jc w:val="center"/>
                    <w:textAlignment w:val="center"/>
                    <w:rPr>
                      <w:rFonts w:hint="default" w:ascii="Times New Roman" w:hAnsi="Times New Roman" w:cs="Times New Roman"/>
                      <w:bCs/>
                      <w:color w:val="auto"/>
                      <w:sz w:val="18"/>
                      <w:szCs w:val="18"/>
                      <w:highlight w:val="none"/>
                    </w:rPr>
                  </w:pPr>
                </w:p>
              </w:tc>
              <w:tc>
                <w:tcPr>
                  <w:tcW w:w="498" w:type="pct"/>
                  <w:vAlign w:val="center"/>
                </w:tcPr>
                <w:p w14:paraId="1CA11B4A">
                  <w:pPr>
                    <w:pStyle w:val="32"/>
                    <w:snapToGrid w:val="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拍片</w:t>
                  </w:r>
                </w:p>
              </w:tc>
              <w:tc>
                <w:tcPr>
                  <w:tcW w:w="1060" w:type="dxa"/>
                  <w:vAlign w:val="center"/>
                </w:tcPr>
                <w:p w14:paraId="52F5B766">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8.90E-02</w:t>
                  </w:r>
                </w:p>
              </w:tc>
              <w:tc>
                <w:tcPr>
                  <w:tcW w:w="669" w:type="pct"/>
                  <w:vMerge w:val="continue"/>
                  <w:vAlign w:val="center"/>
                </w:tcPr>
                <w:p w14:paraId="0594A5B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606" w:type="pct"/>
                  <w:vMerge w:val="continue"/>
                  <w:vAlign w:val="center"/>
                </w:tcPr>
                <w:p w14:paraId="0FE8F2CC">
                  <w:pPr>
                    <w:widowControl/>
                    <w:adjustRightInd w:val="0"/>
                    <w:snapToGrid w:val="0"/>
                    <w:jc w:val="center"/>
                    <w:textAlignment w:val="center"/>
                    <w:rPr>
                      <w:rFonts w:hint="default" w:ascii="Times New Roman" w:hAnsi="Times New Roman" w:cs="Times New Roman"/>
                      <w:color w:val="auto"/>
                      <w:kern w:val="0"/>
                      <w:sz w:val="18"/>
                      <w:szCs w:val="18"/>
                      <w:highlight w:val="none"/>
                    </w:rPr>
                  </w:pPr>
                </w:p>
              </w:tc>
            </w:tr>
            <w:tr w14:paraId="6D35D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7" w:type="pct"/>
                  <w:vMerge w:val="restart"/>
                  <w:vAlign w:val="center"/>
                </w:tcPr>
                <w:p w14:paraId="68D0819F">
                  <w:pPr>
                    <w:adjustRightInd w:val="0"/>
                    <w:snapToGrid w:val="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4</w:t>
                  </w:r>
                </w:p>
              </w:tc>
              <w:tc>
                <w:tcPr>
                  <w:tcW w:w="981" w:type="pct"/>
                  <w:vMerge w:val="restart"/>
                  <w:vAlign w:val="center"/>
                </w:tcPr>
                <w:p w14:paraId="15968966">
                  <w:pPr>
                    <w:autoSpaceDE w:val="0"/>
                    <w:autoSpaceDN w:val="0"/>
                    <w:adjustRightInd w:val="0"/>
                    <w:snapToGrid w:val="0"/>
                    <w:jc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体检中心</w:t>
                  </w:r>
                </w:p>
              </w:tc>
              <w:tc>
                <w:tcPr>
                  <w:tcW w:w="372" w:type="pct"/>
                  <w:vMerge w:val="restart"/>
                  <w:vAlign w:val="center"/>
                </w:tcPr>
                <w:p w14:paraId="66F59A5C">
                  <w:pPr>
                    <w:adjustRightInd w:val="0"/>
                    <w:snapToGrid w:val="0"/>
                    <w:jc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南侧</w:t>
                  </w:r>
                </w:p>
              </w:tc>
              <w:tc>
                <w:tcPr>
                  <w:tcW w:w="408" w:type="pct"/>
                  <w:vMerge w:val="restart"/>
                  <w:vAlign w:val="center"/>
                </w:tcPr>
                <w:p w14:paraId="5738958C">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w:t>
                  </w:r>
                  <w:r>
                    <w:rPr>
                      <w:rFonts w:hint="eastAsia" w:ascii="Times New Roman" w:hAnsi="Times New Roman" w:cs="Times New Roman"/>
                      <w:color w:val="auto"/>
                      <w:sz w:val="18"/>
                      <w:szCs w:val="18"/>
                      <w:highlight w:val="none"/>
                      <w:lang w:val="en-US" w:eastAsia="zh-CN"/>
                    </w:rPr>
                    <w:t>4</w:t>
                  </w:r>
                </w:p>
              </w:tc>
              <w:tc>
                <w:tcPr>
                  <w:tcW w:w="576" w:type="pct"/>
                  <w:vMerge w:val="continue"/>
                  <w:vAlign w:val="center"/>
                </w:tcPr>
                <w:p w14:paraId="379A9D46">
                  <w:pPr>
                    <w:widowControl/>
                    <w:adjustRightInd w:val="0"/>
                    <w:snapToGrid w:val="0"/>
                    <w:jc w:val="center"/>
                    <w:textAlignment w:val="center"/>
                    <w:rPr>
                      <w:rFonts w:hint="default" w:ascii="Times New Roman" w:hAnsi="Times New Roman" w:cs="Times New Roman"/>
                      <w:bCs/>
                      <w:color w:val="auto"/>
                      <w:sz w:val="18"/>
                      <w:szCs w:val="18"/>
                      <w:highlight w:val="none"/>
                    </w:rPr>
                  </w:pPr>
                </w:p>
              </w:tc>
              <w:tc>
                <w:tcPr>
                  <w:tcW w:w="498" w:type="pct"/>
                  <w:shd w:val="clear" w:color="auto" w:fill="auto"/>
                  <w:vAlign w:val="center"/>
                </w:tcPr>
                <w:p w14:paraId="685A58C9">
                  <w:pPr>
                    <w:pStyle w:val="32"/>
                    <w:snapToGrid w:val="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透视</w:t>
                  </w:r>
                </w:p>
              </w:tc>
              <w:tc>
                <w:tcPr>
                  <w:tcW w:w="1060" w:type="dxa"/>
                  <w:vAlign w:val="center"/>
                </w:tcPr>
                <w:p w14:paraId="28EC9EA9">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5.64E-03</w:t>
                  </w:r>
                </w:p>
              </w:tc>
              <w:tc>
                <w:tcPr>
                  <w:tcW w:w="1110" w:type="dxa"/>
                  <w:vMerge w:val="restart"/>
                  <w:vAlign w:val="center"/>
                </w:tcPr>
                <w:p w14:paraId="6339B28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2.43E-04</w:t>
                  </w:r>
                </w:p>
              </w:tc>
              <w:tc>
                <w:tcPr>
                  <w:tcW w:w="606" w:type="pct"/>
                  <w:vMerge w:val="restart"/>
                  <w:vAlign w:val="center"/>
                </w:tcPr>
                <w:p w14:paraId="0205CA67">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rPr>
                  </w:pPr>
                  <w:r>
                    <w:rPr>
                      <w:rFonts w:hint="eastAsia" w:ascii="Times New Roman" w:hAnsi="Times New Roman" w:cs="Times New Roman"/>
                      <w:color w:val="auto"/>
                      <w:sz w:val="18"/>
                      <w:szCs w:val="18"/>
                      <w:highlight w:val="none"/>
                      <w:lang w:val="en-US" w:eastAsia="zh-CN"/>
                    </w:rPr>
                    <w:t>0.1</w:t>
                  </w:r>
                </w:p>
              </w:tc>
            </w:tr>
            <w:tr w14:paraId="14B98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7" w:type="pct"/>
                  <w:vMerge w:val="continue"/>
                  <w:vAlign w:val="center"/>
                </w:tcPr>
                <w:p w14:paraId="3C204C27">
                  <w:pPr>
                    <w:adjustRightInd w:val="0"/>
                    <w:snapToGrid w:val="0"/>
                    <w:jc w:val="center"/>
                    <w:rPr>
                      <w:rFonts w:hint="default" w:ascii="Times New Roman" w:hAnsi="Times New Roman" w:cs="Times New Roman"/>
                      <w:color w:val="auto"/>
                      <w:sz w:val="18"/>
                      <w:szCs w:val="18"/>
                      <w:highlight w:val="none"/>
                    </w:rPr>
                  </w:pPr>
                </w:p>
              </w:tc>
              <w:tc>
                <w:tcPr>
                  <w:tcW w:w="981" w:type="pct"/>
                  <w:vMerge w:val="continue"/>
                  <w:vAlign w:val="center"/>
                </w:tcPr>
                <w:p w14:paraId="15444D05">
                  <w:pPr>
                    <w:pStyle w:val="32"/>
                    <w:snapToGrid w:val="0"/>
                    <w:jc w:val="center"/>
                    <w:rPr>
                      <w:rFonts w:hint="default" w:ascii="Times New Roman" w:hAnsi="Times New Roman" w:cs="Times New Roman"/>
                      <w:color w:val="auto"/>
                      <w:sz w:val="18"/>
                      <w:szCs w:val="18"/>
                      <w:highlight w:val="none"/>
                    </w:rPr>
                  </w:pPr>
                </w:p>
              </w:tc>
              <w:tc>
                <w:tcPr>
                  <w:tcW w:w="372" w:type="pct"/>
                  <w:vMerge w:val="continue"/>
                  <w:vAlign w:val="center"/>
                </w:tcPr>
                <w:p w14:paraId="55123854">
                  <w:pPr>
                    <w:adjustRightInd w:val="0"/>
                    <w:snapToGrid w:val="0"/>
                    <w:jc w:val="center"/>
                    <w:rPr>
                      <w:rFonts w:hint="default" w:ascii="Times New Roman" w:hAnsi="Times New Roman" w:cs="Times New Roman"/>
                      <w:color w:val="auto"/>
                      <w:sz w:val="18"/>
                      <w:szCs w:val="18"/>
                      <w:highlight w:val="none"/>
                    </w:rPr>
                  </w:pPr>
                </w:p>
              </w:tc>
              <w:tc>
                <w:tcPr>
                  <w:tcW w:w="408" w:type="pct"/>
                  <w:vMerge w:val="continue"/>
                  <w:vAlign w:val="center"/>
                </w:tcPr>
                <w:p w14:paraId="148DE341">
                  <w:pPr>
                    <w:adjustRightInd w:val="0"/>
                    <w:snapToGrid w:val="0"/>
                    <w:jc w:val="center"/>
                    <w:rPr>
                      <w:rFonts w:hint="default" w:ascii="Times New Roman" w:hAnsi="Times New Roman" w:cs="Times New Roman"/>
                      <w:color w:val="auto"/>
                      <w:sz w:val="18"/>
                      <w:szCs w:val="18"/>
                      <w:highlight w:val="none"/>
                    </w:rPr>
                  </w:pPr>
                </w:p>
              </w:tc>
              <w:tc>
                <w:tcPr>
                  <w:tcW w:w="576" w:type="pct"/>
                  <w:vMerge w:val="continue"/>
                  <w:vAlign w:val="center"/>
                </w:tcPr>
                <w:p w14:paraId="32F1FE39">
                  <w:pPr>
                    <w:widowControl/>
                    <w:adjustRightInd w:val="0"/>
                    <w:snapToGrid w:val="0"/>
                    <w:jc w:val="center"/>
                    <w:textAlignment w:val="center"/>
                    <w:rPr>
                      <w:rFonts w:hint="default" w:ascii="Times New Roman" w:hAnsi="Times New Roman" w:cs="Times New Roman"/>
                      <w:bCs/>
                      <w:color w:val="auto"/>
                      <w:sz w:val="18"/>
                      <w:szCs w:val="18"/>
                      <w:highlight w:val="none"/>
                    </w:rPr>
                  </w:pPr>
                </w:p>
              </w:tc>
              <w:tc>
                <w:tcPr>
                  <w:tcW w:w="498" w:type="pct"/>
                  <w:shd w:val="clear" w:color="auto" w:fill="auto"/>
                  <w:vAlign w:val="center"/>
                </w:tcPr>
                <w:p w14:paraId="62B26F5E">
                  <w:pPr>
                    <w:pStyle w:val="32"/>
                    <w:snapToGrid w:val="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拍片</w:t>
                  </w:r>
                </w:p>
              </w:tc>
              <w:tc>
                <w:tcPr>
                  <w:tcW w:w="1060" w:type="dxa"/>
                  <w:vAlign w:val="center"/>
                </w:tcPr>
                <w:p w14:paraId="25C0812F">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1.05E-01</w:t>
                  </w:r>
                </w:p>
              </w:tc>
              <w:tc>
                <w:tcPr>
                  <w:tcW w:w="669" w:type="pct"/>
                  <w:vMerge w:val="continue"/>
                  <w:vAlign w:val="center"/>
                </w:tcPr>
                <w:p w14:paraId="6541480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606" w:type="pct"/>
                  <w:vMerge w:val="continue"/>
                  <w:vAlign w:val="center"/>
                </w:tcPr>
                <w:p w14:paraId="2E81BD10">
                  <w:pPr>
                    <w:widowControl/>
                    <w:adjustRightInd w:val="0"/>
                    <w:snapToGrid w:val="0"/>
                    <w:jc w:val="center"/>
                    <w:textAlignment w:val="center"/>
                    <w:rPr>
                      <w:rFonts w:hint="default" w:ascii="Times New Roman" w:hAnsi="Times New Roman" w:cs="Times New Roman"/>
                      <w:color w:val="auto"/>
                      <w:kern w:val="0"/>
                      <w:sz w:val="18"/>
                      <w:szCs w:val="18"/>
                      <w:highlight w:val="none"/>
                    </w:rPr>
                  </w:pPr>
                </w:p>
              </w:tc>
            </w:tr>
            <w:tr w14:paraId="2DE62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7" w:type="pct"/>
                  <w:vMerge w:val="restart"/>
                  <w:vAlign w:val="center"/>
                </w:tcPr>
                <w:p w14:paraId="4B8642E7">
                  <w:pPr>
                    <w:adjustRightInd w:val="0"/>
                    <w:snapToGrid w:val="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5</w:t>
                  </w:r>
                </w:p>
              </w:tc>
              <w:tc>
                <w:tcPr>
                  <w:tcW w:w="981" w:type="pct"/>
                  <w:vMerge w:val="restart"/>
                  <w:vAlign w:val="center"/>
                </w:tcPr>
                <w:p w14:paraId="166D69E3">
                  <w:pPr>
                    <w:autoSpaceDE w:val="0"/>
                    <w:autoSpaceDN w:val="0"/>
                    <w:adjustRightInd w:val="0"/>
                    <w:snapToGrid w:val="0"/>
                    <w:jc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电梯厅</w:t>
                  </w:r>
                </w:p>
              </w:tc>
              <w:tc>
                <w:tcPr>
                  <w:tcW w:w="372" w:type="pct"/>
                  <w:vMerge w:val="restart"/>
                  <w:vAlign w:val="center"/>
                </w:tcPr>
                <w:p w14:paraId="062C5149">
                  <w:pPr>
                    <w:adjustRightInd w:val="0"/>
                    <w:snapToGrid w:val="0"/>
                    <w:jc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南侧</w:t>
                  </w:r>
                </w:p>
              </w:tc>
              <w:tc>
                <w:tcPr>
                  <w:tcW w:w="408" w:type="pct"/>
                  <w:vMerge w:val="restart"/>
                  <w:vAlign w:val="center"/>
                </w:tcPr>
                <w:p w14:paraId="65C1EB1F">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w:t>
                  </w:r>
                  <w:r>
                    <w:rPr>
                      <w:rFonts w:hint="eastAsia" w:ascii="Times New Roman" w:hAnsi="Times New Roman" w:cs="Times New Roman"/>
                      <w:color w:val="auto"/>
                      <w:sz w:val="18"/>
                      <w:szCs w:val="18"/>
                      <w:highlight w:val="none"/>
                      <w:lang w:val="en-US" w:eastAsia="zh-CN"/>
                    </w:rPr>
                    <w:t>4</w:t>
                  </w:r>
                </w:p>
              </w:tc>
              <w:tc>
                <w:tcPr>
                  <w:tcW w:w="576" w:type="pct"/>
                  <w:vMerge w:val="continue"/>
                  <w:vAlign w:val="center"/>
                </w:tcPr>
                <w:p w14:paraId="2F1BFB48">
                  <w:pPr>
                    <w:widowControl/>
                    <w:adjustRightInd w:val="0"/>
                    <w:snapToGrid w:val="0"/>
                    <w:jc w:val="center"/>
                    <w:textAlignment w:val="center"/>
                    <w:rPr>
                      <w:rFonts w:hint="default" w:ascii="Times New Roman" w:hAnsi="Times New Roman" w:cs="Times New Roman"/>
                      <w:bCs/>
                      <w:color w:val="auto"/>
                      <w:sz w:val="18"/>
                      <w:szCs w:val="18"/>
                      <w:highlight w:val="none"/>
                    </w:rPr>
                  </w:pPr>
                </w:p>
              </w:tc>
              <w:tc>
                <w:tcPr>
                  <w:tcW w:w="498" w:type="pct"/>
                  <w:shd w:val="clear" w:color="auto" w:fill="auto"/>
                  <w:vAlign w:val="center"/>
                </w:tcPr>
                <w:p w14:paraId="41C6D5EF">
                  <w:pPr>
                    <w:pStyle w:val="32"/>
                    <w:snapToGrid w:val="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透视</w:t>
                  </w:r>
                </w:p>
              </w:tc>
              <w:tc>
                <w:tcPr>
                  <w:tcW w:w="1060" w:type="dxa"/>
                  <w:vAlign w:val="center"/>
                </w:tcPr>
                <w:p w14:paraId="431C4C96">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5.64E-03</w:t>
                  </w:r>
                </w:p>
              </w:tc>
              <w:tc>
                <w:tcPr>
                  <w:tcW w:w="1110" w:type="dxa"/>
                  <w:vMerge w:val="restart"/>
                  <w:vAlign w:val="center"/>
                </w:tcPr>
                <w:p w14:paraId="41CED70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2.43E-04</w:t>
                  </w:r>
                </w:p>
              </w:tc>
              <w:tc>
                <w:tcPr>
                  <w:tcW w:w="606" w:type="pct"/>
                  <w:vMerge w:val="restart"/>
                  <w:vAlign w:val="center"/>
                </w:tcPr>
                <w:p w14:paraId="23884EC6">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rPr>
                  </w:pPr>
                  <w:r>
                    <w:rPr>
                      <w:rFonts w:hint="eastAsia" w:ascii="Times New Roman" w:hAnsi="Times New Roman" w:cs="Times New Roman"/>
                      <w:color w:val="auto"/>
                      <w:sz w:val="18"/>
                      <w:szCs w:val="18"/>
                      <w:highlight w:val="none"/>
                      <w:lang w:val="en-US" w:eastAsia="zh-CN"/>
                    </w:rPr>
                    <w:t>0.1</w:t>
                  </w:r>
                </w:p>
              </w:tc>
            </w:tr>
            <w:tr w14:paraId="1EE97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7" w:type="pct"/>
                  <w:vMerge w:val="continue"/>
                  <w:vAlign w:val="center"/>
                </w:tcPr>
                <w:p w14:paraId="0BAC245E">
                  <w:pPr>
                    <w:adjustRightInd w:val="0"/>
                    <w:snapToGrid w:val="0"/>
                    <w:jc w:val="center"/>
                    <w:rPr>
                      <w:rFonts w:hint="default" w:ascii="Times New Roman" w:hAnsi="Times New Roman" w:eastAsia="宋体" w:cs="Times New Roman"/>
                      <w:color w:val="auto"/>
                      <w:sz w:val="18"/>
                      <w:szCs w:val="18"/>
                      <w:highlight w:val="none"/>
                      <w:lang w:val="en-US" w:eastAsia="zh-CN"/>
                    </w:rPr>
                  </w:pPr>
                </w:p>
              </w:tc>
              <w:tc>
                <w:tcPr>
                  <w:tcW w:w="981" w:type="pct"/>
                  <w:vMerge w:val="continue"/>
                  <w:vAlign w:val="center"/>
                </w:tcPr>
                <w:p w14:paraId="1CB7C2C2">
                  <w:pPr>
                    <w:pStyle w:val="32"/>
                    <w:snapToGrid w:val="0"/>
                    <w:jc w:val="center"/>
                    <w:rPr>
                      <w:rFonts w:hint="default" w:ascii="Times New Roman" w:hAnsi="Times New Roman" w:cs="Times New Roman"/>
                      <w:color w:val="auto"/>
                      <w:sz w:val="18"/>
                      <w:szCs w:val="18"/>
                      <w:highlight w:val="none"/>
                      <w:lang w:val="en-US" w:eastAsia="zh-CN"/>
                    </w:rPr>
                  </w:pPr>
                </w:p>
              </w:tc>
              <w:tc>
                <w:tcPr>
                  <w:tcW w:w="372" w:type="pct"/>
                  <w:vMerge w:val="continue"/>
                  <w:vAlign w:val="center"/>
                </w:tcPr>
                <w:p w14:paraId="5B1A7D73">
                  <w:pPr>
                    <w:adjustRightInd w:val="0"/>
                    <w:snapToGrid w:val="0"/>
                    <w:jc w:val="center"/>
                    <w:rPr>
                      <w:rFonts w:hint="default" w:ascii="Times New Roman" w:hAnsi="Times New Roman" w:cs="Times New Roman"/>
                      <w:color w:val="auto"/>
                      <w:sz w:val="18"/>
                      <w:szCs w:val="18"/>
                      <w:highlight w:val="none"/>
                    </w:rPr>
                  </w:pPr>
                </w:p>
              </w:tc>
              <w:tc>
                <w:tcPr>
                  <w:tcW w:w="408" w:type="pct"/>
                  <w:vMerge w:val="continue"/>
                  <w:vAlign w:val="center"/>
                </w:tcPr>
                <w:p w14:paraId="7E9A66F8">
                  <w:pPr>
                    <w:adjustRightInd w:val="0"/>
                    <w:snapToGrid w:val="0"/>
                    <w:jc w:val="center"/>
                    <w:rPr>
                      <w:rFonts w:hint="default" w:ascii="Times New Roman" w:hAnsi="Times New Roman" w:eastAsia="宋体" w:cs="Times New Roman"/>
                      <w:color w:val="auto"/>
                      <w:sz w:val="18"/>
                      <w:szCs w:val="18"/>
                      <w:highlight w:val="none"/>
                      <w:lang w:val="en-US" w:eastAsia="zh-CN"/>
                    </w:rPr>
                  </w:pPr>
                </w:p>
              </w:tc>
              <w:tc>
                <w:tcPr>
                  <w:tcW w:w="576" w:type="pct"/>
                  <w:vMerge w:val="continue"/>
                  <w:vAlign w:val="center"/>
                </w:tcPr>
                <w:p w14:paraId="038C0869">
                  <w:pPr>
                    <w:widowControl/>
                    <w:adjustRightInd w:val="0"/>
                    <w:snapToGrid w:val="0"/>
                    <w:jc w:val="center"/>
                    <w:textAlignment w:val="center"/>
                    <w:rPr>
                      <w:rFonts w:hint="default" w:ascii="Times New Roman" w:hAnsi="Times New Roman" w:cs="Times New Roman"/>
                      <w:bCs/>
                      <w:color w:val="auto"/>
                      <w:sz w:val="18"/>
                      <w:szCs w:val="18"/>
                      <w:highlight w:val="none"/>
                    </w:rPr>
                  </w:pPr>
                </w:p>
              </w:tc>
              <w:tc>
                <w:tcPr>
                  <w:tcW w:w="498" w:type="pct"/>
                  <w:shd w:val="clear" w:color="auto" w:fill="auto"/>
                  <w:vAlign w:val="center"/>
                </w:tcPr>
                <w:p w14:paraId="63FFCCD2">
                  <w:pPr>
                    <w:pStyle w:val="32"/>
                    <w:snapToGrid w:val="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拍片</w:t>
                  </w:r>
                </w:p>
              </w:tc>
              <w:tc>
                <w:tcPr>
                  <w:tcW w:w="1060" w:type="dxa"/>
                  <w:vAlign w:val="center"/>
                </w:tcPr>
                <w:p w14:paraId="37F90C3C">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1.05E-01</w:t>
                  </w:r>
                </w:p>
              </w:tc>
              <w:tc>
                <w:tcPr>
                  <w:tcW w:w="669" w:type="pct"/>
                  <w:vMerge w:val="continue"/>
                  <w:vAlign w:val="center"/>
                </w:tcPr>
                <w:p w14:paraId="76BFA01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606" w:type="pct"/>
                  <w:vMerge w:val="continue"/>
                  <w:vAlign w:val="center"/>
                </w:tcPr>
                <w:p w14:paraId="4EAD8511">
                  <w:pPr>
                    <w:widowControl/>
                    <w:adjustRightInd w:val="0"/>
                    <w:snapToGrid w:val="0"/>
                    <w:jc w:val="center"/>
                    <w:textAlignment w:val="center"/>
                    <w:rPr>
                      <w:rFonts w:hint="default" w:ascii="Times New Roman" w:hAnsi="Times New Roman" w:cs="Times New Roman"/>
                      <w:color w:val="auto"/>
                      <w:kern w:val="0"/>
                      <w:sz w:val="18"/>
                      <w:szCs w:val="18"/>
                      <w:highlight w:val="none"/>
                    </w:rPr>
                  </w:pPr>
                </w:p>
              </w:tc>
            </w:tr>
            <w:tr w14:paraId="06C76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7" w:type="pct"/>
                  <w:vMerge w:val="restart"/>
                  <w:shd w:val="clear" w:color="auto" w:fill="auto"/>
                  <w:vAlign w:val="center"/>
                </w:tcPr>
                <w:p w14:paraId="643DBBC8">
                  <w:pPr>
                    <w:adjustRightInd w:val="0"/>
                    <w:snapToGrid w:val="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s="Times New Roman"/>
                      <w:color w:val="auto"/>
                      <w:sz w:val="18"/>
                      <w:szCs w:val="18"/>
                      <w:highlight w:val="none"/>
                      <w:lang w:val="en-US" w:eastAsia="zh-CN"/>
                    </w:rPr>
                    <w:t>6</w:t>
                  </w:r>
                </w:p>
              </w:tc>
              <w:tc>
                <w:tcPr>
                  <w:tcW w:w="981" w:type="pct"/>
                  <w:vMerge w:val="restart"/>
                  <w:shd w:val="clear" w:color="auto" w:fill="auto"/>
                  <w:vAlign w:val="center"/>
                </w:tcPr>
                <w:p w14:paraId="48134F3C">
                  <w:pPr>
                    <w:autoSpaceDE w:val="0"/>
                    <w:autoSpaceDN w:val="0"/>
                    <w:adjustRightInd w:val="0"/>
                    <w:snapToGrid w:val="0"/>
                    <w:jc w:val="center"/>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sz w:val="18"/>
                      <w:szCs w:val="18"/>
                      <w:highlight w:val="none"/>
                      <w:lang w:val="en-US" w:eastAsia="zh-CN"/>
                    </w:rPr>
                    <w:t>一楼北侧出入口</w:t>
                  </w:r>
                </w:p>
              </w:tc>
              <w:tc>
                <w:tcPr>
                  <w:tcW w:w="372" w:type="pct"/>
                  <w:vMerge w:val="restart"/>
                  <w:shd w:val="clear" w:color="auto" w:fill="auto"/>
                  <w:vAlign w:val="center"/>
                </w:tcPr>
                <w:p w14:paraId="651DFDB6">
                  <w:pPr>
                    <w:adjustRightInd w:val="0"/>
                    <w:snapToGrid w:val="0"/>
                    <w:jc w:val="center"/>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kern w:val="2"/>
                      <w:sz w:val="18"/>
                      <w:szCs w:val="18"/>
                      <w:highlight w:val="none"/>
                      <w:lang w:val="en-US" w:eastAsia="zh-CN" w:bidi="ar-SA"/>
                    </w:rPr>
                    <w:t>北侧</w:t>
                  </w:r>
                </w:p>
              </w:tc>
              <w:tc>
                <w:tcPr>
                  <w:tcW w:w="408" w:type="pct"/>
                  <w:vMerge w:val="restart"/>
                  <w:shd w:val="clear" w:color="auto" w:fill="auto"/>
                  <w:vAlign w:val="center"/>
                </w:tcPr>
                <w:p w14:paraId="08BFA9FB">
                  <w:pPr>
                    <w:adjustRightInd w:val="0"/>
                    <w:snapToGrid w:val="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s="Times New Roman"/>
                      <w:color w:val="auto"/>
                      <w:sz w:val="18"/>
                      <w:szCs w:val="18"/>
                      <w:highlight w:val="none"/>
                    </w:rPr>
                    <w:t>1/</w:t>
                  </w:r>
                  <w:r>
                    <w:rPr>
                      <w:rFonts w:hint="eastAsia" w:ascii="Times New Roman" w:hAnsi="Times New Roman" w:cs="Times New Roman"/>
                      <w:color w:val="auto"/>
                      <w:sz w:val="18"/>
                      <w:szCs w:val="18"/>
                      <w:highlight w:val="none"/>
                      <w:lang w:val="en-US" w:eastAsia="zh-CN"/>
                    </w:rPr>
                    <w:t>4</w:t>
                  </w:r>
                </w:p>
              </w:tc>
              <w:tc>
                <w:tcPr>
                  <w:tcW w:w="576" w:type="pct"/>
                  <w:vMerge w:val="continue"/>
                  <w:vAlign w:val="center"/>
                </w:tcPr>
                <w:p w14:paraId="7A4CCE48">
                  <w:pPr>
                    <w:widowControl/>
                    <w:adjustRightInd w:val="0"/>
                    <w:snapToGrid w:val="0"/>
                    <w:jc w:val="center"/>
                    <w:textAlignment w:val="center"/>
                    <w:rPr>
                      <w:rFonts w:hint="default" w:ascii="Times New Roman" w:hAnsi="Times New Roman" w:cs="Times New Roman"/>
                      <w:bCs/>
                      <w:color w:val="auto"/>
                      <w:sz w:val="18"/>
                      <w:szCs w:val="18"/>
                      <w:highlight w:val="none"/>
                    </w:rPr>
                  </w:pPr>
                </w:p>
              </w:tc>
              <w:tc>
                <w:tcPr>
                  <w:tcW w:w="498" w:type="pct"/>
                  <w:shd w:val="clear" w:color="auto" w:fill="auto"/>
                  <w:vAlign w:val="center"/>
                </w:tcPr>
                <w:p w14:paraId="651485DC">
                  <w:pPr>
                    <w:pStyle w:val="32"/>
                    <w:snapToGrid w:val="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透视</w:t>
                  </w:r>
                </w:p>
              </w:tc>
              <w:tc>
                <w:tcPr>
                  <w:tcW w:w="1060" w:type="dxa"/>
                  <w:shd w:val="clear" w:color="auto" w:fill="auto"/>
                  <w:vAlign w:val="center"/>
                </w:tcPr>
                <w:p w14:paraId="2D05E3C3">
                  <w:pPr>
                    <w:keepNext w:val="0"/>
                    <w:keepLines w:val="0"/>
                    <w:widowControl/>
                    <w:suppressLineNumbers w:val="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2.13E-05</w:t>
                  </w:r>
                </w:p>
              </w:tc>
              <w:tc>
                <w:tcPr>
                  <w:tcW w:w="1110" w:type="dxa"/>
                  <w:vMerge w:val="restart"/>
                  <w:vAlign w:val="center"/>
                </w:tcPr>
                <w:p w14:paraId="4EDB925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9.75E-07</w:t>
                  </w:r>
                </w:p>
              </w:tc>
              <w:tc>
                <w:tcPr>
                  <w:tcW w:w="606" w:type="pct"/>
                  <w:vMerge w:val="restart"/>
                  <w:vAlign w:val="center"/>
                </w:tcPr>
                <w:p w14:paraId="6FC6E0EA">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rPr>
                  </w:pPr>
                  <w:r>
                    <w:rPr>
                      <w:rFonts w:hint="eastAsia" w:ascii="Times New Roman" w:hAnsi="Times New Roman" w:cs="Times New Roman"/>
                      <w:color w:val="auto"/>
                      <w:sz w:val="18"/>
                      <w:szCs w:val="18"/>
                      <w:highlight w:val="none"/>
                      <w:lang w:val="en-US" w:eastAsia="zh-CN"/>
                    </w:rPr>
                    <w:t>0.1</w:t>
                  </w:r>
                </w:p>
              </w:tc>
            </w:tr>
            <w:tr w14:paraId="70F9C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7" w:type="pct"/>
                  <w:vMerge w:val="continue"/>
                  <w:vAlign w:val="center"/>
                </w:tcPr>
                <w:p w14:paraId="115A0A65">
                  <w:pPr>
                    <w:adjustRightInd w:val="0"/>
                    <w:snapToGrid w:val="0"/>
                    <w:jc w:val="center"/>
                    <w:rPr>
                      <w:rFonts w:hint="default" w:ascii="Times New Roman" w:hAnsi="Times New Roman" w:cs="Times New Roman"/>
                      <w:color w:val="auto"/>
                      <w:sz w:val="18"/>
                      <w:szCs w:val="18"/>
                      <w:highlight w:val="none"/>
                      <w:lang w:val="en-US" w:eastAsia="zh-CN"/>
                    </w:rPr>
                  </w:pPr>
                </w:p>
              </w:tc>
              <w:tc>
                <w:tcPr>
                  <w:tcW w:w="981" w:type="pct"/>
                  <w:vMerge w:val="continue"/>
                  <w:vAlign w:val="center"/>
                </w:tcPr>
                <w:p w14:paraId="5E732CE2">
                  <w:pPr>
                    <w:pStyle w:val="32"/>
                    <w:snapToGrid w:val="0"/>
                    <w:jc w:val="center"/>
                    <w:rPr>
                      <w:rFonts w:hint="default" w:ascii="Times New Roman" w:hAnsi="Times New Roman" w:cs="Times New Roman"/>
                      <w:color w:val="auto"/>
                      <w:sz w:val="18"/>
                      <w:szCs w:val="18"/>
                      <w:highlight w:val="none"/>
                      <w:lang w:val="en-US" w:eastAsia="zh-CN"/>
                    </w:rPr>
                  </w:pPr>
                </w:p>
              </w:tc>
              <w:tc>
                <w:tcPr>
                  <w:tcW w:w="372" w:type="pct"/>
                  <w:vMerge w:val="continue"/>
                  <w:vAlign w:val="center"/>
                </w:tcPr>
                <w:p w14:paraId="180F49F0">
                  <w:pPr>
                    <w:adjustRightInd w:val="0"/>
                    <w:snapToGrid w:val="0"/>
                    <w:jc w:val="center"/>
                    <w:rPr>
                      <w:rFonts w:hint="default" w:ascii="Times New Roman" w:hAnsi="Times New Roman" w:cs="Times New Roman"/>
                      <w:color w:val="auto"/>
                      <w:sz w:val="18"/>
                      <w:szCs w:val="18"/>
                      <w:highlight w:val="none"/>
                    </w:rPr>
                  </w:pPr>
                </w:p>
              </w:tc>
              <w:tc>
                <w:tcPr>
                  <w:tcW w:w="408" w:type="pct"/>
                  <w:vMerge w:val="continue"/>
                  <w:vAlign w:val="center"/>
                </w:tcPr>
                <w:p w14:paraId="00FF0622">
                  <w:pPr>
                    <w:adjustRightInd w:val="0"/>
                    <w:snapToGrid w:val="0"/>
                    <w:jc w:val="center"/>
                    <w:rPr>
                      <w:rFonts w:hint="default" w:ascii="Times New Roman" w:hAnsi="Times New Roman" w:cs="Times New Roman"/>
                      <w:color w:val="auto"/>
                      <w:sz w:val="18"/>
                      <w:szCs w:val="18"/>
                      <w:highlight w:val="none"/>
                    </w:rPr>
                  </w:pPr>
                </w:p>
              </w:tc>
              <w:tc>
                <w:tcPr>
                  <w:tcW w:w="576" w:type="pct"/>
                  <w:vMerge w:val="continue"/>
                  <w:vAlign w:val="center"/>
                </w:tcPr>
                <w:p w14:paraId="569A2275">
                  <w:pPr>
                    <w:widowControl/>
                    <w:adjustRightInd w:val="0"/>
                    <w:snapToGrid w:val="0"/>
                    <w:jc w:val="center"/>
                    <w:textAlignment w:val="center"/>
                    <w:rPr>
                      <w:rFonts w:hint="default" w:ascii="Times New Roman" w:hAnsi="Times New Roman" w:cs="Times New Roman"/>
                      <w:bCs/>
                      <w:color w:val="auto"/>
                      <w:sz w:val="18"/>
                      <w:szCs w:val="18"/>
                      <w:highlight w:val="none"/>
                    </w:rPr>
                  </w:pPr>
                </w:p>
              </w:tc>
              <w:tc>
                <w:tcPr>
                  <w:tcW w:w="498" w:type="pct"/>
                  <w:shd w:val="clear" w:color="auto" w:fill="auto"/>
                  <w:vAlign w:val="center"/>
                </w:tcPr>
                <w:p w14:paraId="7D81BBEB">
                  <w:pPr>
                    <w:pStyle w:val="32"/>
                    <w:snapToGrid w:val="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拍片</w:t>
                  </w:r>
                </w:p>
              </w:tc>
              <w:tc>
                <w:tcPr>
                  <w:tcW w:w="1060" w:type="dxa"/>
                  <w:shd w:val="clear" w:color="auto" w:fill="auto"/>
                  <w:vAlign w:val="center"/>
                </w:tcPr>
                <w:p w14:paraId="77CA943D">
                  <w:pPr>
                    <w:keepNext w:val="0"/>
                    <w:keepLines w:val="0"/>
                    <w:widowControl/>
                    <w:suppressLineNumbers w:val="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4.49E-04</w:t>
                  </w:r>
                </w:p>
              </w:tc>
              <w:tc>
                <w:tcPr>
                  <w:tcW w:w="669" w:type="pct"/>
                  <w:vMerge w:val="continue"/>
                  <w:vAlign w:val="center"/>
                </w:tcPr>
                <w:p w14:paraId="6E5FADD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606" w:type="pct"/>
                  <w:vMerge w:val="continue"/>
                  <w:vAlign w:val="center"/>
                </w:tcPr>
                <w:p w14:paraId="4CF60C44">
                  <w:pPr>
                    <w:widowControl/>
                    <w:adjustRightInd w:val="0"/>
                    <w:snapToGrid w:val="0"/>
                    <w:jc w:val="center"/>
                    <w:textAlignment w:val="center"/>
                    <w:rPr>
                      <w:rFonts w:hint="default" w:ascii="Times New Roman" w:hAnsi="Times New Roman" w:cs="Times New Roman"/>
                      <w:color w:val="auto"/>
                      <w:kern w:val="0"/>
                      <w:sz w:val="18"/>
                      <w:szCs w:val="18"/>
                      <w:highlight w:val="none"/>
                    </w:rPr>
                  </w:pPr>
                </w:p>
              </w:tc>
            </w:tr>
            <w:tr w14:paraId="0A13E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7" w:type="pct"/>
                  <w:vMerge w:val="restart"/>
                  <w:vAlign w:val="center"/>
                </w:tcPr>
                <w:p w14:paraId="1ABD6009">
                  <w:pPr>
                    <w:adjustRightInd w:val="0"/>
                    <w:snapToGrid w:val="0"/>
                    <w:jc w:val="center"/>
                    <w:rPr>
                      <w:rFonts w:hint="default" w:ascii="Times New Roman" w:hAnsi="Times New Roman"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7</w:t>
                  </w:r>
                </w:p>
              </w:tc>
              <w:tc>
                <w:tcPr>
                  <w:tcW w:w="981" w:type="pct"/>
                  <w:vMerge w:val="restart"/>
                  <w:vAlign w:val="center"/>
                </w:tcPr>
                <w:p w14:paraId="1B09EB2D">
                  <w:pPr>
                    <w:autoSpaceDE w:val="0"/>
                    <w:autoSpaceDN w:val="0"/>
                    <w:adjustRightInd w:val="0"/>
                    <w:snapToGrid w:val="0"/>
                    <w:jc w:val="center"/>
                    <w:rPr>
                      <w:rFonts w:hint="default"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一楼东侧出入口</w:t>
                  </w:r>
                </w:p>
              </w:tc>
              <w:tc>
                <w:tcPr>
                  <w:tcW w:w="372" w:type="pct"/>
                  <w:vMerge w:val="restart"/>
                  <w:vAlign w:val="center"/>
                </w:tcPr>
                <w:p w14:paraId="2CB120BE">
                  <w:pPr>
                    <w:adjustRightInd w:val="0"/>
                    <w:snapToGrid w:val="0"/>
                    <w:jc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东侧</w:t>
                  </w:r>
                </w:p>
              </w:tc>
              <w:tc>
                <w:tcPr>
                  <w:tcW w:w="408" w:type="pct"/>
                  <w:vMerge w:val="restart"/>
                  <w:vAlign w:val="center"/>
                </w:tcPr>
                <w:p w14:paraId="1D2ED9E1">
                  <w:pPr>
                    <w:adjustRightInd w:val="0"/>
                    <w:snapToGrid w:val="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1/4</w:t>
                  </w:r>
                </w:p>
              </w:tc>
              <w:tc>
                <w:tcPr>
                  <w:tcW w:w="576" w:type="pct"/>
                  <w:vMerge w:val="continue"/>
                  <w:vAlign w:val="center"/>
                </w:tcPr>
                <w:p w14:paraId="239E50E2">
                  <w:pPr>
                    <w:widowControl/>
                    <w:adjustRightInd w:val="0"/>
                    <w:snapToGrid w:val="0"/>
                    <w:jc w:val="center"/>
                    <w:textAlignment w:val="center"/>
                    <w:rPr>
                      <w:rFonts w:hint="default" w:ascii="Times New Roman" w:hAnsi="Times New Roman" w:cs="Times New Roman"/>
                      <w:bCs/>
                      <w:color w:val="auto"/>
                      <w:sz w:val="18"/>
                      <w:szCs w:val="18"/>
                      <w:highlight w:val="none"/>
                    </w:rPr>
                  </w:pPr>
                </w:p>
              </w:tc>
              <w:tc>
                <w:tcPr>
                  <w:tcW w:w="498" w:type="pct"/>
                  <w:shd w:val="clear" w:color="auto" w:fill="auto"/>
                  <w:vAlign w:val="center"/>
                </w:tcPr>
                <w:p w14:paraId="6EC781D9">
                  <w:pPr>
                    <w:pStyle w:val="32"/>
                    <w:snapToGrid w:val="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透视</w:t>
                  </w:r>
                </w:p>
              </w:tc>
              <w:tc>
                <w:tcPr>
                  <w:tcW w:w="1060" w:type="dxa"/>
                  <w:vAlign w:val="center"/>
                </w:tcPr>
                <w:p w14:paraId="78CDAF17">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2.38E-03</w:t>
                  </w:r>
                </w:p>
              </w:tc>
              <w:tc>
                <w:tcPr>
                  <w:tcW w:w="1110" w:type="dxa"/>
                  <w:vMerge w:val="restart"/>
                  <w:vAlign w:val="center"/>
                </w:tcPr>
                <w:p w14:paraId="22E8D86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1.02E-04</w:t>
                  </w:r>
                </w:p>
              </w:tc>
              <w:tc>
                <w:tcPr>
                  <w:tcW w:w="606" w:type="pct"/>
                  <w:vMerge w:val="restart"/>
                  <w:vAlign w:val="center"/>
                </w:tcPr>
                <w:p w14:paraId="4636A008">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rPr>
                  </w:pPr>
                  <w:r>
                    <w:rPr>
                      <w:rFonts w:hint="eastAsia" w:ascii="Times New Roman" w:hAnsi="Times New Roman" w:cs="Times New Roman"/>
                      <w:color w:val="auto"/>
                      <w:sz w:val="18"/>
                      <w:szCs w:val="18"/>
                      <w:highlight w:val="none"/>
                      <w:lang w:val="en-US" w:eastAsia="zh-CN"/>
                    </w:rPr>
                    <w:t>0.1</w:t>
                  </w:r>
                </w:p>
              </w:tc>
            </w:tr>
            <w:tr w14:paraId="24334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7" w:type="pct"/>
                  <w:vMerge w:val="continue"/>
                  <w:vAlign w:val="center"/>
                </w:tcPr>
                <w:p w14:paraId="45C7BFED">
                  <w:pPr>
                    <w:adjustRightInd w:val="0"/>
                    <w:snapToGrid w:val="0"/>
                    <w:jc w:val="center"/>
                    <w:rPr>
                      <w:rFonts w:hint="default" w:ascii="Times New Roman" w:hAnsi="Times New Roman" w:cs="Times New Roman"/>
                      <w:color w:val="auto"/>
                      <w:sz w:val="18"/>
                      <w:szCs w:val="18"/>
                      <w:highlight w:val="none"/>
                      <w:lang w:val="en-US" w:eastAsia="zh-CN"/>
                    </w:rPr>
                  </w:pPr>
                </w:p>
              </w:tc>
              <w:tc>
                <w:tcPr>
                  <w:tcW w:w="981" w:type="pct"/>
                  <w:vMerge w:val="continue"/>
                  <w:vAlign w:val="center"/>
                </w:tcPr>
                <w:p w14:paraId="04E1E879">
                  <w:pPr>
                    <w:pStyle w:val="32"/>
                    <w:snapToGrid w:val="0"/>
                    <w:jc w:val="center"/>
                    <w:rPr>
                      <w:rFonts w:hint="default" w:ascii="Times New Roman" w:hAnsi="Times New Roman" w:cs="Times New Roman"/>
                      <w:color w:val="auto"/>
                      <w:sz w:val="18"/>
                      <w:szCs w:val="18"/>
                      <w:highlight w:val="none"/>
                      <w:lang w:val="en-US" w:eastAsia="zh-CN"/>
                    </w:rPr>
                  </w:pPr>
                </w:p>
              </w:tc>
              <w:tc>
                <w:tcPr>
                  <w:tcW w:w="372" w:type="pct"/>
                  <w:vMerge w:val="continue"/>
                  <w:vAlign w:val="center"/>
                </w:tcPr>
                <w:p w14:paraId="4AACA235">
                  <w:pPr>
                    <w:adjustRightInd w:val="0"/>
                    <w:snapToGrid w:val="0"/>
                    <w:jc w:val="center"/>
                    <w:rPr>
                      <w:rFonts w:hint="default" w:ascii="Times New Roman" w:hAnsi="Times New Roman" w:cs="Times New Roman"/>
                      <w:color w:val="auto"/>
                      <w:sz w:val="18"/>
                      <w:szCs w:val="18"/>
                      <w:highlight w:val="none"/>
                    </w:rPr>
                  </w:pPr>
                </w:p>
              </w:tc>
              <w:tc>
                <w:tcPr>
                  <w:tcW w:w="408" w:type="pct"/>
                  <w:vMerge w:val="continue"/>
                  <w:vAlign w:val="center"/>
                </w:tcPr>
                <w:p w14:paraId="236CBD65">
                  <w:pPr>
                    <w:adjustRightInd w:val="0"/>
                    <w:snapToGrid w:val="0"/>
                    <w:jc w:val="center"/>
                    <w:rPr>
                      <w:rFonts w:hint="default" w:ascii="Times New Roman" w:hAnsi="Times New Roman" w:cs="Times New Roman"/>
                      <w:color w:val="auto"/>
                      <w:sz w:val="18"/>
                      <w:szCs w:val="18"/>
                      <w:highlight w:val="none"/>
                    </w:rPr>
                  </w:pPr>
                </w:p>
              </w:tc>
              <w:tc>
                <w:tcPr>
                  <w:tcW w:w="576" w:type="pct"/>
                  <w:vMerge w:val="continue"/>
                  <w:vAlign w:val="center"/>
                </w:tcPr>
                <w:p w14:paraId="63358742">
                  <w:pPr>
                    <w:widowControl/>
                    <w:adjustRightInd w:val="0"/>
                    <w:snapToGrid w:val="0"/>
                    <w:jc w:val="center"/>
                    <w:textAlignment w:val="center"/>
                    <w:rPr>
                      <w:rFonts w:hint="default" w:ascii="Times New Roman" w:hAnsi="Times New Roman" w:cs="Times New Roman"/>
                      <w:bCs/>
                      <w:color w:val="auto"/>
                      <w:sz w:val="18"/>
                      <w:szCs w:val="18"/>
                      <w:highlight w:val="none"/>
                    </w:rPr>
                  </w:pPr>
                </w:p>
              </w:tc>
              <w:tc>
                <w:tcPr>
                  <w:tcW w:w="498" w:type="pct"/>
                  <w:shd w:val="clear" w:color="auto" w:fill="auto"/>
                  <w:vAlign w:val="center"/>
                </w:tcPr>
                <w:p w14:paraId="338F5BAD">
                  <w:pPr>
                    <w:pStyle w:val="32"/>
                    <w:snapToGrid w:val="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拍片</w:t>
                  </w:r>
                </w:p>
              </w:tc>
              <w:tc>
                <w:tcPr>
                  <w:tcW w:w="1060" w:type="dxa"/>
                  <w:vAlign w:val="center"/>
                </w:tcPr>
                <w:p w14:paraId="1B937C37">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4.41E-02</w:t>
                  </w:r>
                </w:p>
              </w:tc>
              <w:tc>
                <w:tcPr>
                  <w:tcW w:w="669" w:type="pct"/>
                  <w:vMerge w:val="continue"/>
                  <w:vAlign w:val="center"/>
                </w:tcPr>
                <w:p w14:paraId="3D6E4AB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606" w:type="pct"/>
                  <w:vMerge w:val="continue"/>
                  <w:vAlign w:val="center"/>
                </w:tcPr>
                <w:p w14:paraId="590637CF">
                  <w:pPr>
                    <w:widowControl/>
                    <w:adjustRightInd w:val="0"/>
                    <w:snapToGrid w:val="0"/>
                    <w:jc w:val="center"/>
                    <w:textAlignment w:val="center"/>
                    <w:rPr>
                      <w:rFonts w:hint="default" w:ascii="Times New Roman" w:hAnsi="Times New Roman" w:cs="Times New Roman"/>
                      <w:color w:val="auto"/>
                      <w:kern w:val="0"/>
                      <w:sz w:val="18"/>
                      <w:szCs w:val="18"/>
                      <w:highlight w:val="none"/>
                    </w:rPr>
                  </w:pPr>
                </w:p>
              </w:tc>
            </w:tr>
            <w:tr w14:paraId="51535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7" w:type="pct"/>
                  <w:vMerge w:val="restart"/>
                  <w:vAlign w:val="center"/>
                </w:tcPr>
                <w:p w14:paraId="5CC13EBD">
                  <w:pPr>
                    <w:adjustRightInd w:val="0"/>
                    <w:snapToGrid w:val="0"/>
                    <w:jc w:val="center"/>
                    <w:rPr>
                      <w:rFonts w:hint="default"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8</w:t>
                  </w:r>
                </w:p>
              </w:tc>
              <w:tc>
                <w:tcPr>
                  <w:tcW w:w="981" w:type="pct"/>
                  <w:vMerge w:val="restart"/>
                  <w:vAlign w:val="center"/>
                </w:tcPr>
                <w:p w14:paraId="1B2B630B">
                  <w:pPr>
                    <w:autoSpaceDE w:val="0"/>
                    <w:autoSpaceDN w:val="0"/>
                    <w:adjustRightInd w:val="0"/>
                    <w:snapToGrid w:val="0"/>
                    <w:jc w:val="center"/>
                    <w:rPr>
                      <w:rFonts w:hint="default"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一楼体育场</w:t>
                  </w:r>
                </w:p>
              </w:tc>
              <w:tc>
                <w:tcPr>
                  <w:tcW w:w="372" w:type="pct"/>
                  <w:vMerge w:val="restart"/>
                  <w:vAlign w:val="center"/>
                </w:tcPr>
                <w:p w14:paraId="1AFB9BB6">
                  <w:pPr>
                    <w:adjustRightInd w:val="0"/>
                    <w:snapToGrid w:val="0"/>
                    <w:jc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北侧</w:t>
                  </w:r>
                </w:p>
              </w:tc>
              <w:tc>
                <w:tcPr>
                  <w:tcW w:w="408" w:type="pct"/>
                  <w:vMerge w:val="restart"/>
                  <w:vAlign w:val="center"/>
                </w:tcPr>
                <w:p w14:paraId="7D951B25">
                  <w:pPr>
                    <w:adjustRightInd w:val="0"/>
                    <w:snapToGrid w:val="0"/>
                    <w:jc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1/16</w:t>
                  </w:r>
                </w:p>
              </w:tc>
              <w:tc>
                <w:tcPr>
                  <w:tcW w:w="576" w:type="pct"/>
                  <w:vMerge w:val="continue"/>
                  <w:vAlign w:val="center"/>
                </w:tcPr>
                <w:p w14:paraId="666F1EB7">
                  <w:pPr>
                    <w:widowControl/>
                    <w:adjustRightInd w:val="0"/>
                    <w:snapToGrid w:val="0"/>
                    <w:jc w:val="center"/>
                    <w:textAlignment w:val="center"/>
                    <w:rPr>
                      <w:rFonts w:hint="default" w:ascii="Times New Roman" w:hAnsi="Times New Roman" w:cs="Times New Roman"/>
                      <w:bCs/>
                      <w:color w:val="auto"/>
                      <w:sz w:val="18"/>
                      <w:szCs w:val="18"/>
                      <w:highlight w:val="none"/>
                    </w:rPr>
                  </w:pPr>
                </w:p>
              </w:tc>
              <w:tc>
                <w:tcPr>
                  <w:tcW w:w="498" w:type="pct"/>
                  <w:shd w:val="clear" w:color="auto" w:fill="auto"/>
                  <w:vAlign w:val="center"/>
                </w:tcPr>
                <w:p w14:paraId="3B648B69">
                  <w:pPr>
                    <w:pStyle w:val="32"/>
                    <w:snapToGrid w:val="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透视</w:t>
                  </w:r>
                </w:p>
              </w:tc>
              <w:tc>
                <w:tcPr>
                  <w:tcW w:w="1060" w:type="dxa"/>
                  <w:shd w:val="clear" w:color="auto" w:fill="auto"/>
                  <w:vAlign w:val="center"/>
                </w:tcPr>
                <w:p w14:paraId="463F0150">
                  <w:pPr>
                    <w:keepNext w:val="0"/>
                    <w:keepLines w:val="0"/>
                    <w:widowControl/>
                    <w:suppressLineNumbers w:val="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2.13E-05</w:t>
                  </w:r>
                </w:p>
              </w:tc>
              <w:tc>
                <w:tcPr>
                  <w:tcW w:w="1110" w:type="dxa"/>
                  <w:vMerge w:val="restart"/>
                  <w:vAlign w:val="center"/>
                </w:tcPr>
                <w:p w14:paraId="4D31807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2.44E-07</w:t>
                  </w:r>
                </w:p>
              </w:tc>
              <w:tc>
                <w:tcPr>
                  <w:tcW w:w="606" w:type="pct"/>
                  <w:vMerge w:val="restart"/>
                  <w:vAlign w:val="center"/>
                </w:tcPr>
                <w:p w14:paraId="0314E1FA">
                  <w:pPr>
                    <w:widowControl/>
                    <w:adjustRightInd w:val="0"/>
                    <w:snapToGrid w:val="0"/>
                    <w:jc w:val="center"/>
                    <w:textAlignment w:val="center"/>
                    <w:rPr>
                      <w:rFonts w:hint="default" w:ascii="Times New Roman" w:hAnsi="Times New Roman" w:cs="Times New Roman"/>
                      <w:color w:val="auto"/>
                      <w:kern w:val="0"/>
                      <w:sz w:val="18"/>
                      <w:szCs w:val="18"/>
                      <w:highlight w:val="none"/>
                    </w:rPr>
                  </w:pPr>
                  <w:r>
                    <w:rPr>
                      <w:rFonts w:hint="eastAsia" w:ascii="Times New Roman" w:hAnsi="Times New Roman" w:cs="Times New Roman"/>
                      <w:color w:val="auto"/>
                      <w:sz w:val="18"/>
                      <w:szCs w:val="18"/>
                      <w:highlight w:val="none"/>
                      <w:lang w:val="en-US" w:eastAsia="zh-CN"/>
                    </w:rPr>
                    <w:t>0.1</w:t>
                  </w:r>
                </w:p>
              </w:tc>
            </w:tr>
            <w:tr w14:paraId="09503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7" w:type="pct"/>
                  <w:vMerge w:val="continue"/>
                  <w:vAlign w:val="center"/>
                </w:tcPr>
                <w:p w14:paraId="5CE1A807">
                  <w:pPr>
                    <w:adjustRightInd w:val="0"/>
                    <w:snapToGrid w:val="0"/>
                    <w:jc w:val="center"/>
                    <w:rPr>
                      <w:rFonts w:hint="default" w:ascii="Times New Roman" w:hAnsi="Times New Roman" w:cs="Times New Roman"/>
                      <w:color w:val="auto"/>
                      <w:sz w:val="18"/>
                      <w:szCs w:val="18"/>
                      <w:highlight w:val="none"/>
                      <w:lang w:val="en-US" w:eastAsia="zh-CN"/>
                    </w:rPr>
                  </w:pPr>
                </w:p>
              </w:tc>
              <w:tc>
                <w:tcPr>
                  <w:tcW w:w="981" w:type="pct"/>
                  <w:vMerge w:val="continue"/>
                  <w:vAlign w:val="center"/>
                </w:tcPr>
                <w:p w14:paraId="1687B8FF">
                  <w:pPr>
                    <w:pStyle w:val="32"/>
                    <w:snapToGrid w:val="0"/>
                    <w:jc w:val="center"/>
                    <w:rPr>
                      <w:rFonts w:hint="default" w:ascii="Times New Roman" w:hAnsi="Times New Roman" w:cs="Times New Roman"/>
                      <w:color w:val="auto"/>
                      <w:sz w:val="18"/>
                      <w:szCs w:val="18"/>
                      <w:highlight w:val="none"/>
                      <w:lang w:val="en-US" w:eastAsia="zh-CN"/>
                    </w:rPr>
                  </w:pPr>
                </w:p>
              </w:tc>
              <w:tc>
                <w:tcPr>
                  <w:tcW w:w="372" w:type="pct"/>
                  <w:vMerge w:val="continue"/>
                  <w:vAlign w:val="center"/>
                </w:tcPr>
                <w:p w14:paraId="184B2D52">
                  <w:pPr>
                    <w:adjustRightInd w:val="0"/>
                    <w:snapToGrid w:val="0"/>
                    <w:jc w:val="center"/>
                    <w:rPr>
                      <w:rFonts w:hint="default" w:ascii="Times New Roman" w:hAnsi="Times New Roman" w:cs="Times New Roman"/>
                      <w:color w:val="auto"/>
                      <w:sz w:val="18"/>
                      <w:szCs w:val="18"/>
                      <w:highlight w:val="none"/>
                    </w:rPr>
                  </w:pPr>
                </w:p>
              </w:tc>
              <w:tc>
                <w:tcPr>
                  <w:tcW w:w="408" w:type="pct"/>
                  <w:vMerge w:val="continue"/>
                  <w:vAlign w:val="center"/>
                </w:tcPr>
                <w:p w14:paraId="1A2DA4C1">
                  <w:pPr>
                    <w:adjustRightInd w:val="0"/>
                    <w:snapToGrid w:val="0"/>
                    <w:jc w:val="center"/>
                    <w:rPr>
                      <w:rFonts w:hint="default" w:ascii="Times New Roman" w:hAnsi="Times New Roman" w:cs="Times New Roman"/>
                      <w:color w:val="auto"/>
                      <w:sz w:val="18"/>
                      <w:szCs w:val="18"/>
                      <w:highlight w:val="none"/>
                    </w:rPr>
                  </w:pPr>
                </w:p>
              </w:tc>
              <w:tc>
                <w:tcPr>
                  <w:tcW w:w="576" w:type="pct"/>
                  <w:vMerge w:val="continue"/>
                  <w:vAlign w:val="center"/>
                </w:tcPr>
                <w:p w14:paraId="1DE4E4D2">
                  <w:pPr>
                    <w:widowControl/>
                    <w:adjustRightInd w:val="0"/>
                    <w:snapToGrid w:val="0"/>
                    <w:jc w:val="center"/>
                    <w:textAlignment w:val="center"/>
                    <w:rPr>
                      <w:rFonts w:hint="default" w:ascii="Times New Roman" w:hAnsi="Times New Roman" w:cs="Times New Roman"/>
                      <w:bCs/>
                      <w:color w:val="auto"/>
                      <w:sz w:val="18"/>
                      <w:szCs w:val="18"/>
                      <w:highlight w:val="none"/>
                    </w:rPr>
                  </w:pPr>
                </w:p>
              </w:tc>
              <w:tc>
                <w:tcPr>
                  <w:tcW w:w="498" w:type="pct"/>
                  <w:shd w:val="clear" w:color="auto" w:fill="auto"/>
                  <w:vAlign w:val="center"/>
                </w:tcPr>
                <w:p w14:paraId="190A8A47">
                  <w:pPr>
                    <w:pStyle w:val="32"/>
                    <w:snapToGrid w:val="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拍片</w:t>
                  </w:r>
                </w:p>
              </w:tc>
              <w:tc>
                <w:tcPr>
                  <w:tcW w:w="1060" w:type="dxa"/>
                  <w:shd w:val="clear" w:color="auto" w:fill="auto"/>
                  <w:vAlign w:val="center"/>
                </w:tcPr>
                <w:p w14:paraId="4B1B4E4A">
                  <w:pPr>
                    <w:keepNext w:val="0"/>
                    <w:keepLines w:val="0"/>
                    <w:widowControl/>
                    <w:suppressLineNumbers w:val="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4.49E-04</w:t>
                  </w:r>
                </w:p>
              </w:tc>
              <w:tc>
                <w:tcPr>
                  <w:tcW w:w="669" w:type="pct"/>
                  <w:vMerge w:val="continue"/>
                  <w:vAlign w:val="center"/>
                </w:tcPr>
                <w:p w14:paraId="6FA11346">
                  <w:pPr>
                    <w:widowControl/>
                    <w:adjustRightInd w:val="0"/>
                    <w:snapToGrid w:val="0"/>
                    <w:jc w:val="center"/>
                    <w:textAlignment w:val="center"/>
                    <w:rPr>
                      <w:rFonts w:hint="default" w:ascii="Times New Roman" w:hAnsi="Times New Roman" w:cs="Times New Roman"/>
                      <w:color w:val="auto"/>
                      <w:kern w:val="0"/>
                      <w:sz w:val="18"/>
                      <w:szCs w:val="18"/>
                      <w:highlight w:val="none"/>
                    </w:rPr>
                  </w:pPr>
                </w:p>
              </w:tc>
              <w:tc>
                <w:tcPr>
                  <w:tcW w:w="606" w:type="pct"/>
                  <w:vMerge w:val="continue"/>
                  <w:vAlign w:val="center"/>
                </w:tcPr>
                <w:p w14:paraId="6EDC42A5">
                  <w:pPr>
                    <w:widowControl/>
                    <w:adjustRightInd w:val="0"/>
                    <w:snapToGrid w:val="0"/>
                    <w:jc w:val="center"/>
                    <w:textAlignment w:val="center"/>
                    <w:rPr>
                      <w:rFonts w:hint="default" w:ascii="Times New Roman" w:hAnsi="Times New Roman" w:cs="Times New Roman"/>
                      <w:color w:val="auto"/>
                      <w:kern w:val="0"/>
                      <w:sz w:val="18"/>
                      <w:szCs w:val="18"/>
                      <w:highlight w:val="none"/>
                    </w:rPr>
                  </w:pPr>
                </w:p>
              </w:tc>
            </w:tr>
            <w:tr w14:paraId="0B0A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9"/>
                  <w:vAlign w:val="center"/>
                </w:tcPr>
                <w:p w14:paraId="426BC04D">
                  <w:pPr>
                    <w:widowControl/>
                    <w:adjustRightInd w:val="0"/>
                    <w:snapToGrid w:val="0"/>
                    <w:jc w:val="left"/>
                    <w:textAlignment w:val="center"/>
                    <w:rPr>
                      <w:rFonts w:hint="default" w:ascii="Times New Roman" w:hAnsi="Times New Roman" w:cs="Times New Roman"/>
                      <w:b/>
                      <w:bCs/>
                      <w:color w:val="auto"/>
                      <w:kern w:val="0"/>
                      <w:sz w:val="18"/>
                      <w:szCs w:val="18"/>
                      <w:highlight w:val="none"/>
                      <w:lang w:val="en-US" w:eastAsia="zh-CN"/>
                    </w:rPr>
                  </w:pPr>
                  <w:r>
                    <w:rPr>
                      <w:rFonts w:hint="default" w:ascii="Times New Roman" w:hAnsi="Times New Roman" w:cs="Times New Roman"/>
                      <w:b/>
                      <w:bCs/>
                      <w:color w:val="auto"/>
                      <w:kern w:val="0"/>
                      <w:sz w:val="18"/>
                      <w:szCs w:val="18"/>
                      <w:highlight w:val="none"/>
                      <w:lang w:val="en-US" w:eastAsia="zh-CN"/>
                    </w:rPr>
                    <w:t>备注：随着距离增加，保护目标与靶点（漏射源）和散射源的距离差越来越少，可以忽略不计，因此该表按照同一距离计算。</w:t>
                  </w:r>
                </w:p>
              </w:tc>
            </w:tr>
          </w:tbl>
          <w:p w14:paraId="7CEBE3CE">
            <w:pPr>
              <w:keepNext w:val="0"/>
              <w:keepLines w:val="0"/>
              <w:pageBreakBefore w:val="0"/>
              <w:widowControl w:val="0"/>
              <w:kinsoku/>
              <w:wordWrap/>
              <w:overflowPunct/>
              <w:topLinePunct w:val="0"/>
              <w:autoSpaceDE/>
              <w:autoSpaceDN/>
              <w:bidi w:val="0"/>
              <w:adjustRightInd/>
              <w:snapToGrid/>
              <w:spacing w:line="360" w:lineRule="auto"/>
              <w:ind w:firstLine="472" w:firstLineChars="200"/>
              <w:jc w:val="both"/>
              <w:textAlignment w:val="auto"/>
              <w:rPr>
                <w:rFonts w:hint="default" w:ascii="Times New Roman" w:hAnsi="Times New Roman" w:cs="Times New Roman"/>
                <w:b/>
                <w:bCs/>
                <w:color w:val="auto"/>
                <w:spacing w:val="-2"/>
                <w:sz w:val="24"/>
                <w:highlight w:val="none"/>
              </w:rPr>
            </w:pPr>
            <w:r>
              <w:rPr>
                <w:rFonts w:hint="default" w:ascii="Times New Roman" w:hAnsi="Times New Roman" w:cs="Times New Roman"/>
                <w:color w:val="auto"/>
                <w:spacing w:val="-2"/>
                <w:sz w:val="24"/>
                <w:szCs w:val="24"/>
                <w:highlight w:val="none"/>
                <w:lang w:val="en-US" w:eastAsia="zh-CN"/>
              </w:rPr>
              <w:t>由上表可知，</w:t>
            </w:r>
            <w:r>
              <w:rPr>
                <w:rFonts w:hint="default" w:ascii="Times New Roman" w:hAnsi="Times New Roman" w:cs="Times New Roman"/>
                <w:color w:val="auto"/>
                <w:spacing w:val="-2"/>
                <w:sz w:val="24"/>
                <w:szCs w:val="24"/>
                <w:highlight w:val="none"/>
              </w:rPr>
              <w:t>本项目</w:t>
            </w:r>
            <w:r>
              <w:rPr>
                <w:rFonts w:hint="default" w:ascii="Times New Roman" w:hAnsi="Times New Roman" w:cs="Times New Roman"/>
                <w:color w:val="auto"/>
                <w:spacing w:val="-2"/>
                <w:sz w:val="24"/>
                <w:szCs w:val="24"/>
                <w:highlight w:val="none"/>
                <w:lang w:val="en-US"/>
              </w:rPr>
              <w:t>相关</w:t>
            </w:r>
            <w:r>
              <w:rPr>
                <w:rFonts w:hint="default" w:ascii="Times New Roman" w:hAnsi="Times New Roman" w:cs="Times New Roman"/>
                <w:color w:val="auto"/>
                <w:spacing w:val="-2"/>
                <w:sz w:val="24"/>
                <w:szCs w:val="24"/>
                <w:highlight w:val="none"/>
              </w:rPr>
              <w:t>辐射工作人员的年有效剂量最大为</w:t>
            </w:r>
            <w:r>
              <w:rPr>
                <w:rFonts w:hint="default" w:ascii="Times New Roman" w:hAnsi="Times New Roman" w:cs="Times New Roman"/>
                <w:b/>
                <w:bCs/>
                <w:color w:val="auto"/>
                <w:spacing w:val="-2"/>
                <w:sz w:val="24"/>
                <w:szCs w:val="24"/>
                <w:highlight w:val="none"/>
                <w:lang w:val="en-US" w:eastAsia="zh-CN"/>
              </w:rPr>
              <w:t>1.</w:t>
            </w:r>
            <w:r>
              <w:rPr>
                <w:rFonts w:hint="eastAsia" w:ascii="Times New Roman" w:hAnsi="Times New Roman" w:cs="Times New Roman"/>
                <w:b/>
                <w:bCs/>
                <w:color w:val="auto"/>
                <w:spacing w:val="-2"/>
                <w:sz w:val="24"/>
                <w:szCs w:val="24"/>
                <w:highlight w:val="none"/>
                <w:lang w:val="en-US" w:eastAsia="zh-CN"/>
              </w:rPr>
              <w:t>47</w:t>
            </w:r>
            <w:r>
              <w:rPr>
                <w:rFonts w:hint="default" w:ascii="Times New Roman" w:hAnsi="Times New Roman" w:cs="Times New Roman"/>
                <w:b/>
                <w:bCs/>
                <w:color w:val="auto"/>
                <w:sz w:val="24"/>
                <w:szCs w:val="24"/>
                <w:highlight w:val="none"/>
                <w:lang w:val="en-US"/>
              </w:rPr>
              <w:t>mSv（不含天然本底）</w:t>
            </w:r>
            <w:r>
              <w:rPr>
                <w:rFonts w:hint="default" w:ascii="Times New Roman" w:hAnsi="Times New Roman" w:cs="Times New Roman"/>
                <w:color w:val="auto"/>
                <w:spacing w:val="-2"/>
                <w:sz w:val="24"/>
                <w:szCs w:val="24"/>
                <w:highlight w:val="none"/>
              </w:rPr>
              <w:t>，周围公众的年有效剂量最大为</w:t>
            </w:r>
            <w:r>
              <w:rPr>
                <w:rFonts w:hint="default" w:ascii="Times New Roman" w:hAnsi="Times New Roman" w:cs="Times New Roman"/>
                <w:b/>
                <w:bCs/>
                <w:color w:val="auto"/>
                <w:spacing w:val="-2"/>
                <w:sz w:val="24"/>
                <w:szCs w:val="24"/>
                <w:highlight w:val="none"/>
                <w:lang w:val="en-US" w:eastAsia="zh-CN"/>
              </w:rPr>
              <w:t>0.000</w:t>
            </w:r>
            <w:r>
              <w:rPr>
                <w:rFonts w:hint="eastAsia" w:ascii="Times New Roman" w:hAnsi="Times New Roman" w:cs="Times New Roman"/>
                <w:b/>
                <w:bCs/>
                <w:color w:val="auto"/>
                <w:spacing w:val="-2"/>
                <w:sz w:val="24"/>
                <w:szCs w:val="24"/>
                <w:highlight w:val="none"/>
                <w:lang w:val="en-US" w:eastAsia="zh-CN"/>
              </w:rPr>
              <w:t>971</w:t>
            </w:r>
            <w:r>
              <w:rPr>
                <w:rFonts w:hint="default" w:ascii="Times New Roman" w:hAnsi="Times New Roman" w:cs="Times New Roman"/>
                <w:b/>
                <w:bCs/>
                <w:color w:val="auto"/>
                <w:sz w:val="24"/>
                <w:szCs w:val="24"/>
                <w:highlight w:val="none"/>
                <w:lang w:val="en-US"/>
              </w:rPr>
              <w:t>mSv（不含天然本底）</w:t>
            </w:r>
            <w:r>
              <w:rPr>
                <w:rFonts w:hint="default" w:ascii="Times New Roman" w:hAnsi="Times New Roman" w:cs="Times New Roman"/>
                <w:color w:val="auto"/>
                <w:sz w:val="24"/>
                <w:szCs w:val="24"/>
                <w:highlight w:val="none"/>
                <w:lang w:val="en-US"/>
              </w:rPr>
              <w:t>，辐射工作人员手部皮肤当量剂量最大为</w:t>
            </w:r>
            <w:r>
              <w:rPr>
                <w:rFonts w:hint="eastAsia" w:ascii="Times New Roman" w:hAnsi="Times New Roman" w:cs="Times New Roman"/>
                <w:color w:val="auto"/>
                <w:sz w:val="24"/>
                <w:szCs w:val="24"/>
                <w:highlight w:val="none"/>
                <w:lang w:val="en-US" w:eastAsia="zh-CN"/>
              </w:rPr>
              <w:t>44.532</w:t>
            </w:r>
            <w:r>
              <w:rPr>
                <w:rFonts w:hint="default" w:ascii="Times New Roman" w:hAnsi="Times New Roman" w:cs="Times New Roman"/>
                <w:b/>
                <w:bCs/>
                <w:color w:val="auto"/>
                <w:sz w:val="24"/>
                <w:szCs w:val="24"/>
                <w:highlight w:val="none"/>
                <w:lang w:val="en-US"/>
              </w:rPr>
              <w:t>mSv/a（不含天然本底）。</w:t>
            </w:r>
          </w:p>
          <w:p w14:paraId="39EFB5F4">
            <w:pPr>
              <w:adjustRightInd w:val="0"/>
              <w:snapToGrid w:val="0"/>
              <w:spacing w:line="360" w:lineRule="auto"/>
              <w:ind w:firstLine="480" w:firstLineChars="200"/>
              <w:rPr>
                <w:rFonts w:hint="default" w:ascii="Times New Roman" w:hAnsi="Times New Roman" w:cs="Times New Roman"/>
                <w:b w:val="0"/>
                <w:bCs/>
                <w:color w:val="auto"/>
                <w:spacing w:val="3"/>
                <w:sz w:val="24"/>
                <w:highlight w:val="none"/>
              </w:rPr>
            </w:pPr>
            <w:r>
              <w:rPr>
                <w:rFonts w:hint="default" w:ascii="Times New Roman" w:hAnsi="Times New Roman" w:cs="Times New Roman"/>
                <w:b w:val="0"/>
                <w:bCs/>
                <w:color w:val="auto"/>
                <w:spacing w:val="0"/>
                <w:sz w:val="24"/>
                <w:highlight w:val="none"/>
              </w:rPr>
              <w:t>因此综合来看本项目运行后，</w:t>
            </w:r>
            <w:r>
              <w:rPr>
                <w:rFonts w:hint="default" w:ascii="Times New Roman" w:hAnsi="Times New Roman" w:cs="Times New Roman"/>
                <w:b w:val="0"/>
                <w:bCs/>
                <w:color w:val="auto"/>
                <w:sz w:val="24"/>
                <w:highlight w:val="none"/>
              </w:rPr>
              <w:t>DSA</w:t>
            </w:r>
            <w:r>
              <w:rPr>
                <w:rFonts w:hint="default" w:ascii="Times New Roman" w:hAnsi="Times New Roman" w:cs="Times New Roman"/>
                <w:b w:val="0"/>
                <w:bCs/>
                <w:color w:val="auto"/>
                <w:spacing w:val="3"/>
                <w:sz w:val="24"/>
                <w:highlight w:val="none"/>
              </w:rPr>
              <w:t>操作及相关的辐射工作人员以及公众受到的年有效剂量能</w:t>
            </w:r>
            <w:r>
              <w:rPr>
                <w:rFonts w:hint="default" w:ascii="Times New Roman" w:hAnsi="Times New Roman" w:cs="Times New Roman"/>
                <w:b w:val="0"/>
                <w:bCs/>
                <w:color w:val="auto"/>
                <w:sz w:val="24"/>
                <w:highlight w:val="none"/>
              </w:rPr>
              <w:t>够满足《电离辐射防护与辐射源安全基本标准》（GB18871-2002）中对职业人员和</w:t>
            </w:r>
            <w:r>
              <w:rPr>
                <w:rFonts w:hint="default" w:ascii="Times New Roman" w:hAnsi="Times New Roman" w:cs="Times New Roman"/>
                <w:b w:val="0"/>
                <w:bCs/>
                <w:color w:val="auto"/>
                <w:spacing w:val="3"/>
                <w:sz w:val="24"/>
                <w:highlight w:val="none"/>
              </w:rPr>
              <w:t>公众受照剂量限值的要求，并满足本项目管理目标值。本项目</w:t>
            </w:r>
            <w:r>
              <w:rPr>
                <w:rFonts w:hint="eastAsia" w:ascii="Times New Roman" w:hAnsi="Times New Roman" w:cs="Times New Roman"/>
                <w:b w:val="0"/>
                <w:bCs/>
                <w:color w:val="auto"/>
                <w:sz w:val="24"/>
                <w:highlight w:val="none"/>
                <w:lang w:val="en-US" w:eastAsia="zh-CN"/>
              </w:rPr>
              <w:t>平昌县第二人民医院</w:t>
            </w:r>
            <w:r>
              <w:rPr>
                <w:rFonts w:hint="default" w:ascii="Times New Roman" w:hAnsi="Times New Roman" w:cs="Times New Roman"/>
                <w:b w:val="0"/>
                <w:bCs/>
                <w:color w:val="auto"/>
                <w:sz w:val="24"/>
                <w:highlight w:val="none"/>
                <w:lang w:val="en-US" w:eastAsia="zh-CN"/>
              </w:rPr>
              <w:t>新增</w:t>
            </w:r>
            <w:r>
              <w:rPr>
                <w:rFonts w:hint="default" w:ascii="Times New Roman" w:hAnsi="Times New Roman" w:cs="Times New Roman"/>
                <w:b w:val="0"/>
                <w:bCs/>
                <w:color w:val="auto"/>
                <w:sz w:val="24"/>
                <w:highlight w:val="none"/>
              </w:rPr>
              <w:t>数字减影血管造影机（DSA）项目</w:t>
            </w:r>
            <w:r>
              <w:rPr>
                <w:rFonts w:hint="default" w:ascii="Times New Roman" w:hAnsi="Times New Roman" w:cs="Times New Roman"/>
                <w:b w:val="0"/>
                <w:bCs/>
                <w:color w:val="auto"/>
                <w:spacing w:val="-4"/>
                <w:sz w:val="24"/>
                <w:highlight w:val="none"/>
              </w:rPr>
              <w:t>，在现有屏蔽条件下，其屏蔽防护能力能够满足《放射诊断放射防护要求》（GBZ130-2020）</w:t>
            </w:r>
            <w:r>
              <w:rPr>
                <w:rFonts w:hint="default" w:ascii="Times New Roman" w:hAnsi="Times New Roman" w:cs="Times New Roman"/>
                <w:b w:val="0"/>
                <w:bCs/>
                <w:color w:val="auto"/>
                <w:spacing w:val="3"/>
                <w:sz w:val="24"/>
                <w:highlight w:val="none"/>
              </w:rPr>
              <w:t>对于DSA机房“不低于</w:t>
            </w:r>
            <w:r>
              <w:rPr>
                <w:rFonts w:hint="default" w:ascii="Times New Roman" w:hAnsi="Times New Roman" w:cs="Times New Roman"/>
                <w:b w:val="0"/>
                <w:bCs/>
                <w:color w:val="auto"/>
                <w:sz w:val="24"/>
                <w:highlight w:val="none"/>
              </w:rPr>
              <w:t>2mm</w:t>
            </w:r>
            <w:r>
              <w:rPr>
                <w:rFonts w:hint="default" w:ascii="Times New Roman" w:hAnsi="Times New Roman" w:cs="Times New Roman"/>
                <w:b w:val="0"/>
                <w:bCs/>
                <w:color w:val="auto"/>
                <w:spacing w:val="3"/>
                <w:sz w:val="24"/>
                <w:highlight w:val="none"/>
              </w:rPr>
              <w:t>铅当量”的屏蔽要求，本项目屏蔽体外周围剂量当量率也能够满足6.3.1要求。</w:t>
            </w:r>
          </w:p>
          <w:p w14:paraId="487F2471">
            <w:pPr>
              <w:pStyle w:val="32"/>
              <w:snapToGrid w:val="0"/>
              <w:spacing w:line="360" w:lineRule="auto"/>
              <w:jc w:val="both"/>
              <w:textAlignment w:val="auto"/>
              <w:rPr>
                <w:rFonts w:hint="default" w:ascii="Times New Roman" w:hAnsi="Times New Roman" w:cs="Times New Roman"/>
                <w:color w:val="auto"/>
                <w:highlight w:val="none"/>
              </w:rPr>
            </w:pPr>
            <w:r>
              <w:rPr>
                <w:rFonts w:hint="default" w:ascii="Times New Roman" w:hAnsi="Times New Roman" w:cs="Times New Roman"/>
                <w:b/>
                <w:bCs/>
                <w:color w:val="auto"/>
                <w:highlight w:val="none"/>
              </w:rPr>
              <w:t>3. 大气环境影响分析</w:t>
            </w:r>
          </w:p>
          <w:p w14:paraId="114AB263">
            <w:pPr>
              <w:adjustRightInd w:val="0"/>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bCs/>
                <w:color w:val="auto"/>
                <w:sz w:val="24"/>
                <w:highlight w:val="none"/>
              </w:rPr>
              <w:t>本项目DSA机房采用</w:t>
            </w:r>
            <w:r>
              <w:rPr>
                <w:rFonts w:hint="default" w:ascii="Times New Roman" w:hAnsi="Times New Roman" w:cs="Times New Roman"/>
                <w:bCs/>
                <w:color w:val="auto"/>
                <w:sz w:val="24"/>
                <w:highlight w:val="none"/>
                <w:lang w:val="en-US" w:eastAsia="zh-CN"/>
              </w:rPr>
              <w:t>新风系统</w:t>
            </w:r>
            <w:r>
              <w:rPr>
                <w:rFonts w:hint="default" w:ascii="Times New Roman" w:hAnsi="Times New Roman" w:cs="Times New Roman"/>
                <w:bCs/>
                <w:color w:val="auto"/>
                <w:sz w:val="24"/>
                <w:highlight w:val="none"/>
              </w:rPr>
              <w:t>进行通排风，</w:t>
            </w:r>
            <w:r>
              <w:rPr>
                <w:rFonts w:hint="default" w:ascii="Times New Roman" w:hAnsi="Times New Roman" w:cs="Times New Roman"/>
                <w:bCs/>
                <w:color w:val="auto"/>
                <w:sz w:val="24"/>
                <w:highlight w:val="none"/>
                <w:lang w:val="en-US" w:eastAsia="zh-CN"/>
              </w:rPr>
              <w:t>室外气体从室外进风口进入新风机，从室内出风口排出。室内气体从室内进风口进入新风机经室外出风口连接管道，引至二楼楼顶排入大气环境。换气量为1500m</w:t>
            </w:r>
            <w:r>
              <w:rPr>
                <w:rFonts w:hint="default" w:ascii="Times New Roman" w:hAnsi="Times New Roman" w:cs="Times New Roman"/>
                <w:bCs/>
                <w:color w:val="auto"/>
                <w:sz w:val="24"/>
                <w:highlight w:val="none"/>
                <w:vertAlign w:val="superscript"/>
                <w:lang w:val="en-US" w:eastAsia="zh-CN"/>
              </w:rPr>
              <w:t>3</w:t>
            </w:r>
            <w:r>
              <w:rPr>
                <w:rFonts w:hint="default" w:ascii="Times New Roman" w:hAnsi="Times New Roman" w:cs="Times New Roman"/>
                <w:bCs/>
                <w:color w:val="auto"/>
                <w:sz w:val="24"/>
                <w:highlight w:val="none"/>
                <w:vertAlign w:val="baseline"/>
                <w:lang w:val="en-US" w:eastAsia="zh-CN"/>
              </w:rPr>
              <w:t>/h。</w:t>
            </w:r>
          </w:p>
          <w:p w14:paraId="05B551E6">
            <w:pPr>
              <w:pStyle w:val="32"/>
              <w:snapToGrid w:val="0"/>
              <w:spacing w:line="360" w:lineRule="auto"/>
              <w:jc w:val="both"/>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4. 水环境影响分析</w:t>
            </w:r>
          </w:p>
          <w:p w14:paraId="1F90E84F">
            <w:pPr>
              <w:pStyle w:val="32"/>
              <w:snapToGrid w:val="0"/>
              <w:spacing w:line="360" w:lineRule="auto"/>
              <w:ind w:firstLine="480" w:firstLineChars="200"/>
              <w:jc w:val="both"/>
              <w:textAlignment w:val="auto"/>
              <w:rPr>
                <w:rFonts w:hint="default" w:ascii="Times New Roman" w:hAnsi="Times New Roman" w:eastAsia="宋体" w:cs="Times New Roman"/>
                <w:b/>
                <w:bCs/>
                <w:color w:val="auto"/>
                <w:szCs w:val="21"/>
                <w:highlight w:val="none"/>
                <w:lang w:eastAsia="zh-CN"/>
              </w:rPr>
            </w:pPr>
            <w:r>
              <w:rPr>
                <w:rFonts w:hint="default" w:ascii="Times New Roman" w:hAnsi="Times New Roman" w:cs="Times New Roman"/>
                <w:b/>
                <w:bCs/>
                <w:color w:val="auto"/>
                <w:szCs w:val="21"/>
                <w:highlight w:val="none"/>
              </w:rPr>
              <w:t>生活污水及医疗废水依托医院现有设施处理，达标后排入市政污水管网</w:t>
            </w:r>
            <w:r>
              <w:rPr>
                <w:rFonts w:hint="default" w:ascii="Times New Roman" w:hAnsi="Times New Roman" w:cs="Times New Roman"/>
                <w:b/>
                <w:bCs/>
                <w:color w:val="auto"/>
                <w:szCs w:val="21"/>
                <w:highlight w:val="none"/>
                <w:lang w:eastAsia="zh-CN"/>
              </w:rPr>
              <w:t>。</w:t>
            </w:r>
          </w:p>
          <w:p w14:paraId="4B7B20DF">
            <w:pPr>
              <w:pStyle w:val="32"/>
              <w:snapToGrid w:val="0"/>
              <w:spacing w:line="360" w:lineRule="auto"/>
              <w:ind w:firstLine="240" w:firstLineChars="100"/>
              <w:jc w:val="both"/>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5</w:t>
            </w:r>
            <w:r>
              <w:rPr>
                <w:rFonts w:hint="default" w:ascii="Times New Roman" w:hAnsi="Times New Roman" w:cs="Times New Roman"/>
                <w:b/>
                <w:bCs/>
                <w:color w:val="auto"/>
                <w:highlight w:val="none"/>
                <w:lang w:val="en-US" w:eastAsia="zh-CN"/>
              </w:rPr>
              <w:t>.</w:t>
            </w:r>
            <w:r>
              <w:rPr>
                <w:rFonts w:hint="default" w:ascii="Times New Roman" w:hAnsi="Times New Roman" w:cs="Times New Roman"/>
                <w:b/>
                <w:bCs/>
                <w:color w:val="auto"/>
                <w:highlight w:val="none"/>
              </w:rPr>
              <w:t xml:space="preserve"> 固体废物环境影响分析</w:t>
            </w:r>
          </w:p>
          <w:p w14:paraId="50F71487">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本项目DSA不产生放射性固废，DSA采用数字成像，不打印胶片，因此不会有废胶片产生。但手术过程中将产生一定量的医疗废物，工作人员办公过程中将产生一定量的生活垃圾和办公垃圾。</w:t>
            </w:r>
          </w:p>
          <w:p w14:paraId="51CECD68">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医疗废物：</w:t>
            </w:r>
            <w:r>
              <w:rPr>
                <w:rFonts w:hint="default" w:ascii="Times New Roman" w:hAnsi="Times New Roman" w:cs="Times New Roman"/>
                <w:color w:val="auto"/>
                <w:sz w:val="24"/>
                <w:highlight w:val="none"/>
              </w:rPr>
              <w:t>手术时产生一定量的医用器具和药棉、纱布、手套、废造影剂、废造影剂瓶等医用辅料及手术垃圾，按每台手术产生约2kg的医疗废物，每年固体废物产生量约为</w:t>
            </w:r>
            <w:r>
              <w:rPr>
                <w:rFonts w:hint="default" w:ascii="Times New Roman" w:hAnsi="Times New Roman" w:cs="Times New Roman"/>
                <w:color w:val="auto"/>
                <w:sz w:val="24"/>
                <w:highlight w:val="none"/>
                <w:lang w:val="en-US" w:eastAsia="zh-CN"/>
              </w:rPr>
              <w:t>0.7</w:t>
            </w:r>
            <w:r>
              <w:rPr>
                <w:rFonts w:hint="default" w:ascii="Times New Roman" w:hAnsi="Times New Roman" w:cs="Times New Roman"/>
                <w:color w:val="auto"/>
                <w:sz w:val="24"/>
                <w:highlight w:val="none"/>
              </w:rPr>
              <w:t>t/a（约</w:t>
            </w:r>
            <w:r>
              <w:rPr>
                <w:rFonts w:hint="default" w:ascii="Times New Roman" w:hAnsi="Times New Roman" w:cs="Times New Roman"/>
                <w:color w:val="auto"/>
                <w:sz w:val="24"/>
                <w:highlight w:val="none"/>
                <w:lang w:val="en-US" w:eastAsia="zh-CN"/>
              </w:rPr>
              <w:t>1.9</w:t>
            </w:r>
            <w:r>
              <w:rPr>
                <w:rFonts w:hint="default" w:ascii="Times New Roman" w:hAnsi="Times New Roman" w:cs="Times New Roman"/>
                <w:color w:val="auto"/>
                <w:sz w:val="24"/>
                <w:highlight w:val="none"/>
              </w:rPr>
              <w:t>kg/d）。这些医疗废物经分类收集打包好后转运至DSA机房南侧污物通道内，待一天手术结束后，统一由专门的清洁人员清运至位于医院西侧的医院医疗废物暂存间，为减少恶臭气体及病原体的产生，要求医疗废物日产日清，医院委托</w:t>
            </w:r>
            <w:r>
              <w:rPr>
                <w:rFonts w:hint="default" w:ascii="Times New Roman" w:hAnsi="Times New Roman" w:cs="Times New Roman"/>
                <w:color w:val="auto"/>
                <w:sz w:val="24"/>
                <w:highlight w:val="none"/>
                <w:lang w:val="en-US" w:eastAsia="zh-CN"/>
              </w:rPr>
              <w:t>剑阁县利盈医疗废物处置有限公司</w:t>
            </w:r>
            <w:r>
              <w:rPr>
                <w:rFonts w:hint="default" w:ascii="Times New Roman" w:hAnsi="Times New Roman" w:cs="Times New Roman"/>
                <w:color w:val="auto"/>
                <w:sz w:val="24"/>
                <w:highlight w:val="none"/>
              </w:rPr>
              <w:t>进行处理。</w:t>
            </w:r>
          </w:p>
          <w:p w14:paraId="55E83A33">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生活垃圾：</w:t>
            </w:r>
            <w:r>
              <w:rPr>
                <w:rFonts w:hint="default" w:ascii="Times New Roman" w:hAnsi="Times New Roman" w:cs="Times New Roman"/>
                <w:color w:val="auto"/>
                <w:sz w:val="24"/>
                <w:highlight w:val="none"/>
              </w:rPr>
              <w:t>工作人员产生的生活垃圾和办公垃圾不属于医疗废物，按每名工作人员每天产生</w:t>
            </w:r>
            <w:r>
              <w:rPr>
                <w:rFonts w:hint="default" w:ascii="Times New Roman" w:hAnsi="Times New Roman" w:cs="Times New Roman"/>
                <w:color w:val="auto"/>
                <w:sz w:val="24"/>
                <w:highlight w:val="none"/>
                <w:lang w:val="en-US" w:eastAsia="zh-CN"/>
              </w:rPr>
              <w:t>0.5</w:t>
            </w:r>
            <w:r>
              <w:rPr>
                <w:rFonts w:hint="default" w:ascii="Times New Roman" w:hAnsi="Times New Roman" w:cs="Times New Roman"/>
                <w:color w:val="auto"/>
                <w:sz w:val="24"/>
                <w:highlight w:val="none"/>
              </w:rPr>
              <w:t>kg计，年产量约为</w:t>
            </w:r>
            <w:r>
              <w:rPr>
                <w:rFonts w:hint="default" w:ascii="Times New Roman" w:hAnsi="Times New Roman" w:cs="Times New Roman"/>
                <w:color w:val="auto"/>
                <w:sz w:val="24"/>
                <w:highlight w:val="none"/>
                <w:lang w:val="en-US" w:eastAsia="zh-CN"/>
              </w:rPr>
              <w:t>1.28</w:t>
            </w:r>
            <w:r>
              <w:rPr>
                <w:rFonts w:hint="default" w:ascii="Times New Roman" w:hAnsi="Times New Roman" w:cs="Times New Roman"/>
                <w:color w:val="auto"/>
                <w:sz w:val="24"/>
                <w:highlight w:val="none"/>
              </w:rPr>
              <w:t>t/a（约</w:t>
            </w:r>
            <w:r>
              <w:rPr>
                <w:rFonts w:hint="default" w:ascii="Times New Roman" w:hAnsi="Times New Roman" w:cs="Times New Roman"/>
                <w:color w:val="auto"/>
                <w:sz w:val="24"/>
                <w:highlight w:val="none"/>
                <w:lang w:val="en-US" w:eastAsia="zh-CN"/>
              </w:rPr>
              <w:t>3.5</w:t>
            </w:r>
            <w:r>
              <w:rPr>
                <w:rFonts w:hint="default" w:ascii="Times New Roman" w:hAnsi="Times New Roman" w:cs="Times New Roman"/>
                <w:color w:val="auto"/>
                <w:sz w:val="24"/>
                <w:highlight w:val="none"/>
              </w:rPr>
              <w:t>kg/d）。医院按照当地管理部门要求，办公、生活垃圾依托原有垃圾收集系统，由环卫部门统一清运处理，为防止蚊蝇滋生，要求生活垃圾日产日清。</w:t>
            </w:r>
          </w:p>
          <w:p w14:paraId="3625262D">
            <w:pPr>
              <w:pStyle w:val="32"/>
              <w:snapToGrid w:val="0"/>
              <w:spacing w:line="360" w:lineRule="auto"/>
              <w:ind w:firstLine="480"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本项目产生的固体废物经妥善处理后对周围环境影响较小。</w:t>
            </w:r>
          </w:p>
          <w:p w14:paraId="454F0AC2">
            <w:pPr>
              <w:pStyle w:val="32"/>
              <w:snapToGrid w:val="0"/>
              <w:spacing w:line="360" w:lineRule="auto"/>
              <w:jc w:val="both"/>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6. 声环境影响分析</w:t>
            </w:r>
          </w:p>
          <w:p w14:paraId="75E33B12">
            <w:pPr>
              <w:adjustRightInd w:val="0"/>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sz w:val="24"/>
                <w:highlight w:val="none"/>
              </w:rPr>
              <w:t>本项目产噪设备主要为通排风系统、空调系统，建设单位拟采用低噪音风机，噪声源强不大于65dB（A）且均处于室内，通过建筑墙体隔声及距离衰减后，对周围环境噪声的贡献很小，对项目所在区域声环境影响很小。</w:t>
            </w:r>
          </w:p>
        </w:tc>
      </w:tr>
      <w:tr w14:paraId="6ACA9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Pr>
          <w:p w14:paraId="703D3A8E">
            <w:pPr>
              <w:adjustRightInd w:val="0"/>
              <w:snapToGrid w:val="0"/>
              <w:spacing w:line="360" w:lineRule="auto"/>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环境影响风险分析</w:t>
            </w:r>
          </w:p>
          <w:p w14:paraId="082F385E">
            <w:pPr>
              <w:numPr>
                <w:ilvl w:val="0"/>
                <w:numId w:val="24"/>
              </w:numPr>
              <w:adjustRightInd w:val="0"/>
              <w:snapToGrid w:val="0"/>
              <w:spacing w:line="360" w:lineRule="auto"/>
              <w:ind w:firstLine="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环境风险评价的目的</w:t>
            </w:r>
          </w:p>
          <w:p w14:paraId="534B42D4">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环境风险评价的目的是分析和预测建设项目存在的潜在危害和有害因素，以及项目在建设、运营期间可能发生的事故（一般不包括自然灾害与人为破坏），引起有毒、有害（本项目为电离辐射）物质泄漏，所造成的环境影响程度和人身安全损害程度，并提出合理可行的防范、应急与减缓措施，以使项目事故发生率、损失和环境影响达到可以接受的水平。</w:t>
            </w:r>
          </w:p>
          <w:p w14:paraId="74D9233D">
            <w:pPr>
              <w:numPr>
                <w:ilvl w:val="0"/>
                <w:numId w:val="24"/>
              </w:numPr>
              <w:adjustRightInd w:val="0"/>
              <w:snapToGrid w:val="0"/>
              <w:spacing w:line="360" w:lineRule="auto"/>
              <w:ind w:firstLine="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风险识别</w:t>
            </w:r>
          </w:p>
          <w:p w14:paraId="068032B0">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本项目DSA属于Ⅱ类射线装置，其在操作过程中，如果不被安全管理或可靠保护，可能对人员造成放射性损伤和环境污染。</w:t>
            </w:r>
          </w:p>
          <w:p w14:paraId="4C5CFC92">
            <w:pPr>
              <w:autoSpaceDE w:val="0"/>
              <w:autoSpaceDN w:val="0"/>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主要事故风险：</w:t>
            </w:r>
          </w:p>
          <w:p w14:paraId="6CD52820">
            <w:pPr>
              <w:pStyle w:val="34"/>
              <w:numPr>
                <w:ilvl w:val="0"/>
                <w:numId w:val="25"/>
              </w:numPr>
              <w:adjustRightInd w:val="0"/>
              <w:snapToGrid w:val="0"/>
              <w:spacing w:line="360" w:lineRule="auto"/>
              <w:ind w:left="0" w:firstLine="480" w:firstLineChars="200"/>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介入手术操作过程中，辐射工作人员未采取任何防护的情况下位于非主射方向进行透视手术操作。</w:t>
            </w:r>
          </w:p>
          <w:p w14:paraId="7104AD1F">
            <w:pPr>
              <w:pStyle w:val="63"/>
              <w:numPr>
                <w:ilvl w:val="0"/>
                <w:numId w:val="25"/>
              </w:numPr>
              <w:adjustRightInd w:val="0"/>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在装置运行时，公众误入DSA机房或者未撤离DSA机房，造成不必要的照射。</w:t>
            </w:r>
          </w:p>
          <w:p w14:paraId="7FCA2DAF">
            <w:pPr>
              <w:numPr>
                <w:ilvl w:val="0"/>
                <w:numId w:val="24"/>
              </w:numPr>
              <w:adjustRightInd w:val="0"/>
              <w:snapToGrid w:val="0"/>
              <w:spacing w:line="360" w:lineRule="auto"/>
              <w:ind w:firstLine="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源项分析及事故等级分析</w:t>
            </w:r>
          </w:p>
          <w:p w14:paraId="01407E22">
            <w:pPr>
              <w:pStyle w:val="63"/>
              <w:adjustRightInd w:val="0"/>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本项目主要的环境风险因子为射线装置工作时产生的X射线。按照《放射性同位素与射线装置安全和防护条例》对于事故的分级原则，现将事故等级列于表11-13中。</w:t>
            </w:r>
          </w:p>
          <w:p w14:paraId="153B5885">
            <w:pPr>
              <w:pStyle w:val="32"/>
              <w:numPr>
                <w:ilvl w:val="0"/>
                <w:numId w:val="22"/>
              </w:numPr>
              <w:snapToGrid w:val="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 </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辐射事故等级一览表</w:t>
            </w:r>
          </w:p>
          <w:tbl>
            <w:tblPr>
              <w:tblStyle w:val="2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9"/>
              <w:gridCol w:w="1900"/>
            </w:tblGrid>
            <w:tr w14:paraId="09D6E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53" w:type="pct"/>
                  <w:vAlign w:val="center"/>
                </w:tcPr>
                <w:p w14:paraId="6DC366B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潜在危害</w:t>
                  </w:r>
                </w:p>
              </w:tc>
              <w:tc>
                <w:tcPr>
                  <w:tcW w:w="1146" w:type="pct"/>
                  <w:vAlign w:val="center"/>
                </w:tcPr>
                <w:p w14:paraId="2EE13F7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事故等级</w:t>
                  </w:r>
                </w:p>
              </w:tc>
            </w:tr>
            <w:tr w14:paraId="5EA38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53" w:type="pct"/>
                  <w:vAlign w:val="center"/>
                </w:tcPr>
                <w:p w14:paraId="3AE3B47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射线装置失控导致人员受到超过年剂量限值的照射</w:t>
                  </w:r>
                </w:p>
              </w:tc>
              <w:tc>
                <w:tcPr>
                  <w:tcW w:w="1146" w:type="pct"/>
                  <w:vAlign w:val="center"/>
                </w:tcPr>
                <w:p w14:paraId="479887D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一般辐射事故</w:t>
                  </w:r>
                </w:p>
              </w:tc>
            </w:tr>
            <w:tr w14:paraId="7E321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53" w:type="pct"/>
                  <w:vAlign w:val="center"/>
                </w:tcPr>
                <w:p w14:paraId="1AEC924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射线装置失控导致9人以下（含9人）急性重度放射病、局部器官残疾</w:t>
                  </w:r>
                </w:p>
              </w:tc>
              <w:tc>
                <w:tcPr>
                  <w:tcW w:w="1146" w:type="pct"/>
                  <w:vAlign w:val="center"/>
                </w:tcPr>
                <w:p w14:paraId="6A19E6C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较大辐射事故</w:t>
                  </w:r>
                </w:p>
              </w:tc>
            </w:tr>
            <w:tr w14:paraId="0E3CD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53" w:type="pct"/>
                  <w:vAlign w:val="center"/>
                </w:tcPr>
                <w:p w14:paraId="2C376F5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是指Ⅰ类、Ⅱ类放射源丢失、被盗、失控，或者放射性同位素和射线装置失控导致2人以下（含2人）</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"https://baike.baidu.com/item/%E6%80%A5%E6%80%A7%E6%AD%BB%E4%BA%A1/10323804" \t "https://baike.baidu.com/item/%E6%94%BE%E5%B0%84%E6%80%A7%E5%90%8C%E4%BD%8D%E7%B4%A0%E4%B8%8E%E5%B0%84%E7%BA%BF%E8%A3%85%E7%BD%AE%E5%AE%89%E5%85%A8%E5%92%8C%E9%98%B2%E6%8A%A4%E6%9D%A1%E4%BE%8B/_blank"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1"/>
                      <w:highlight w:val="none"/>
                    </w:rPr>
                    <w:t>急性死亡</w:t>
                  </w:r>
                  <w:r>
                    <w:rPr>
                      <w:rFonts w:hint="default" w:ascii="Times New Roman" w:hAnsi="Times New Roman" w:cs="Times New Roman"/>
                      <w:color w:val="auto"/>
                      <w:szCs w:val="21"/>
                      <w:highlight w:val="none"/>
                    </w:rPr>
                    <w:fldChar w:fldCharType="end"/>
                  </w:r>
                  <w:r>
                    <w:rPr>
                      <w:rFonts w:hint="default" w:ascii="Times New Roman" w:hAnsi="Times New Roman" w:cs="Times New Roman"/>
                      <w:color w:val="auto"/>
                      <w:szCs w:val="21"/>
                      <w:highlight w:val="none"/>
                    </w:rPr>
                    <w:t>或者10人以上（含10人）急性重度</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"https://baike.baidu.com/item/%E6%94%BE%E5%B0%84%E7%97%85/8241075" \t "https://baike.baidu.com/item/%E6%94%BE%E5%B0%84%E6%80%A7%E5%90%8C%E4%BD%8D%E7%B4%A0%E4%B8%8E%E5%B0%84%E7%BA%BF%E8%A3%85%E7%BD%AE%E5%AE%89%E5%85%A8%E5%92%8C%E9%98%B2%E6%8A%A4%E6%9D%A1%E4%BE%8B/_blank"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1"/>
                      <w:highlight w:val="none"/>
                    </w:rPr>
                    <w:t>放射病</w:t>
                  </w:r>
                  <w:r>
                    <w:rPr>
                      <w:rFonts w:hint="default" w:ascii="Times New Roman" w:hAnsi="Times New Roman" w:cs="Times New Roman"/>
                      <w:color w:val="auto"/>
                      <w:szCs w:val="21"/>
                      <w:highlight w:val="none"/>
                    </w:rPr>
                    <w:fldChar w:fldCharType="end"/>
                  </w:r>
                  <w:r>
                    <w:rPr>
                      <w:rFonts w:hint="default" w:ascii="Times New Roman" w:hAnsi="Times New Roman" w:cs="Times New Roman"/>
                      <w:color w:val="auto"/>
                      <w:szCs w:val="21"/>
                      <w:highlight w:val="none"/>
                    </w:rPr>
                    <w:t>、局部器官残疾。</w:t>
                  </w:r>
                </w:p>
              </w:tc>
              <w:tc>
                <w:tcPr>
                  <w:tcW w:w="1146" w:type="pct"/>
                  <w:vAlign w:val="center"/>
                </w:tcPr>
                <w:p w14:paraId="1F51AF1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重大辐射事故</w:t>
                  </w:r>
                </w:p>
              </w:tc>
            </w:tr>
            <w:tr w14:paraId="69D21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53" w:type="pct"/>
                  <w:vAlign w:val="center"/>
                </w:tcPr>
                <w:p w14:paraId="01ABAC9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是指Ⅰ类、Ⅱ类</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"https://baike.baidu.com/item/%E6%94%BE%E5%B0%84%E6%BA%90/1205666" \t "https://baike.baidu.com/item/%E6%94%BE%E5%B0%84%E6%80%A7%E5%90%8C%E4%BD%8D%E7%B4%A0%E4%B8%8E%E5%B0%84%E7%BA%BF%E8%A3%85%E7%BD%AE%E5%AE%89%E5%85%A8%E5%92%8C%E9%98%B2%E6%8A%A4%E6%9D%A1%E4%BE%8B/_blank"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1"/>
                      <w:highlight w:val="none"/>
                    </w:rPr>
                    <w:t>放射源</w:t>
                  </w:r>
                  <w:r>
                    <w:rPr>
                      <w:rFonts w:hint="default" w:ascii="Times New Roman" w:hAnsi="Times New Roman" w:cs="Times New Roman"/>
                      <w:color w:val="auto"/>
                      <w:szCs w:val="21"/>
                      <w:highlight w:val="none"/>
                    </w:rPr>
                    <w:fldChar w:fldCharType="end"/>
                  </w:r>
                  <w:r>
                    <w:rPr>
                      <w:rFonts w:hint="default" w:ascii="Times New Roman" w:hAnsi="Times New Roman" w:cs="Times New Roman"/>
                      <w:color w:val="auto"/>
                      <w:szCs w:val="21"/>
                      <w:highlight w:val="none"/>
                    </w:rPr>
                    <w:t>丢失、被盗、失控造成大范围严重辐射污染后果，或者放射性同位素和射线装置失控导致3人以上（含3人）急性死亡</w:t>
                  </w:r>
                </w:p>
              </w:tc>
              <w:tc>
                <w:tcPr>
                  <w:tcW w:w="1146" w:type="pct"/>
                  <w:vAlign w:val="center"/>
                </w:tcPr>
                <w:p w14:paraId="4EE7944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特别重大辐射事故</w:t>
                  </w:r>
                </w:p>
              </w:tc>
            </w:tr>
          </w:tbl>
          <w:p w14:paraId="554D8F23">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同时根据《职业性外照射急性放射病诊断》（GBZ104-2017），急性放射病 发生参考剂量见下表。</w:t>
            </w:r>
          </w:p>
          <w:p w14:paraId="591955BE">
            <w:pPr>
              <w:pStyle w:val="32"/>
              <w:numPr>
                <w:ilvl w:val="0"/>
                <w:numId w:val="22"/>
              </w:numPr>
              <w:snapToGrid w:val="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 </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急性放射病初期临床反应及受照剂量范围参考值</w:t>
            </w:r>
          </w:p>
          <w:tbl>
            <w:tblPr>
              <w:tblStyle w:val="2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3"/>
              <w:gridCol w:w="2762"/>
              <w:gridCol w:w="2764"/>
            </w:tblGrid>
            <w:tr w14:paraId="282BD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vAlign w:val="center"/>
                </w:tcPr>
                <w:p w14:paraId="251A550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急性放射性病</w:t>
                  </w:r>
                </w:p>
              </w:tc>
              <w:tc>
                <w:tcPr>
                  <w:tcW w:w="1666" w:type="pct"/>
                  <w:vAlign w:val="center"/>
                </w:tcPr>
                <w:p w14:paraId="4055CA9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分度</w:t>
                  </w:r>
                </w:p>
              </w:tc>
              <w:tc>
                <w:tcPr>
                  <w:tcW w:w="1667" w:type="pct"/>
                  <w:vAlign w:val="center"/>
                </w:tcPr>
                <w:p w14:paraId="105E81B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受照剂量范围</w:t>
                  </w:r>
                </w:p>
              </w:tc>
            </w:tr>
            <w:tr w14:paraId="26E54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vMerge w:val="restart"/>
                  <w:vAlign w:val="center"/>
                </w:tcPr>
                <w:p w14:paraId="63A7BCE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骨髓型急性放射病</w:t>
                  </w:r>
                </w:p>
              </w:tc>
              <w:tc>
                <w:tcPr>
                  <w:tcW w:w="1666" w:type="pct"/>
                  <w:vAlign w:val="center"/>
                </w:tcPr>
                <w:p w14:paraId="3538F31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轻度</w:t>
                  </w:r>
                </w:p>
              </w:tc>
              <w:tc>
                <w:tcPr>
                  <w:tcW w:w="1667" w:type="pct"/>
                  <w:vAlign w:val="center"/>
                </w:tcPr>
                <w:p w14:paraId="66A7C8E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1.0Gy~2.0Gy</w:t>
                  </w:r>
                </w:p>
              </w:tc>
            </w:tr>
            <w:tr w14:paraId="021B1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vMerge w:val="continue"/>
                  <w:vAlign w:val="center"/>
                </w:tcPr>
                <w:p w14:paraId="0C7699A8">
                  <w:pPr>
                    <w:adjustRightInd w:val="0"/>
                    <w:snapToGrid w:val="0"/>
                    <w:jc w:val="center"/>
                    <w:rPr>
                      <w:rFonts w:hint="default" w:ascii="Times New Roman" w:hAnsi="Times New Roman" w:cs="Times New Roman"/>
                      <w:color w:val="auto"/>
                      <w:szCs w:val="21"/>
                      <w:highlight w:val="none"/>
                    </w:rPr>
                  </w:pPr>
                </w:p>
              </w:tc>
              <w:tc>
                <w:tcPr>
                  <w:tcW w:w="1666" w:type="pct"/>
                  <w:vAlign w:val="center"/>
                </w:tcPr>
                <w:p w14:paraId="6CA3F577">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中度</w:t>
                  </w:r>
                </w:p>
              </w:tc>
              <w:tc>
                <w:tcPr>
                  <w:tcW w:w="1667" w:type="pct"/>
                  <w:vAlign w:val="center"/>
                </w:tcPr>
                <w:p w14:paraId="653E4CB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2.0Gy~4.0Gy</w:t>
                  </w:r>
                </w:p>
              </w:tc>
            </w:tr>
            <w:tr w14:paraId="48C8C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vMerge w:val="continue"/>
                  <w:vAlign w:val="center"/>
                </w:tcPr>
                <w:p w14:paraId="76B3545C">
                  <w:pPr>
                    <w:adjustRightInd w:val="0"/>
                    <w:snapToGrid w:val="0"/>
                    <w:jc w:val="center"/>
                    <w:rPr>
                      <w:rFonts w:hint="default" w:ascii="Times New Roman" w:hAnsi="Times New Roman" w:cs="Times New Roman"/>
                      <w:color w:val="auto"/>
                      <w:szCs w:val="21"/>
                      <w:highlight w:val="none"/>
                    </w:rPr>
                  </w:pPr>
                </w:p>
              </w:tc>
              <w:tc>
                <w:tcPr>
                  <w:tcW w:w="1666" w:type="pct"/>
                  <w:vAlign w:val="center"/>
                </w:tcPr>
                <w:p w14:paraId="6B6F491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重度</w:t>
                  </w:r>
                </w:p>
              </w:tc>
              <w:tc>
                <w:tcPr>
                  <w:tcW w:w="1667" w:type="pct"/>
                  <w:vAlign w:val="center"/>
                </w:tcPr>
                <w:p w14:paraId="1B752F0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4.0Gy~6.0Gy</w:t>
                  </w:r>
                </w:p>
              </w:tc>
            </w:tr>
            <w:tr w14:paraId="15D6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vMerge w:val="continue"/>
                  <w:vAlign w:val="center"/>
                </w:tcPr>
                <w:p w14:paraId="58DFA8F4">
                  <w:pPr>
                    <w:adjustRightInd w:val="0"/>
                    <w:snapToGrid w:val="0"/>
                    <w:jc w:val="center"/>
                    <w:rPr>
                      <w:rFonts w:hint="default" w:ascii="Times New Roman" w:hAnsi="Times New Roman" w:cs="Times New Roman"/>
                      <w:color w:val="auto"/>
                      <w:szCs w:val="21"/>
                      <w:highlight w:val="none"/>
                    </w:rPr>
                  </w:pPr>
                </w:p>
              </w:tc>
              <w:tc>
                <w:tcPr>
                  <w:tcW w:w="1666" w:type="pct"/>
                  <w:vAlign w:val="center"/>
                </w:tcPr>
                <w:p w14:paraId="0C920A9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极重度</w:t>
                  </w:r>
                </w:p>
              </w:tc>
              <w:tc>
                <w:tcPr>
                  <w:tcW w:w="1667" w:type="pct"/>
                  <w:vAlign w:val="center"/>
                </w:tcPr>
                <w:p w14:paraId="59BB5D2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6.0Gy~10.0Gy</w:t>
                  </w:r>
                </w:p>
              </w:tc>
            </w:tr>
            <w:tr w14:paraId="2B304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vMerge w:val="restart"/>
                  <w:vAlign w:val="center"/>
                </w:tcPr>
                <w:p w14:paraId="7048193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肠型急性放射病</w:t>
                  </w:r>
                </w:p>
              </w:tc>
              <w:tc>
                <w:tcPr>
                  <w:tcW w:w="1666" w:type="pct"/>
                  <w:shd w:val="clear" w:color="auto" w:fill="auto"/>
                  <w:vAlign w:val="center"/>
                </w:tcPr>
                <w:p w14:paraId="317FBE8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轻度</w:t>
                  </w:r>
                </w:p>
              </w:tc>
              <w:tc>
                <w:tcPr>
                  <w:tcW w:w="1667" w:type="pct"/>
                  <w:vAlign w:val="center"/>
                </w:tcPr>
                <w:p w14:paraId="5934303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10.0Gy~20.0Gy</w:t>
                  </w:r>
                </w:p>
              </w:tc>
            </w:tr>
            <w:tr w14:paraId="5FF84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vMerge w:val="continue"/>
                  <w:vAlign w:val="center"/>
                </w:tcPr>
                <w:p w14:paraId="42427767">
                  <w:pPr>
                    <w:adjustRightInd w:val="0"/>
                    <w:snapToGrid w:val="0"/>
                    <w:jc w:val="center"/>
                    <w:rPr>
                      <w:rFonts w:hint="default" w:ascii="Times New Roman" w:hAnsi="Times New Roman" w:cs="Times New Roman"/>
                      <w:color w:val="auto"/>
                      <w:szCs w:val="21"/>
                      <w:highlight w:val="none"/>
                    </w:rPr>
                  </w:pPr>
                </w:p>
              </w:tc>
              <w:tc>
                <w:tcPr>
                  <w:tcW w:w="1666" w:type="pct"/>
                  <w:shd w:val="clear" w:color="auto" w:fill="auto"/>
                  <w:vAlign w:val="center"/>
                </w:tcPr>
                <w:p w14:paraId="1FE94ED7">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中度</w:t>
                  </w:r>
                </w:p>
              </w:tc>
              <w:tc>
                <w:tcPr>
                  <w:tcW w:w="1667" w:type="pct"/>
                  <w:vAlign w:val="center"/>
                </w:tcPr>
                <w:p w14:paraId="34BCBF9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75363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vMerge w:val="continue"/>
                  <w:vAlign w:val="center"/>
                </w:tcPr>
                <w:p w14:paraId="2F1007EC">
                  <w:pPr>
                    <w:adjustRightInd w:val="0"/>
                    <w:snapToGrid w:val="0"/>
                    <w:jc w:val="center"/>
                    <w:rPr>
                      <w:rFonts w:hint="default" w:ascii="Times New Roman" w:hAnsi="Times New Roman" w:cs="Times New Roman"/>
                      <w:color w:val="auto"/>
                      <w:szCs w:val="21"/>
                      <w:highlight w:val="none"/>
                    </w:rPr>
                  </w:pPr>
                </w:p>
              </w:tc>
              <w:tc>
                <w:tcPr>
                  <w:tcW w:w="1666" w:type="pct"/>
                  <w:shd w:val="clear" w:color="auto" w:fill="auto"/>
                  <w:vAlign w:val="center"/>
                </w:tcPr>
                <w:p w14:paraId="09DDB13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重度</w:t>
                  </w:r>
                </w:p>
              </w:tc>
              <w:tc>
                <w:tcPr>
                  <w:tcW w:w="1667" w:type="pct"/>
                  <w:vAlign w:val="center"/>
                </w:tcPr>
                <w:p w14:paraId="221382A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20.0Gy~50.0Gy</w:t>
                  </w:r>
                </w:p>
              </w:tc>
            </w:tr>
            <w:tr w14:paraId="1F0FD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vMerge w:val="continue"/>
                  <w:vAlign w:val="center"/>
                </w:tcPr>
                <w:p w14:paraId="5DF13792">
                  <w:pPr>
                    <w:adjustRightInd w:val="0"/>
                    <w:snapToGrid w:val="0"/>
                    <w:jc w:val="center"/>
                    <w:rPr>
                      <w:rFonts w:hint="default" w:ascii="Times New Roman" w:hAnsi="Times New Roman" w:cs="Times New Roman"/>
                      <w:color w:val="auto"/>
                      <w:szCs w:val="21"/>
                      <w:highlight w:val="none"/>
                    </w:rPr>
                  </w:pPr>
                </w:p>
              </w:tc>
              <w:tc>
                <w:tcPr>
                  <w:tcW w:w="1666" w:type="pct"/>
                  <w:shd w:val="clear" w:color="auto" w:fill="auto"/>
                  <w:vAlign w:val="center"/>
                </w:tcPr>
                <w:p w14:paraId="68920FF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极重度</w:t>
                  </w:r>
                </w:p>
              </w:tc>
              <w:tc>
                <w:tcPr>
                  <w:tcW w:w="1667" w:type="pct"/>
                  <w:vAlign w:val="center"/>
                </w:tcPr>
                <w:p w14:paraId="58BA499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7500D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vMerge w:val="restart"/>
                  <w:vAlign w:val="center"/>
                </w:tcPr>
                <w:p w14:paraId="1931266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脑型急性放射病</w:t>
                  </w:r>
                </w:p>
              </w:tc>
              <w:tc>
                <w:tcPr>
                  <w:tcW w:w="1666" w:type="pct"/>
                  <w:shd w:val="clear" w:color="auto" w:fill="auto"/>
                  <w:vAlign w:val="center"/>
                </w:tcPr>
                <w:p w14:paraId="2B62427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轻度</w:t>
                  </w:r>
                </w:p>
              </w:tc>
              <w:tc>
                <w:tcPr>
                  <w:tcW w:w="1667" w:type="pct"/>
                  <w:vMerge w:val="restart"/>
                  <w:vAlign w:val="center"/>
                </w:tcPr>
                <w:p w14:paraId="6C7EF22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50Gy~100Gy</w:t>
                  </w:r>
                </w:p>
              </w:tc>
            </w:tr>
            <w:tr w14:paraId="23A6A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vMerge w:val="continue"/>
                  <w:vAlign w:val="center"/>
                </w:tcPr>
                <w:p w14:paraId="6D3C06DB">
                  <w:pPr>
                    <w:adjustRightInd w:val="0"/>
                    <w:snapToGrid w:val="0"/>
                    <w:jc w:val="center"/>
                    <w:rPr>
                      <w:rFonts w:hint="default" w:ascii="Times New Roman" w:hAnsi="Times New Roman" w:cs="Times New Roman"/>
                      <w:color w:val="auto"/>
                      <w:szCs w:val="21"/>
                      <w:highlight w:val="none"/>
                    </w:rPr>
                  </w:pPr>
                </w:p>
              </w:tc>
              <w:tc>
                <w:tcPr>
                  <w:tcW w:w="1666" w:type="pct"/>
                  <w:shd w:val="clear" w:color="auto" w:fill="auto"/>
                  <w:vAlign w:val="center"/>
                </w:tcPr>
                <w:p w14:paraId="1985B46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中度</w:t>
                  </w:r>
                </w:p>
              </w:tc>
              <w:tc>
                <w:tcPr>
                  <w:tcW w:w="1667" w:type="pct"/>
                  <w:vMerge w:val="continue"/>
                  <w:vAlign w:val="center"/>
                </w:tcPr>
                <w:p w14:paraId="4D180E98">
                  <w:pPr>
                    <w:adjustRightInd w:val="0"/>
                    <w:snapToGrid w:val="0"/>
                    <w:jc w:val="center"/>
                    <w:rPr>
                      <w:rFonts w:hint="default" w:ascii="Times New Roman" w:hAnsi="Times New Roman" w:cs="Times New Roman"/>
                      <w:color w:val="auto"/>
                      <w:szCs w:val="21"/>
                      <w:highlight w:val="none"/>
                    </w:rPr>
                  </w:pPr>
                </w:p>
              </w:tc>
            </w:tr>
            <w:tr w14:paraId="4E1DD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vMerge w:val="continue"/>
                  <w:vAlign w:val="center"/>
                </w:tcPr>
                <w:p w14:paraId="3175430B">
                  <w:pPr>
                    <w:adjustRightInd w:val="0"/>
                    <w:snapToGrid w:val="0"/>
                    <w:jc w:val="center"/>
                    <w:rPr>
                      <w:rFonts w:hint="default" w:ascii="Times New Roman" w:hAnsi="Times New Roman" w:cs="Times New Roman"/>
                      <w:color w:val="auto"/>
                      <w:szCs w:val="21"/>
                      <w:highlight w:val="none"/>
                    </w:rPr>
                  </w:pPr>
                </w:p>
              </w:tc>
              <w:tc>
                <w:tcPr>
                  <w:tcW w:w="1666" w:type="pct"/>
                  <w:shd w:val="clear" w:color="auto" w:fill="auto"/>
                  <w:vAlign w:val="center"/>
                </w:tcPr>
                <w:p w14:paraId="5A0D4FC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重度</w:t>
                  </w:r>
                </w:p>
              </w:tc>
              <w:tc>
                <w:tcPr>
                  <w:tcW w:w="1667" w:type="pct"/>
                  <w:vMerge w:val="continue"/>
                  <w:vAlign w:val="center"/>
                </w:tcPr>
                <w:p w14:paraId="4D670B96">
                  <w:pPr>
                    <w:adjustRightInd w:val="0"/>
                    <w:snapToGrid w:val="0"/>
                    <w:jc w:val="center"/>
                    <w:rPr>
                      <w:rFonts w:hint="default" w:ascii="Times New Roman" w:hAnsi="Times New Roman" w:cs="Times New Roman"/>
                      <w:color w:val="auto"/>
                      <w:szCs w:val="21"/>
                      <w:highlight w:val="none"/>
                    </w:rPr>
                  </w:pPr>
                </w:p>
              </w:tc>
            </w:tr>
            <w:tr w14:paraId="64550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vMerge w:val="continue"/>
                  <w:vAlign w:val="center"/>
                </w:tcPr>
                <w:p w14:paraId="636AE492">
                  <w:pPr>
                    <w:adjustRightInd w:val="0"/>
                    <w:snapToGrid w:val="0"/>
                    <w:jc w:val="center"/>
                    <w:rPr>
                      <w:rFonts w:hint="default" w:ascii="Times New Roman" w:hAnsi="Times New Roman" w:cs="Times New Roman"/>
                      <w:color w:val="auto"/>
                      <w:szCs w:val="21"/>
                      <w:highlight w:val="none"/>
                    </w:rPr>
                  </w:pPr>
                </w:p>
              </w:tc>
              <w:tc>
                <w:tcPr>
                  <w:tcW w:w="1666" w:type="pct"/>
                  <w:shd w:val="clear" w:color="auto" w:fill="auto"/>
                  <w:vAlign w:val="center"/>
                </w:tcPr>
                <w:p w14:paraId="0187317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极重度</w:t>
                  </w:r>
                </w:p>
              </w:tc>
              <w:tc>
                <w:tcPr>
                  <w:tcW w:w="1667" w:type="pct"/>
                  <w:vMerge w:val="continue"/>
                  <w:vAlign w:val="center"/>
                </w:tcPr>
                <w:p w14:paraId="5C9BA7DF">
                  <w:pPr>
                    <w:adjustRightInd w:val="0"/>
                    <w:snapToGrid w:val="0"/>
                    <w:jc w:val="center"/>
                    <w:rPr>
                      <w:rFonts w:hint="default" w:ascii="Times New Roman" w:hAnsi="Times New Roman" w:cs="Times New Roman"/>
                      <w:color w:val="auto"/>
                      <w:szCs w:val="21"/>
                      <w:highlight w:val="none"/>
                    </w:rPr>
                  </w:pPr>
                </w:p>
              </w:tc>
            </w:tr>
            <w:tr w14:paraId="261EB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vMerge w:val="continue"/>
                  <w:vAlign w:val="center"/>
                </w:tcPr>
                <w:p w14:paraId="731FD7A7">
                  <w:pPr>
                    <w:adjustRightInd w:val="0"/>
                    <w:snapToGrid w:val="0"/>
                    <w:jc w:val="center"/>
                    <w:rPr>
                      <w:rFonts w:hint="default" w:ascii="Times New Roman" w:hAnsi="Times New Roman" w:cs="Times New Roman"/>
                      <w:color w:val="auto"/>
                      <w:szCs w:val="21"/>
                      <w:highlight w:val="none"/>
                    </w:rPr>
                  </w:pPr>
                </w:p>
              </w:tc>
              <w:tc>
                <w:tcPr>
                  <w:tcW w:w="1666" w:type="pct"/>
                  <w:vAlign w:val="center"/>
                </w:tcPr>
                <w:p w14:paraId="55C4934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死亡</w:t>
                  </w:r>
                </w:p>
              </w:tc>
              <w:tc>
                <w:tcPr>
                  <w:tcW w:w="1667" w:type="pct"/>
                  <w:vAlign w:val="center"/>
                </w:tcPr>
                <w:p w14:paraId="4CC02D4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100Gy</w:t>
                  </w:r>
                </w:p>
              </w:tc>
            </w:tr>
          </w:tbl>
          <w:p w14:paraId="0CC1E9D9">
            <w:pPr>
              <w:adjustRightInd w:val="0"/>
              <w:snapToGrid w:val="0"/>
              <w:spacing w:line="360" w:lineRule="auto"/>
              <w:ind w:firstLine="480" w:firstLineChars="200"/>
              <w:jc w:val="left"/>
              <w:rPr>
                <w:rFonts w:hint="default" w:ascii="Times New Roman" w:hAnsi="Times New Roman" w:cs="Times New Roman"/>
                <w:color w:val="auto"/>
                <w:highlight w:val="none"/>
              </w:rPr>
            </w:pPr>
            <w:r>
              <w:rPr>
                <w:rFonts w:hint="default" w:ascii="Times New Roman" w:hAnsi="Times New Roman" w:cs="Times New Roman"/>
                <w:color w:val="auto"/>
                <w:sz w:val="24"/>
                <w:highlight w:val="none"/>
              </w:rPr>
              <w:t>根据《职业性外照射急性放射病诊断》（GBZ104-2017）骨髓型急性重度放射病的受照剂量范围参考值4.0~6.0Gy界定是否会产生急性重度放射病。</w:t>
            </w:r>
          </w:p>
          <w:p w14:paraId="12B26944">
            <w:pPr>
              <w:numPr>
                <w:ilvl w:val="0"/>
                <w:numId w:val="24"/>
              </w:numPr>
              <w:adjustRightInd w:val="0"/>
              <w:snapToGrid w:val="0"/>
              <w:spacing w:line="360" w:lineRule="auto"/>
              <w:ind w:firstLine="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辐射事故分析</w:t>
            </w:r>
          </w:p>
          <w:p w14:paraId="4CE0D613">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DSA设备运行期间可能发生事故类型及相关参数情况如下表所示：</w:t>
            </w:r>
          </w:p>
          <w:p w14:paraId="365221E7">
            <w:pPr>
              <w:pStyle w:val="32"/>
              <w:numPr>
                <w:ilvl w:val="0"/>
                <w:numId w:val="22"/>
              </w:numPr>
              <w:snapToGrid w:val="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 </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DSA设备运行期间可能发生事故类型及相关参数</w:t>
            </w:r>
          </w:p>
          <w:tbl>
            <w:tblPr>
              <w:tblStyle w:val="22"/>
              <w:tblW w:w="8298"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543"/>
              <w:gridCol w:w="1993"/>
              <w:gridCol w:w="1075"/>
              <w:gridCol w:w="1918"/>
              <w:gridCol w:w="1650"/>
              <w:gridCol w:w="1119"/>
            </w:tblGrid>
            <w:tr w14:paraId="4EDE535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jc w:val="center"/>
              </w:trPr>
              <w:tc>
                <w:tcPr>
                  <w:tcW w:w="327" w:type="pct"/>
                  <w:tcBorders>
                    <w:top w:val="single" w:color="auto" w:sz="4" w:space="0"/>
                    <w:left w:val="single" w:color="auto" w:sz="0" w:space="0"/>
                    <w:bottom w:val="single" w:color="auto" w:sz="4" w:space="0"/>
                    <w:right w:val="single" w:color="auto" w:sz="4" w:space="0"/>
                  </w:tcBorders>
                  <w:vAlign w:val="center"/>
                </w:tcPr>
                <w:p w14:paraId="406C1B31">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序号</w:t>
                  </w:r>
                </w:p>
              </w:tc>
              <w:tc>
                <w:tcPr>
                  <w:tcW w:w="1200" w:type="pct"/>
                  <w:tcBorders>
                    <w:top w:val="single" w:color="auto" w:sz="4" w:space="0"/>
                    <w:left w:val="single" w:color="auto" w:sz="4" w:space="0"/>
                    <w:bottom w:val="single" w:color="auto" w:sz="4" w:space="0"/>
                    <w:right w:val="single" w:color="auto" w:sz="4" w:space="0"/>
                  </w:tcBorders>
                  <w:vAlign w:val="center"/>
                </w:tcPr>
                <w:p w14:paraId="61E42B70">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事故情景</w:t>
                  </w:r>
                </w:p>
              </w:tc>
              <w:tc>
                <w:tcPr>
                  <w:tcW w:w="647" w:type="pct"/>
                  <w:tcBorders>
                    <w:top w:val="single" w:color="auto" w:sz="4" w:space="0"/>
                    <w:left w:val="single" w:color="auto" w:sz="4" w:space="0"/>
                    <w:bottom w:val="single" w:color="auto" w:sz="4" w:space="0"/>
                    <w:right w:val="single" w:color="auto" w:sz="4" w:space="0"/>
                  </w:tcBorders>
                  <w:vAlign w:val="center"/>
                </w:tcPr>
                <w:p w14:paraId="396F2828">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受照人员</w:t>
                  </w:r>
                </w:p>
              </w:tc>
              <w:tc>
                <w:tcPr>
                  <w:tcW w:w="1155" w:type="pct"/>
                  <w:tcBorders>
                    <w:top w:val="single" w:color="auto" w:sz="4" w:space="0"/>
                    <w:left w:val="single" w:color="auto" w:sz="4" w:space="0"/>
                    <w:bottom w:val="single" w:color="auto" w:sz="4" w:space="0"/>
                    <w:right w:val="single" w:color="auto" w:sz="4" w:space="0"/>
                  </w:tcBorders>
                  <w:vAlign w:val="center"/>
                </w:tcPr>
                <w:p w14:paraId="7F30C3A7">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设备参数</w:t>
                  </w:r>
                </w:p>
              </w:tc>
              <w:tc>
                <w:tcPr>
                  <w:tcW w:w="994" w:type="pct"/>
                  <w:tcBorders>
                    <w:top w:val="single" w:color="auto" w:sz="4" w:space="0"/>
                    <w:left w:val="single" w:color="auto" w:sz="4" w:space="0"/>
                    <w:bottom w:val="single" w:color="auto" w:sz="4" w:space="0"/>
                    <w:right w:val="single" w:color="auto" w:sz="4" w:space="0"/>
                  </w:tcBorders>
                  <w:vAlign w:val="center"/>
                </w:tcPr>
                <w:p w14:paraId="08DB2802">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空气比释动能率(μGy/h)</w:t>
                  </w:r>
                </w:p>
              </w:tc>
              <w:tc>
                <w:tcPr>
                  <w:tcW w:w="674" w:type="pct"/>
                  <w:tcBorders>
                    <w:top w:val="single" w:color="auto" w:sz="4" w:space="0"/>
                    <w:left w:val="single" w:color="auto" w:sz="4" w:space="0"/>
                    <w:bottom w:val="single" w:color="auto" w:sz="4" w:space="0"/>
                    <w:right w:val="single" w:color="auto" w:sz="4" w:space="0"/>
                  </w:tcBorders>
                  <w:vAlign w:val="center"/>
                </w:tcPr>
                <w:p w14:paraId="21144791">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射束方向</w:t>
                  </w:r>
                </w:p>
              </w:tc>
            </w:tr>
            <w:tr w14:paraId="7C393EF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jc w:val="center"/>
              </w:trPr>
              <w:tc>
                <w:tcPr>
                  <w:tcW w:w="327" w:type="pct"/>
                  <w:tcBorders>
                    <w:top w:val="single" w:color="auto" w:sz="4" w:space="0"/>
                    <w:left w:val="single" w:color="auto" w:sz="4" w:space="0"/>
                    <w:bottom w:val="single" w:color="auto" w:sz="4" w:space="0"/>
                    <w:right w:val="single" w:color="auto" w:sz="4" w:space="0"/>
                  </w:tcBorders>
                  <w:vAlign w:val="center"/>
                </w:tcPr>
                <w:p w14:paraId="2DA0E9E0">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1200" w:type="pct"/>
                  <w:tcBorders>
                    <w:top w:val="single" w:color="auto" w:sz="4" w:space="0"/>
                    <w:left w:val="single" w:color="auto" w:sz="4" w:space="0"/>
                    <w:bottom w:val="single" w:color="auto" w:sz="4" w:space="0"/>
                    <w:right w:val="single" w:color="auto" w:sz="4" w:space="0"/>
                  </w:tcBorders>
                  <w:vAlign w:val="center"/>
                </w:tcPr>
                <w:p w14:paraId="034A7889">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手术期间误照射</w:t>
                  </w:r>
                </w:p>
              </w:tc>
              <w:tc>
                <w:tcPr>
                  <w:tcW w:w="647" w:type="pct"/>
                  <w:tcBorders>
                    <w:top w:val="single" w:color="auto" w:sz="4" w:space="0"/>
                    <w:left w:val="single" w:color="auto" w:sz="4" w:space="0"/>
                    <w:bottom w:val="single" w:color="auto" w:sz="4" w:space="0"/>
                    <w:right w:val="single" w:color="auto" w:sz="4" w:space="0"/>
                  </w:tcBorders>
                  <w:vAlign w:val="center"/>
                </w:tcPr>
                <w:p w14:paraId="31247EAF">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手术医生</w:t>
                  </w:r>
                </w:p>
              </w:tc>
              <w:tc>
                <w:tcPr>
                  <w:tcW w:w="1155" w:type="pct"/>
                  <w:tcBorders>
                    <w:top w:val="single" w:color="auto" w:sz="4" w:space="0"/>
                    <w:left w:val="single" w:color="auto" w:sz="4" w:space="0"/>
                    <w:bottom w:val="single" w:color="auto" w:sz="4" w:space="0"/>
                    <w:right w:val="single" w:color="auto" w:sz="4" w:space="0"/>
                  </w:tcBorders>
                  <w:vAlign w:val="center"/>
                </w:tcPr>
                <w:p w14:paraId="22F127A3">
                  <w:pPr>
                    <w:pStyle w:val="32"/>
                    <w:snapToGrid w:val="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9</w:t>
                  </w:r>
                  <w:r>
                    <w:rPr>
                      <w:rFonts w:hint="default" w:ascii="Times New Roman" w:hAnsi="Times New Roman" w:cs="Times New Roman"/>
                      <w:color w:val="auto"/>
                      <w:sz w:val="21"/>
                      <w:szCs w:val="21"/>
                      <w:highlight w:val="none"/>
                    </w:rPr>
                    <w:t>0kV/</w:t>
                  </w:r>
                  <w:r>
                    <w:rPr>
                      <w:rFonts w:hint="eastAsia" w:ascii="Times New Roman" w:hAnsi="Times New Roman" w:cs="Times New Roman"/>
                      <w:color w:val="auto"/>
                      <w:sz w:val="21"/>
                      <w:szCs w:val="21"/>
                      <w:highlight w:val="none"/>
                      <w:lang w:val="en-US" w:eastAsia="zh-CN"/>
                    </w:rPr>
                    <w:t>20</w:t>
                  </w:r>
                  <w:r>
                    <w:rPr>
                      <w:rFonts w:hint="default" w:ascii="Times New Roman" w:hAnsi="Times New Roman" w:cs="Times New Roman"/>
                      <w:color w:val="auto"/>
                      <w:sz w:val="21"/>
                      <w:szCs w:val="21"/>
                      <w:highlight w:val="none"/>
                    </w:rPr>
                    <w:t>mA（按透视运行参数）</w:t>
                  </w:r>
                </w:p>
              </w:tc>
              <w:tc>
                <w:tcPr>
                  <w:tcW w:w="994" w:type="pct"/>
                  <w:tcBorders>
                    <w:top w:val="single" w:color="auto" w:sz="4" w:space="0"/>
                    <w:left w:val="single" w:color="auto" w:sz="4" w:space="0"/>
                    <w:bottom w:val="single" w:color="auto" w:sz="4" w:space="0"/>
                    <w:right w:val="single" w:color="auto" w:sz="4" w:space="0"/>
                  </w:tcBorders>
                  <w:vAlign w:val="center"/>
                </w:tcPr>
                <w:p w14:paraId="332BC81C">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i w:val="0"/>
                      <w:iCs w:val="0"/>
                      <w:color w:val="auto"/>
                      <w:kern w:val="0"/>
                      <w:sz w:val="21"/>
                      <w:szCs w:val="21"/>
                      <w:highlight w:val="none"/>
                      <w:u w:val="none"/>
                      <w:lang w:val="en-US" w:eastAsia="zh-CN" w:bidi="ar"/>
                    </w:rPr>
                    <w:t>7.80</w:t>
                  </w:r>
                  <w:r>
                    <w:rPr>
                      <w:rFonts w:hint="default" w:ascii="Times New Roman" w:hAnsi="Times New Roman" w:eastAsia="宋体" w:cs="Times New Roman"/>
                      <w:i w:val="0"/>
                      <w:iCs w:val="0"/>
                      <w:color w:val="auto"/>
                      <w:kern w:val="0"/>
                      <w:sz w:val="21"/>
                      <w:szCs w:val="21"/>
                      <w:highlight w:val="none"/>
                      <w:u w:val="none"/>
                      <w:lang w:val="en-US" w:eastAsia="zh-CN" w:bidi="ar"/>
                    </w:rPr>
                    <w:t>E+0</w:t>
                  </w:r>
                  <w:r>
                    <w:rPr>
                      <w:rFonts w:hint="eastAsia" w:ascii="Times New Roman" w:hAnsi="Times New Roman" w:cs="Times New Roman"/>
                      <w:i w:val="0"/>
                      <w:iCs w:val="0"/>
                      <w:color w:val="auto"/>
                      <w:kern w:val="0"/>
                      <w:sz w:val="21"/>
                      <w:szCs w:val="21"/>
                      <w:highlight w:val="none"/>
                      <w:u w:val="none"/>
                      <w:lang w:val="en-US" w:eastAsia="zh-CN" w:bidi="ar"/>
                    </w:rPr>
                    <w:t>6</w:t>
                  </w:r>
                </w:p>
              </w:tc>
              <w:tc>
                <w:tcPr>
                  <w:tcW w:w="674" w:type="pct"/>
                  <w:tcBorders>
                    <w:top w:val="single" w:color="auto" w:sz="4" w:space="0"/>
                    <w:left w:val="single" w:color="auto" w:sz="4" w:space="0"/>
                    <w:bottom w:val="single" w:color="auto" w:sz="4" w:space="0"/>
                    <w:right w:val="single" w:color="auto" w:sz="4" w:space="0"/>
                  </w:tcBorders>
                  <w:vAlign w:val="center"/>
                </w:tcPr>
                <w:p w14:paraId="120A9BB5">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散射、漏射</w:t>
                  </w:r>
                </w:p>
              </w:tc>
            </w:tr>
            <w:tr w14:paraId="5A22E1F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jc w:val="center"/>
              </w:trPr>
              <w:tc>
                <w:tcPr>
                  <w:tcW w:w="327" w:type="pct"/>
                  <w:tcBorders>
                    <w:top w:val="single" w:color="auto" w:sz="4" w:space="0"/>
                    <w:left w:val="single" w:color="auto" w:sz="4" w:space="0"/>
                    <w:bottom w:val="single" w:color="auto" w:sz="4" w:space="0"/>
                    <w:right w:val="single" w:color="auto" w:sz="4" w:space="0"/>
                  </w:tcBorders>
                  <w:vAlign w:val="center"/>
                </w:tcPr>
                <w:p w14:paraId="765450C7">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p>
              </w:tc>
              <w:tc>
                <w:tcPr>
                  <w:tcW w:w="1200" w:type="pct"/>
                  <w:tcBorders>
                    <w:top w:val="single" w:color="auto" w:sz="4" w:space="0"/>
                    <w:left w:val="single" w:color="auto" w:sz="4" w:space="0"/>
                    <w:bottom w:val="single" w:color="auto" w:sz="4" w:space="0"/>
                    <w:right w:val="single" w:color="auto" w:sz="4" w:space="0"/>
                  </w:tcBorders>
                  <w:vAlign w:val="center"/>
                </w:tcPr>
                <w:p w14:paraId="176A5B9E">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公众误入介入DSA机房或未撤离</w:t>
                  </w:r>
                </w:p>
              </w:tc>
              <w:tc>
                <w:tcPr>
                  <w:tcW w:w="647" w:type="pct"/>
                  <w:tcBorders>
                    <w:top w:val="single" w:color="auto" w:sz="4" w:space="0"/>
                    <w:left w:val="single" w:color="auto" w:sz="4" w:space="0"/>
                    <w:bottom w:val="single" w:color="auto" w:sz="4" w:space="0"/>
                    <w:right w:val="single" w:color="auto" w:sz="4" w:space="0"/>
                  </w:tcBorders>
                  <w:vAlign w:val="center"/>
                </w:tcPr>
                <w:p w14:paraId="17B2BC0A">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误入人员</w:t>
                  </w:r>
                </w:p>
              </w:tc>
              <w:tc>
                <w:tcPr>
                  <w:tcW w:w="1155" w:type="pct"/>
                  <w:tcBorders>
                    <w:top w:val="single" w:color="auto" w:sz="4" w:space="0"/>
                    <w:left w:val="single" w:color="auto" w:sz="4" w:space="0"/>
                    <w:bottom w:val="single" w:color="auto" w:sz="4" w:space="0"/>
                    <w:right w:val="single" w:color="auto" w:sz="4" w:space="0"/>
                  </w:tcBorders>
                  <w:vAlign w:val="center"/>
                </w:tcPr>
                <w:p w14:paraId="53691105">
                  <w:pPr>
                    <w:pStyle w:val="32"/>
                    <w:snapToGrid w:val="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9</w:t>
                  </w:r>
                  <w:r>
                    <w:rPr>
                      <w:rFonts w:hint="default" w:ascii="Times New Roman" w:hAnsi="Times New Roman" w:cs="Times New Roman"/>
                      <w:color w:val="auto"/>
                      <w:sz w:val="21"/>
                      <w:szCs w:val="21"/>
                      <w:highlight w:val="none"/>
                    </w:rPr>
                    <w:t>0kV/</w:t>
                  </w:r>
                  <w:r>
                    <w:rPr>
                      <w:rFonts w:hint="eastAsia" w:ascii="Times New Roman" w:hAnsi="Times New Roman" w:cs="Times New Roman"/>
                      <w:color w:val="auto"/>
                      <w:sz w:val="21"/>
                      <w:szCs w:val="21"/>
                      <w:highlight w:val="none"/>
                      <w:lang w:val="en-US" w:eastAsia="zh-CN"/>
                    </w:rPr>
                    <w:t>20</w:t>
                  </w:r>
                  <w:r>
                    <w:rPr>
                      <w:rFonts w:hint="default" w:ascii="Times New Roman" w:hAnsi="Times New Roman" w:cs="Times New Roman"/>
                      <w:color w:val="auto"/>
                      <w:sz w:val="21"/>
                      <w:szCs w:val="21"/>
                      <w:highlight w:val="none"/>
                    </w:rPr>
                    <w:t>mA（按透视运行参数）</w:t>
                  </w:r>
                </w:p>
              </w:tc>
              <w:tc>
                <w:tcPr>
                  <w:tcW w:w="994" w:type="pct"/>
                  <w:tcBorders>
                    <w:top w:val="single" w:color="auto" w:sz="4" w:space="0"/>
                    <w:left w:val="single" w:color="auto" w:sz="4" w:space="0"/>
                    <w:bottom w:val="single" w:color="auto" w:sz="4" w:space="0"/>
                    <w:right w:val="single" w:color="auto" w:sz="4" w:space="0"/>
                  </w:tcBorders>
                  <w:vAlign w:val="center"/>
                </w:tcPr>
                <w:p w14:paraId="649E5E39">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i w:val="0"/>
                      <w:iCs w:val="0"/>
                      <w:color w:val="auto"/>
                      <w:kern w:val="0"/>
                      <w:sz w:val="21"/>
                      <w:szCs w:val="21"/>
                      <w:highlight w:val="none"/>
                      <w:u w:val="none"/>
                      <w:lang w:val="en-US" w:eastAsia="zh-CN" w:bidi="ar"/>
                    </w:rPr>
                    <w:t>7.80</w:t>
                  </w:r>
                  <w:r>
                    <w:rPr>
                      <w:rFonts w:hint="default" w:ascii="Times New Roman" w:hAnsi="Times New Roman" w:eastAsia="宋体" w:cs="Times New Roman"/>
                      <w:i w:val="0"/>
                      <w:iCs w:val="0"/>
                      <w:color w:val="auto"/>
                      <w:kern w:val="0"/>
                      <w:sz w:val="21"/>
                      <w:szCs w:val="21"/>
                      <w:highlight w:val="none"/>
                      <w:u w:val="none"/>
                      <w:lang w:val="en-US" w:eastAsia="zh-CN" w:bidi="ar"/>
                    </w:rPr>
                    <w:t>E+0</w:t>
                  </w:r>
                  <w:r>
                    <w:rPr>
                      <w:rFonts w:hint="eastAsia" w:ascii="Times New Roman" w:hAnsi="Times New Roman" w:cs="Times New Roman"/>
                      <w:i w:val="0"/>
                      <w:iCs w:val="0"/>
                      <w:color w:val="auto"/>
                      <w:kern w:val="0"/>
                      <w:sz w:val="21"/>
                      <w:szCs w:val="21"/>
                      <w:highlight w:val="none"/>
                      <w:u w:val="none"/>
                      <w:lang w:val="en-US" w:eastAsia="zh-CN" w:bidi="ar"/>
                    </w:rPr>
                    <w:t>6</w:t>
                  </w:r>
                </w:p>
              </w:tc>
              <w:tc>
                <w:tcPr>
                  <w:tcW w:w="674" w:type="pct"/>
                  <w:tcBorders>
                    <w:top w:val="single" w:color="auto" w:sz="4" w:space="0"/>
                    <w:left w:val="single" w:color="auto" w:sz="4" w:space="0"/>
                    <w:bottom w:val="single" w:color="auto" w:sz="4" w:space="0"/>
                    <w:right w:val="single" w:color="auto" w:sz="4" w:space="0"/>
                  </w:tcBorders>
                  <w:vAlign w:val="center"/>
                </w:tcPr>
                <w:p w14:paraId="088B7AF5">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散射、漏射</w:t>
                  </w:r>
                </w:p>
              </w:tc>
            </w:tr>
          </w:tbl>
          <w:p w14:paraId="30FD129C">
            <w:pPr>
              <w:numPr>
                <w:ilvl w:val="0"/>
                <w:numId w:val="24"/>
              </w:numPr>
              <w:adjustRightInd w:val="0"/>
              <w:snapToGrid w:val="0"/>
              <w:spacing w:line="360" w:lineRule="auto"/>
              <w:ind w:firstLine="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风险事故情形设定</w:t>
            </w:r>
          </w:p>
          <w:p w14:paraId="576A94C5">
            <w:pPr>
              <w:adjustRightInd w:val="0"/>
              <w:snapToGrid w:val="0"/>
              <w:spacing w:line="360" w:lineRule="auto"/>
              <w:ind w:firstLine="480"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事故假设：</w:t>
            </w:r>
          </w:p>
          <w:p w14:paraId="34873724">
            <w:pPr>
              <w:spacing w:line="360" w:lineRule="auto"/>
              <w:ind w:firstLine="480" w:firstLineChars="20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手术期间可能发生的辐射事件</w:t>
            </w:r>
          </w:p>
          <w:p w14:paraId="02CD980C">
            <w:pPr>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对于辐射工作人员：在未采取任何防护的情况下位于非主射方向进行透视手术操作，受到非主射方向的照射。</w:t>
            </w:r>
          </w:p>
          <w:p w14:paraId="15513349">
            <w:pPr>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则在不同距离（</w:t>
            </w:r>
            <w:r>
              <w:rPr>
                <w:rFonts w:hint="eastAsia" w:ascii="Times New Roman" w:hAnsi="Times New Roman" w:cs="Times New Roman"/>
                <w:color w:val="auto"/>
                <w:sz w:val="24"/>
                <w:highlight w:val="none"/>
                <w:lang w:val="en-US" w:eastAsia="zh-CN"/>
              </w:rPr>
              <w:t>0.6</w:t>
            </w:r>
            <w:r>
              <w:rPr>
                <w:rFonts w:hint="default" w:ascii="Times New Roman" w:hAnsi="Times New Roman" w:cs="Times New Roman"/>
                <w:color w:val="auto"/>
                <w:sz w:val="24"/>
                <w:highlight w:val="none"/>
              </w:rPr>
              <w:t>m、</w:t>
            </w:r>
            <w:r>
              <w:rPr>
                <w:rFonts w:hint="eastAsia" w:ascii="Times New Roman" w:hAnsi="Times New Roman" w:cs="Times New Roman"/>
                <w:color w:val="auto"/>
                <w:sz w:val="24"/>
                <w:highlight w:val="none"/>
                <w:lang w:val="en-US" w:eastAsia="zh-CN"/>
              </w:rPr>
              <w:t>0.8</w:t>
            </w:r>
            <w:r>
              <w:rPr>
                <w:rFonts w:hint="default" w:ascii="Times New Roman" w:hAnsi="Times New Roman" w:cs="Times New Roman"/>
                <w:color w:val="auto"/>
                <w:sz w:val="24"/>
                <w:highlight w:val="none"/>
              </w:rPr>
              <w:t>m、</w:t>
            </w:r>
            <w:r>
              <w:rPr>
                <w:rFonts w:hint="eastAsia" w:ascii="Times New Roman" w:hAnsi="Times New Roman" w:cs="Times New Roman"/>
                <w:color w:val="auto"/>
                <w:sz w:val="24"/>
                <w:highlight w:val="none"/>
                <w:lang w:val="en-US" w:eastAsia="zh-CN"/>
              </w:rPr>
              <w:t>3.8</w:t>
            </w:r>
            <w:r>
              <w:rPr>
                <w:rFonts w:hint="default" w:ascii="Times New Roman" w:hAnsi="Times New Roman" w:cs="Times New Roman"/>
                <w:color w:val="auto"/>
                <w:sz w:val="24"/>
                <w:highlight w:val="none"/>
              </w:rPr>
              <w:t>m），不同曝光时间（最大按20min手术时间计算）。</w:t>
            </w:r>
          </w:p>
          <w:p w14:paraId="1EC677AB">
            <w:pPr>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对于公众：</w:t>
            </w:r>
          </w:p>
          <w:p w14:paraId="2A78AC4F">
            <w:pPr>
              <w:spacing w:line="360" w:lineRule="auto"/>
              <w:ind w:firstLine="480" w:firstLineChars="200"/>
              <w:jc w:val="left"/>
              <w:rPr>
                <w:rFonts w:hint="default" w:ascii="Times New Roman" w:hAnsi="Times New Roman" w:cs="Times New Roman"/>
                <w:color w:val="auto"/>
                <w:sz w:val="24"/>
                <w:szCs w:val="32"/>
                <w:highlight w:val="none"/>
              </w:rPr>
            </w:pPr>
            <w:r>
              <w:rPr>
                <w:rFonts w:hint="default" w:ascii="Times New Roman" w:hAnsi="Times New Roman" w:cs="Times New Roman"/>
                <w:color w:val="auto"/>
                <w:sz w:val="24"/>
                <w:szCs w:val="32"/>
                <w:highlight w:val="none"/>
              </w:rPr>
              <w:t>在装置运行时，公众误入</w:t>
            </w:r>
            <w:r>
              <w:rPr>
                <w:rFonts w:hint="default" w:ascii="Times New Roman" w:hAnsi="Times New Roman" w:cs="Times New Roman"/>
                <w:color w:val="auto"/>
                <w:sz w:val="24"/>
                <w:highlight w:val="none"/>
              </w:rPr>
              <w:t>DSA机房</w:t>
            </w:r>
            <w:r>
              <w:rPr>
                <w:rFonts w:hint="default" w:ascii="Times New Roman" w:hAnsi="Times New Roman" w:cs="Times New Roman"/>
                <w:color w:val="auto"/>
                <w:sz w:val="24"/>
                <w:szCs w:val="32"/>
                <w:highlight w:val="none"/>
              </w:rPr>
              <w:t>或未撤离</w:t>
            </w:r>
            <w:r>
              <w:rPr>
                <w:rFonts w:hint="default" w:ascii="Times New Roman" w:hAnsi="Times New Roman" w:cs="Times New Roman"/>
                <w:color w:val="auto"/>
                <w:sz w:val="24"/>
                <w:highlight w:val="none"/>
              </w:rPr>
              <w:t>DSA机房</w:t>
            </w:r>
            <w:r>
              <w:rPr>
                <w:rFonts w:hint="default" w:ascii="Times New Roman" w:hAnsi="Times New Roman" w:cs="Times New Roman"/>
                <w:color w:val="auto"/>
                <w:sz w:val="24"/>
                <w:szCs w:val="32"/>
                <w:highlight w:val="none"/>
              </w:rPr>
              <w:t>的情况下进行照射操作，对公众造成不必要的照射。</w:t>
            </w:r>
          </w:p>
          <w:p w14:paraId="1AC461BA">
            <w:pPr>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szCs w:val="32"/>
                <w:highlight w:val="none"/>
              </w:rPr>
              <w:t>则在不同距离</w:t>
            </w: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0.6</w:t>
            </w:r>
            <w:r>
              <w:rPr>
                <w:rFonts w:hint="default" w:ascii="Times New Roman" w:hAnsi="Times New Roman" w:cs="Times New Roman"/>
                <w:color w:val="auto"/>
                <w:sz w:val="24"/>
                <w:highlight w:val="none"/>
              </w:rPr>
              <w:t>m、</w:t>
            </w:r>
            <w:r>
              <w:rPr>
                <w:rFonts w:hint="eastAsia" w:ascii="Times New Roman" w:hAnsi="Times New Roman" w:cs="Times New Roman"/>
                <w:color w:val="auto"/>
                <w:sz w:val="24"/>
                <w:highlight w:val="none"/>
                <w:lang w:val="en-US" w:eastAsia="zh-CN"/>
              </w:rPr>
              <w:t>0.8</w:t>
            </w:r>
            <w:r>
              <w:rPr>
                <w:rFonts w:hint="default" w:ascii="Times New Roman" w:hAnsi="Times New Roman" w:cs="Times New Roman"/>
                <w:color w:val="auto"/>
                <w:sz w:val="24"/>
                <w:highlight w:val="none"/>
              </w:rPr>
              <w:t>m、</w:t>
            </w:r>
            <w:r>
              <w:rPr>
                <w:rFonts w:hint="eastAsia" w:ascii="Times New Roman" w:hAnsi="Times New Roman" w:cs="Times New Roman"/>
                <w:color w:val="auto"/>
                <w:sz w:val="24"/>
                <w:highlight w:val="none"/>
                <w:lang w:val="en-US" w:eastAsia="zh-CN"/>
              </w:rPr>
              <w:t>3.8</w:t>
            </w:r>
            <w:r>
              <w:rPr>
                <w:rFonts w:hint="default" w:ascii="Times New Roman" w:hAnsi="Times New Roman" w:cs="Times New Roman"/>
                <w:color w:val="auto"/>
                <w:sz w:val="24"/>
                <w:highlight w:val="none"/>
              </w:rPr>
              <w:t>m）</w:t>
            </w:r>
            <w:r>
              <w:rPr>
                <w:rFonts w:hint="default" w:ascii="Times New Roman" w:hAnsi="Times New Roman" w:cs="Times New Roman"/>
                <w:color w:val="auto"/>
                <w:sz w:val="24"/>
                <w:szCs w:val="32"/>
                <w:highlight w:val="none"/>
              </w:rPr>
              <w:t>，不同曝光时间（本项目手术床旁及操作室内设置有“紧急停止”按钮，只要按下按钮就可以停机，人员反应时间取30s）。</w:t>
            </w:r>
          </w:p>
          <w:p w14:paraId="4CFBF03D">
            <w:pPr>
              <w:pStyle w:val="32"/>
              <w:numPr>
                <w:ilvl w:val="0"/>
                <w:numId w:val="22"/>
              </w:numPr>
              <w:snapToGrid w:val="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 </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DSA透视工况下（泄露射线+散射线）可能发生的辐射事故</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8"/>
              <w:gridCol w:w="994"/>
              <w:gridCol w:w="1041"/>
              <w:gridCol w:w="1041"/>
              <w:gridCol w:w="1041"/>
              <w:gridCol w:w="1041"/>
              <w:gridCol w:w="1041"/>
              <w:gridCol w:w="1051"/>
            </w:tblGrid>
            <w:tr w14:paraId="51521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pct"/>
                  <w:vMerge w:val="restart"/>
                  <w:vAlign w:val="center"/>
                </w:tcPr>
                <w:p w14:paraId="41CA5A74">
                  <w:pPr>
                    <w:pStyle w:val="32"/>
                    <w:snapToGrid w:val="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距机头距离</w:t>
                  </w:r>
                </w:p>
              </w:tc>
              <w:tc>
                <w:tcPr>
                  <w:tcW w:w="4373" w:type="pct"/>
                  <w:gridSpan w:val="7"/>
                  <w:vAlign w:val="center"/>
                </w:tcPr>
                <w:p w14:paraId="2410A005">
                  <w:pPr>
                    <w:pStyle w:val="32"/>
                    <w:snapToGrid w:val="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各时段的射线所致辐射剂量（mSv）</w:t>
                  </w:r>
                </w:p>
              </w:tc>
            </w:tr>
            <w:tr w14:paraId="3B404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pct"/>
                  <w:vMerge w:val="continue"/>
                  <w:vAlign w:val="center"/>
                </w:tcPr>
                <w:p w14:paraId="1E156B78">
                  <w:pPr>
                    <w:pStyle w:val="32"/>
                    <w:snapToGrid w:val="0"/>
                    <w:jc w:val="center"/>
                    <w:textAlignment w:val="auto"/>
                    <w:rPr>
                      <w:rFonts w:hint="default" w:ascii="Times New Roman" w:hAnsi="Times New Roman" w:cs="Times New Roman"/>
                      <w:color w:val="auto"/>
                      <w:sz w:val="21"/>
                      <w:szCs w:val="21"/>
                      <w:highlight w:val="none"/>
                    </w:rPr>
                  </w:pPr>
                </w:p>
              </w:tc>
              <w:tc>
                <w:tcPr>
                  <w:tcW w:w="599" w:type="pct"/>
                  <w:vAlign w:val="center"/>
                </w:tcPr>
                <w:p w14:paraId="436E5C9A">
                  <w:pPr>
                    <w:pStyle w:val="32"/>
                    <w:snapToGrid w:val="0"/>
                    <w:jc w:val="center"/>
                    <w:textAlignment w:val="auto"/>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30</w:t>
                  </w:r>
                  <w:r>
                    <w:rPr>
                      <w:rFonts w:hint="default" w:ascii="Times New Roman" w:hAnsi="Times New Roman" w:cs="Times New Roman"/>
                      <w:color w:val="auto"/>
                      <w:sz w:val="21"/>
                      <w:szCs w:val="21"/>
                      <w:highlight w:val="none"/>
                    </w:rPr>
                    <w:t>s</w:t>
                  </w:r>
                </w:p>
              </w:tc>
              <w:tc>
                <w:tcPr>
                  <w:tcW w:w="628" w:type="pct"/>
                  <w:vAlign w:val="center"/>
                </w:tcPr>
                <w:p w14:paraId="5E2742F4">
                  <w:pPr>
                    <w:pStyle w:val="32"/>
                    <w:snapToGrid w:val="0"/>
                    <w:jc w:val="center"/>
                    <w:textAlignment w:val="auto"/>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1min</w:t>
                  </w:r>
                </w:p>
              </w:tc>
              <w:tc>
                <w:tcPr>
                  <w:tcW w:w="628" w:type="pct"/>
                  <w:vAlign w:val="center"/>
                </w:tcPr>
                <w:p w14:paraId="29464EEE">
                  <w:pPr>
                    <w:pStyle w:val="32"/>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3min</w:t>
                  </w:r>
                </w:p>
              </w:tc>
              <w:tc>
                <w:tcPr>
                  <w:tcW w:w="628" w:type="pct"/>
                  <w:vAlign w:val="center"/>
                </w:tcPr>
                <w:p w14:paraId="4B7A8FAF">
                  <w:pPr>
                    <w:pStyle w:val="32"/>
                    <w:snapToGrid w:val="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5min</w:t>
                  </w:r>
                </w:p>
              </w:tc>
              <w:tc>
                <w:tcPr>
                  <w:tcW w:w="628" w:type="pct"/>
                  <w:vAlign w:val="center"/>
                </w:tcPr>
                <w:p w14:paraId="67AEA5EF">
                  <w:pPr>
                    <w:pStyle w:val="32"/>
                    <w:snapToGrid w:val="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10min</w:t>
                  </w:r>
                </w:p>
              </w:tc>
              <w:tc>
                <w:tcPr>
                  <w:tcW w:w="628" w:type="pct"/>
                  <w:vAlign w:val="center"/>
                </w:tcPr>
                <w:p w14:paraId="2E0AF4B8">
                  <w:pPr>
                    <w:pStyle w:val="32"/>
                    <w:snapToGrid w:val="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15min</w:t>
                  </w:r>
                </w:p>
              </w:tc>
              <w:tc>
                <w:tcPr>
                  <w:tcW w:w="634" w:type="pct"/>
                  <w:vAlign w:val="center"/>
                </w:tcPr>
                <w:p w14:paraId="46BBEC67">
                  <w:pPr>
                    <w:pStyle w:val="32"/>
                    <w:snapToGrid w:val="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20min</w:t>
                  </w:r>
                </w:p>
              </w:tc>
            </w:tr>
            <w:tr w14:paraId="0D80F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pct"/>
                  <w:vAlign w:val="center"/>
                </w:tcPr>
                <w:p w14:paraId="44A1346E">
                  <w:pPr>
                    <w:widowControl/>
                    <w:adjustRightInd w:val="0"/>
                    <w:snapToGrid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w:t>
                  </w:r>
                  <w:r>
                    <w:rPr>
                      <w:rFonts w:hint="eastAsia" w:ascii="Times New Roman" w:hAnsi="Times New Roman" w:cs="Times New Roman"/>
                      <w:color w:val="auto"/>
                      <w:kern w:val="0"/>
                      <w:sz w:val="21"/>
                      <w:szCs w:val="21"/>
                      <w:highlight w:val="none"/>
                      <w:lang w:val="en-US" w:eastAsia="zh-CN" w:bidi="ar"/>
                    </w:rPr>
                    <w:t>6</w:t>
                  </w:r>
                  <w:r>
                    <w:rPr>
                      <w:rFonts w:hint="default" w:ascii="Times New Roman" w:hAnsi="Times New Roman" w:cs="Times New Roman"/>
                      <w:color w:val="auto"/>
                      <w:kern w:val="0"/>
                      <w:sz w:val="21"/>
                      <w:szCs w:val="21"/>
                      <w:highlight w:val="none"/>
                      <w:lang w:bidi="ar"/>
                    </w:rPr>
                    <w:t>m</w:t>
                  </w:r>
                </w:p>
              </w:tc>
              <w:tc>
                <w:tcPr>
                  <w:tcW w:w="599" w:type="pct"/>
                  <w:vAlign w:val="center"/>
                </w:tcPr>
                <w:p w14:paraId="03ED62F2">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0"/>
                      <w:szCs w:val="20"/>
                      <w:highlight w:val="none"/>
                      <w:u w:val="none"/>
                      <w:lang w:val="en-US" w:eastAsia="zh-CN" w:bidi="ar"/>
                    </w:rPr>
                    <w:t>2.80E-01</w:t>
                  </w:r>
                </w:p>
              </w:tc>
              <w:tc>
                <w:tcPr>
                  <w:tcW w:w="628" w:type="pct"/>
                  <w:vAlign w:val="center"/>
                </w:tcPr>
                <w:p w14:paraId="1D39E281">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5.60E-01</w:t>
                  </w:r>
                </w:p>
              </w:tc>
              <w:tc>
                <w:tcPr>
                  <w:tcW w:w="628" w:type="pct"/>
                  <w:vAlign w:val="center"/>
                </w:tcPr>
                <w:p w14:paraId="19F856CB">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3.36E+00</w:t>
                  </w:r>
                </w:p>
              </w:tc>
              <w:tc>
                <w:tcPr>
                  <w:tcW w:w="628" w:type="pct"/>
                  <w:vAlign w:val="center"/>
                </w:tcPr>
                <w:p w14:paraId="6EA10F89">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2.80E+00</w:t>
                  </w:r>
                </w:p>
              </w:tc>
              <w:tc>
                <w:tcPr>
                  <w:tcW w:w="628" w:type="pct"/>
                  <w:vAlign w:val="center"/>
                </w:tcPr>
                <w:p w14:paraId="5B107C90">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5.60E+00</w:t>
                  </w:r>
                </w:p>
              </w:tc>
              <w:tc>
                <w:tcPr>
                  <w:tcW w:w="628" w:type="pct"/>
                  <w:vAlign w:val="center"/>
                </w:tcPr>
                <w:p w14:paraId="6A333B64">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8.40E+00</w:t>
                  </w:r>
                </w:p>
              </w:tc>
              <w:tc>
                <w:tcPr>
                  <w:tcW w:w="634" w:type="pct"/>
                  <w:vAlign w:val="center"/>
                </w:tcPr>
                <w:p w14:paraId="356D2CAA">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1.12E+01</w:t>
                  </w:r>
                </w:p>
              </w:tc>
            </w:tr>
            <w:tr w14:paraId="40643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26" w:type="pct"/>
                  <w:vAlign w:val="center"/>
                </w:tcPr>
                <w:p w14:paraId="6C522341">
                  <w:pPr>
                    <w:widowControl/>
                    <w:adjustRightInd w:val="0"/>
                    <w:snapToGrid w:val="0"/>
                    <w:jc w:val="center"/>
                    <w:textAlignment w:val="center"/>
                    <w:rPr>
                      <w:rFonts w:hint="default" w:ascii="Times New Roman" w:hAnsi="Times New Roman" w:cs="Times New Roman"/>
                      <w:color w:val="auto"/>
                      <w:kern w:val="0"/>
                      <w:sz w:val="21"/>
                      <w:szCs w:val="21"/>
                      <w:highlight w:val="none"/>
                      <w:lang w:bidi="ar"/>
                    </w:rPr>
                  </w:pPr>
                  <w:r>
                    <w:rPr>
                      <w:rFonts w:hint="eastAsia" w:ascii="Times New Roman" w:hAnsi="Times New Roman" w:cs="Times New Roman"/>
                      <w:color w:val="auto"/>
                      <w:kern w:val="0"/>
                      <w:sz w:val="21"/>
                      <w:szCs w:val="21"/>
                      <w:highlight w:val="none"/>
                      <w:lang w:val="en-US" w:eastAsia="zh-CN" w:bidi="ar"/>
                    </w:rPr>
                    <w:t>0.8</w:t>
                  </w:r>
                  <w:r>
                    <w:rPr>
                      <w:rFonts w:hint="default" w:ascii="Times New Roman" w:hAnsi="Times New Roman" w:cs="Times New Roman"/>
                      <w:color w:val="auto"/>
                      <w:kern w:val="0"/>
                      <w:sz w:val="21"/>
                      <w:szCs w:val="21"/>
                      <w:highlight w:val="none"/>
                      <w:lang w:bidi="ar"/>
                    </w:rPr>
                    <w:t>m</w:t>
                  </w:r>
                </w:p>
              </w:tc>
              <w:tc>
                <w:tcPr>
                  <w:tcW w:w="599" w:type="pct"/>
                  <w:vAlign w:val="center"/>
                </w:tcPr>
                <w:p w14:paraId="3A85B738">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0"/>
                      <w:szCs w:val="20"/>
                      <w:highlight w:val="none"/>
                      <w:u w:val="none"/>
                      <w:lang w:val="en-US" w:eastAsia="zh-CN" w:bidi="ar"/>
                    </w:rPr>
                    <w:t>1.58E-01</w:t>
                  </w:r>
                </w:p>
              </w:tc>
              <w:tc>
                <w:tcPr>
                  <w:tcW w:w="628" w:type="pct"/>
                  <w:vAlign w:val="center"/>
                </w:tcPr>
                <w:p w14:paraId="04521B58">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3.15E-01</w:t>
                  </w:r>
                </w:p>
              </w:tc>
              <w:tc>
                <w:tcPr>
                  <w:tcW w:w="628" w:type="pct"/>
                  <w:vAlign w:val="center"/>
                </w:tcPr>
                <w:p w14:paraId="1C977ACD">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1.89E+00</w:t>
                  </w:r>
                </w:p>
              </w:tc>
              <w:tc>
                <w:tcPr>
                  <w:tcW w:w="628" w:type="pct"/>
                  <w:vAlign w:val="center"/>
                </w:tcPr>
                <w:p w14:paraId="20EFF48A">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1.58E+00</w:t>
                  </w:r>
                </w:p>
              </w:tc>
              <w:tc>
                <w:tcPr>
                  <w:tcW w:w="628" w:type="pct"/>
                  <w:vAlign w:val="center"/>
                </w:tcPr>
                <w:p w14:paraId="30AFED84">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3.15E+00</w:t>
                  </w:r>
                </w:p>
              </w:tc>
              <w:tc>
                <w:tcPr>
                  <w:tcW w:w="628" w:type="pct"/>
                  <w:vAlign w:val="center"/>
                </w:tcPr>
                <w:p w14:paraId="19A66379">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4.73E+00</w:t>
                  </w:r>
                </w:p>
              </w:tc>
              <w:tc>
                <w:tcPr>
                  <w:tcW w:w="634" w:type="pct"/>
                  <w:vAlign w:val="center"/>
                </w:tcPr>
                <w:p w14:paraId="4D11D610">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6.30E+00</w:t>
                  </w:r>
                </w:p>
              </w:tc>
            </w:tr>
            <w:tr w14:paraId="286A0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6" w:type="pct"/>
                  <w:vAlign w:val="center"/>
                </w:tcPr>
                <w:p w14:paraId="666A5D6B">
                  <w:pPr>
                    <w:widowControl/>
                    <w:adjustRightInd w:val="0"/>
                    <w:snapToGrid w:val="0"/>
                    <w:jc w:val="center"/>
                    <w:textAlignment w:val="center"/>
                    <w:rPr>
                      <w:rFonts w:hint="default" w:ascii="Times New Roman" w:hAnsi="Times New Roman" w:cs="Times New Roman"/>
                      <w:color w:val="auto"/>
                      <w:kern w:val="0"/>
                      <w:sz w:val="21"/>
                      <w:szCs w:val="21"/>
                      <w:highlight w:val="none"/>
                      <w:lang w:bidi="ar"/>
                    </w:rPr>
                  </w:pPr>
                  <w:r>
                    <w:rPr>
                      <w:rFonts w:hint="eastAsia" w:ascii="Times New Roman" w:hAnsi="Times New Roman" w:cs="Times New Roman"/>
                      <w:color w:val="auto"/>
                      <w:kern w:val="0"/>
                      <w:sz w:val="21"/>
                      <w:szCs w:val="21"/>
                      <w:highlight w:val="none"/>
                      <w:lang w:val="en-US" w:eastAsia="zh-CN" w:bidi="ar"/>
                    </w:rPr>
                    <w:t>1.0</w:t>
                  </w:r>
                  <w:r>
                    <w:rPr>
                      <w:rFonts w:hint="default" w:ascii="Times New Roman" w:hAnsi="Times New Roman" w:cs="Times New Roman"/>
                      <w:color w:val="auto"/>
                      <w:kern w:val="0"/>
                      <w:sz w:val="21"/>
                      <w:szCs w:val="21"/>
                      <w:highlight w:val="none"/>
                      <w:lang w:bidi="ar"/>
                    </w:rPr>
                    <w:t>m</w:t>
                  </w:r>
                </w:p>
              </w:tc>
              <w:tc>
                <w:tcPr>
                  <w:tcW w:w="599" w:type="pct"/>
                  <w:vAlign w:val="center"/>
                </w:tcPr>
                <w:p w14:paraId="521DC2A9">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0"/>
                      <w:szCs w:val="20"/>
                      <w:highlight w:val="none"/>
                      <w:u w:val="none"/>
                      <w:lang w:val="en-US" w:eastAsia="zh-CN" w:bidi="ar"/>
                    </w:rPr>
                    <w:t>1.01E-01</w:t>
                  </w:r>
                </w:p>
              </w:tc>
              <w:tc>
                <w:tcPr>
                  <w:tcW w:w="628" w:type="pct"/>
                  <w:vAlign w:val="center"/>
                </w:tcPr>
                <w:p w14:paraId="285EEE8E">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2.02E-01</w:t>
                  </w:r>
                </w:p>
              </w:tc>
              <w:tc>
                <w:tcPr>
                  <w:tcW w:w="628" w:type="pct"/>
                  <w:vAlign w:val="center"/>
                </w:tcPr>
                <w:p w14:paraId="37BD4AFB">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1.21E+00</w:t>
                  </w:r>
                </w:p>
              </w:tc>
              <w:tc>
                <w:tcPr>
                  <w:tcW w:w="628" w:type="pct"/>
                  <w:vAlign w:val="center"/>
                </w:tcPr>
                <w:p w14:paraId="7F6BD077">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1.01E+00</w:t>
                  </w:r>
                </w:p>
              </w:tc>
              <w:tc>
                <w:tcPr>
                  <w:tcW w:w="628" w:type="pct"/>
                  <w:vAlign w:val="center"/>
                </w:tcPr>
                <w:p w14:paraId="443E168A">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2.02E+00</w:t>
                  </w:r>
                </w:p>
              </w:tc>
              <w:tc>
                <w:tcPr>
                  <w:tcW w:w="628" w:type="pct"/>
                  <w:vAlign w:val="center"/>
                </w:tcPr>
                <w:p w14:paraId="295F8B4C">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3.02E+00</w:t>
                  </w:r>
                </w:p>
              </w:tc>
              <w:tc>
                <w:tcPr>
                  <w:tcW w:w="634" w:type="pct"/>
                  <w:vAlign w:val="center"/>
                </w:tcPr>
                <w:p w14:paraId="64DD4176">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4.03E+00</w:t>
                  </w:r>
                </w:p>
              </w:tc>
            </w:tr>
            <w:tr w14:paraId="7A868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pct"/>
                  <w:vAlign w:val="center"/>
                </w:tcPr>
                <w:p w14:paraId="5FDCF77C">
                  <w:pPr>
                    <w:widowControl/>
                    <w:adjustRightInd w:val="0"/>
                    <w:snapToGrid w:val="0"/>
                    <w:jc w:val="center"/>
                    <w:textAlignment w:val="center"/>
                    <w:rPr>
                      <w:rFonts w:hint="default" w:ascii="Times New Roman" w:hAnsi="Times New Roman" w:cs="Times New Roman"/>
                      <w:color w:val="auto"/>
                      <w:kern w:val="0"/>
                      <w:sz w:val="21"/>
                      <w:szCs w:val="21"/>
                      <w:highlight w:val="none"/>
                      <w:lang w:bidi="ar"/>
                    </w:rPr>
                  </w:pPr>
                  <w:r>
                    <w:rPr>
                      <w:rFonts w:hint="eastAsia" w:ascii="Times New Roman" w:hAnsi="Times New Roman" w:cs="Times New Roman"/>
                      <w:color w:val="auto"/>
                      <w:kern w:val="0"/>
                      <w:sz w:val="21"/>
                      <w:szCs w:val="21"/>
                      <w:highlight w:val="none"/>
                      <w:lang w:val="en-US" w:eastAsia="zh-CN" w:bidi="ar"/>
                    </w:rPr>
                    <w:t>1.5</w:t>
                  </w:r>
                  <w:r>
                    <w:rPr>
                      <w:rFonts w:hint="default" w:ascii="Times New Roman" w:hAnsi="Times New Roman" w:cs="Times New Roman"/>
                      <w:color w:val="auto"/>
                      <w:kern w:val="0"/>
                      <w:sz w:val="21"/>
                      <w:szCs w:val="21"/>
                      <w:highlight w:val="none"/>
                      <w:lang w:bidi="ar"/>
                    </w:rPr>
                    <w:t>m</w:t>
                  </w:r>
                </w:p>
              </w:tc>
              <w:tc>
                <w:tcPr>
                  <w:tcW w:w="599" w:type="pct"/>
                  <w:vAlign w:val="center"/>
                </w:tcPr>
                <w:p w14:paraId="7D1BEB7E">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0"/>
                      <w:szCs w:val="20"/>
                      <w:highlight w:val="none"/>
                      <w:u w:val="none"/>
                      <w:lang w:val="en-US" w:eastAsia="zh-CN" w:bidi="ar"/>
                    </w:rPr>
                    <w:t>4.48E-02</w:t>
                  </w:r>
                </w:p>
              </w:tc>
              <w:tc>
                <w:tcPr>
                  <w:tcW w:w="628" w:type="pct"/>
                  <w:vAlign w:val="center"/>
                </w:tcPr>
                <w:p w14:paraId="7BA89221">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8.96E-02</w:t>
                  </w:r>
                </w:p>
              </w:tc>
              <w:tc>
                <w:tcPr>
                  <w:tcW w:w="628" w:type="pct"/>
                  <w:vAlign w:val="center"/>
                </w:tcPr>
                <w:p w14:paraId="6A7A7D57">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5.38E-01</w:t>
                  </w:r>
                </w:p>
              </w:tc>
              <w:tc>
                <w:tcPr>
                  <w:tcW w:w="628" w:type="pct"/>
                  <w:vAlign w:val="center"/>
                </w:tcPr>
                <w:p w14:paraId="3FC75428">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4.48E-01</w:t>
                  </w:r>
                </w:p>
              </w:tc>
              <w:tc>
                <w:tcPr>
                  <w:tcW w:w="628" w:type="pct"/>
                  <w:vAlign w:val="center"/>
                </w:tcPr>
                <w:p w14:paraId="6E3C2BD7">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8.96E-01</w:t>
                  </w:r>
                </w:p>
              </w:tc>
              <w:tc>
                <w:tcPr>
                  <w:tcW w:w="628" w:type="pct"/>
                  <w:vAlign w:val="center"/>
                </w:tcPr>
                <w:p w14:paraId="064B7829">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1.34E+00</w:t>
                  </w:r>
                </w:p>
              </w:tc>
              <w:tc>
                <w:tcPr>
                  <w:tcW w:w="634" w:type="pct"/>
                  <w:vAlign w:val="center"/>
                </w:tcPr>
                <w:p w14:paraId="16A87997">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1.79E+00</w:t>
                  </w:r>
                </w:p>
              </w:tc>
            </w:tr>
            <w:tr w14:paraId="14C3B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pct"/>
                  <w:vAlign w:val="center"/>
                </w:tcPr>
                <w:p w14:paraId="61DC0498">
                  <w:pPr>
                    <w:widowControl/>
                    <w:adjustRightInd w:val="0"/>
                    <w:snapToGrid w:val="0"/>
                    <w:jc w:val="center"/>
                    <w:textAlignment w:val="center"/>
                    <w:rPr>
                      <w:rFonts w:hint="default" w:ascii="Times New Roman" w:hAnsi="Times New Roman" w:cs="Times New Roman"/>
                      <w:color w:val="auto"/>
                      <w:kern w:val="0"/>
                      <w:sz w:val="21"/>
                      <w:szCs w:val="21"/>
                      <w:highlight w:val="none"/>
                      <w:lang w:val="en-US" w:eastAsia="zh-CN" w:bidi="ar"/>
                    </w:rPr>
                  </w:pPr>
                  <w:r>
                    <w:rPr>
                      <w:rFonts w:hint="eastAsia" w:ascii="Times New Roman" w:hAnsi="Times New Roman" w:cs="Times New Roman"/>
                      <w:color w:val="auto"/>
                      <w:kern w:val="0"/>
                      <w:sz w:val="21"/>
                      <w:szCs w:val="21"/>
                      <w:highlight w:val="none"/>
                      <w:lang w:val="en-US" w:eastAsia="zh-CN" w:bidi="ar"/>
                    </w:rPr>
                    <w:t>3.8m</w:t>
                  </w:r>
                </w:p>
              </w:tc>
              <w:tc>
                <w:tcPr>
                  <w:tcW w:w="599" w:type="pct"/>
                  <w:vAlign w:val="center"/>
                </w:tcPr>
                <w:p w14:paraId="12EC3292">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0"/>
                      <w:szCs w:val="20"/>
                      <w:highlight w:val="none"/>
                      <w:u w:val="none"/>
                      <w:lang w:val="en-US" w:eastAsia="zh-CN" w:bidi="ar"/>
                    </w:rPr>
                    <w:t>6.98E-03</w:t>
                  </w:r>
                </w:p>
              </w:tc>
              <w:tc>
                <w:tcPr>
                  <w:tcW w:w="628" w:type="pct"/>
                  <w:vAlign w:val="center"/>
                </w:tcPr>
                <w:p w14:paraId="0D1F74C7">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1.40E-02</w:t>
                  </w:r>
                </w:p>
              </w:tc>
              <w:tc>
                <w:tcPr>
                  <w:tcW w:w="628" w:type="pct"/>
                  <w:vAlign w:val="center"/>
                </w:tcPr>
                <w:p w14:paraId="6CC1FEE7">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8.38E-02</w:t>
                  </w:r>
                </w:p>
              </w:tc>
              <w:tc>
                <w:tcPr>
                  <w:tcW w:w="628" w:type="pct"/>
                  <w:vAlign w:val="center"/>
                </w:tcPr>
                <w:p w14:paraId="6D085051">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6.98E-02</w:t>
                  </w:r>
                </w:p>
              </w:tc>
              <w:tc>
                <w:tcPr>
                  <w:tcW w:w="628" w:type="pct"/>
                  <w:vAlign w:val="center"/>
                </w:tcPr>
                <w:p w14:paraId="17DD5A03">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1.40E-01</w:t>
                  </w:r>
                </w:p>
              </w:tc>
              <w:tc>
                <w:tcPr>
                  <w:tcW w:w="628" w:type="pct"/>
                  <w:vAlign w:val="center"/>
                </w:tcPr>
                <w:p w14:paraId="0E6677F5">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2.09E-01</w:t>
                  </w:r>
                </w:p>
              </w:tc>
              <w:tc>
                <w:tcPr>
                  <w:tcW w:w="634" w:type="pct"/>
                  <w:vAlign w:val="center"/>
                </w:tcPr>
                <w:p w14:paraId="6205AD67">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2.79E-01</w:t>
                  </w:r>
                </w:p>
              </w:tc>
            </w:tr>
          </w:tbl>
          <w:p w14:paraId="1333D5C6">
            <w:pPr>
              <w:numPr>
                <w:ilvl w:val="0"/>
                <w:numId w:val="24"/>
              </w:numPr>
              <w:adjustRightInd w:val="0"/>
              <w:snapToGrid w:val="0"/>
              <w:spacing w:line="360" w:lineRule="auto"/>
              <w:ind w:firstLine="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事故后果</w:t>
            </w:r>
          </w:p>
          <w:p w14:paraId="11CEFBE2">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根据表11-</w:t>
            </w:r>
            <w:r>
              <w:rPr>
                <w:rFonts w:hint="eastAsia" w:ascii="Times New Roman" w:hAnsi="Times New Roman" w:cs="Times New Roman"/>
                <w:color w:val="auto"/>
                <w:sz w:val="24"/>
                <w:highlight w:val="none"/>
                <w:lang w:val="en-US" w:eastAsia="zh-CN"/>
              </w:rPr>
              <w:t>18</w:t>
            </w:r>
            <w:r>
              <w:rPr>
                <w:rFonts w:hint="default" w:ascii="Times New Roman" w:hAnsi="Times New Roman" w:cs="Times New Roman"/>
                <w:color w:val="auto"/>
                <w:sz w:val="24"/>
                <w:highlight w:val="none"/>
              </w:rPr>
              <w:t>可知，本项目辐射工作人员在不同位置（</w:t>
            </w:r>
            <w:r>
              <w:rPr>
                <w:rFonts w:hint="eastAsia" w:ascii="Times New Roman" w:hAnsi="Times New Roman" w:cs="Times New Roman"/>
                <w:color w:val="auto"/>
                <w:sz w:val="24"/>
                <w:highlight w:val="none"/>
                <w:lang w:val="en-US" w:eastAsia="zh-CN"/>
              </w:rPr>
              <w:t>0.6</w:t>
            </w:r>
            <w:r>
              <w:rPr>
                <w:rFonts w:hint="default" w:ascii="Times New Roman" w:hAnsi="Times New Roman" w:cs="Times New Roman"/>
                <w:color w:val="auto"/>
                <w:sz w:val="24"/>
                <w:highlight w:val="none"/>
              </w:rPr>
              <w:t>m、</w:t>
            </w:r>
            <w:r>
              <w:rPr>
                <w:rFonts w:hint="eastAsia" w:ascii="Times New Roman" w:hAnsi="Times New Roman" w:cs="Times New Roman"/>
                <w:color w:val="auto"/>
                <w:sz w:val="24"/>
                <w:highlight w:val="none"/>
                <w:lang w:val="en-US" w:eastAsia="zh-CN"/>
              </w:rPr>
              <w:t>0.8</w:t>
            </w:r>
            <w:r>
              <w:rPr>
                <w:rFonts w:hint="default" w:ascii="Times New Roman" w:hAnsi="Times New Roman" w:cs="Times New Roman"/>
                <w:color w:val="auto"/>
                <w:sz w:val="24"/>
                <w:highlight w:val="none"/>
              </w:rPr>
              <w:t>m、</w:t>
            </w:r>
            <w:r>
              <w:rPr>
                <w:rFonts w:hint="eastAsia" w:ascii="Times New Roman" w:hAnsi="Times New Roman" w:cs="Times New Roman"/>
                <w:color w:val="auto"/>
                <w:sz w:val="24"/>
                <w:highlight w:val="none"/>
                <w:lang w:val="en-US" w:eastAsia="zh-CN"/>
              </w:rPr>
              <w:t>3.8</w:t>
            </w:r>
            <w:r>
              <w:rPr>
                <w:rFonts w:hint="default" w:ascii="Times New Roman" w:hAnsi="Times New Roman" w:cs="Times New Roman"/>
                <w:color w:val="auto"/>
                <w:sz w:val="24"/>
                <w:highlight w:val="none"/>
              </w:rPr>
              <w:t>m）随着时间（至多20min）的推移，所受到的最大可能受照剂量为</w:t>
            </w:r>
            <w:r>
              <w:rPr>
                <w:rFonts w:hint="eastAsia" w:ascii="Times New Roman" w:hAnsi="Times New Roman" w:cs="Times New Roman"/>
                <w:color w:val="auto"/>
                <w:sz w:val="24"/>
                <w:highlight w:val="none"/>
                <w:lang w:val="en-US" w:eastAsia="zh-CN"/>
              </w:rPr>
              <w:t>11.2</w:t>
            </w:r>
            <w:r>
              <w:rPr>
                <w:rFonts w:hint="default" w:ascii="Times New Roman" w:hAnsi="Times New Roman" w:cs="Times New Roman"/>
                <w:color w:val="auto"/>
                <w:sz w:val="24"/>
                <w:highlight w:val="none"/>
              </w:rPr>
              <w:t>mSv/次，低于《电离辐射防护与辐射源安全基本标准》（GB18871-2002）规定的职业人员20mSv/a的剂量限值，不构成辐射事故。</w:t>
            </w:r>
          </w:p>
          <w:p w14:paraId="15EEF301">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公众误入DSA机房或未撤离DSA机房，在不同位置（位于1.5m、</w:t>
            </w:r>
            <w:r>
              <w:rPr>
                <w:rFonts w:hint="eastAsia" w:ascii="Times New Roman" w:hAnsi="Times New Roman" w:cs="Times New Roman"/>
                <w:color w:val="auto"/>
                <w:sz w:val="24"/>
                <w:highlight w:val="none"/>
                <w:lang w:val="en-US" w:eastAsia="zh-CN"/>
              </w:rPr>
              <w:t>3.8</w:t>
            </w:r>
            <w:r>
              <w:rPr>
                <w:rFonts w:hint="default" w:ascii="Times New Roman" w:hAnsi="Times New Roman" w:cs="Times New Roman"/>
                <w:color w:val="auto"/>
                <w:sz w:val="24"/>
                <w:highlight w:val="none"/>
              </w:rPr>
              <w:t>m处）随着时间（至多30s）推移，公众所受到的最大可能受照剂量为</w:t>
            </w:r>
            <w:r>
              <w:rPr>
                <w:rFonts w:hint="eastAsia" w:ascii="Times New Roman" w:hAnsi="Times New Roman" w:cs="Times New Roman"/>
                <w:color w:val="auto"/>
                <w:sz w:val="24"/>
                <w:highlight w:val="none"/>
                <w:lang w:val="en-US" w:eastAsia="zh-CN"/>
              </w:rPr>
              <w:t>0.048</w:t>
            </w:r>
            <w:r>
              <w:rPr>
                <w:rFonts w:hint="default" w:ascii="Times New Roman" w:hAnsi="Times New Roman" w:cs="Times New Roman"/>
                <w:color w:val="auto"/>
                <w:sz w:val="24"/>
                <w:highlight w:val="none"/>
              </w:rPr>
              <w:t>mSv/次，低于《电离辐射防护与辐射源安全基本标准》（GB18871- 2002）规定的公众1mSv/a的剂量限值，不构成辐射事故。</w:t>
            </w:r>
          </w:p>
          <w:p w14:paraId="0E075233">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综上所述，本项目不会构成辐射事故。建设单位在管理中必须认真执行安全操作规程和各项规章制度，强化安全管理。</w:t>
            </w:r>
          </w:p>
          <w:p w14:paraId="1B33C3F7">
            <w:pPr>
              <w:numPr>
                <w:ilvl w:val="0"/>
                <w:numId w:val="24"/>
              </w:numPr>
              <w:adjustRightInd w:val="0"/>
              <w:snapToGrid w:val="0"/>
              <w:spacing w:line="360" w:lineRule="auto"/>
              <w:ind w:firstLine="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事故处理方法及预防措施：</w:t>
            </w:r>
          </w:p>
          <w:p w14:paraId="1C8AA2E5">
            <w:pPr>
              <w:adjustRightInd w:val="0"/>
              <w:snapToGrid w:val="0"/>
              <w:spacing w:line="360" w:lineRule="auto"/>
              <w:ind w:firstLine="480"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事故处理方法</w:t>
            </w:r>
          </w:p>
          <w:p w14:paraId="05CAB1A7">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针对以上可能发生的事故风险，该医院已根据可能发生辐射事故的性质、严重程度、可控性和影响范围制定了辐射事故应急方案。</w:t>
            </w:r>
          </w:p>
          <w:p w14:paraId="490F7151">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与此同时，医院应加强辐射安全管理，在项目运行时严格遵循已制定的相关操作规程和辐射安全管理制度，并在实际工作中不断对其完善；医院应定期对DSA进行检查、维护，发现问题及时维修，并应定期监测DSA机房周围的环境辐射剂量率等，确保辐射工作安全有效运转。</w:t>
            </w:r>
          </w:p>
          <w:p w14:paraId="0DE14160">
            <w:pPr>
              <w:adjustRightInd w:val="0"/>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sz w:val="24"/>
                <w:highlight w:val="none"/>
              </w:rPr>
              <w:t>根据《关于建立放射性同位素与射线装置辐射事故分级处理与报告制度的通知》（环发&lt;2006&gt;145号）规定，</w:t>
            </w:r>
            <w:r>
              <w:rPr>
                <w:rFonts w:hint="default" w:ascii="Times New Roman" w:hAnsi="Times New Roman" w:cs="Times New Roman"/>
                <w:color w:val="auto"/>
                <w:kern w:val="0"/>
                <w:sz w:val="24"/>
                <w:highlight w:val="none"/>
              </w:rPr>
              <w:t>发生辐射事故时，医院应立即启动医院内部的事故应急方案，采取必要防范措施，并在2小时内向所在地生态环境</w:t>
            </w:r>
            <w:r>
              <w:rPr>
                <w:rFonts w:hint="default" w:ascii="Times New Roman" w:hAnsi="Times New Roman" w:cs="Times New Roman"/>
                <w:color w:val="auto"/>
                <w:sz w:val="24"/>
                <w:highlight w:val="none"/>
              </w:rPr>
              <w:t>部门</w:t>
            </w:r>
            <w:r>
              <w:rPr>
                <w:rFonts w:hint="default" w:ascii="Times New Roman" w:hAnsi="Times New Roman" w:cs="Times New Roman"/>
                <w:color w:val="auto"/>
                <w:kern w:val="0"/>
                <w:sz w:val="24"/>
                <w:highlight w:val="none"/>
              </w:rPr>
              <w:t>和所在地公安局报告，造成或者可能造成人员超剂量照射的，同时向卫生健康部门报告。</w:t>
            </w:r>
            <w:r>
              <w:rPr>
                <w:rFonts w:hint="default" w:ascii="Times New Roman" w:hAnsi="Times New Roman" w:cs="Times New Roman"/>
                <w:color w:val="auto"/>
                <w:sz w:val="24"/>
                <w:highlight w:val="none"/>
              </w:rPr>
              <w:t>事故发生后医院应积极配合生态环境部门、公安部门及卫生健康部门调查事故原因，并做好后续工作。</w:t>
            </w:r>
          </w:p>
          <w:p w14:paraId="5E8E03BD">
            <w:pPr>
              <w:adjustRightInd w:val="0"/>
              <w:snapToGrid w:val="0"/>
              <w:spacing w:line="360" w:lineRule="auto"/>
              <w:ind w:firstLine="480"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预防措施</w:t>
            </w:r>
          </w:p>
          <w:p w14:paraId="3DF6B6EE">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医院严格执行《放射性同位素与射线装置安全和防护条例》，拟采取的事故防范措施主要包括辐射安全管理和设备固有安全设施两方面。</w:t>
            </w:r>
          </w:p>
          <w:p w14:paraId="338AC3E8">
            <w:pPr>
              <w:numPr>
                <w:ilvl w:val="0"/>
                <w:numId w:val="26"/>
              </w:num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辐射安全管理措施</w:t>
            </w:r>
          </w:p>
          <w:p w14:paraId="5B9258C7">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医院已成立辐射安全与放射防护管理委员会，负责全院辐射防护监督与检查工作。医院应继续完善各种辐射安全防护制度、防护工作计划、辐射事故应急预案并定期组织演练；全面贯彻落实辐射防护法律法规、行政规章和卫生行业标准，确保临床放射诊疗质量和医疗安全，推进放射诊疗工作的科学化、规范化、标准化、制度化、流程化管理；完善辐射安全和放射防护相关职责、制度、流程、操作技术规范及相关质量控制方案；定期检查各种制度、防护措施的贯彻落实情况；组织实施辐射工作人员和领导小组一起定期在国家培训平台上学习关于辐射安全与防护相关的法律法规及防护知识；定期组织对辐射工作场所、射线装置的防护效果检测，检查辐射工作人员是否按照有关规定佩戴个人剂量计并定期进行个人剂量检测结果存档，组织本院辐射工作人员进行上岗前、在岗期间和离岗时的职业健康体检，并分别建立辐射工作人员个人剂量检测、职业健康管理、培训管理档案。</w:t>
            </w:r>
          </w:p>
          <w:p w14:paraId="1279C4D5">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②医院需根据法律法规继续完善辐射事故预防措施及应急处理预案，包括应急机构的设置与职责及联系电话、应急响应程序、紧急响应措施、条件保障等。</w:t>
            </w:r>
          </w:p>
          <w:p w14:paraId="5FB54D05">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③医院需根据法律法规继续完善辐射防护和安全保卫制度、设备检修维护制度、设备使用登记制度、操作规程等。本项目的安全管理科室为放射科。 </w:t>
            </w:r>
          </w:p>
          <w:p w14:paraId="2F3F97EF">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建设方严格执行以下风险预防措施：</w:t>
            </w:r>
          </w:p>
          <w:p w14:paraId="0D62EE7E">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①定期认真地对本单位射线装置的安全和防护措施、设施的安全防护效果进行检测或者检查，完善各项管理制度并严格按要求执行，对发现的安全隐患立即进行整改，避免事故的发生。</w:t>
            </w:r>
          </w:p>
          <w:p w14:paraId="56C70964">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②建设单位已制定辐射工作设备操作规程。凡涉及对射线装置进行操作，必须按操作规程执行，并做好个人的防护，并应将操作规程张贴在操作人员可看到的显眼位置。</w:t>
            </w:r>
          </w:p>
          <w:p w14:paraId="594CE260">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③定期对使用射线装置的安全装置进行维护、保养，对可能引起操作失灵的关键零配件定期更换，并建立射线装置维护、维修台账。</w:t>
            </w:r>
          </w:p>
          <w:p w14:paraId="7999EC64">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④建设单位所有辐射工作人员需在系统学习后，报名参加国家生态环境部组织的辐射安全与防护考试，均需持证上岗。</w:t>
            </w:r>
          </w:p>
          <w:p w14:paraId="501DD0B5">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⑤项目所涉及的射线装置纳入应急适用范围，增加医院内部应急领导小组成员电话。</w:t>
            </w:r>
          </w:p>
          <w:p w14:paraId="7D6CA99F">
            <w:pPr>
              <w:numPr>
                <w:ilvl w:val="0"/>
                <w:numId w:val="26"/>
              </w:numPr>
              <w:adjustRightInd w:val="0"/>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sz w:val="24"/>
                <w:highlight w:val="none"/>
              </w:rPr>
              <w:t>设备固有安全设施本项目DSA自身采取了多重安全措施，以防止辐射事故的发生，如DSA采取的“紧急停机”按钮、工作状态指示灯箱与防护门联锁等。以上各种事故的防范与对策措施，可减少或避免放射性事故的发生率，从而保证项目的正常运营，也保障了工作人员、公众的健康与安全。</w:t>
            </w:r>
          </w:p>
          <w:p w14:paraId="78341D5D">
            <w:pPr>
              <w:numPr>
                <w:ilvl w:val="0"/>
                <w:numId w:val="24"/>
              </w:numPr>
              <w:adjustRightInd w:val="0"/>
              <w:snapToGrid w:val="0"/>
              <w:spacing w:line="360" w:lineRule="auto"/>
              <w:ind w:firstLine="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其他风险的防范</w:t>
            </w:r>
          </w:p>
          <w:p w14:paraId="579F0C1C">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外购的造影剂均采用不锈钢药品柜单独密闭并加锁保存，钥匙交由专人保管；未使用完和过期的造影剂均作为医废处理；在进行介入手术时，使用带托盘的不锈钢推车进行运送，便于清除手术污染以预防院感。</w:t>
            </w:r>
          </w:p>
          <w:p w14:paraId="79683C46">
            <w:pPr>
              <w:pStyle w:val="34"/>
              <w:ind w:left="0"/>
              <w:rPr>
                <w:rFonts w:hint="default" w:ascii="Times New Roman" w:hAnsi="Times New Roman" w:cs="Times New Roman"/>
                <w:color w:val="auto"/>
                <w:highlight w:val="none"/>
              </w:rPr>
            </w:pPr>
          </w:p>
          <w:p w14:paraId="42C94F70">
            <w:pPr>
              <w:rPr>
                <w:rFonts w:hint="default" w:ascii="Times New Roman" w:hAnsi="Times New Roman" w:cs="Times New Roman"/>
                <w:color w:val="auto"/>
                <w:highlight w:val="none"/>
              </w:rPr>
            </w:pPr>
          </w:p>
          <w:p w14:paraId="3338D8DB">
            <w:pPr>
              <w:rPr>
                <w:rFonts w:hint="default" w:ascii="Times New Roman" w:hAnsi="Times New Roman" w:cs="Times New Roman"/>
                <w:color w:val="auto"/>
                <w:highlight w:val="none"/>
              </w:rPr>
            </w:pPr>
          </w:p>
          <w:p w14:paraId="6E2FCD94">
            <w:pPr>
              <w:rPr>
                <w:rFonts w:hint="default" w:ascii="Times New Roman" w:hAnsi="Times New Roman" w:cs="Times New Roman"/>
                <w:color w:val="auto"/>
                <w:highlight w:val="none"/>
              </w:rPr>
            </w:pPr>
          </w:p>
          <w:p w14:paraId="25E5FF4F">
            <w:pPr>
              <w:rPr>
                <w:rFonts w:hint="default" w:ascii="Times New Roman" w:hAnsi="Times New Roman" w:cs="Times New Roman"/>
                <w:color w:val="auto"/>
                <w:highlight w:val="none"/>
              </w:rPr>
            </w:pPr>
          </w:p>
          <w:p w14:paraId="79BE144C">
            <w:pPr>
              <w:rPr>
                <w:rFonts w:hint="default" w:ascii="Times New Roman" w:hAnsi="Times New Roman" w:cs="Times New Roman"/>
                <w:color w:val="auto"/>
                <w:highlight w:val="none"/>
              </w:rPr>
            </w:pPr>
          </w:p>
          <w:p w14:paraId="29D50907">
            <w:pPr>
              <w:rPr>
                <w:rFonts w:hint="default" w:ascii="Times New Roman" w:hAnsi="Times New Roman" w:cs="Times New Roman"/>
                <w:color w:val="auto"/>
                <w:highlight w:val="none"/>
              </w:rPr>
            </w:pPr>
          </w:p>
          <w:p w14:paraId="71E447E3">
            <w:pPr>
              <w:rPr>
                <w:rFonts w:hint="default" w:ascii="Times New Roman" w:hAnsi="Times New Roman" w:cs="Times New Roman"/>
                <w:color w:val="auto"/>
                <w:highlight w:val="none"/>
              </w:rPr>
            </w:pPr>
          </w:p>
          <w:p w14:paraId="6DD3BC6C">
            <w:pPr>
              <w:rPr>
                <w:rFonts w:hint="default" w:ascii="Times New Roman" w:hAnsi="Times New Roman" w:cs="Times New Roman"/>
                <w:color w:val="auto"/>
                <w:highlight w:val="none"/>
              </w:rPr>
            </w:pPr>
          </w:p>
          <w:p w14:paraId="68BB8E7A">
            <w:pPr>
              <w:pStyle w:val="8"/>
              <w:rPr>
                <w:rFonts w:hint="default" w:ascii="Times New Roman" w:hAnsi="Times New Roman" w:cs="Times New Roman"/>
                <w:color w:val="auto"/>
                <w:highlight w:val="none"/>
              </w:rPr>
            </w:pPr>
          </w:p>
          <w:p w14:paraId="033A7F4A">
            <w:pPr>
              <w:rPr>
                <w:rFonts w:hint="default" w:ascii="Times New Roman" w:hAnsi="Times New Roman" w:cs="Times New Roman"/>
                <w:color w:val="auto"/>
                <w:highlight w:val="none"/>
              </w:rPr>
            </w:pPr>
          </w:p>
          <w:p w14:paraId="67CD8EF9">
            <w:pPr>
              <w:pStyle w:val="8"/>
              <w:rPr>
                <w:rFonts w:hint="default" w:ascii="Times New Roman" w:hAnsi="Times New Roman" w:cs="Times New Roman"/>
                <w:color w:val="auto"/>
                <w:highlight w:val="none"/>
              </w:rPr>
            </w:pPr>
          </w:p>
          <w:p w14:paraId="4DACA44D">
            <w:pPr>
              <w:rPr>
                <w:rFonts w:hint="default" w:ascii="Times New Roman" w:hAnsi="Times New Roman" w:cs="Times New Roman"/>
                <w:color w:val="auto"/>
                <w:highlight w:val="none"/>
              </w:rPr>
            </w:pPr>
          </w:p>
          <w:p w14:paraId="23CEBBD6">
            <w:pPr>
              <w:pStyle w:val="8"/>
              <w:rPr>
                <w:rFonts w:hint="default" w:ascii="Times New Roman" w:hAnsi="Times New Roman" w:cs="Times New Roman"/>
                <w:color w:val="auto"/>
                <w:highlight w:val="none"/>
              </w:rPr>
            </w:pPr>
          </w:p>
          <w:p w14:paraId="7EBC6CE7">
            <w:pPr>
              <w:rPr>
                <w:rFonts w:hint="default" w:ascii="Times New Roman" w:hAnsi="Times New Roman" w:cs="Times New Roman"/>
                <w:color w:val="auto"/>
                <w:highlight w:val="none"/>
              </w:rPr>
            </w:pPr>
          </w:p>
          <w:p w14:paraId="01259A57">
            <w:pPr>
              <w:pStyle w:val="8"/>
              <w:rPr>
                <w:rFonts w:hint="default" w:ascii="Times New Roman" w:hAnsi="Times New Roman" w:cs="Times New Roman"/>
                <w:color w:val="auto"/>
                <w:highlight w:val="none"/>
              </w:rPr>
            </w:pPr>
          </w:p>
          <w:p w14:paraId="017E89DC">
            <w:pPr>
              <w:rPr>
                <w:rFonts w:hint="default" w:ascii="Times New Roman" w:hAnsi="Times New Roman" w:cs="Times New Roman"/>
                <w:color w:val="auto"/>
                <w:highlight w:val="none"/>
              </w:rPr>
            </w:pPr>
          </w:p>
          <w:p w14:paraId="232D6089">
            <w:pPr>
              <w:pStyle w:val="8"/>
              <w:rPr>
                <w:rFonts w:hint="default" w:ascii="Times New Roman" w:hAnsi="Times New Roman" w:cs="Times New Roman"/>
                <w:color w:val="auto"/>
                <w:highlight w:val="none"/>
              </w:rPr>
            </w:pPr>
          </w:p>
          <w:p w14:paraId="515EF4F2">
            <w:pPr>
              <w:rPr>
                <w:rFonts w:hint="default" w:ascii="Times New Roman" w:hAnsi="Times New Roman" w:cs="Times New Roman"/>
                <w:color w:val="auto"/>
                <w:highlight w:val="none"/>
              </w:rPr>
            </w:pPr>
          </w:p>
          <w:p w14:paraId="467ACFA1">
            <w:pPr>
              <w:pStyle w:val="8"/>
              <w:rPr>
                <w:rFonts w:hint="default" w:ascii="Times New Roman" w:hAnsi="Times New Roman" w:cs="Times New Roman"/>
                <w:color w:val="auto"/>
                <w:highlight w:val="none"/>
              </w:rPr>
            </w:pPr>
          </w:p>
          <w:p w14:paraId="5B3EAD84">
            <w:pPr>
              <w:rPr>
                <w:rFonts w:hint="default" w:ascii="Times New Roman" w:hAnsi="Times New Roman" w:cs="Times New Roman"/>
                <w:color w:val="auto"/>
                <w:highlight w:val="none"/>
              </w:rPr>
            </w:pPr>
          </w:p>
          <w:p w14:paraId="73261D75">
            <w:pPr>
              <w:pStyle w:val="8"/>
              <w:rPr>
                <w:rFonts w:hint="default" w:ascii="Times New Roman" w:hAnsi="Times New Roman" w:cs="Times New Roman"/>
                <w:color w:val="auto"/>
                <w:highlight w:val="none"/>
              </w:rPr>
            </w:pPr>
          </w:p>
          <w:p w14:paraId="734C3102">
            <w:pPr>
              <w:rPr>
                <w:rFonts w:hint="default" w:ascii="Times New Roman" w:hAnsi="Times New Roman" w:cs="Times New Roman"/>
                <w:color w:val="auto"/>
                <w:highlight w:val="none"/>
              </w:rPr>
            </w:pPr>
          </w:p>
          <w:p w14:paraId="239E4F97">
            <w:pPr>
              <w:rPr>
                <w:rFonts w:hint="default" w:ascii="Times New Roman" w:hAnsi="Times New Roman" w:cs="Times New Roman"/>
                <w:color w:val="auto"/>
                <w:highlight w:val="none"/>
              </w:rPr>
            </w:pPr>
          </w:p>
          <w:p w14:paraId="3C375E36">
            <w:pPr>
              <w:pStyle w:val="8"/>
              <w:rPr>
                <w:rFonts w:hint="default" w:ascii="Times New Roman" w:hAnsi="Times New Roman" w:cs="Times New Roman"/>
                <w:color w:val="auto"/>
                <w:highlight w:val="none"/>
              </w:rPr>
            </w:pPr>
          </w:p>
          <w:p w14:paraId="64555484">
            <w:pPr>
              <w:pStyle w:val="8"/>
              <w:rPr>
                <w:rFonts w:hint="default" w:ascii="Times New Roman" w:hAnsi="Times New Roman" w:cs="Times New Roman"/>
                <w:color w:val="auto"/>
                <w:highlight w:val="none"/>
              </w:rPr>
            </w:pPr>
          </w:p>
          <w:p w14:paraId="364D3430">
            <w:pPr>
              <w:rPr>
                <w:rFonts w:hint="default"/>
                <w:color w:val="auto"/>
                <w:highlight w:val="none"/>
              </w:rPr>
            </w:pPr>
          </w:p>
          <w:p w14:paraId="0BCB82F5">
            <w:pPr>
              <w:pStyle w:val="8"/>
              <w:rPr>
                <w:rFonts w:hint="default" w:ascii="Times New Roman" w:hAnsi="Times New Roman" w:cs="Times New Roman"/>
                <w:color w:val="auto"/>
                <w:highlight w:val="none"/>
              </w:rPr>
            </w:pPr>
          </w:p>
          <w:p w14:paraId="01E64487">
            <w:pPr>
              <w:rPr>
                <w:rFonts w:hint="default" w:ascii="Times New Roman" w:hAnsi="Times New Roman" w:cs="Times New Roman"/>
                <w:color w:val="auto"/>
                <w:highlight w:val="none"/>
              </w:rPr>
            </w:pPr>
          </w:p>
          <w:p w14:paraId="2D6A9426">
            <w:pPr>
              <w:adjustRightInd w:val="0"/>
              <w:snapToGrid w:val="0"/>
              <w:spacing w:line="360" w:lineRule="auto"/>
              <w:rPr>
                <w:rFonts w:hint="default" w:ascii="Times New Roman" w:hAnsi="Times New Roman" w:cs="Times New Roman"/>
                <w:color w:val="auto"/>
                <w:sz w:val="24"/>
                <w:highlight w:val="none"/>
              </w:rPr>
            </w:pPr>
          </w:p>
        </w:tc>
      </w:tr>
    </w:tbl>
    <w:p w14:paraId="72657BCF">
      <w:pPr>
        <w:pStyle w:val="2"/>
        <w:adjustRightInd w:val="0"/>
        <w:snapToGrid w:val="0"/>
        <w:spacing w:before="0" w:after="0"/>
        <w:jc w:val="center"/>
        <w:rPr>
          <w:rFonts w:hint="default" w:ascii="Times New Roman" w:hAnsi="Times New Roman" w:cs="Times New Roman"/>
          <w:b w:val="0"/>
          <w:bCs/>
          <w:color w:val="auto"/>
          <w:sz w:val="30"/>
          <w:szCs w:val="30"/>
          <w:highlight w:val="none"/>
          <w:lang w:val="en-GB"/>
        </w:rPr>
      </w:pPr>
      <w:r>
        <w:rPr>
          <w:rFonts w:hint="default" w:ascii="Times New Roman" w:hAnsi="Times New Roman" w:cs="Times New Roman"/>
          <w:b w:val="0"/>
          <w:bCs/>
          <w:color w:val="auto"/>
          <w:sz w:val="30"/>
          <w:szCs w:val="30"/>
          <w:highlight w:val="none"/>
          <w:lang w:val="en-GB"/>
        </w:rPr>
        <w:br w:type="page"/>
      </w:r>
      <w:bookmarkStart w:id="68" w:name="_Toc15179"/>
      <w:r>
        <w:rPr>
          <w:rFonts w:hint="default" w:ascii="Times New Roman" w:hAnsi="Times New Roman" w:cs="Times New Roman"/>
          <w:b w:val="0"/>
          <w:bCs/>
          <w:color w:val="auto"/>
          <w:sz w:val="30"/>
          <w:szCs w:val="30"/>
          <w:highlight w:val="none"/>
          <w:lang w:val="en-GB"/>
        </w:rPr>
        <w:t>表12 辐射安全管理</w:t>
      </w:r>
      <w:bookmarkEnd w:id="63"/>
      <w:bookmarkEnd w:id="64"/>
      <w:bookmarkEnd w:id="65"/>
      <w:bookmarkEnd w:id="66"/>
      <w:bookmarkEnd w:id="67"/>
      <w:bookmarkEnd w:id="68"/>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7"/>
      </w:tblGrid>
      <w:tr w14:paraId="6B142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Pr>
          <w:p w14:paraId="676D266C">
            <w:pPr>
              <w:widowControl/>
              <w:adjustRightInd w:val="0"/>
              <w:snapToGrid w:val="0"/>
              <w:spacing w:line="360" w:lineRule="auto"/>
              <w:jc w:val="left"/>
              <w:rPr>
                <w:rFonts w:hint="default" w:ascii="Times New Roman" w:hAnsi="Times New Roman" w:cs="Times New Roman"/>
                <w:b/>
                <w:bCs/>
                <w:color w:val="auto"/>
                <w:sz w:val="24"/>
                <w:highlight w:val="none"/>
              </w:rPr>
            </w:pPr>
            <w:bookmarkStart w:id="69" w:name="_Toc21745"/>
            <w:bookmarkStart w:id="70" w:name="_Toc448838924"/>
            <w:bookmarkStart w:id="71" w:name="_Toc14475"/>
            <w:r>
              <w:rPr>
                <w:rFonts w:hint="default" w:ascii="Times New Roman" w:hAnsi="Times New Roman" w:cs="Times New Roman"/>
                <w:b/>
                <w:bCs/>
                <w:color w:val="auto"/>
                <w:sz w:val="24"/>
                <w:highlight w:val="none"/>
              </w:rPr>
              <w:t>辐射安全与环境保护管理机构的设置</w:t>
            </w:r>
          </w:p>
          <w:p w14:paraId="648EA04C">
            <w:pPr>
              <w:autoSpaceDE w:val="0"/>
              <w:autoSpaceDN w:val="0"/>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放射性同位素与射线装置安全和防护条例》、《放射性同位素与射线装置安全许可管理办法》等法律法规要求，使用Ⅱ类射线装置的单位应设有专门的辐射安全与环境保护管理机构，或者至少有1名具有本科以上学历的技术人员专职负责辐射安全与环境保护管理工作，医院已成立了辐射管理领导小组。辐射管理领导有领导分管、机构健全。</w:t>
            </w:r>
          </w:p>
          <w:p w14:paraId="0A544150">
            <w:pPr>
              <w:autoSpaceDE w:val="0"/>
              <w:autoSpaceDN w:val="0"/>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成员组成见表12-1。</w:t>
            </w:r>
          </w:p>
          <w:p w14:paraId="3F2681E7">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表12-1 辐射管理领导小组成员组成表</w:t>
            </w:r>
          </w:p>
          <w:tbl>
            <w:tblPr>
              <w:tblStyle w:val="23"/>
              <w:tblW w:w="82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4"/>
              <w:gridCol w:w="6797"/>
            </w:tblGrid>
            <w:tr w14:paraId="587CF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74" w:type="dxa"/>
                  <w:shd w:val="clear" w:color="auto" w:fill="auto"/>
                  <w:vAlign w:val="center"/>
                </w:tcPr>
                <w:p w14:paraId="32E9A6A2">
                  <w:pPr>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rPr>
                    <w:t>职务</w:t>
                  </w:r>
                </w:p>
              </w:tc>
              <w:tc>
                <w:tcPr>
                  <w:tcW w:w="6797" w:type="dxa"/>
                  <w:shd w:val="clear" w:color="auto" w:fill="auto"/>
                  <w:vAlign w:val="center"/>
                </w:tcPr>
                <w:p w14:paraId="4A6C00F6">
                  <w:pPr>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rPr>
                    <w:t>人员</w:t>
                  </w:r>
                </w:p>
              </w:tc>
            </w:tr>
            <w:tr w14:paraId="5A244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4" w:type="dxa"/>
                  <w:shd w:val="clear" w:color="auto" w:fill="auto"/>
                  <w:vAlign w:val="center"/>
                </w:tcPr>
                <w:p w14:paraId="19D5DCB1">
                  <w:pPr>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rPr>
                    <w:t>组长</w:t>
                  </w:r>
                </w:p>
              </w:tc>
              <w:tc>
                <w:tcPr>
                  <w:tcW w:w="6797" w:type="dxa"/>
                  <w:shd w:val="clear" w:color="auto" w:fill="auto"/>
                  <w:vAlign w:val="center"/>
                </w:tcPr>
                <w:p w14:paraId="48BFBA02">
                  <w:pPr>
                    <w:jc w:val="center"/>
                    <w:rPr>
                      <w:rFonts w:hint="default" w:ascii="Times New Roman" w:hAnsi="Times New Roman" w:eastAsia="宋体" w:cs="Times New Roman"/>
                      <w:color w:val="auto"/>
                      <w:kern w:val="2"/>
                      <w:sz w:val="21"/>
                      <w:szCs w:val="24"/>
                      <w:highlight w:val="none"/>
                      <w:lang w:val="en-US" w:eastAsia="zh-CN" w:bidi="ar-SA"/>
                    </w:rPr>
                  </w:pPr>
                </w:p>
              </w:tc>
            </w:tr>
            <w:tr w14:paraId="4EDB8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4" w:type="dxa"/>
                  <w:shd w:val="clear" w:color="auto" w:fill="auto"/>
                  <w:vAlign w:val="center"/>
                </w:tcPr>
                <w:p w14:paraId="15435E0B">
                  <w:pPr>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rPr>
                    <w:t>副组长</w:t>
                  </w:r>
                </w:p>
              </w:tc>
              <w:tc>
                <w:tcPr>
                  <w:tcW w:w="6797" w:type="dxa"/>
                  <w:shd w:val="clear" w:color="auto" w:fill="auto"/>
                  <w:vAlign w:val="center"/>
                </w:tcPr>
                <w:p w14:paraId="6118FEF0">
                  <w:pPr>
                    <w:jc w:val="center"/>
                    <w:rPr>
                      <w:rFonts w:hint="default" w:ascii="Times New Roman" w:hAnsi="Times New Roman" w:eastAsia="宋体" w:cs="Times New Roman"/>
                      <w:color w:val="auto"/>
                      <w:kern w:val="2"/>
                      <w:sz w:val="21"/>
                      <w:szCs w:val="24"/>
                      <w:highlight w:val="none"/>
                      <w:lang w:val="en-US" w:eastAsia="zh-CN" w:bidi="ar-SA"/>
                    </w:rPr>
                  </w:pPr>
                </w:p>
              </w:tc>
            </w:tr>
            <w:tr w14:paraId="7A5CB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4" w:type="dxa"/>
                  <w:shd w:val="clear" w:color="auto" w:fill="auto"/>
                  <w:vAlign w:val="center"/>
                </w:tcPr>
                <w:p w14:paraId="4D4C8B33">
                  <w:pPr>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rPr>
                    <w:t>成员</w:t>
                  </w:r>
                </w:p>
              </w:tc>
              <w:tc>
                <w:tcPr>
                  <w:tcW w:w="6797" w:type="dxa"/>
                  <w:shd w:val="clear" w:color="auto" w:fill="auto"/>
                  <w:vAlign w:val="center"/>
                </w:tcPr>
                <w:p w14:paraId="5975086B">
                  <w:pPr>
                    <w:jc w:val="center"/>
                    <w:rPr>
                      <w:rFonts w:hint="default" w:ascii="Times New Roman" w:hAnsi="Times New Roman" w:eastAsia="宋体" w:cs="Times New Roman"/>
                      <w:color w:val="auto"/>
                      <w:kern w:val="2"/>
                      <w:sz w:val="21"/>
                      <w:szCs w:val="24"/>
                      <w:highlight w:val="none"/>
                      <w:lang w:val="en-US" w:eastAsia="zh-CN" w:bidi="ar-SA"/>
                    </w:rPr>
                  </w:pPr>
                </w:p>
              </w:tc>
            </w:tr>
          </w:tbl>
          <w:p w14:paraId="42FFA4BA">
            <w:pPr>
              <w:pStyle w:val="32"/>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二、辐射安全管理领导小组职责</w:t>
            </w:r>
          </w:p>
          <w:p w14:paraId="3C36D9E5">
            <w:pPr>
              <w:pStyle w:val="32"/>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(一)贯彻执行放射防护及诊疗、辐射安全相关法律法规和规章制度，并组织落实。</w:t>
            </w:r>
          </w:p>
          <w:p w14:paraId="5A4A8941">
            <w:pPr>
              <w:pStyle w:val="32"/>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(二)按要求组织向相应的卫生健康、生态环境行政部门提出放射诊疗、辐射安全许可申请并取得相应放射诊疗、辐射安全许可。</w:t>
            </w:r>
          </w:p>
          <w:p w14:paraId="28463E07">
            <w:pPr>
              <w:pStyle w:val="32"/>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(三)督促相关科室按要求委托有资质的机构对诊疗场所和防护设施进行辐射防护相关检测。</w:t>
            </w:r>
          </w:p>
          <w:p w14:paraId="72A6769D">
            <w:pPr>
              <w:pStyle w:val="32"/>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(四)按照辐射防护有关规定和标准，组织对我院辐射工作人员进行上岗前、在岗期间、离岗时的职业健康检查;组织辐射工作人员按规定开展个人剂量监测。</w:t>
            </w:r>
          </w:p>
          <w:p w14:paraId="6C15B81A">
            <w:pPr>
              <w:pStyle w:val="32"/>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(五)组织各相关临床医技科室督促本科室辐射工作人员认真执行各项规章制度和技术操作规程，并开展检查。</w:t>
            </w:r>
          </w:p>
          <w:p w14:paraId="731A0398">
            <w:pPr>
              <w:pStyle w:val="32"/>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(六)组织进行有关法律法规知识培训，并督促相关科室建立辐射工作人员个人剂量、职业健康管理和教育培训档案。</w:t>
            </w:r>
          </w:p>
          <w:p w14:paraId="0D4699F8">
            <w:pPr>
              <w:pStyle w:val="32"/>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(七)协助和配合卫生健康、生态环境行政部门等对我院辐射安全防护工作的督查。</w:t>
            </w:r>
          </w:p>
          <w:p w14:paraId="5C63943C">
            <w:pPr>
              <w:pStyle w:val="32"/>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(八)建立辐射安全防护的相关资料，并存档。</w:t>
            </w:r>
          </w:p>
          <w:p w14:paraId="1328604B">
            <w:pPr>
              <w:pStyle w:val="34"/>
              <w:rPr>
                <w:rFonts w:hint="default"/>
              </w:rPr>
            </w:pPr>
          </w:p>
        </w:tc>
      </w:tr>
      <w:tr w14:paraId="3060D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5000" w:type="pct"/>
            <w:tcBorders>
              <w:bottom w:val="single" w:color="000000" w:sz="6" w:space="0"/>
            </w:tcBorders>
          </w:tcPr>
          <w:p w14:paraId="70BAD3B1">
            <w:pPr>
              <w:widowControl/>
              <w:adjustRightInd w:val="0"/>
              <w:snapToGrid w:val="0"/>
              <w:spacing w:line="360" w:lineRule="auto"/>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辐射安全档案资料管理和规章管理制度</w:t>
            </w:r>
          </w:p>
          <w:p w14:paraId="6D481DC1">
            <w:pPr>
              <w:adjustRightInd w:val="0"/>
              <w:snapToGrid w:val="0"/>
              <w:spacing w:line="360" w:lineRule="auto"/>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一、辐射安全综合管理要求及落实情况：</w:t>
            </w:r>
          </w:p>
          <w:p w14:paraId="0ADEA706">
            <w:pPr>
              <w:pStyle w:val="32"/>
              <w:snapToGrid w:val="0"/>
              <w:spacing w:line="360" w:lineRule="auto"/>
              <w:ind w:firstLine="480" w:firstLineChars="20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本项目建设单位涉及使用Ⅱ类X射线装置，根据《放射性同位素与射线装置安全许可管理办法》和</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四川省核技术利用单位辐射安全工作指引（2025年版）</w:t>
            </w:r>
            <w:r>
              <w:rPr>
                <w:rFonts w:hint="default" w:ascii="Times New Roman" w:hAnsi="Times New Roman" w:cs="Times New Roman"/>
                <w:color w:val="auto"/>
                <w:highlight w:val="none"/>
                <w:lang w:eastAsia="zh-CN"/>
              </w:rPr>
              <w:t>》</w:t>
            </w:r>
          </w:p>
          <w:p w14:paraId="10F3358E">
            <w:pPr>
              <w:pStyle w:val="32"/>
              <w:snapToGrid w:val="0"/>
              <w:spacing w:line="360" w:lineRule="auto"/>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建设单位需具备的辐射安全管理要求见表12-2。</w:t>
            </w:r>
          </w:p>
          <w:p w14:paraId="7AFA4A08">
            <w:pPr>
              <w:widowControl/>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表12-2 </w:t>
            </w:r>
            <w:r>
              <w:rPr>
                <w:rFonts w:hint="eastAsia" w:ascii="Times New Roman" w:hAnsi="Times New Roman" w:cs="Times New Roman"/>
                <w:color w:val="auto"/>
                <w:kern w:val="0"/>
                <w:sz w:val="21"/>
                <w:szCs w:val="21"/>
                <w:highlight w:val="none"/>
                <w:lang w:val="en-US" w:eastAsia="zh-CN" w:bidi="ar"/>
              </w:rPr>
              <w:t xml:space="preserve"> </w:t>
            </w:r>
            <w:r>
              <w:rPr>
                <w:rFonts w:hint="default" w:ascii="Times New Roman" w:hAnsi="Times New Roman" w:cs="Times New Roman"/>
                <w:color w:val="auto"/>
                <w:kern w:val="0"/>
                <w:sz w:val="21"/>
                <w:szCs w:val="21"/>
                <w:highlight w:val="none"/>
                <w:lang w:bidi="ar"/>
              </w:rPr>
              <w:t>建设单位辐射安全管理基本要求汇总对照分析表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2448"/>
              <w:gridCol w:w="2758"/>
              <w:gridCol w:w="2656"/>
            </w:tblGrid>
            <w:tr w14:paraId="225C4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vAlign w:val="center"/>
                </w:tcPr>
                <w:p w14:paraId="1B105EB3">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序号</w:t>
                  </w:r>
                </w:p>
              </w:tc>
              <w:tc>
                <w:tcPr>
                  <w:tcW w:w="1477" w:type="pct"/>
                  <w:vAlign w:val="center"/>
                </w:tcPr>
                <w:p w14:paraId="2B91F07E">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辐射管理要求</w:t>
                  </w:r>
                </w:p>
              </w:tc>
              <w:tc>
                <w:tcPr>
                  <w:tcW w:w="1663" w:type="pct"/>
                  <w:vAlign w:val="center"/>
                </w:tcPr>
                <w:p w14:paraId="4B9DE7B6">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落实情况</w:t>
                  </w:r>
                </w:p>
              </w:tc>
              <w:tc>
                <w:tcPr>
                  <w:tcW w:w="1602" w:type="pct"/>
                  <w:vAlign w:val="center"/>
                </w:tcPr>
                <w:p w14:paraId="2B2C0E18">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应增加的措施</w:t>
                  </w:r>
                </w:p>
              </w:tc>
            </w:tr>
            <w:tr w14:paraId="07B70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vAlign w:val="center"/>
                </w:tcPr>
                <w:p w14:paraId="073EF7F2">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1477" w:type="pct"/>
                  <w:vAlign w:val="center"/>
                </w:tcPr>
                <w:p w14:paraId="64018B25">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从事生产、销售、使用放射性同位素与射线装置的单位，应持有有效的辐射安全许可证</w:t>
                  </w:r>
                </w:p>
              </w:tc>
              <w:tc>
                <w:tcPr>
                  <w:tcW w:w="1663" w:type="pct"/>
                  <w:vAlign w:val="center"/>
                </w:tcPr>
                <w:p w14:paraId="5E61CBCF">
                  <w:pPr>
                    <w:widowControl/>
                    <w:adjustRightInd w:val="0"/>
                    <w:snapToGrid w:val="0"/>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已落实，</w:t>
                  </w:r>
                </w:p>
                <w:p w14:paraId="14E14300">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许可证在有效期内</w:t>
                  </w:r>
                </w:p>
              </w:tc>
              <w:tc>
                <w:tcPr>
                  <w:tcW w:w="1602" w:type="pct"/>
                  <w:vAlign w:val="center"/>
                </w:tcPr>
                <w:p w14:paraId="4EB4E139">
                  <w:pPr>
                    <w:widowControl/>
                    <w:adjustRightInd w:val="0"/>
                    <w:snapToGrid w:val="0"/>
                    <w:jc w:val="left"/>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待本项目环评工作完成，项目建设完成后向发证机关提交重新申领辐射安全许可证的申请材料</w:t>
                  </w:r>
                  <w:r>
                    <w:rPr>
                      <w:rFonts w:hint="default" w:ascii="Times New Roman" w:hAnsi="Times New Roman" w:cs="Times New Roman"/>
                      <w:color w:val="auto"/>
                      <w:szCs w:val="21"/>
                      <w:highlight w:val="none"/>
                      <w:lang w:eastAsia="zh-CN"/>
                    </w:rPr>
                    <w:t>。</w:t>
                  </w:r>
                </w:p>
              </w:tc>
            </w:tr>
            <w:tr w14:paraId="1F96A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jc w:val="center"/>
              </w:trPr>
              <w:tc>
                <w:tcPr>
                  <w:tcW w:w="256" w:type="pct"/>
                  <w:vAlign w:val="center"/>
                </w:tcPr>
                <w:p w14:paraId="69D4F76C">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p>
              </w:tc>
              <w:tc>
                <w:tcPr>
                  <w:tcW w:w="1477" w:type="pct"/>
                  <w:vAlign w:val="center"/>
                </w:tcPr>
                <w:p w14:paraId="62699D0A">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辐射工作人员应参加专业培训机构辐射安全知识和法规的培训并持证上岗</w:t>
                  </w:r>
                </w:p>
              </w:tc>
              <w:tc>
                <w:tcPr>
                  <w:tcW w:w="1663" w:type="pct"/>
                  <w:vAlign w:val="center"/>
                </w:tcPr>
                <w:p w14:paraId="64CE71E7">
                  <w:pPr>
                    <w:widowControl/>
                    <w:adjustRightInd w:val="0"/>
                    <w:snapToGrid w:val="0"/>
                    <w:jc w:val="left"/>
                    <w:rPr>
                      <w:rFonts w:hint="default" w:ascii="Times New Roman" w:hAnsi="Times New Roman" w:cs="Times New Roman"/>
                      <w:color w:val="auto"/>
                      <w:highlight w:val="none"/>
                    </w:rPr>
                  </w:pPr>
                  <w:r>
                    <w:rPr>
                      <w:rFonts w:hint="default" w:ascii="Times New Roman" w:hAnsi="Times New Roman" w:cs="Times New Roman"/>
                      <w:color w:val="auto"/>
                      <w:sz w:val="21"/>
                      <w:szCs w:val="21"/>
                      <w:highlight w:val="none"/>
                      <w:lang w:val="en-US"/>
                    </w:rPr>
                    <w:t>已落实，医院已针对从事Ⅲ类射线装置的辐射工作人员集中学习相关课件与视频课程，已从国家核技术利用辐射安全与防护培训平台题库中抽取对应科目考题编写试卷，所有辐射工作人员进行闭卷考核，已对考核结果进行存档。</w:t>
                  </w:r>
                </w:p>
              </w:tc>
              <w:tc>
                <w:tcPr>
                  <w:tcW w:w="1602" w:type="pct"/>
                  <w:vAlign w:val="center"/>
                </w:tcPr>
                <w:p w14:paraId="0D93707F">
                  <w:pPr>
                    <w:widowControl/>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本项目增配</w:t>
                  </w:r>
                  <w:r>
                    <w:rPr>
                      <w:rFonts w:hint="eastAsia" w:ascii="Times New Roman" w:hAnsi="Times New Roman" w:cs="Times New Roman"/>
                      <w:color w:val="auto"/>
                      <w:szCs w:val="21"/>
                      <w:highlight w:val="none"/>
                      <w:lang w:val="en-US" w:eastAsia="zh-CN"/>
                    </w:rPr>
                    <w:t>6</w:t>
                  </w:r>
                  <w:r>
                    <w:rPr>
                      <w:rFonts w:hint="default" w:ascii="Times New Roman" w:hAnsi="Times New Roman" w:cs="Times New Roman"/>
                      <w:color w:val="auto"/>
                      <w:szCs w:val="21"/>
                      <w:highlight w:val="none"/>
                    </w:rPr>
                    <w:t>名辐射工作人员，该</w:t>
                  </w:r>
                  <w:r>
                    <w:rPr>
                      <w:rFonts w:hint="eastAsia" w:ascii="Times New Roman" w:hAnsi="Times New Roman" w:cs="Times New Roman"/>
                      <w:color w:val="auto"/>
                      <w:szCs w:val="21"/>
                      <w:highlight w:val="none"/>
                      <w:lang w:val="en-US" w:eastAsia="zh-CN"/>
                    </w:rPr>
                    <w:t>6</w:t>
                  </w:r>
                  <w:r>
                    <w:rPr>
                      <w:rFonts w:hint="default" w:ascii="Times New Roman" w:hAnsi="Times New Roman" w:cs="Times New Roman"/>
                      <w:color w:val="auto"/>
                      <w:szCs w:val="21"/>
                      <w:highlight w:val="none"/>
                    </w:rPr>
                    <w:t>名辐射工作人员</w:t>
                  </w:r>
                  <w:r>
                    <w:rPr>
                      <w:rFonts w:hint="default" w:ascii="Times New Roman" w:hAnsi="Times New Roman" w:cs="Times New Roman"/>
                      <w:color w:val="auto"/>
                      <w:kern w:val="0"/>
                      <w:szCs w:val="21"/>
                      <w:highlight w:val="none"/>
                      <w:lang w:bidi="ar"/>
                    </w:rPr>
                    <w:t>医院应安排</w:t>
                  </w:r>
                  <w:r>
                    <w:rPr>
                      <w:rFonts w:hint="default" w:ascii="Times New Roman" w:hAnsi="Times New Roman" w:cs="Times New Roman"/>
                      <w:color w:val="auto"/>
                      <w:kern w:val="0"/>
                      <w:szCs w:val="21"/>
                      <w:highlight w:val="none"/>
                      <w:lang w:val="en-US" w:eastAsia="zh-CN" w:bidi="ar"/>
                    </w:rPr>
                    <w:t>参加与岗位类别相适应的辐射安全与防护培训。辐射安全管理人员应参加辐射安全管理培训，其他辐射工作人员参加相应岗位专业的培训。考核合格成绩单有效期5年，所有辐射工作人员均应在考核合格成绩单有效期满前参加复训。</w:t>
                  </w:r>
                </w:p>
              </w:tc>
            </w:tr>
            <w:tr w14:paraId="0E5E4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vAlign w:val="center"/>
                </w:tcPr>
                <w:p w14:paraId="4AE2DBDD">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w:t>
                  </w:r>
                </w:p>
              </w:tc>
              <w:tc>
                <w:tcPr>
                  <w:tcW w:w="1477" w:type="pct"/>
                  <w:vAlign w:val="center"/>
                </w:tcPr>
                <w:p w14:paraId="205FD14B">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辐射工作单位应建立辐射安全管理机构或配备专（兼）职管理人员</w:t>
                  </w:r>
                </w:p>
              </w:tc>
              <w:tc>
                <w:tcPr>
                  <w:tcW w:w="1663" w:type="pct"/>
                  <w:vAlign w:val="center"/>
                </w:tcPr>
                <w:p w14:paraId="04B102FD">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已落实，并设置人员专职管理各院区核技术利用项目</w:t>
                  </w:r>
                </w:p>
              </w:tc>
              <w:tc>
                <w:tcPr>
                  <w:tcW w:w="1602" w:type="pct"/>
                  <w:vAlign w:val="center"/>
                </w:tcPr>
                <w:p w14:paraId="1D704CDE">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r w14:paraId="1BDCA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vAlign w:val="center"/>
                </w:tcPr>
                <w:p w14:paraId="5C8BF8E8">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w:t>
                  </w:r>
                </w:p>
              </w:tc>
              <w:tc>
                <w:tcPr>
                  <w:tcW w:w="1477" w:type="pct"/>
                  <w:vAlign w:val="center"/>
                </w:tcPr>
                <w:p w14:paraId="23446DF7">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需配置必要的辐射防护用品和监测仪器并定期或不定期地开展工作场所及外环境辐射剂量监测，监测记录应存档备查</w:t>
                  </w:r>
                </w:p>
              </w:tc>
              <w:tc>
                <w:tcPr>
                  <w:tcW w:w="1663" w:type="pct"/>
                  <w:vAlign w:val="center"/>
                </w:tcPr>
                <w:p w14:paraId="5773D98F">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已落实</w:t>
                  </w:r>
                </w:p>
              </w:tc>
              <w:tc>
                <w:tcPr>
                  <w:tcW w:w="1602" w:type="pct"/>
                  <w:vAlign w:val="center"/>
                </w:tcPr>
                <w:p w14:paraId="1030937C">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需增购医护人员防护用品、病人防护用品</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新增的</w:t>
                  </w:r>
                  <w:r>
                    <w:rPr>
                      <w:rFonts w:hint="default" w:ascii="Times New Roman" w:hAnsi="Times New Roman" w:cs="Times New Roman"/>
                      <w:color w:val="auto"/>
                      <w:sz w:val="21"/>
                      <w:szCs w:val="21"/>
                      <w:highlight w:val="none"/>
                      <w:lang w:val="en-US" w:eastAsia="zh-CN"/>
                    </w:rPr>
                    <w:t>7</w:t>
                  </w:r>
                  <w:r>
                    <w:rPr>
                      <w:rFonts w:hint="default" w:ascii="Times New Roman" w:hAnsi="Times New Roman" w:cs="Times New Roman"/>
                      <w:color w:val="auto"/>
                      <w:sz w:val="21"/>
                      <w:szCs w:val="21"/>
                      <w:highlight w:val="none"/>
                    </w:rPr>
                    <w:t>名医生</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护士和技师</w:t>
                  </w:r>
                  <w:r>
                    <w:rPr>
                      <w:rFonts w:hint="default" w:ascii="Times New Roman" w:hAnsi="Times New Roman" w:cs="Times New Roman"/>
                      <w:color w:val="auto"/>
                      <w:sz w:val="21"/>
                      <w:szCs w:val="21"/>
                      <w:highlight w:val="none"/>
                    </w:rPr>
                    <w:t>应开展个人剂量监测</w:t>
                  </w:r>
                </w:p>
              </w:tc>
            </w:tr>
            <w:tr w14:paraId="2DDEB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6" w:type="pct"/>
                  <w:vAlign w:val="center"/>
                </w:tcPr>
                <w:p w14:paraId="0EDF5C27">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w:t>
                  </w:r>
                </w:p>
              </w:tc>
              <w:tc>
                <w:tcPr>
                  <w:tcW w:w="1477" w:type="pct"/>
                  <w:vAlign w:val="center"/>
                </w:tcPr>
                <w:p w14:paraId="0BD9842E">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辐射工作单位应针对可能发生的辐射事故风险，制定相应辐射事故应急预案，特别应做好DSA的实体保卫及防护措施</w:t>
                  </w:r>
                </w:p>
              </w:tc>
              <w:tc>
                <w:tcPr>
                  <w:tcW w:w="1663" w:type="pct"/>
                  <w:vAlign w:val="center"/>
                </w:tcPr>
                <w:p w14:paraId="6F5C7EC5">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原有核技术利用项目</w:t>
                  </w:r>
                </w:p>
                <w:p w14:paraId="7A7F14E7">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已落实</w:t>
                  </w:r>
                </w:p>
              </w:tc>
              <w:tc>
                <w:tcPr>
                  <w:tcW w:w="1602" w:type="pct"/>
                  <w:vAlign w:val="center"/>
                </w:tcPr>
                <w:p w14:paraId="5A3EB3BB">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需将本项目装置纳入管辖范围</w:t>
                  </w:r>
                </w:p>
              </w:tc>
            </w:tr>
            <w:tr w14:paraId="2D2B1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6" w:type="pct"/>
                  <w:vAlign w:val="center"/>
                </w:tcPr>
                <w:p w14:paraId="52E961D7">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w:t>
                  </w:r>
                </w:p>
              </w:tc>
              <w:tc>
                <w:tcPr>
                  <w:tcW w:w="1477" w:type="pct"/>
                  <w:vAlign w:val="center"/>
                </w:tcPr>
                <w:p w14:paraId="20219459">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辐射工作单位应建立健全辐射防护、安全管理规章制度及辐射工作单位基础档案</w:t>
                  </w:r>
                </w:p>
              </w:tc>
              <w:tc>
                <w:tcPr>
                  <w:tcW w:w="1663" w:type="pct"/>
                  <w:vAlign w:val="center"/>
                </w:tcPr>
                <w:p w14:paraId="1A1B9D6F">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已建立</w:t>
                  </w:r>
                </w:p>
              </w:tc>
              <w:tc>
                <w:tcPr>
                  <w:tcW w:w="1602" w:type="pct"/>
                  <w:vAlign w:val="center"/>
                </w:tcPr>
                <w:p w14:paraId="751CA23D">
                  <w:pPr>
                    <w:pStyle w:val="32"/>
                    <w:snapToGrid w:val="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需将本项目装置纳入管辖范围</w:t>
                  </w:r>
                </w:p>
              </w:tc>
            </w:tr>
            <w:tr w14:paraId="3C589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6" w:type="pct"/>
                  <w:vAlign w:val="center"/>
                </w:tcPr>
                <w:p w14:paraId="6D92BB3C">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7</w:t>
                  </w:r>
                </w:p>
              </w:tc>
              <w:tc>
                <w:tcPr>
                  <w:tcW w:w="1477" w:type="pct"/>
                  <w:vAlign w:val="center"/>
                </w:tcPr>
                <w:p w14:paraId="4FED6E39">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辐射工作单位应作好辐射工作人员个人剂量监测和职业健康检查，建立健全个人剂量档案和职业健康监护档案</w:t>
                  </w:r>
                </w:p>
              </w:tc>
              <w:tc>
                <w:tcPr>
                  <w:tcW w:w="1663" w:type="pct"/>
                  <w:vAlign w:val="center"/>
                </w:tcPr>
                <w:p w14:paraId="021BBC0F">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原有辐射工作人员</w:t>
                  </w:r>
                </w:p>
                <w:p w14:paraId="2AD9A5BD">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已落实</w:t>
                  </w:r>
                </w:p>
              </w:tc>
              <w:tc>
                <w:tcPr>
                  <w:tcW w:w="1602" w:type="pct"/>
                  <w:vAlign w:val="center"/>
                </w:tcPr>
                <w:p w14:paraId="7C4FDBA0">
                  <w:pPr>
                    <w:pStyle w:val="32"/>
                    <w:snapToGrid w:val="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新增辐射工作人员应在上岗前一并落实</w:t>
                  </w:r>
                </w:p>
              </w:tc>
            </w:tr>
            <w:tr w14:paraId="2D37F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vAlign w:val="center"/>
                </w:tcPr>
                <w:p w14:paraId="5C27AC4A">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8</w:t>
                  </w:r>
                </w:p>
              </w:tc>
              <w:tc>
                <w:tcPr>
                  <w:tcW w:w="1477" w:type="pct"/>
                  <w:vAlign w:val="center"/>
                </w:tcPr>
                <w:p w14:paraId="0FDF0E6A">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辐射工作单位应在辐射工作场所入口设置醒目的电离辐射警告标志</w:t>
                  </w:r>
                </w:p>
              </w:tc>
              <w:tc>
                <w:tcPr>
                  <w:tcW w:w="1663" w:type="pct"/>
                  <w:vAlign w:val="center"/>
                </w:tcPr>
                <w:p w14:paraId="493AF96D">
                  <w:pPr>
                    <w:widowControl/>
                    <w:adjustRightInd w:val="0"/>
                    <w:snapToGrid w:val="0"/>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原有辐射工作场所</w:t>
                  </w:r>
                </w:p>
                <w:p w14:paraId="646B1AD7">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均已落实</w:t>
                  </w:r>
                </w:p>
              </w:tc>
              <w:tc>
                <w:tcPr>
                  <w:tcW w:w="1602" w:type="pct"/>
                  <w:vAlign w:val="center"/>
                </w:tcPr>
                <w:p w14:paraId="7059A0EC">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新增辐射工作场所投运前应落实</w:t>
                  </w:r>
                </w:p>
              </w:tc>
            </w:tr>
            <w:tr w14:paraId="717DA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vAlign w:val="center"/>
                </w:tcPr>
                <w:p w14:paraId="7ED3D525">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9</w:t>
                  </w:r>
                </w:p>
              </w:tc>
              <w:tc>
                <w:tcPr>
                  <w:tcW w:w="1477" w:type="pct"/>
                  <w:vAlign w:val="center"/>
                </w:tcPr>
                <w:p w14:paraId="0DEAF6E1">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辐射工作单位应提交有效的年度辐射环境监测报告</w:t>
                  </w:r>
                </w:p>
              </w:tc>
              <w:tc>
                <w:tcPr>
                  <w:tcW w:w="1663" w:type="pct"/>
                  <w:vAlign w:val="center"/>
                </w:tcPr>
                <w:p w14:paraId="5E4A3D63">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每年均委托有资质单位完成场所环境检测</w:t>
                  </w:r>
                </w:p>
              </w:tc>
              <w:tc>
                <w:tcPr>
                  <w:tcW w:w="1602" w:type="pct"/>
                  <w:vAlign w:val="center"/>
                </w:tcPr>
                <w:p w14:paraId="1343DEFD">
                  <w:pPr>
                    <w:widowControl/>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需增加核技术利用项目（新建、改建、扩建和退役）情况和存在的安全隐患及其整改情况，按照规范格式编制评估报告，并每年按时提交至发证机关</w:t>
                  </w:r>
                </w:p>
              </w:tc>
            </w:tr>
            <w:tr w14:paraId="7D78D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vAlign w:val="center"/>
                </w:tcPr>
                <w:p w14:paraId="7379EE54">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c>
                <w:tcPr>
                  <w:tcW w:w="1477" w:type="pct"/>
                  <w:vAlign w:val="center"/>
                </w:tcPr>
                <w:p w14:paraId="6807C171">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辐射信息网络</w:t>
                  </w:r>
                </w:p>
              </w:tc>
              <w:tc>
                <w:tcPr>
                  <w:tcW w:w="1663" w:type="pct"/>
                  <w:vAlign w:val="center"/>
                </w:tcPr>
                <w:p w14:paraId="72A0FA0D">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原有项目已落实</w:t>
                  </w:r>
                </w:p>
              </w:tc>
              <w:tc>
                <w:tcPr>
                  <w:tcW w:w="1602" w:type="pct"/>
                  <w:vAlign w:val="center"/>
                </w:tcPr>
                <w:p w14:paraId="6FA66CC1">
                  <w:pPr>
                    <w:widowControl/>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核技术利用单位必须在“全国核技术利用辐射安全申报系统”(网址http://rr.mep.gov.cn/)中实施申报登记。申领、延续、变更许可证，新增或注销放射源和射线装置以及单位信息变更、个人剂量、年度评估报告等信息均应及时在系统中申报</w:t>
                  </w:r>
                </w:p>
              </w:tc>
            </w:tr>
            <w:tr w14:paraId="2E6D8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vAlign w:val="center"/>
                </w:tcPr>
                <w:p w14:paraId="2E202289">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w:t>
                  </w:r>
                </w:p>
              </w:tc>
              <w:tc>
                <w:tcPr>
                  <w:tcW w:w="1477" w:type="pct"/>
                  <w:vAlign w:val="center"/>
                </w:tcPr>
                <w:p w14:paraId="7A15FC0D">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应建立动态的台账，放射性同位素与射线装置应做到账物相符，并及时更新。</w:t>
                  </w:r>
                </w:p>
              </w:tc>
              <w:tc>
                <w:tcPr>
                  <w:tcW w:w="1663" w:type="pct"/>
                  <w:vAlign w:val="center"/>
                </w:tcPr>
                <w:p w14:paraId="045A4117">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原有项目已落实</w:t>
                  </w:r>
                </w:p>
              </w:tc>
              <w:tc>
                <w:tcPr>
                  <w:tcW w:w="1602" w:type="pct"/>
                  <w:vAlign w:val="center"/>
                </w:tcPr>
                <w:p w14:paraId="3BE89890">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需将本项目装置纳入台账管理范围</w:t>
                  </w:r>
                </w:p>
              </w:tc>
            </w:tr>
          </w:tbl>
          <w:p w14:paraId="0CD48A09">
            <w:pPr>
              <w:adjustRightInd w:val="0"/>
              <w:snapToGrid w:val="0"/>
              <w:spacing w:line="360" w:lineRule="auto"/>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二、辐射安全管理规章制度落实情况</w:t>
            </w:r>
          </w:p>
          <w:p w14:paraId="32DFB3C2">
            <w:pPr>
              <w:pStyle w:val="32"/>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根据《四川省核技术利用辐射安全监督</w:t>
            </w:r>
            <w:r>
              <w:rPr>
                <w:rFonts w:hint="default" w:ascii="Times New Roman" w:hAnsi="Times New Roman" w:cs="Times New Roman"/>
                <w:color w:val="auto"/>
                <w:highlight w:val="none"/>
                <w:lang w:val="en-US" w:eastAsia="zh-CN"/>
              </w:rPr>
              <w:t>执法</w:t>
            </w:r>
            <w:r>
              <w:rPr>
                <w:rFonts w:hint="default" w:ascii="Times New Roman" w:hAnsi="Times New Roman" w:cs="Times New Roman"/>
                <w:color w:val="auto"/>
                <w:highlight w:val="none"/>
              </w:rPr>
              <w:t>检查大纲</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2025年版</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》的相关要求中的相关规定，将建设单位现有的规章制度落实情况进行对比说明，具体见表12-3。</w:t>
            </w:r>
          </w:p>
          <w:p w14:paraId="28B73C23">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表12-3 </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kern w:val="0"/>
                <w:sz w:val="21"/>
                <w:szCs w:val="21"/>
                <w:highlight w:val="none"/>
                <w:lang w:bidi="ar"/>
              </w:rPr>
              <w:t>建设单位</w:t>
            </w:r>
            <w:r>
              <w:rPr>
                <w:rFonts w:hint="default" w:ascii="Times New Roman" w:hAnsi="Times New Roman" w:cs="Times New Roman"/>
                <w:color w:val="auto"/>
                <w:sz w:val="21"/>
                <w:szCs w:val="21"/>
                <w:highlight w:val="none"/>
              </w:rPr>
              <w:t>管理制度汇总对照表</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4"/>
              <w:gridCol w:w="1704"/>
              <w:gridCol w:w="3690"/>
              <w:gridCol w:w="1019"/>
              <w:gridCol w:w="1434"/>
            </w:tblGrid>
            <w:tr w14:paraId="0754B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dxa"/>
                  <w:vAlign w:val="center"/>
                </w:tcPr>
                <w:p w14:paraId="72D1CA22">
                  <w:pPr>
                    <w:pStyle w:val="34"/>
                    <w:adjustRightInd w:val="0"/>
                    <w:snapToGrid w:val="0"/>
                    <w:ind w:lef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序号</w:t>
                  </w:r>
                </w:p>
              </w:tc>
              <w:tc>
                <w:tcPr>
                  <w:tcW w:w="1704" w:type="dxa"/>
                  <w:vAlign w:val="center"/>
                </w:tcPr>
                <w:p w14:paraId="1695B448">
                  <w:pPr>
                    <w:pStyle w:val="34"/>
                    <w:adjustRightInd w:val="0"/>
                    <w:snapToGrid w:val="0"/>
                    <w:ind w:lef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制度</w:t>
                  </w:r>
                </w:p>
              </w:tc>
              <w:tc>
                <w:tcPr>
                  <w:tcW w:w="3690" w:type="dxa"/>
                  <w:vAlign w:val="center"/>
                </w:tcPr>
                <w:p w14:paraId="7FF2EDD5">
                  <w:pPr>
                    <w:pStyle w:val="34"/>
                    <w:adjustRightInd w:val="0"/>
                    <w:snapToGrid w:val="0"/>
                    <w:ind w:lef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具体制度要求</w:t>
                  </w:r>
                </w:p>
              </w:tc>
              <w:tc>
                <w:tcPr>
                  <w:tcW w:w="1019" w:type="dxa"/>
                  <w:vAlign w:val="center"/>
                </w:tcPr>
                <w:p w14:paraId="513142EA">
                  <w:pPr>
                    <w:pStyle w:val="34"/>
                    <w:adjustRightInd w:val="0"/>
                    <w:snapToGrid w:val="0"/>
                    <w:ind w:lef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医院制定情况</w:t>
                  </w:r>
                </w:p>
              </w:tc>
              <w:tc>
                <w:tcPr>
                  <w:tcW w:w="1434" w:type="dxa"/>
                  <w:vAlign w:val="center"/>
                </w:tcPr>
                <w:p w14:paraId="6F0B702D">
                  <w:pPr>
                    <w:pStyle w:val="34"/>
                    <w:adjustRightInd w:val="0"/>
                    <w:snapToGrid w:val="0"/>
                    <w:ind w:lef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备注</w:t>
                  </w:r>
                </w:p>
              </w:tc>
            </w:tr>
            <w:tr w14:paraId="55AEA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dxa"/>
                  <w:vAlign w:val="center"/>
                </w:tcPr>
                <w:p w14:paraId="146C27D0">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1704" w:type="dxa"/>
                  <w:vAlign w:val="center"/>
                </w:tcPr>
                <w:p w14:paraId="170E6E57">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辐射安全与环境保护管理机构文件</w:t>
                  </w:r>
                </w:p>
              </w:tc>
              <w:tc>
                <w:tcPr>
                  <w:tcW w:w="3690" w:type="dxa"/>
                  <w:vAlign w:val="center"/>
                </w:tcPr>
                <w:p w14:paraId="52C5C631">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明确相关人员的管理职责，全面负责单位辐射安全与环境保护管理工作。</w:t>
                  </w:r>
                </w:p>
              </w:tc>
              <w:tc>
                <w:tcPr>
                  <w:tcW w:w="1019" w:type="dxa"/>
                  <w:vAlign w:val="center"/>
                </w:tcPr>
                <w:p w14:paraId="6F49D9F9">
                  <w:pPr>
                    <w:pStyle w:val="34"/>
                    <w:adjustRightInd w:val="0"/>
                    <w:snapToGrid w:val="0"/>
                    <w:ind w:lef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已制定</w:t>
                  </w:r>
                </w:p>
              </w:tc>
              <w:tc>
                <w:tcPr>
                  <w:tcW w:w="1434" w:type="dxa"/>
                  <w:vAlign w:val="center"/>
                </w:tcPr>
                <w:p w14:paraId="1541728E">
                  <w:pPr>
                    <w:pStyle w:val="34"/>
                    <w:adjustRightInd w:val="0"/>
                    <w:snapToGrid w:val="0"/>
                    <w:ind w:lef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满足要求</w:t>
                  </w:r>
                </w:p>
              </w:tc>
            </w:tr>
            <w:tr w14:paraId="0CF1A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dxa"/>
                  <w:vAlign w:val="center"/>
                </w:tcPr>
                <w:p w14:paraId="19440D06">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p>
              </w:tc>
              <w:tc>
                <w:tcPr>
                  <w:tcW w:w="1704" w:type="dxa"/>
                  <w:vAlign w:val="center"/>
                </w:tcPr>
                <w:p w14:paraId="4784F05E">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辐射工作场所安全管理规定</w:t>
                  </w:r>
                </w:p>
              </w:tc>
              <w:tc>
                <w:tcPr>
                  <w:tcW w:w="3690" w:type="dxa"/>
                  <w:vAlign w:val="center"/>
                </w:tcPr>
                <w:p w14:paraId="1678A0FC">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根据单位具体情况制定辐射防护和安全 保卫制度，重点是射线装置运行和维修时辐射安全管理。</w:t>
                  </w:r>
                </w:p>
              </w:tc>
              <w:tc>
                <w:tcPr>
                  <w:tcW w:w="1019" w:type="dxa"/>
                  <w:shd w:val="clear" w:color="auto" w:fill="auto"/>
                  <w:vAlign w:val="center"/>
                </w:tcPr>
                <w:p w14:paraId="2EAFF773">
                  <w:pPr>
                    <w:pStyle w:val="34"/>
                    <w:adjustRightInd w:val="0"/>
                    <w:snapToGrid w:val="0"/>
                    <w:ind w:lef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已制定</w:t>
                  </w:r>
                </w:p>
              </w:tc>
              <w:tc>
                <w:tcPr>
                  <w:tcW w:w="1434" w:type="dxa"/>
                  <w:shd w:val="clear" w:color="auto" w:fill="auto"/>
                  <w:vAlign w:val="center"/>
                </w:tcPr>
                <w:p w14:paraId="469D652B">
                  <w:pPr>
                    <w:pStyle w:val="34"/>
                    <w:adjustRightInd w:val="0"/>
                    <w:snapToGrid w:val="0"/>
                    <w:ind w:lef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满足要求</w:t>
                  </w:r>
                </w:p>
              </w:tc>
            </w:tr>
            <w:tr w14:paraId="43DB7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dxa"/>
                  <w:vAlign w:val="center"/>
                </w:tcPr>
                <w:p w14:paraId="53B24232">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w:t>
                  </w:r>
                </w:p>
              </w:tc>
              <w:tc>
                <w:tcPr>
                  <w:tcW w:w="1704" w:type="dxa"/>
                  <w:vAlign w:val="center"/>
                </w:tcPr>
                <w:p w14:paraId="24E135D9">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辐射工作设备操作规程</w:t>
                  </w:r>
                </w:p>
              </w:tc>
              <w:tc>
                <w:tcPr>
                  <w:tcW w:w="3690" w:type="dxa"/>
                  <w:vAlign w:val="center"/>
                </w:tcPr>
                <w:p w14:paraId="4692F11C">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明确辐射工作人员的资质条件要求、装置操作流程及操作过程中应采取的具防护措施。重点是明确操作步骤、出束过程中必须采取的辐射安全措施。</w:t>
                  </w:r>
                </w:p>
              </w:tc>
              <w:tc>
                <w:tcPr>
                  <w:tcW w:w="1019" w:type="dxa"/>
                  <w:vAlign w:val="center"/>
                </w:tcPr>
                <w:p w14:paraId="766B25C7">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已制定</w:t>
                  </w:r>
                </w:p>
              </w:tc>
              <w:tc>
                <w:tcPr>
                  <w:tcW w:w="1434" w:type="dxa"/>
                  <w:vAlign w:val="center"/>
                </w:tcPr>
                <w:p w14:paraId="2427142D">
                  <w:pPr>
                    <w:widowControl/>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需补充本次新购的DSA设备的操作规程。</w:t>
                  </w:r>
                </w:p>
              </w:tc>
            </w:tr>
            <w:tr w14:paraId="454B0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dxa"/>
                  <w:vAlign w:val="center"/>
                </w:tcPr>
                <w:p w14:paraId="511457A5">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w:t>
                  </w:r>
                </w:p>
              </w:tc>
              <w:tc>
                <w:tcPr>
                  <w:tcW w:w="1704" w:type="dxa"/>
                  <w:vAlign w:val="center"/>
                </w:tcPr>
                <w:p w14:paraId="70B8C05A">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辐射安全和防护设施维护维修制度</w:t>
                  </w:r>
                </w:p>
              </w:tc>
              <w:tc>
                <w:tcPr>
                  <w:tcW w:w="3690" w:type="dxa"/>
                  <w:vAlign w:val="center"/>
                </w:tcPr>
                <w:p w14:paraId="69A6B081">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明确射线装置维修计划、维修记录和在日常使用过程中维护保养以及发生故障时采取的措施，确保射线装置保持良好的工作状态。</w:t>
                  </w:r>
                </w:p>
              </w:tc>
              <w:tc>
                <w:tcPr>
                  <w:tcW w:w="1019" w:type="dxa"/>
                  <w:vAlign w:val="center"/>
                </w:tcPr>
                <w:p w14:paraId="779F2447">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已制定</w:t>
                  </w:r>
                </w:p>
              </w:tc>
              <w:tc>
                <w:tcPr>
                  <w:tcW w:w="1434" w:type="dxa"/>
                  <w:vAlign w:val="center"/>
                </w:tcPr>
                <w:p w14:paraId="7814F564">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满足要求</w:t>
                  </w:r>
                </w:p>
              </w:tc>
            </w:tr>
            <w:tr w14:paraId="40362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dxa"/>
                  <w:vAlign w:val="center"/>
                </w:tcPr>
                <w:p w14:paraId="5D5D95A4">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w:t>
                  </w:r>
                </w:p>
              </w:tc>
              <w:tc>
                <w:tcPr>
                  <w:tcW w:w="1704" w:type="dxa"/>
                  <w:vAlign w:val="center"/>
                </w:tcPr>
                <w:p w14:paraId="42722665">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辐射工作人员岗位职责</w:t>
                  </w:r>
                </w:p>
              </w:tc>
              <w:tc>
                <w:tcPr>
                  <w:tcW w:w="3690" w:type="dxa"/>
                  <w:vAlign w:val="center"/>
                </w:tcPr>
                <w:p w14:paraId="32AD4160">
                  <w:pPr>
                    <w:pStyle w:val="34"/>
                    <w:adjustRightInd w:val="0"/>
                    <w:snapToGrid w:val="0"/>
                    <w:ind w:lef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明确管理人员、辐射工作人员、维修</w:t>
                  </w:r>
                </w:p>
                <w:p w14:paraId="697765AE">
                  <w:pPr>
                    <w:pStyle w:val="34"/>
                    <w:adjustRightInd w:val="0"/>
                    <w:snapToGrid w:val="0"/>
                    <w:ind w:lef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人员的岗位责任。</w:t>
                  </w:r>
                </w:p>
              </w:tc>
              <w:tc>
                <w:tcPr>
                  <w:tcW w:w="1019" w:type="dxa"/>
                  <w:shd w:val="clear" w:color="auto" w:fill="auto"/>
                  <w:vAlign w:val="center"/>
                </w:tcPr>
                <w:p w14:paraId="102C153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已制定</w:t>
                  </w:r>
                </w:p>
              </w:tc>
              <w:tc>
                <w:tcPr>
                  <w:tcW w:w="1434" w:type="dxa"/>
                  <w:shd w:val="clear" w:color="auto" w:fill="auto"/>
                  <w:vAlign w:val="center"/>
                </w:tcPr>
                <w:p w14:paraId="14771537">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满足要求</w:t>
                  </w:r>
                </w:p>
              </w:tc>
            </w:tr>
            <w:tr w14:paraId="6AE26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dxa"/>
                  <w:vAlign w:val="center"/>
                </w:tcPr>
                <w:p w14:paraId="4616EE2B">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w:t>
                  </w:r>
                </w:p>
              </w:tc>
              <w:tc>
                <w:tcPr>
                  <w:tcW w:w="1704" w:type="dxa"/>
                  <w:vAlign w:val="center"/>
                </w:tcPr>
                <w:p w14:paraId="393B8A3B">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射线装置台账管理制度</w:t>
                  </w:r>
                </w:p>
              </w:tc>
              <w:tc>
                <w:tcPr>
                  <w:tcW w:w="3690" w:type="dxa"/>
                  <w:vAlign w:val="center"/>
                </w:tcPr>
                <w:p w14:paraId="5F92A05E">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应记载射线装置台账，记载射线装置的名称、型号、射线种类、类别、用途、来源和去向等事项，同时对射线装置的说明书建档保存，确定台帐的管理人员和职责，建立台帐的交接制度。</w:t>
                  </w:r>
                </w:p>
              </w:tc>
              <w:tc>
                <w:tcPr>
                  <w:tcW w:w="1019" w:type="dxa"/>
                  <w:vAlign w:val="center"/>
                </w:tcPr>
                <w:p w14:paraId="5146508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已制定</w:t>
                  </w:r>
                </w:p>
              </w:tc>
              <w:tc>
                <w:tcPr>
                  <w:tcW w:w="1434" w:type="dxa"/>
                  <w:vAlign w:val="center"/>
                </w:tcPr>
                <w:p w14:paraId="0811DC2C">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需补充本次新购的DSA设备的内容</w:t>
                  </w:r>
                </w:p>
              </w:tc>
            </w:tr>
            <w:tr w14:paraId="1381D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dxa"/>
                  <w:vAlign w:val="center"/>
                </w:tcPr>
                <w:p w14:paraId="6FDAEF8E">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7</w:t>
                  </w:r>
                </w:p>
              </w:tc>
              <w:tc>
                <w:tcPr>
                  <w:tcW w:w="1704" w:type="dxa"/>
                  <w:vAlign w:val="center"/>
                </w:tcPr>
                <w:p w14:paraId="4D8601E2">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辐射工作场所和环境辐射水平监测方案</w:t>
                  </w:r>
                </w:p>
              </w:tc>
              <w:tc>
                <w:tcPr>
                  <w:tcW w:w="3690" w:type="dxa"/>
                  <w:vAlign w:val="center"/>
                </w:tcPr>
                <w:p w14:paraId="518C7FAA">
                  <w:pPr>
                    <w:pStyle w:val="34"/>
                    <w:adjustRightInd w:val="0"/>
                    <w:snapToGrid w:val="0"/>
                    <w:ind w:lef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w:t>
                  </w:r>
                </w:p>
              </w:tc>
              <w:tc>
                <w:tcPr>
                  <w:tcW w:w="1019" w:type="dxa"/>
                  <w:vAlign w:val="center"/>
                </w:tcPr>
                <w:p w14:paraId="15A70B7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已制定</w:t>
                  </w:r>
                </w:p>
              </w:tc>
              <w:tc>
                <w:tcPr>
                  <w:tcW w:w="1434" w:type="dxa"/>
                  <w:vAlign w:val="center"/>
                </w:tcPr>
                <w:p w14:paraId="35EC9623">
                  <w:pPr>
                    <w:pStyle w:val="34"/>
                    <w:adjustRightInd w:val="0"/>
                    <w:snapToGrid w:val="0"/>
                    <w:ind w:lef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lang w:val="en-US"/>
                    </w:rPr>
                    <w:t>制定本项目辐射工作场所和环境水平监测方案</w:t>
                  </w:r>
                </w:p>
              </w:tc>
            </w:tr>
            <w:tr w14:paraId="382CE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dxa"/>
                  <w:vAlign w:val="center"/>
                </w:tcPr>
                <w:p w14:paraId="53BA08CA">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8</w:t>
                  </w:r>
                </w:p>
              </w:tc>
              <w:tc>
                <w:tcPr>
                  <w:tcW w:w="1704" w:type="dxa"/>
                  <w:vAlign w:val="center"/>
                </w:tcPr>
                <w:p w14:paraId="3E8BAD15">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监测仪器使用与校验管理制度</w:t>
                  </w:r>
                </w:p>
              </w:tc>
              <w:tc>
                <w:tcPr>
                  <w:tcW w:w="3690" w:type="dxa"/>
                  <w:vAlign w:val="center"/>
                </w:tcPr>
                <w:p w14:paraId="38D00931">
                  <w:pPr>
                    <w:pStyle w:val="34"/>
                    <w:adjustRightInd w:val="0"/>
                    <w:snapToGrid w:val="0"/>
                    <w:ind w:lef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w:t>
                  </w:r>
                </w:p>
              </w:tc>
              <w:tc>
                <w:tcPr>
                  <w:tcW w:w="1019" w:type="dxa"/>
                  <w:vAlign w:val="center"/>
                </w:tcPr>
                <w:p w14:paraId="32754C6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已制定</w:t>
                  </w:r>
                </w:p>
              </w:tc>
              <w:tc>
                <w:tcPr>
                  <w:tcW w:w="1434" w:type="dxa"/>
                  <w:vAlign w:val="center"/>
                </w:tcPr>
                <w:p w14:paraId="21745141">
                  <w:pPr>
                    <w:pStyle w:val="34"/>
                    <w:adjustRightInd w:val="0"/>
                    <w:snapToGrid w:val="0"/>
                    <w:ind w:lef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满足要求</w:t>
                  </w:r>
                </w:p>
              </w:tc>
            </w:tr>
            <w:tr w14:paraId="46739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dxa"/>
                  <w:vAlign w:val="center"/>
                </w:tcPr>
                <w:p w14:paraId="74FA6BBD">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9</w:t>
                  </w:r>
                </w:p>
              </w:tc>
              <w:tc>
                <w:tcPr>
                  <w:tcW w:w="1704" w:type="dxa"/>
                  <w:vAlign w:val="center"/>
                </w:tcPr>
                <w:p w14:paraId="42C1A46E">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辐射工作人员培训制度</w:t>
                  </w:r>
                </w:p>
              </w:tc>
              <w:tc>
                <w:tcPr>
                  <w:tcW w:w="3690" w:type="dxa"/>
                  <w:vAlign w:val="center"/>
                </w:tcPr>
                <w:p w14:paraId="66C16A6B">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明确培训对象、内容、周期、方式及考核的办法等内容。及时组织辐射工作人员参加辐射安全和防护培训，辐射工作人员须通过考核后方可上岗。</w:t>
                  </w:r>
                </w:p>
              </w:tc>
              <w:tc>
                <w:tcPr>
                  <w:tcW w:w="1019" w:type="dxa"/>
                  <w:vAlign w:val="center"/>
                </w:tcPr>
                <w:p w14:paraId="5F815B7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已制定</w:t>
                  </w:r>
                </w:p>
              </w:tc>
              <w:tc>
                <w:tcPr>
                  <w:tcW w:w="1434" w:type="dxa"/>
                  <w:vAlign w:val="center"/>
                </w:tcPr>
                <w:p w14:paraId="02B0857E">
                  <w:pPr>
                    <w:pStyle w:val="34"/>
                    <w:adjustRightInd w:val="0"/>
                    <w:snapToGrid w:val="0"/>
                    <w:ind w:lef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lang w:val="en-US"/>
                    </w:rPr>
                    <w:t>根据最新的辐射工作人员培训要求进行完善</w:t>
                  </w:r>
                </w:p>
              </w:tc>
            </w:tr>
            <w:tr w14:paraId="66363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dxa"/>
                  <w:vAlign w:val="center"/>
                </w:tcPr>
                <w:p w14:paraId="7231FA72">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c>
                <w:tcPr>
                  <w:tcW w:w="1704" w:type="dxa"/>
                  <w:vAlign w:val="center"/>
                </w:tcPr>
                <w:p w14:paraId="39C8B201">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辐射工作人员个人剂量管理制度</w:t>
                  </w:r>
                </w:p>
              </w:tc>
              <w:tc>
                <w:tcPr>
                  <w:tcW w:w="3690" w:type="dxa"/>
                  <w:vAlign w:val="center"/>
                </w:tcPr>
                <w:p w14:paraId="75E01D07">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在操作射线装置时，操作人员必须佩戴个人剂量计。医院定期将个人剂量计送交有资质的检测部门进行测量，并建立个人剂量档案，在进行个人剂量监测的同时定期进行体检，建立健康档案，健康档案应终生保存。</w:t>
                  </w:r>
                </w:p>
              </w:tc>
              <w:tc>
                <w:tcPr>
                  <w:tcW w:w="1019" w:type="dxa"/>
                  <w:shd w:val="clear" w:color="auto" w:fill="auto"/>
                  <w:vAlign w:val="center"/>
                </w:tcPr>
                <w:p w14:paraId="7466461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已制定</w:t>
                  </w:r>
                </w:p>
              </w:tc>
              <w:tc>
                <w:tcPr>
                  <w:tcW w:w="1434" w:type="dxa"/>
                  <w:shd w:val="clear" w:color="auto" w:fill="auto"/>
                  <w:vAlign w:val="center"/>
                </w:tcPr>
                <w:p w14:paraId="07B23094">
                  <w:pPr>
                    <w:pStyle w:val="34"/>
                    <w:adjustRightInd w:val="0"/>
                    <w:snapToGrid w:val="0"/>
                    <w:ind w:lef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满足要求</w:t>
                  </w:r>
                </w:p>
              </w:tc>
            </w:tr>
            <w:tr w14:paraId="030E0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444" w:type="dxa"/>
                  <w:vAlign w:val="center"/>
                </w:tcPr>
                <w:p w14:paraId="05A8E174">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w:t>
                  </w:r>
                </w:p>
              </w:tc>
              <w:tc>
                <w:tcPr>
                  <w:tcW w:w="1704" w:type="dxa"/>
                  <w:vAlign w:val="center"/>
                </w:tcPr>
                <w:p w14:paraId="404E1D59">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辐射事故应急预案</w:t>
                  </w:r>
                </w:p>
              </w:tc>
              <w:tc>
                <w:tcPr>
                  <w:tcW w:w="3690" w:type="dxa"/>
                  <w:vAlign w:val="center"/>
                </w:tcPr>
                <w:p w14:paraId="2AD32352">
                  <w:pPr>
                    <w:widowControl/>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kern w:val="0"/>
                      <w:szCs w:val="21"/>
                      <w:highlight w:val="none"/>
                      <w:lang w:bidi="ar"/>
                    </w:rPr>
                    <w:t>针对医用射线装置应用可能产生的辐射事故应制订较为完善的事故应急预案或应急措施。</w:t>
                  </w:r>
                </w:p>
              </w:tc>
              <w:tc>
                <w:tcPr>
                  <w:tcW w:w="1019" w:type="dxa"/>
                  <w:vAlign w:val="center"/>
                </w:tcPr>
                <w:p w14:paraId="1C86347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已制定</w:t>
                  </w:r>
                </w:p>
              </w:tc>
              <w:tc>
                <w:tcPr>
                  <w:tcW w:w="1434" w:type="dxa"/>
                  <w:vAlign w:val="center"/>
                </w:tcPr>
                <w:p w14:paraId="33B5B29C">
                  <w:pPr>
                    <w:pStyle w:val="34"/>
                    <w:adjustRightInd w:val="0"/>
                    <w:snapToGrid w:val="0"/>
                    <w:ind w:lef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满足要求</w:t>
                  </w:r>
                </w:p>
              </w:tc>
            </w:tr>
            <w:tr w14:paraId="7C984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dxa"/>
                  <w:vAlign w:val="center"/>
                </w:tcPr>
                <w:p w14:paraId="5C62A15F">
                  <w:pPr>
                    <w:pStyle w:val="32"/>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12</w:t>
                  </w:r>
                </w:p>
              </w:tc>
              <w:tc>
                <w:tcPr>
                  <w:tcW w:w="1704" w:type="dxa"/>
                  <w:vAlign w:val="center"/>
                </w:tcPr>
                <w:p w14:paraId="50FD7E51">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质量保证大纲和质量控制检测计划</w:t>
                  </w:r>
                </w:p>
              </w:tc>
              <w:tc>
                <w:tcPr>
                  <w:tcW w:w="3690" w:type="dxa"/>
                  <w:vAlign w:val="center"/>
                </w:tcPr>
                <w:p w14:paraId="7C0BD1B8">
                  <w:pPr>
                    <w:pStyle w:val="34"/>
                    <w:adjustRightInd w:val="0"/>
                    <w:snapToGrid w:val="0"/>
                    <w:ind w:lef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w:t>
                  </w:r>
                </w:p>
              </w:tc>
              <w:tc>
                <w:tcPr>
                  <w:tcW w:w="1019" w:type="dxa"/>
                  <w:vAlign w:val="center"/>
                </w:tcPr>
                <w:p w14:paraId="542544A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已制定</w:t>
                  </w:r>
                </w:p>
              </w:tc>
              <w:tc>
                <w:tcPr>
                  <w:tcW w:w="1434" w:type="dxa"/>
                  <w:vAlign w:val="center"/>
                </w:tcPr>
                <w:p w14:paraId="1E0703E2">
                  <w:pPr>
                    <w:pStyle w:val="34"/>
                    <w:adjustRightInd w:val="0"/>
                    <w:snapToGrid w:val="0"/>
                    <w:ind w:lef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满足要求</w:t>
                  </w:r>
                </w:p>
              </w:tc>
            </w:tr>
          </w:tbl>
          <w:p w14:paraId="1664BED2">
            <w:pPr>
              <w:widowControl/>
              <w:adjustRightInd w:val="0"/>
              <w:snapToGrid w:val="0"/>
              <w:spacing w:line="360" w:lineRule="auto"/>
              <w:ind w:firstLine="480" w:firstLineChars="200"/>
              <w:jc w:val="left"/>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kern w:val="0"/>
                <w:sz w:val="24"/>
                <w:highlight w:val="none"/>
                <w:lang w:bidi="ar"/>
              </w:rPr>
              <w:t>建设单位应根据使用射线装置的情况，及时修订和完善规章制度，并按照档案管理的要求分类归档放置。</w:t>
            </w:r>
          </w:p>
          <w:p w14:paraId="4370E2DF">
            <w:pPr>
              <w:widowControl/>
              <w:adjustRightInd w:val="0"/>
              <w:snapToGrid w:val="0"/>
              <w:spacing w:line="360" w:lineRule="auto"/>
              <w:ind w:firstLine="480" w:firstLineChars="200"/>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cs="Times New Roman"/>
                <w:color w:val="auto"/>
                <w:kern w:val="0"/>
                <w:sz w:val="24"/>
                <w:highlight w:val="none"/>
                <w:lang w:bidi="ar"/>
              </w:rPr>
              <w:t>医院应</w:t>
            </w:r>
            <w:r>
              <w:rPr>
                <w:rFonts w:hint="default" w:ascii="Times New Roman" w:hAnsi="Times New Roman" w:cs="Times New Roman"/>
                <w:color w:val="auto"/>
                <w:kern w:val="0"/>
                <w:sz w:val="24"/>
                <w:highlight w:val="none"/>
                <w:lang w:val="en-US" w:eastAsia="zh-CN" w:bidi="ar"/>
              </w:rPr>
              <w:t>依据《辐射事故应急预案》，编制《辐射事故应急响应程序》，并</w:t>
            </w:r>
            <w:r>
              <w:rPr>
                <w:rFonts w:hint="default" w:ascii="Times New Roman" w:hAnsi="Times New Roman" w:cs="Times New Roman"/>
                <w:color w:val="auto"/>
                <w:kern w:val="0"/>
                <w:sz w:val="24"/>
                <w:highlight w:val="none"/>
                <w:lang w:bidi="ar"/>
              </w:rPr>
              <w:t>将《辐射事故应急响应程序》应悬挂于辐射工作场所</w:t>
            </w:r>
            <w:r>
              <w:rPr>
                <w:rFonts w:hint="default" w:ascii="Times New Roman" w:hAnsi="Times New Roman" w:cs="Times New Roman"/>
                <w:color w:val="auto"/>
                <w:kern w:val="0"/>
                <w:sz w:val="24"/>
                <w:highlight w:val="none"/>
                <w:lang w:val="en-US" w:eastAsia="zh-CN" w:bidi="ar"/>
              </w:rPr>
              <w:t>醒目位置</w:t>
            </w:r>
            <w:r>
              <w:rPr>
                <w:rFonts w:hint="default" w:ascii="Times New Roman" w:hAnsi="Times New Roman" w:cs="Times New Roman"/>
                <w:color w:val="auto"/>
                <w:kern w:val="0"/>
                <w:sz w:val="24"/>
                <w:highlight w:val="none"/>
                <w:lang w:bidi="ar"/>
              </w:rPr>
              <w:t>。</w:t>
            </w:r>
            <w:r>
              <w:rPr>
                <w:rFonts w:hint="default" w:ascii="Times New Roman" w:hAnsi="Times New Roman" w:cs="Times New Roman"/>
                <w:color w:val="auto"/>
                <w:kern w:val="0"/>
                <w:sz w:val="24"/>
                <w:highlight w:val="none"/>
                <w:lang w:val="en-US" w:eastAsia="zh-CN" w:bidi="ar"/>
              </w:rPr>
              <w:t>制度的内容应字体醒目，简单清楚，体现可操作性和实用性，尺寸大小应不小于400mm×600mm。</w:t>
            </w:r>
          </w:p>
          <w:p w14:paraId="53113A66">
            <w:pPr>
              <w:widowControl/>
              <w:adjustRightInd w:val="0"/>
              <w:snapToGrid w:val="0"/>
              <w:spacing w:line="360" w:lineRule="auto"/>
              <w:ind w:firstLine="480" w:firstLineChars="200"/>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kern w:val="0"/>
                <w:sz w:val="24"/>
                <w:highlight w:val="none"/>
                <w:lang w:bidi="ar"/>
              </w:rPr>
              <w:t>建设单位应根据规章制度内容认真组织实施，并且根据国家发布的新的相关法律法规内容，结合医院实际情况及时对各项规章制度补充修改，使之更能符合实际需要。</w:t>
            </w:r>
          </w:p>
          <w:p w14:paraId="2C3339C5">
            <w:pPr>
              <w:widowControl/>
              <w:adjustRightInd w:val="0"/>
              <w:snapToGrid w:val="0"/>
              <w:spacing w:line="360" w:lineRule="auto"/>
              <w:rPr>
                <w:rFonts w:hint="default" w:ascii="Times New Roman" w:hAnsi="Times New Roman" w:cs="Times New Roman"/>
                <w:color w:val="auto"/>
                <w:highlight w:val="none"/>
              </w:rPr>
            </w:pPr>
            <w:r>
              <w:rPr>
                <w:rFonts w:hint="default" w:ascii="Times New Roman" w:hAnsi="Times New Roman" w:cs="Times New Roman"/>
                <w:b/>
                <w:bCs/>
                <w:color w:val="auto"/>
                <w:kern w:val="0"/>
                <w:sz w:val="24"/>
                <w:highlight w:val="none"/>
                <w:lang w:bidi="ar"/>
              </w:rPr>
              <w:t xml:space="preserve">三、档案管理 </w:t>
            </w:r>
          </w:p>
          <w:p w14:paraId="5F126327">
            <w:pPr>
              <w:widowControl/>
              <w:adjustRightInd w:val="0"/>
              <w:snapToGrid w:val="0"/>
              <w:spacing w:line="360" w:lineRule="auto"/>
              <w:ind w:firstLine="480" w:firstLineChars="200"/>
              <w:rPr>
                <w:rFonts w:hint="default" w:ascii="Times New Roman" w:hAnsi="Times New Roman" w:cs="Times New Roman"/>
                <w:color w:val="auto"/>
                <w:highlight w:val="none"/>
              </w:rPr>
            </w:pPr>
            <w:r>
              <w:rPr>
                <w:rFonts w:hint="eastAsia" w:ascii="Times New Roman" w:hAnsi="Times New Roman" w:cs="Times New Roman"/>
                <w:color w:val="auto"/>
                <w:kern w:val="0"/>
                <w:sz w:val="24"/>
                <w:highlight w:val="none"/>
                <w:lang w:val="en-US" w:eastAsia="zh-CN" w:bidi="ar"/>
              </w:rPr>
              <w:t>平昌县第二人民医院</w:t>
            </w:r>
            <w:r>
              <w:rPr>
                <w:rFonts w:hint="default" w:ascii="Times New Roman" w:hAnsi="Times New Roman" w:cs="Times New Roman"/>
                <w:color w:val="auto"/>
                <w:kern w:val="0"/>
                <w:sz w:val="24"/>
                <w:highlight w:val="none"/>
                <w:lang w:bidi="ar"/>
              </w:rPr>
              <w:t>应建立完整的辐射安全档案。需要归档的材料应包括以下内容：</w:t>
            </w:r>
          </w:p>
          <w:p w14:paraId="71B211DF">
            <w:pPr>
              <w:widowControl/>
              <w:adjustRightInd w:val="0"/>
              <w:snapToGrid w:val="0"/>
              <w:spacing w:line="360" w:lineRule="auto"/>
              <w:ind w:firstLine="480" w:firstLineChars="200"/>
              <w:jc w:val="left"/>
              <w:rPr>
                <w:rFonts w:hint="default" w:ascii="Times New Roman" w:hAnsi="Times New Roman" w:cs="Times New Roman"/>
                <w:color w:val="auto"/>
                <w:highlight w:val="none"/>
              </w:rPr>
            </w:pPr>
            <w:r>
              <w:rPr>
                <w:rFonts w:hint="default" w:ascii="Times New Roman" w:hAnsi="Times New Roman" w:cs="Times New Roman"/>
                <w:color w:val="auto"/>
                <w:kern w:val="0"/>
                <w:sz w:val="24"/>
                <w:highlight w:val="none"/>
                <w:lang w:bidi="ar"/>
              </w:rPr>
              <w:t xml:space="preserve">（1）生态环境部门现场检查记录及整改要求落实情况。 </w:t>
            </w:r>
          </w:p>
          <w:p w14:paraId="657F72FF">
            <w:pPr>
              <w:widowControl/>
              <w:adjustRightInd w:val="0"/>
              <w:snapToGrid w:val="0"/>
              <w:spacing w:line="360" w:lineRule="auto"/>
              <w:ind w:firstLine="480" w:firstLineChars="200"/>
              <w:jc w:val="left"/>
              <w:rPr>
                <w:rFonts w:hint="default" w:ascii="Times New Roman" w:hAnsi="Times New Roman" w:cs="Times New Roman"/>
                <w:color w:val="auto"/>
                <w:highlight w:val="none"/>
              </w:rPr>
            </w:pPr>
            <w:r>
              <w:rPr>
                <w:rFonts w:hint="default" w:ascii="Times New Roman" w:hAnsi="Times New Roman" w:cs="Times New Roman"/>
                <w:color w:val="auto"/>
                <w:kern w:val="0"/>
                <w:sz w:val="24"/>
                <w:highlight w:val="none"/>
                <w:lang w:bidi="ar"/>
              </w:rPr>
              <w:t xml:space="preserve">（2）设备使用期间射线装置异常情况说明以及其它需要记录的有关情况。 </w:t>
            </w:r>
          </w:p>
          <w:p w14:paraId="645B6A57">
            <w:pPr>
              <w:widowControl/>
              <w:adjustRightInd w:val="0"/>
              <w:snapToGrid w:val="0"/>
              <w:spacing w:line="360" w:lineRule="auto"/>
              <w:ind w:firstLine="480" w:firstLineChars="200"/>
              <w:jc w:val="left"/>
              <w:rPr>
                <w:rFonts w:hint="default" w:ascii="Times New Roman" w:hAnsi="Times New Roman" w:cs="Times New Roman"/>
                <w:color w:val="auto"/>
                <w:highlight w:val="none"/>
              </w:rPr>
            </w:pPr>
            <w:r>
              <w:rPr>
                <w:rFonts w:hint="default" w:ascii="Times New Roman" w:hAnsi="Times New Roman" w:cs="Times New Roman"/>
                <w:color w:val="auto"/>
                <w:kern w:val="0"/>
                <w:sz w:val="24"/>
                <w:highlight w:val="none"/>
                <w:lang w:bidi="ar"/>
              </w:rPr>
              <w:t>根据《四川省核技术利用辐射安全监督</w:t>
            </w:r>
            <w:r>
              <w:rPr>
                <w:rFonts w:hint="default" w:ascii="Times New Roman" w:hAnsi="Times New Roman" w:cs="Times New Roman"/>
                <w:color w:val="auto"/>
                <w:kern w:val="0"/>
                <w:sz w:val="24"/>
                <w:highlight w:val="none"/>
                <w:lang w:val="en-US" w:eastAsia="zh-CN" w:bidi="ar"/>
              </w:rPr>
              <w:t>执法</w:t>
            </w:r>
            <w:r>
              <w:rPr>
                <w:rFonts w:hint="default" w:ascii="Times New Roman" w:hAnsi="Times New Roman" w:cs="Times New Roman"/>
                <w:color w:val="auto"/>
                <w:kern w:val="0"/>
                <w:sz w:val="24"/>
                <w:highlight w:val="none"/>
                <w:lang w:bidi="ar"/>
              </w:rPr>
              <w:t>检查大纲</w:t>
            </w:r>
            <w:r>
              <w:rPr>
                <w:rFonts w:hint="default" w:ascii="Times New Roman" w:hAnsi="Times New Roman" w:cs="Times New Roman"/>
                <w:color w:val="auto"/>
                <w:kern w:val="0"/>
                <w:sz w:val="24"/>
                <w:highlight w:val="none"/>
                <w:lang w:eastAsia="zh-CN" w:bidi="ar"/>
              </w:rPr>
              <w:t>（</w:t>
            </w:r>
            <w:r>
              <w:rPr>
                <w:rFonts w:hint="default" w:ascii="Times New Roman" w:hAnsi="Times New Roman" w:cs="Times New Roman"/>
                <w:color w:val="auto"/>
                <w:kern w:val="0"/>
                <w:sz w:val="24"/>
                <w:highlight w:val="none"/>
                <w:lang w:val="en-US" w:eastAsia="zh-CN" w:bidi="ar"/>
              </w:rPr>
              <w:t>2025年版</w:t>
            </w:r>
            <w:r>
              <w:rPr>
                <w:rFonts w:hint="default" w:ascii="Times New Roman" w:hAnsi="Times New Roman" w:cs="Times New Roman"/>
                <w:color w:val="auto"/>
                <w:kern w:val="0"/>
                <w:sz w:val="24"/>
                <w:highlight w:val="none"/>
                <w:lang w:eastAsia="zh-CN" w:bidi="ar"/>
              </w:rPr>
              <w:t>）</w:t>
            </w:r>
            <w:r>
              <w:rPr>
                <w:rFonts w:hint="default" w:ascii="Times New Roman" w:hAnsi="Times New Roman" w:cs="Times New Roman"/>
                <w:color w:val="auto"/>
                <w:kern w:val="0"/>
                <w:sz w:val="24"/>
                <w:highlight w:val="none"/>
                <w:lang w:bidi="ar"/>
              </w:rPr>
              <w:t>》要求，档案资料应按以下几大类分类：“制度文件”“环评资料”“许可证资料”“射线装置台账”“监测和检查</w:t>
            </w:r>
            <w:r>
              <w:rPr>
                <w:rFonts w:hint="default" w:ascii="Times New Roman" w:hAnsi="Times New Roman" w:cs="Times New Roman"/>
                <w:color w:val="auto"/>
                <w:kern w:val="0"/>
                <w:sz w:val="24"/>
                <w:highlight w:val="none"/>
                <w:lang w:val="en-US" w:eastAsia="zh-CN" w:bidi="ar"/>
              </w:rPr>
              <w:t>记</w:t>
            </w:r>
            <w:r>
              <w:rPr>
                <w:rFonts w:hint="default" w:ascii="Times New Roman" w:hAnsi="Times New Roman" w:cs="Times New Roman"/>
                <w:color w:val="auto"/>
                <w:kern w:val="0"/>
                <w:sz w:val="24"/>
                <w:highlight w:val="none"/>
                <w:lang w:bidi="ar"/>
              </w:rPr>
              <w:t>录”“个人剂量档案”“培训档案”“辐射应急资料”和“废物处置记录”等。</w:t>
            </w:r>
          </w:p>
        </w:tc>
      </w:tr>
      <w:tr w14:paraId="3D85A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tcPr>
          <w:p w14:paraId="7C04E388">
            <w:pPr>
              <w:adjustRightInd w:val="0"/>
              <w:snapToGrid w:val="0"/>
              <w:spacing w:line="440" w:lineRule="exact"/>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辐射监测</w:t>
            </w:r>
          </w:p>
          <w:p w14:paraId="72077264">
            <w:pPr>
              <w:adjustRightInd w:val="0"/>
              <w:snapToGrid w:val="0"/>
              <w:spacing w:line="440" w:lineRule="exact"/>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一、辐射工作场所监测</w:t>
            </w:r>
          </w:p>
          <w:p w14:paraId="2BE1FD69">
            <w:pPr>
              <w:pStyle w:val="32"/>
              <w:snapToGrid w:val="0"/>
              <w:spacing w:line="480" w:lineRule="exact"/>
              <w:rPr>
                <w:rFonts w:hint="default" w:ascii="Times New Roman" w:hAnsi="Times New Roman" w:cs="Times New Roman"/>
                <w:color w:val="auto"/>
                <w:highlight w:val="none"/>
              </w:rPr>
            </w:pPr>
            <w:r>
              <w:rPr>
                <w:rFonts w:hint="default" w:ascii="Times New Roman" w:hAnsi="Times New Roman" w:cs="Times New Roman"/>
                <w:b/>
                <w:color w:val="auto"/>
                <w:highlight w:val="none"/>
              </w:rPr>
              <w:t>1.监测频次</w:t>
            </w:r>
          </w:p>
          <w:p w14:paraId="4863C771">
            <w:pPr>
              <w:pStyle w:val="63"/>
              <w:adjustRightInd w:val="0"/>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（1）请有资质的单位对辐射工作场所和周围环境的辐射水平进行监测，每年1次；请有资质的单位对产生辐射的仪器设备进行防护监测，包括仪器设备防护性能的检测，每年1次。</w:t>
            </w:r>
          </w:p>
          <w:p w14:paraId="59702B76">
            <w:pPr>
              <w:pStyle w:val="63"/>
              <w:adjustRightInd w:val="0"/>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（2）定期自行开展辐射监测，制定定期监测制度，监测数据存档，监测周期为每月1次。</w:t>
            </w:r>
          </w:p>
          <w:p w14:paraId="40F3A1F6">
            <w:pPr>
              <w:pStyle w:val="63"/>
              <w:adjustRightInd w:val="0"/>
              <w:snapToGrid w:val="0"/>
              <w:spacing w:line="360" w:lineRule="auto"/>
              <w:ind w:firstLine="0" w:firstLineChars="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2.监测内容和要求</w:t>
            </w:r>
          </w:p>
          <w:p w14:paraId="25172005">
            <w:pPr>
              <w:pStyle w:val="32"/>
              <w:snapToGrid w:val="0"/>
              <w:spacing w:line="360" w:lineRule="auto"/>
              <w:ind w:firstLine="480" w:firstLineChars="200"/>
              <w:textAlignment w:val="auto"/>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（1）监测内容：X-γ 辐射剂量率</w:t>
            </w:r>
          </w:p>
          <w:p w14:paraId="0129D8FC">
            <w:pPr>
              <w:pStyle w:val="32"/>
              <w:snapToGrid w:val="0"/>
              <w:spacing w:line="360" w:lineRule="auto"/>
              <w:ind w:firstLine="480" w:firstLineChars="200"/>
              <w:textAlignment w:val="auto"/>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（2）监测范围：在巡测的基础上，对关注点的局部屏蔽和缝隙进行重点检测。关注点应包括：四面墙体、顶棚、防护门、观察窗、管线洞口、工作人员操作位等，点位选取应具有代表性。</w:t>
            </w:r>
          </w:p>
          <w:p w14:paraId="18D6221F">
            <w:pPr>
              <w:pStyle w:val="34"/>
              <w:adjustRightInd w:val="0"/>
              <w:snapToGrid w:val="0"/>
              <w:spacing w:line="360" w:lineRule="auto"/>
              <w:ind w:left="0" w:firstLine="480" w:firstLineChars="200"/>
              <w:rPr>
                <w:rFonts w:hint="default" w:ascii="Times New Roman" w:hAnsi="Times New Roman" w:cs="Times New Roman"/>
                <w:b w:val="0"/>
                <w:color w:val="auto"/>
                <w:sz w:val="24"/>
                <w:szCs w:val="24"/>
                <w:highlight w:val="none"/>
              </w:rPr>
            </w:pPr>
            <w:r>
              <w:rPr>
                <w:rFonts w:hint="default" w:ascii="Times New Roman" w:hAnsi="Times New Roman" w:cs="Times New Roman"/>
                <w:b w:val="0"/>
                <w:color w:val="auto"/>
                <w:sz w:val="24"/>
                <w:szCs w:val="24"/>
                <w:highlight w:val="none"/>
              </w:rPr>
              <w:t>（3）监测仪器：便携式X-γ辐射监测仪</w:t>
            </w:r>
          </w:p>
          <w:p w14:paraId="5DBF7DAD">
            <w:pPr>
              <w:pStyle w:val="32"/>
              <w:snapToGrid w:val="0"/>
              <w:spacing w:line="360" w:lineRule="auto"/>
              <w:ind w:firstLine="480" w:firstLineChars="200"/>
              <w:textAlignment w:val="auto"/>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（4）监测点位和数据管理：选择距墙体、门、窗表面30cm；机房上方（楼上）距地面100cm。委托监测每年1次，自行监测每月1次，本项目监测数据应当存档。建议监测点位见表12-4。</w:t>
            </w:r>
          </w:p>
          <w:p w14:paraId="0549D7B9">
            <w:pPr>
              <w:pStyle w:val="32"/>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表12-4 定期监测点位</w:t>
            </w:r>
          </w:p>
          <w:tbl>
            <w:tblPr>
              <w:tblStyle w:val="23"/>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4"/>
              <w:gridCol w:w="1066"/>
              <w:gridCol w:w="2809"/>
              <w:gridCol w:w="1061"/>
              <w:gridCol w:w="1198"/>
              <w:gridCol w:w="1105"/>
            </w:tblGrid>
            <w:tr w14:paraId="52BEE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trPr>
              <w:tc>
                <w:tcPr>
                  <w:tcW w:w="630" w:type="pct"/>
                  <w:vMerge w:val="restart"/>
                  <w:vAlign w:val="center"/>
                </w:tcPr>
                <w:p w14:paraId="6F18E8EA">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工作场所</w:t>
                  </w:r>
                </w:p>
              </w:tc>
              <w:tc>
                <w:tcPr>
                  <w:tcW w:w="643" w:type="pct"/>
                  <w:vMerge w:val="restart"/>
                  <w:vAlign w:val="center"/>
                </w:tcPr>
                <w:p w14:paraId="14007861">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监测项目</w:t>
                  </w:r>
                </w:p>
              </w:tc>
              <w:tc>
                <w:tcPr>
                  <w:tcW w:w="1695" w:type="pct"/>
                  <w:vMerge w:val="restart"/>
                  <w:vAlign w:val="center"/>
                </w:tcPr>
                <w:p w14:paraId="5583E347">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监测范围</w:t>
                  </w:r>
                </w:p>
              </w:tc>
              <w:tc>
                <w:tcPr>
                  <w:tcW w:w="1363" w:type="pct"/>
                  <w:gridSpan w:val="2"/>
                  <w:vAlign w:val="center"/>
                </w:tcPr>
                <w:p w14:paraId="70EC32FD">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监测频次</w:t>
                  </w:r>
                </w:p>
              </w:tc>
              <w:tc>
                <w:tcPr>
                  <w:tcW w:w="667" w:type="pct"/>
                  <w:vMerge w:val="restart"/>
                  <w:vAlign w:val="center"/>
                </w:tcPr>
                <w:p w14:paraId="142A4811">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备注</w:t>
                  </w:r>
                </w:p>
              </w:tc>
            </w:tr>
            <w:tr w14:paraId="129CF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trPr>
              <w:tc>
                <w:tcPr>
                  <w:tcW w:w="630" w:type="pct"/>
                  <w:vMerge w:val="continue"/>
                  <w:vAlign w:val="center"/>
                </w:tcPr>
                <w:p w14:paraId="429B98E4">
                  <w:pPr>
                    <w:jc w:val="center"/>
                    <w:rPr>
                      <w:rFonts w:hint="default" w:ascii="Times New Roman" w:hAnsi="Times New Roman" w:cs="Times New Roman"/>
                      <w:color w:val="auto"/>
                      <w:sz w:val="21"/>
                      <w:szCs w:val="21"/>
                      <w:highlight w:val="none"/>
                    </w:rPr>
                  </w:pPr>
                </w:p>
              </w:tc>
              <w:tc>
                <w:tcPr>
                  <w:tcW w:w="643" w:type="pct"/>
                  <w:vMerge w:val="continue"/>
                  <w:vAlign w:val="center"/>
                </w:tcPr>
                <w:p w14:paraId="43120301">
                  <w:pPr>
                    <w:jc w:val="center"/>
                    <w:rPr>
                      <w:rFonts w:hint="default" w:ascii="Times New Roman" w:hAnsi="Times New Roman" w:cs="Times New Roman"/>
                      <w:color w:val="auto"/>
                      <w:sz w:val="21"/>
                      <w:szCs w:val="21"/>
                      <w:highlight w:val="none"/>
                    </w:rPr>
                  </w:pPr>
                </w:p>
              </w:tc>
              <w:tc>
                <w:tcPr>
                  <w:tcW w:w="1695" w:type="pct"/>
                  <w:vMerge w:val="continue"/>
                  <w:vAlign w:val="center"/>
                </w:tcPr>
                <w:p w14:paraId="04BB9F07">
                  <w:pPr>
                    <w:jc w:val="center"/>
                    <w:rPr>
                      <w:rFonts w:hint="default" w:ascii="Times New Roman" w:hAnsi="Times New Roman" w:cs="Times New Roman"/>
                      <w:color w:val="auto"/>
                      <w:sz w:val="21"/>
                      <w:szCs w:val="21"/>
                      <w:highlight w:val="none"/>
                    </w:rPr>
                  </w:pPr>
                </w:p>
              </w:tc>
              <w:tc>
                <w:tcPr>
                  <w:tcW w:w="640" w:type="pct"/>
                  <w:vAlign w:val="center"/>
                </w:tcPr>
                <w:p w14:paraId="082A1C7F">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委托检测</w:t>
                  </w:r>
                </w:p>
              </w:tc>
              <w:tc>
                <w:tcPr>
                  <w:tcW w:w="723" w:type="pct"/>
                  <w:vAlign w:val="center"/>
                </w:tcPr>
                <w:p w14:paraId="7D664D8B">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自行检测</w:t>
                  </w:r>
                </w:p>
              </w:tc>
              <w:tc>
                <w:tcPr>
                  <w:tcW w:w="667" w:type="pct"/>
                  <w:vMerge w:val="continue"/>
                  <w:vAlign w:val="center"/>
                </w:tcPr>
                <w:p w14:paraId="0D6212C2">
                  <w:pPr>
                    <w:jc w:val="center"/>
                    <w:rPr>
                      <w:rFonts w:hint="default" w:ascii="Times New Roman" w:hAnsi="Times New Roman" w:cs="Times New Roman"/>
                      <w:color w:val="auto"/>
                      <w:sz w:val="21"/>
                      <w:szCs w:val="21"/>
                      <w:highlight w:val="none"/>
                    </w:rPr>
                  </w:pPr>
                </w:p>
              </w:tc>
            </w:tr>
            <w:tr w14:paraId="4DBFA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0" w:type="pct"/>
                  <w:vMerge w:val="restart"/>
                  <w:vAlign w:val="center"/>
                </w:tcPr>
                <w:p w14:paraId="1CB3C9E3">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DSA机房</w:t>
                  </w:r>
                </w:p>
              </w:tc>
              <w:tc>
                <w:tcPr>
                  <w:tcW w:w="643" w:type="pct"/>
                  <w:vMerge w:val="restart"/>
                  <w:vAlign w:val="center"/>
                </w:tcPr>
                <w:p w14:paraId="6AE7C8CA">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X-γ辐射剂量率</w:t>
                  </w:r>
                </w:p>
              </w:tc>
              <w:tc>
                <w:tcPr>
                  <w:tcW w:w="1695" w:type="pct"/>
                  <w:shd w:val="clear" w:color="auto" w:fill="auto"/>
                  <w:vAlign w:val="center"/>
                </w:tcPr>
                <w:p w14:paraId="220AF3BF">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2#楼三层DSA机房下方口腔诊室1</w:t>
                  </w:r>
                </w:p>
              </w:tc>
              <w:tc>
                <w:tcPr>
                  <w:tcW w:w="640" w:type="pct"/>
                  <w:vMerge w:val="restart"/>
                  <w:shd w:val="clear" w:color="auto" w:fill="auto"/>
                  <w:vAlign w:val="center"/>
                </w:tcPr>
                <w:p w14:paraId="79BB7CD0">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委托监测每年1次</w:t>
                  </w:r>
                </w:p>
              </w:tc>
              <w:tc>
                <w:tcPr>
                  <w:tcW w:w="723" w:type="pct"/>
                  <w:vMerge w:val="restart"/>
                  <w:shd w:val="clear" w:color="auto" w:fill="auto"/>
                  <w:vAlign w:val="center"/>
                </w:tcPr>
                <w:p w14:paraId="3AC1CBA9">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自行监测每月1次</w:t>
                  </w:r>
                </w:p>
              </w:tc>
              <w:tc>
                <w:tcPr>
                  <w:tcW w:w="667" w:type="pct"/>
                  <w:vMerge w:val="restart"/>
                  <w:shd w:val="clear" w:color="auto" w:fill="auto"/>
                  <w:vAlign w:val="center"/>
                </w:tcPr>
                <w:p w14:paraId="2BE343D8">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开关机各监测一次</w:t>
                  </w:r>
                </w:p>
              </w:tc>
            </w:tr>
            <w:tr w14:paraId="05602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0" w:type="pct"/>
                  <w:vMerge w:val="continue"/>
                  <w:vAlign w:val="center"/>
                </w:tcPr>
                <w:p w14:paraId="3457256D">
                  <w:pPr>
                    <w:jc w:val="center"/>
                    <w:rPr>
                      <w:rFonts w:hint="default" w:ascii="Times New Roman" w:hAnsi="Times New Roman" w:cs="Times New Roman"/>
                      <w:color w:val="auto"/>
                      <w:sz w:val="21"/>
                      <w:szCs w:val="21"/>
                      <w:highlight w:val="none"/>
                    </w:rPr>
                  </w:pPr>
                </w:p>
              </w:tc>
              <w:tc>
                <w:tcPr>
                  <w:tcW w:w="643" w:type="pct"/>
                  <w:vMerge w:val="continue"/>
                  <w:vAlign w:val="center"/>
                </w:tcPr>
                <w:p w14:paraId="5C6F8BAE">
                  <w:pPr>
                    <w:jc w:val="center"/>
                    <w:rPr>
                      <w:rFonts w:hint="default" w:ascii="Times New Roman" w:hAnsi="Times New Roman" w:cs="Times New Roman"/>
                      <w:color w:val="auto"/>
                      <w:sz w:val="21"/>
                      <w:szCs w:val="21"/>
                      <w:highlight w:val="none"/>
                    </w:rPr>
                  </w:pPr>
                </w:p>
              </w:tc>
              <w:tc>
                <w:tcPr>
                  <w:tcW w:w="1695" w:type="pct"/>
                  <w:shd w:val="clear" w:color="auto" w:fill="auto"/>
                  <w:vAlign w:val="center"/>
                </w:tcPr>
                <w:p w14:paraId="328DADFB">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2#楼四层机房内</w:t>
                  </w:r>
                </w:p>
              </w:tc>
              <w:tc>
                <w:tcPr>
                  <w:tcW w:w="640" w:type="pct"/>
                  <w:vMerge w:val="continue"/>
                  <w:shd w:val="clear" w:color="auto" w:fill="auto"/>
                  <w:vAlign w:val="center"/>
                </w:tcPr>
                <w:p w14:paraId="16D4C18F">
                  <w:pPr>
                    <w:jc w:val="center"/>
                    <w:rPr>
                      <w:rFonts w:hint="default" w:ascii="Times New Roman" w:hAnsi="Times New Roman" w:cs="Times New Roman"/>
                      <w:color w:val="auto"/>
                      <w:sz w:val="21"/>
                      <w:szCs w:val="21"/>
                      <w:highlight w:val="none"/>
                    </w:rPr>
                  </w:pPr>
                </w:p>
              </w:tc>
              <w:tc>
                <w:tcPr>
                  <w:tcW w:w="723" w:type="pct"/>
                  <w:vMerge w:val="continue"/>
                  <w:shd w:val="clear" w:color="auto" w:fill="auto"/>
                  <w:vAlign w:val="center"/>
                </w:tcPr>
                <w:p w14:paraId="71847792">
                  <w:pPr>
                    <w:jc w:val="center"/>
                    <w:rPr>
                      <w:rFonts w:hint="default" w:ascii="Times New Roman" w:hAnsi="Times New Roman" w:cs="Times New Roman"/>
                      <w:color w:val="auto"/>
                      <w:sz w:val="21"/>
                      <w:szCs w:val="21"/>
                      <w:highlight w:val="none"/>
                    </w:rPr>
                  </w:pPr>
                </w:p>
              </w:tc>
              <w:tc>
                <w:tcPr>
                  <w:tcW w:w="667" w:type="pct"/>
                  <w:vMerge w:val="continue"/>
                  <w:shd w:val="clear" w:color="auto" w:fill="auto"/>
                  <w:vAlign w:val="center"/>
                </w:tcPr>
                <w:p w14:paraId="1413D989">
                  <w:pPr>
                    <w:jc w:val="center"/>
                    <w:rPr>
                      <w:rFonts w:hint="default" w:ascii="Times New Roman" w:hAnsi="Times New Roman" w:cs="Times New Roman"/>
                      <w:color w:val="auto"/>
                      <w:sz w:val="21"/>
                      <w:szCs w:val="21"/>
                      <w:highlight w:val="none"/>
                    </w:rPr>
                  </w:pPr>
                </w:p>
              </w:tc>
            </w:tr>
            <w:tr w14:paraId="384B0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0" w:type="pct"/>
                  <w:vMerge w:val="continue"/>
                  <w:vAlign w:val="center"/>
                </w:tcPr>
                <w:p w14:paraId="5EDA403F">
                  <w:pPr>
                    <w:jc w:val="center"/>
                    <w:rPr>
                      <w:rFonts w:hint="default" w:ascii="Times New Roman" w:hAnsi="Times New Roman" w:cs="Times New Roman"/>
                      <w:color w:val="auto"/>
                      <w:sz w:val="21"/>
                      <w:szCs w:val="21"/>
                      <w:highlight w:val="none"/>
                    </w:rPr>
                  </w:pPr>
                </w:p>
              </w:tc>
              <w:tc>
                <w:tcPr>
                  <w:tcW w:w="643" w:type="pct"/>
                  <w:vMerge w:val="continue"/>
                  <w:vAlign w:val="center"/>
                </w:tcPr>
                <w:p w14:paraId="2680B3CA">
                  <w:pPr>
                    <w:jc w:val="center"/>
                    <w:rPr>
                      <w:rFonts w:hint="default" w:ascii="Times New Roman" w:hAnsi="Times New Roman" w:cs="Times New Roman"/>
                      <w:color w:val="auto"/>
                      <w:sz w:val="21"/>
                      <w:szCs w:val="21"/>
                      <w:highlight w:val="none"/>
                    </w:rPr>
                  </w:pPr>
                </w:p>
              </w:tc>
              <w:tc>
                <w:tcPr>
                  <w:tcW w:w="1695" w:type="pct"/>
                  <w:shd w:val="clear" w:color="auto" w:fill="auto"/>
                  <w:vAlign w:val="center"/>
                </w:tcPr>
                <w:p w14:paraId="5F7795D0">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2#楼四层机房患者出入口</w:t>
                  </w:r>
                </w:p>
              </w:tc>
              <w:tc>
                <w:tcPr>
                  <w:tcW w:w="640" w:type="pct"/>
                  <w:vMerge w:val="continue"/>
                  <w:shd w:val="clear" w:color="auto" w:fill="auto"/>
                  <w:vAlign w:val="center"/>
                </w:tcPr>
                <w:p w14:paraId="07F35B58">
                  <w:pPr>
                    <w:jc w:val="center"/>
                    <w:rPr>
                      <w:rFonts w:hint="default" w:ascii="Times New Roman" w:hAnsi="Times New Roman" w:cs="Times New Roman"/>
                      <w:color w:val="auto"/>
                      <w:sz w:val="21"/>
                      <w:szCs w:val="21"/>
                      <w:highlight w:val="none"/>
                    </w:rPr>
                  </w:pPr>
                </w:p>
              </w:tc>
              <w:tc>
                <w:tcPr>
                  <w:tcW w:w="723" w:type="pct"/>
                  <w:vMerge w:val="continue"/>
                  <w:shd w:val="clear" w:color="auto" w:fill="auto"/>
                  <w:vAlign w:val="center"/>
                </w:tcPr>
                <w:p w14:paraId="0CA686E1">
                  <w:pPr>
                    <w:jc w:val="center"/>
                    <w:rPr>
                      <w:rFonts w:hint="default" w:ascii="Times New Roman" w:hAnsi="Times New Roman" w:cs="Times New Roman"/>
                      <w:color w:val="auto"/>
                      <w:sz w:val="21"/>
                      <w:szCs w:val="21"/>
                      <w:highlight w:val="none"/>
                    </w:rPr>
                  </w:pPr>
                </w:p>
              </w:tc>
              <w:tc>
                <w:tcPr>
                  <w:tcW w:w="667" w:type="pct"/>
                  <w:vMerge w:val="continue"/>
                  <w:shd w:val="clear" w:color="auto" w:fill="auto"/>
                  <w:vAlign w:val="center"/>
                </w:tcPr>
                <w:p w14:paraId="074E1321">
                  <w:pPr>
                    <w:jc w:val="center"/>
                    <w:rPr>
                      <w:rFonts w:hint="default" w:ascii="Times New Roman" w:hAnsi="Times New Roman" w:cs="Times New Roman"/>
                      <w:color w:val="auto"/>
                      <w:sz w:val="21"/>
                      <w:szCs w:val="21"/>
                      <w:highlight w:val="none"/>
                    </w:rPr>
                  </w:pPr>
                </w:p>
              </w:tc>
            </w:tr>
            <w:tr w14:paraId="46F2B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0" w:type="pct"/>
                  <w:vMerge w:val="continue"/>
                  <w:vAlign w:val="center"/>
                </w:tcPr>
                <w:p w14:paraId="2E0D393C">
                  <w:pPr>
                    <w:jc w:val="center"/>
                    <w:rPr>
                      <w:rFonts w:hint="default" w:ascii="Times New Roman" w:hAnsi="Times New Roman" w:cs="Times New Roman"/>
                      <w:color w:val="auto"/>
                      <w:sz w:val="21"/>
                      <w:szCs w:val="21"/>
                      <w:highlight w:val="none"/>
                    </w:rPr>
                  </w:pPr>
                </w:p>
              </w:tc>
              <w:tc>
                <w:tcPr>
                  <w:tcW w:w="643" w:type="pct"/>
                  <w:vMerge w:val="continue"/>
                  <w:vAlign w:val="center"/>
                </w:tcPr>
                <w:p w14:paraId="7FCD9210">
                  <w:pPr>
                    <w:jc w:val="center"/>
                    <w:rPr>
                      <w:rFonts w:hint="default" w:ascii="Times New Roman" w:hAnsi="Times New Roman" w:cs="Times New Roman"/>
                      <w:color w:val="auto"/>
                      <w:sz w:val="21"/>
                      <w:szCs w:val="21"/>
                      <w:highlight w:val="none"/>
                    </w:rPr>
                  </w:pPr>
                </w:p>
              </w:tc>
              <w:tc>
                <w:tcPr>
                  <w:tcW w:w="1695" w:type="pct"/>
                  <w:shd w:val="clear" w:color="auto" w:fill="auto"/>
                  <w:vAlign w:val="center"/>
                </w:tcPr>
                <w:p w14:paraId="3D1AF477">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2#楼四层机房设备间出入口</w:t>
                  </w:r>
                </w:p>
              </w:tc>
              <w:tc>
                <w:tcPr>
                  <w:tcW w:w="640" w:type="pct"/>
                  <w:vMerge w:val="continue"/>
                  <w:shd w:val="clear" w:color="auto" w:fill="auto"/>
                  <w:vAlign w:val="center"/>
                </w:tcPr>
                <w:p w14:paraId="39CC1C02">
                  <w:pPr>
                    <w:jc w:val="center"/>
                    <w:rPr>
                      <w:rFonts w:hint="default" w:ascii="Times New Roman" w:hAnsi="Times New Roman" w:cs="Times New Roman"/>
                      <w:color w:val="auto"/>
                      <w:sz w:val="21"/>
                      <w:szCs w:val="21"/>
                      <w:highlight w:val="none"/>
                    </w:rPr>
                  </w:pPr>
                </w:p>
              </w:tc>
              <w:tc>
                <w:tcPr>
                  <w:tcW w:w="723" w:type="pct"/>
                  <w:vMerge w:val="continue"/>
                  <w:shd w:val="clear" w:color="auto" w:fill="auto"/>
                  <w:vAlign w:val="center"/>
                </w:tcPr>
                <w:p w14:paraId="080A714E">
                  <w:pPr>
                    <w:jc w:val="center"/>
                    <w:rPr>
                      <w:rFonts w:hint="default" w:ascii="Times New Roman" w:hAnsi="Times New Roman" w:cs="Times New Roman"/>
                      <w:color w:val="auto"/>
                      <w:sz w:val="21"/>
                      <w:szCs w:val="21"/>
                      <w:highlight w:val="none"/>
                    </w:rPr>
                  </w:pPr>
                </w:p>
              </w:tc>
              <w:tc>
                <w:tcPr>
                  <w:tcW w:w="667" w:type="pct"/>
                  <w:vMerge w:val="continue"/>
                  <w:shd w:val="clear" w:color="auto" w:fill="auto"/>
                  <w:vAlign w:val="center"/>
                </w:tcPr>
                <w:p w14:paraId="4C26B5A1">
                  <w:pPr>
                    <w:jc w:val="center"/>
                    <w:rPr>
                      <w:rFonts w:hint="default" w:ascii="Times New Roman" w:hAnsi="Times New Roman" w:cs="Times New Roman"/>
                      <w:color w:val="auto"/>
                      <w:sz w:val="21"/>
                      <w:szCs w:val="21"/>
                      <w:highlight w:val="none"/>
                    </w:rPr>
                  </w:pPr>
                </w:p>
              </w:tc>
            </w:tr>
            <w:tr w14:paraId="6797B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0" w:type="pct"/>
                  <w:vMerge w:val="continue"/>
                  <w:vAlign w:val="center"/>
                </w:tcPr>
                <w:p w14:paraId="00D126FD">
                  <w:pPr>
                    <w:jc w:val="center"/>
                    <w:rPr>
                      <w:rFonts w:hint="default" w:ascii="Times New Roman" w:hAnsi="Times New Roman" w:cs="Times New Roman"/>
                      <w:color w:val="auto"/>
                      <w:sz w:val="21"/>
                      <w:szCs w:val="21"/>
                      <w:highlight w:val="none"/>
                    </w:rPr>
                  </w:pPr>
                </w:p>
              </w:tc>
              <w:tc>
                <w:tcPr>
                  <w:tcW w:w="643" w:type="pct"/>
                  <w:vMerge w:val="continue"/>
                  <w:vAlign w:val="center"/>
                </w:tcPr>
                <w:p w14:paraId="1DD09211">
                  <w:pPr>
                    <w:jc w:val="center"/>
                    <w:rPr>
                      <w:rFonts w:hint="default" w:ascii="Times New Roman" w:hAnsi="Times New Roman" w:cs="Times New Roman"/>
                      <w:color w:val="auto"/>
                      <w:sz w:val="21"/>
                      <w:szCs w:val="21"/>
                      <w:highlight w:val="none"/>
                    </w:rPr>
                  </w:pPr>
                </w:p>
              </w:tc>
              <w:tc>
                <w:tcPr>
                  <w:tcW w:w="1695" w:type="pct"/>
                  <w:shd w:val="clear" w:color="auto" w:fill="auto"/>
                  <w:vAlign w:val="center"/>
                </w:tcPr>
                <w:p w14:paraId="54F969B8">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2#楼四层机房污物间出入口</w:t>
                  </w:r>
                </w:p>
              </w:tc>
              <w:tc>
                <w:tcPr>
                  <w:tcW w:w="640" w:type="pct"/>
                  <w:vMerge w:val="continue"/>
                  <w:shd w:val="clear" w:color="auto" w:fill="auto"/>
                  <w:vAlign w:val="center"/>
                </w:tcPr>
                <w:p w14:paraId="280FCCD4">
                  <w:pPr>
                    <w:jc w:val="center"/>
                    <w:rPr>
                      <w:rFonts w:hint="default" w:ascii="Times New Roman" w:hAnsi="Times New Roman" w:cs="Times New Roman"/>
                      <w:color w:val="auto"/>
                      <w:sz w:val="21"/>
                      <w:szCs w:val="21"/>
                      <w:highlight w:val="none"/>
                    </w:rPr>
                  </w:pPr>
                </w:p>
              </w:tc>
              <w:tc>
                <w:tcPr>
                  <w:tcW w:w="723" w:type="pct"/>
                  <w:vMerge w:val="continue"/>
                  <w:shd w:val="clear" w:color="auto" w:fill="auto"/>
                  <w:vAlign w:val="center"/>
                </w:tcPr>
                <w:p w14:paraId="389CDA28">
                  <w:pPr>
                    <w:jc w:val="center"/>
                    <w:rPr>
                      <w:rFonts w:hint="default" w:ascii="Times New Roman" w:hAnsi="Times New Roman" w:cs="Times New Roman"/>
                      <w:color w:val="auto"/>
                      <w:sz w:val="21"/>
                      <w:szCs w:val="21"/>
                      <w:highlight w:val="none"/>
                    </w:rPr>
                  </w:pPr>
                </w:p>
              </w:tc>
              <w:tc>
                <w:tcPr>
                  <w:tcW w:w="667" w:type="pct"/>
                  <w:vMerge w:val="continue"/>
                  <w:shd w:val="clear" w:color="auto" w:fill="auto"/>
                  <w:vAlign w:val="center"/>
                </w:tcPr>
                <w:p w14:paraId="013D9EC1">
                  <w:pPr>
                    <w:jc w:val="center"/>
                    <w:rPr>
                      <w:rFonts w:hint="default" w:ascii="Times New Roman" w:hAnsi="Times New Roman" w:cs="Times New Roman"/>
                      <w:color w:val="auto"/>
                      <w:sz w:val="21"/>
                      <w:szCs w:val="21"/>
                      <w:highlight w:val="none"/>
                    </w:rPr>
                  </w:pPr>
                </w:p>
              </w:tc>
            </w:tr>
            <w:tr w14:paraId="0FFFA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630" w:type="pct"/>
                  <w:vMerge w:val="continue"/>
                  <w:vAlign w:val="center"/>
                </w:tcPr>
                <w:p w14:paraId="60C8E572">
                  <w:pPr>
                    <w:jc w:val="center"/>
                    <w:rPr>
                      <w:rFonts w:hint="default" w:ascii="Times New Roman" w:hAnsi="Times New Roman" w:cs="Times New Roman"/>
                      <w:color w:val="auto"/>
                      <w:sz w:val="21"/>
                      <w:szCs w:val="21"/>
                      <w:highlight w:val="none"/>
                    </w:rPr>
                  </w:pPr>
                </w:p>
              </w:tc>
              <w:tc>
                <w:tcPr>
                  <w:tcW w:w="643" w:type="pct"/>
                  <w:vMerge w:val="continue"/>
                  <w:vAlign w:val="center"/>
                </w:tcPr>
                <w:p w14:paraId="135B9093">
                  <w:pPr>
                    <w:jc w:val="center"/>
                    <w:rPr>
                      <w:rFonts w:hint="default" w:ascii="Times New Roman" w:hAnsi="Times New Roman" w:cs="Times New Roman"/>
                      <w:color w:val="auto"/>
                      <w:sz w:val="21"/>
                      <w:szCs w:val="21"/>
                      <w:highlight w:val="none"/>
                    </w:rPr>
                  </w:pPr>
                </w:p>
              </w:tc>
              <w:tc>
                <w:tcPr>
                  <w:tcW w:w="1695" w:type="pct"/>
                  <w:shd w:val="clear" w:color="auto" w:fill="auto"/>
                  <w:vAlign w:val="center"/>
                </w:tcPr>
                <w:p w14:paraId="37847DFB">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2#楼四层机房控制室出入口</w:t>
                  </w:r>
                </w:p>
              </w:tc>
              <w:tc>
                <w:tcPr>
                  <w:tcW w:w="640" w:type="pct"/>
                  <w:vMerge w:val="continue"/>
                  <w:shd w:val="clear" w:color="auto" w:fill="auto"/>
                  <w:vAlign w:val="center"/>
                </w:tcPr>
                <w:p w14:paraId="118E971A">
                  <w:pPr>
                    <w:jc w:val="center"/>
                    <w:rPr>
                      <w:rFonts w:hint="default" w:ascii="Times New Roman" w:hAnsi="Times New Roman" w:cs="Times New Roman"/>
                      <w:color w:val="auto"/>
                      <w:sz w:val="21"/>
                      <w:szCs w:val="21"/>
                      <w:highlight w:val="none"/>
                    </w:rPr>
                  </w:pPr>
                </w:p>
              </w:tc>
              <w:tc>
                <w:tcPr>
                  <w:tcW w:w="723" w:type="pct"/>
                  <w:vMerge w:val="continue"/>
                  <w:shd w:val="clear" w:color="auto" w:fill="auto"/>
                  <w:vAlign w:val="center"/>
                </w:tcPr>
                <w:p w14:paraId="4409A86F">
                  <w:pPr>
                    <w:jc w:val="center"/>
                    <w:rPr>
                      <w:rFonts w:hint="default" w:ascii="Times New Roman" w:hAnsi="Times New Roman" w:cs="Times New Roman"/>
                      <w:color w:val="auto"/>
                      <w:sz w:val="21"/>
                      <w:szCs w:val="21"/>
                      <w:highlight w:val="none"/>
                    </w:rPr>
                  </w:pPr>
                </w:p>
              </w:tc>
              <w:tc>
                <w:tcPr>
                  <w:tcW w:w="667" w:type="pct"/>
                  <w:vMerge w:val="continue"/>
                  <w:shd w:val="clear" w:color="auto" w:fill="auto"/>
                  <w:vAlign w:val="center"/>
                </w:tcPr>
                <w:p w14:paraId="355E0627">
                  <w:pPr>
                    <w:jc w:val="center"/>
                    <w:rPr>
                      <w:rFonts w:hint="default" w:ascii="Times New Roman" w:hAnsi="Times New Roman" w:cs="Times New Roman"/>
                      <w:color w:val="auto"/>
                      <w:sz w:val="21"/>
                      <w:szCs w:val="21"/>
                      <w:highlight w:val="none"/>
                    </w:rPr>
                  </w:pPr>
                </w:p>
              </w:tc>
            </w:tr>
            <w:tr w14:paraId="37B8C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 w:hRule="atLeast"/>
              </w:trPr>
              <w:tc>
                <w:tcPr>
                  <w:tcW w:w="630" w:type="pct"/>
                  <w:vMerge w:val="continue"/>
                  <w:vAlign w:val="center"/>
                </w:tcPr>
                <w:p w14:paraId="42C0E3B2">
                  <w:pPr>
                    <w:jc w:val="center"/>
                    <w:rPr>
                      <w:rFonts w:hint="default" w:ascii="Times New Roman" w:hAnsi="Times New Roman" w:cs="Times New Roman"/>
                      <w:color w:val="auto"/>
                      <w:sz w:val="21"/>
                      <w:szCs w:val="21"/>
                      <w:highlight w:val="none"/>
                    </w:rPr>
                  </w:pPr>
                </w:p>
              </w:tc>
              <w:tc>
                <w:tcPr>
                  <w:tcW w:w="643" w:type="pct"/>
                  <w:vMerge w:val="continue"/>
                  <w:vAlign w:val="center"/>
                </w:tcPr>
                <w:p w14:paraId="6F291EE0">
                  <w:pPr>
                    <w:jc w:val="center"/>
                    <w:rPr>
                      <w:rFonts w:hint="default" w:ascii="Times New Roman" w:hAnsi="Times New Roman" w:cs="Times New Roman"/>
                      <w:color w:val="auto"/>
                      <w:sz w:val="21"/>
                      <w:szCs w:val="21"/>
                      <w:highlight w:val="none"/>
                    </w:rPr>
                  </w:pPr>
                </w:p>
              </w:tc>
              <w:tc>
                <w:tcPr>
                  <w:tcW w:w="1695" w:type="pct"/>
                  <w:shd w:val="clear" w:color="auto" w:fill="auto"/>
                  <w:vAlign w:val="center"/>
                </w:tcPr>
                <w:p w14:paraId="6BBF56E3">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2#楼四层机房控制室观察窗处</w:t>
                  </w:r>
                </w:p>
              </w:tc>
              <w:tc>
                <w:tcPr>
                  <w:tcW w:w="640" w:type="pct"/>
                  <w:vMerge w:val="continue"/>
                  <w:shd w:val="clear" w:color="auto" w:fill="auto"/>
                  <w:vAlign w:val="center"/>
                </w:tcPr>
                <w:p w14:paraId="24EB6A78">
                  <w:pPr>
                    <w:jc w:val="center"/>
                    <w:rPr>
                      <w:rFonts w:hint="default" w:ascii="Times New Roman" w:hAnsi="Times New Roman" w:cs="Times New Roman"/>
                      <w:color w:val="auto"/>
                      <w:sz w:val="21"/>
                      <w:szCs w:val="21"/>
                      <w:highlight w:val="none"/>
                    </w:rPr>
                  </w:pPr>
                </w:p>
              </w:tc>
              <w:tc>
                <w:tcPr>
                  <w:tcW w:w="723" w:type="pct"/>
                  <w:vMerge w:val="continue"/>
                  <w:shd w:val="clear" w:color="auto" w:fill="auto"/>
                  <w:vAlign w:val="center"/>
                </w:tcPr>
                <w:p w14:paraId="59D400D5">
                  <w:pPr>
                    <w:jc w:val="center"/>
                    <w:rPr>
                      <w:rFonts w:hint="default" w:ascii="Times New Roman" w:hAnsi="Times New Roman" w:cs="Times New Roman"/>
                      <w:color w:val="auto"/>
                      <w:sz w:val="21"/>
                      <w:szCs w:val="21"/>
                      <w:highlight w:val="none"/>
                    </w:rPr>
                  </w:pPr>
                </w:p>
              </w:tc>
              <w:tc>
                <w:tcPr>
                  <w:tcW w:w="667" w:type="pct"/>
                  <w:vMerge w:val="continue"/>
                  <w:shd w:val="clear" w:color="auto" w:fill="auto"/>
                  <w:vAlign w:val="center"/>
                </w:tcPr>
                <w:p w14:paraId="042304BB">
                  <w:pPr>
                    <w:jc w:val="center"/>
                    <w:rPr>
                      <w:rFonts w:hint="default" w:ascii="Times New Roman" w:hAnsi="Times New Roman" w:cs="Times New Roman"/>
                      <w:color w:val="auto"/>
                      <w:sz w:val="21"/>
                      <w:szCs w:val="21"/>
                      <w:highlight w:val="none"/>
                    </w:rPr>
                  </w:pPr>
                </w:p>
              </w:tc>
            </w:tr>
            <w:tr w14:paraId="3C884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630" w:type="pct"/>
                  <w:vMerge w:val="continue"/>
                  <w:vAlign w:val="center"/>
                </w:tcPr>
                <w:p w14:paraId="08912FEC">
                  <w:pPr>
                    <w:jc w:val="center"/>
                    <w:rPr>
                      <w:rFonts w:hint="default" w:ascii="Times New Roman" w:hAnsi="Times New Roman" w:cs="Times New Roman"/>
                      <w:color w:val="auto"/>
                      <w:sz w:val="21"/>
                      <w:szCs w:val="21"/>
                      <w:highlight w:val="none"/>
                    </w:rPr>
                  </w:pPr>
                </w:p>
              </w:tc>
              <w:tc>
                <w:tcPr>
                  <w:tcW w:w="643" w:type="pct"/>
                  <w:vMerge w:val="continue"/>
                  <w:vAlign w:val="center"/>
                </w:tcPr>
                <w:p w14:paraId="25B5BD0C">
                  <w:pPr>
                    <w:jc w:val="center"/>
                    <w:rPr>
                      <w:rFonts w:hint="default" w:ascii="Times New Roman" w:hAnsi="Times New Roman" w:cs="Times New Roman"/>
                      <w:color w:val="auto"/>
                      <w:sz w:val="21"/>
                      <w:szCs w:val="21"/>
                      <w:highlight w:val="none"/>
                    </w:rPr>
                  </w:pPr>
                </w:p>
              </w:tc>
              <w:tc>
                <w:tcPr>
                  <w:tcW w:w="1695" w:type="pct"/>
                  <w:shd w:val="clear" w:color="auto" w:fill="auto"/>
                  <w:vAlign w:val="center"/>
                </w:tcPr>
                <w:p w14:paraId="1873E725">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2#楼四层机房高值耗材存放处</w:t>
                  </w:r>
                </w:p>
              </w:tc>
              <w:tc>
                <w:tcPr>
                  <w:tcW w:w="640" w:type="pct"/>
                  <w:vMerge w:val="continue"/>
                  <w:shd w:val="clear" w:color="auto" w:fill="auto"/>
                  <w:vAlign w:val="center"/>
                </w:tcPr>
                <w:p w14:paraId="468E8A4C">
                  <w:pPr>
                    <w:jc w:val="center"/>
                    <w:rPr>
                      <w:rFonts w:hint="default" w:ascii="Times New Roman" w:hAnsi="Times New Roman" w:cs="Times New Roman"/>
                      <w:color w:val="auto"/>
                      <w:sz w:val="21"/>
                      <w:szCs w:val="21"/>
                      <w:highlight w:val="none"/>
                    </w:rPr>
                  </w:pPr>
                </w:p>
              </w:tc>
              <w:tc>
                <w:tcPr>
                  <w:tcW w:w="723" w:type="pct"/>
                  <w:vMerge w:val="continue"/>
                  <w:shd w:val="clear" w:color="auto" w:fill="auto"/>
                  <w:vAlign w:val="center"/>
                </w:tcPr>
                <w:p w14:paraId="3FCADA25">
                  <w:pPr>
                    <w:jc w:val="center"/>
                    <w:rPr>
                      <w:rFonts w:hint="default" w:ascii="Times New Roman" w:hAnsi="Times New Roman" w:cs="Times New Roman"/>
                      <w:color w:val="auto"/>
                      <w:sz w:val="21"/>
                      <w:szCs w:val="21"/>
                      <w:highlight w:val="none"/>
                    </w:rPr>
                  </w:pPr>
                </w:p>
              </w:tc>
              <w:tc>
                <w:tcPr>
                  <w:tcW w:w="667" w:type="pct"/>
                  <w:vMerge w:val="continue"/>
                  <w:shd w:val="clear" w:color="auto" w:fill="auto"/>
                  <w:vAlign w:val="center"/>
                </w:tcPr>
                <w:p w14:paraId="5346C299">
                  <w:pPr>
                    <w:jc w:val="center"/>
                    <w:rPr>
                      <w:rFonts w:hint="default" w:ascii="Times New Roman" w:hAnsi="Times New Roman" w:cs="Times New Roman"/>
                      <w:color w:val="auto"/>
                      <w:sz w:val="21"/>
                      <w:szCs w:val="21"/>
                      <w:highlight w:val="none"/>
                    </w:rPr>
                  </w:pPr>
                </w:p>
              </w:tc>
            </w:tr>
            <w:tr w14:paraId="172F0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630" w:type="pct"/>
                  <w:vMerge w:val="continue"/>
                  <w:vAlign w:val="center"/>
                </w:tcPr>
                <w:p w14:paraId="05CE9EE3">
                  <w:pPr>
                    <w:jc w:val="center"/>
                    <w:rPr>
                      <w:rFonts w:hint="default" w:ascii="Times New Roman" w:hAnsi="Times New Roman" w:cs="Times New Roman"/>
                      <w:color w:val="auto"/>
                      <w:sz w:val="21"/>
                      <w:szCs w:val="21"/>
                      <w:highlight w:val="none"/>
                    </w:rPr>
                  </w:pPr>
                </w:p>
              </w:tc>
              <w:tc>
                <w:tcPr>
                  <w:tcW w:w="643" w:type="pct"/>
                  <w:vMerge w:val="continue"/>
                  <w:vAlign w:val="center"/>
                </w:tcPr>
                <w:p w14:paraId="7222AEF6">
                  <w:pPr>
                    <w:jc w:val="center"/>
                    <w:rPr>
                      <w:rFonts w:hint="default" w:ascii="Times New Roman" w:hAnsi="Times New Roman" w:cs="Times New Roman"/>
                      <w:color w:val="auto"/>
                      <w:sz w:val="21"/>
                      <w:szCs w:val="21"/>
                      <w:highlight w:val="none"/>
                    </w:rPr>
                  </w:pPr>
                </w:p>
              </w:tc>
              <w:tc>
                <w:tcPr>
                  <w:tcW w:w="1695" w:type="pct"/>
                  <w:shd w:val="clear" w:color="auto" w:fill="auto"/>
                  <w:vAlign w:val="center"/>
                </w:tcPr>
                <w:p w14:paraId="081A3C31">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2#楼四层观察室</w:t>
                  </w:r>
                </w:p>
              </w:tc>
              <w:tc>
                <w:tcPr>
                  <w:tcW w:w="640" w:type="pct"/>
                  <w:vMerge w:val="continue"/>
                  <w:shd w:val="clear" w:color="auto" w:fill="auto"/>
                  <w:vAlign w:val="center"/>
                </w:tcPr>
                <w:p w14:paraId="55CFE0A0">
                  <w:pPr>
                    <w:jc w:val="center"/>
                    <w:rPr>
                      <w:rFonts w:hint="default" w:ascii="Times New Roman" w:hAnsi="Times New Roman" w:cs="Times New Roman"/>
                      <w:color w:val="auto"/>
                      <w:sz w:val="21"/>
                      <w:szCs w:val="21"/>
                      <w:highlight w:val="none"/>
                    </w:rPr>
                  </w:pPr>
                </w:p>
              </w:tc>
              <w:tc>
                <w:tcPr>
                  <w:tcW w:w="723" w:type="pct"/>
                  <w:vMerge w:val="continue"/>
                  <w:shd w:val="clear" w:color="auto" w:fill="auto"/>
                  <w:vAlign w:val="center"/>
                </w:tcPr>
                <w:p w14:paraId="503A5E13">
                  <w:pPr>
                    <w:jc w:val="center"/>
                    <w:rPr>
                      <w:rFonts w:hint="default" w:ascii="Times New Roman" w:hAnsi="Times New Roman" w:cs="Times New Roman"/>
                      <w:color w:val="auto"/>
                      <w:sz w:val="21"/>
                      <w:szCs w:val="21"/>
                      <w:highlight w:val="none"/>
                    </w:rPr>
                  </w:pPr>
                </w:p>
              </w:tc>
              <w:tc>
                <w:tcPr>
                  <w:tcW w:w="667" w:type="pct"/>
                  <w:vMerge w:val="continue"/>
                  <w:shd w:val="clear" w:color="auto" w:fill="auto"/>
                  <w:vAlign w:val="center"/>
                </w:tcPr>
                <w:p w14:paraId="61A03DCA">
                  <w:pPr>
                    <w:jc w:val="center"/>
                    <w:rPr>
                      <w:rFonts w:hint="default" w:ascii="Times New Roman" w:hAnsi="Times New Roman" w:cs="Times New Roman"/>
                      <w:color w:val="auto"/>
                      <w:sz w:val="21"/>
                      <w:szCs w:val="21"/>
                      <w:highlight w:val="none"/>
                    </w:rPr>
                  </w:pPr>
                </w:p>
              </w:tc>
            </w:tr>
            <w:tr w14:paraId="116E9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630" w:type="pct"/>
                  <w:vMerge w:val="continue"/>
                  <w:vAlign w:val="center"/>
                </w:tcPr>
                <w:p w14:paraId="1888A355">
                  <w:pPr>
                    <w:jc w:val="center"/>
                    <w:rPr>
                      <w:rFonts w:hint="default" w:ascii="Times New Roman" w:hAnsi="Times New Roman" w:cs="Times New Roman"/>
                      <w:color w:val="auto"/>
                      <w:sz w:val="21"/>
                      <w:szCs w:val="21"/>
                      <w:highlight w:val="none"/>
                    </w:rPr>
                  </w:pPr>
                </w:p>
              </w:tc>
              <w:tc>
                <w:tcPr>
                  <w:tcW w:w="643" w:type="pct"/>
                  <w:vMerge w:val="continue"/>
                  <w:vAlign w:val="center"/>
                </w:tcPr>
                <w:p w14:paraId="5EC53742">
                  <w:pPr>
                    <w:jc w:val="center"/>
                    <w:rPr>
                      <w:rFonts w:hint="default" w:ascii="Times New Roman" w:hAnsi="Times New Roman" w:cs="Times New Roman"/>
                      <w:color w:val="auto"/>
                      <w:sz w:val="21"/>
                      <w:szCs w:val="21"/>
                      <w:highlight w:val="none"/>
                    </w:rPr>
                  </w:pPr>
                </w:p>
              </w:tc>
              <w:tc>
                <w:tcPr>
                  <w:tcW w:w="1695" w:type="pct"/>
                  <w:shd w:val="clear" w:color="auto" w:fill="auto"/>
                  <w:vAlign w:val="center"/>
                </w:tcPr>
                <w:p w14:paraId="0BBF48A1">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2#楼四层患者走廊东</w:t>
                  </w:r>
                </w:p>
              </w:tc>
              <w:tc>
                <w:tcPr>
                  <w:tcW w:w="640" w:type="pct"/>
                  <w:vMerge w:val="continue"/>
                  <w:shd w:val="clear" w:color="auto" w:fill="auto"/>
                  <w:vAlign w:val="center"/>
                </w:tcPr>
                <w:p w14:paraId="4FC9C276">
                  <w:pPr>
                    <w:jc w:val="center"/>
                    <w:rPr>
                      <w:rFonts w:hint="default" w:ascii="Times New Roman" w:hAnsi="Times New Roman" w:cs="Times New Roman"/>
                      <w:color w:val="auto"/>
                      <w:sz w:val="21"/>
                      <w:szCs w:val="21"/>
                      <w:highlight w:val="none"/>
                    </w:rPr>
                  </w:pPr>
                </w:p>
              </w:tc>
              <w:tc>
                <w:tcPr>
                  <w:tcW w:w="723" w:type="pct"/>
                  <w:vMerge w:val="continue"/>
                  <w:shd w:val="clear" w:color="auto" w:fill="auto"/>
                  <w:vAlign w:val="center"/>
                </w:tcPr>
                <w:p w14:paraId="0A42A6AD">
                  <w:pPr>
                    <w:jc w:val="center"/>
                    <w:rPr>
                      <w:rFonts w:hint="default" w:ascii="Times New Roman" w:hAnsi="Times New Roman" w:cs="Times New Roman"/>
                      <w:color w:val="auto"/>
                      <w:sz w:val="21"/>
                      <w:szCs w:val="21"/>
                      <w:highlight w:val="none"/>
                    </w:rPr>
                  </w:pPr>
                </w:p>
              </w:tc>
              <w:tc>
                <w:tcPr>
                  <w:tcW w:w="667" w:type="pct"/>
                  <w:vMerge w:val="continue"/>
                  <w:shd w:val="clear" w:color="auto" w:fill="auto"/>
                  <w:vAlign w:val="center"/>
                </w:tcPr>
                <w:p w14:paraId="4FEDC1A0">
                  <w:pPr>
                    <w:jc w:val="center"/>
                    <w:rPr>
                      <w:rFonts w:hint="default" w:ascii="Times New Roman" w:hAnsi="Times New Roman" w:cs="Times New Roman"/>
                      <w:color w:val="auto"/>
                      <w:sz w:val="21"/>
                      <w:szCs w:val="21"/>
                      <w:highlight w:val="none"/>
                    </w:rPr>
                  </w:pPr>
                </w:p>
              </w:tc>
            </w:tr>
            <w:tr w14:paraId="22DFE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630" w:type="pct"/>
                  <w:vMerge w:val="continue"/>
                  <w:vAlign w:val="center"/>
                </w:tcPr>
                <w:p w14:paraId="5C2D1B23">
                  <w:pPr>
                    <w:jc w:val="center"/>
                    <w:rPr>
                      <w:rFonts w:hint="default" w:ascii="Times New Roman" w:hAnsi="Times New Roman" w:cs="Times New Roman"/>
                      <w:color w:val="auto"/>
                      <w:sz w:val="21"/>
                      <w:szCs w:val="21"/>
                      <w:highlight w:val="none"/>
                    </w:rPr>
                  </w:pPr>
                </w:p>
              </w:tc>
              <w:tc>
                <w:tcPr>
                  <w:tcW w:w="643" w:type="pct"/>
                  <w:vMerge w:val="continue"/>
                  <w:vAlign w:val="center"/>
                </w:tcPr>
                <w:p w14:paraId="2FAD5968">
                  <w:pPr>
                    <w:jc w:val="center"/>
                    <w:rPr>
                      <w:rFonts w:hint="default" w:ascii="Times New Roman" w:hAnsi="Times New Roman" w:cs="Times New Roman"/>
                      <w:color w:val="auto"/>
                      <w:sz w:val="21"/>
                      <w:szCs w:val="21"/>
                      <w:highlight w:val="none"/>
                    </w:rPr>
                  </w:pPr>
                </w:p>
              </w:tc>
              <w:tc>
                <w:tcPr>
                  <w:tcW w:w="1695" w:type="pct"/>
                  <w:shd w:val="clear" w:color="auto" w:fill="auto"/>
                  <w:vAlign w:val="center"/>
                </w:tcPr>
                <w:p w14:paraId="78E9577A">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2#楼四层电梯口</w:t>
                  </w:r>
                </w:p>
              </w:tc>
              <w:tc>
                <w:tcPr>
                  <w:tcW w:w="640" w:type="pct"/>
                  <w:vMerge w:val="continue"/>
                  <w:shd w:val="clear" w:color="auto" w:fill="auto"/>
                  <w:vAlign w:val="center"/>
                </w:tcPr>
                <w:p w14:paraId="75A20410">
                  <w:pPr>
                    <w:jc w:val="center"/>
                    <w:rPr>
                      <w:rFonts w:hint="default" w:ascii="Times New Roman" w:hAnsi="Times New Roman" w:cs="Times New Roman"/>
                      <w:color w:val="auto"/>
                      <w:sz w:val="21"/>
                      <w:szCs w:val="21"/>
                      <w:highlight w:val="none"/>
                    </w:rPr>
                  </w:pPr>
                </w:p>
              </w:tc>
              <w:tc>
                <w:tcPr>
                  <w:tcW w:w="723" w:type="pct"/>
                  <w:vMerge w:val="continue"/>
                  <w:shd w:val="clear" w:color="auto" w:fill="auto"/>
                  <w:vAlign w:val="center"/>
                </w:tcPr>
                <w:p w14:paraId="19168F14">
                  <w:pPr>
                    <w:jc w:val="center"/>
                    <w:rPr>
                      <w:rFonts w:hint="default" w:ascii="Times New Roman" w:hAnsi="Times New Roman" w:cs="Times New Roman"/>
                      <w:color w:val="auto"/>
                      <w:sz w:val="21"/>
                      <w:szCs w:val="21"/>
                      <w:highlight w:val="none"/>
                    </w:rPr>
                  </w:pPr>
                </w:p>
              </w:tc>
              <w:tc>
                <w:tcPr>
                  <w:tcW w:w="667" w:type="pct"/>
                  <w:vMerge w:val="continue"/>
                  <w:shd w:val="clear" w:color="auto" w:fill="auto"/>
                  <w:vAlign w:val="center"/>
                </w:tcPr>
                <w:p w14:paraId="7D4B43BE">
                  <w:pPr>
                    <w:jc w:val="center"/>
                    <w:rPr>
                      <w:rFonts w:hint="default" w:ascii="Times New Roman" w:hAnsi="Times New Roman" w:cs="Times New Roman"/>
                      <w:color w:val="auto"/>
                      <w:sz w:val="21"/>
                      <w:szCs w:val="21"/>
                      <w:highlight w:val="none"/>
                    </w:rPr>
                  </w:pPr>
                </w:p>
              </w:tc>
            </w:tr>
            <w:tr w14:paraId="08D9B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630" w:type="pct"/>
                  <w:vMerge w:val="continue"/>
                  <w:vAlign w:val="center"/>
                </w:tcPr>
                <w:p w14:paraId="2A7C9E00">
                  <w:pPr>
                    <w:jc w:val="center"/>
                    <w:rPr>
                      <w:rFonts w:hint="default" w:ascii="Times New Roman" w:hAnsi="Times New Roman" w:cs="Times New Roman"/>
                      <w:color w:val="auto"/>
                      <w:sz w:val="21"/>
                      <w:szCs w:val="21"/>
                      <w:highlight w:val="none"/>
                    </w:rPr>
                  </w:pPr>
                </w:p>
              </w:tc>
              <w:tc>
                <w:tcPr>
                  <w:tcW w:w="643" w:type="pct"/>
                  <w:vMerge w:val="continue"/>
                  <w:vAlign w:val="center"/>
                </w:tcPr>
                <w:p w14:paraId="7B9ADA76">
                  <w:pPr>
                    <w:jc w:val="center"/>
                    <w:rPr>
                      <w:rFonts w:hint="default" w:ascii="Times New Roman" w:hAnsi="Times New Roman" w:cs="Times New Roman"/>
                      <w:color w:val="auto"/>
                      <w:sz w:val="21"/>
                      <w:szCs w:val="21"/>
                      <w:highlight w:val="none"/>
                    </w:rPr>
                  </w:pPr>
                </w:p>
              </w:tc>
              <w:tc>
                <w:tcPr>
                  <w:tcW w:w="1695" w:type="pct"/>
                  <w:shd w:val="clear" w:color="auto" w:fill="auto"/>
                  <w:vAlign w:val="center"/>
                </w:tcPr>
                <w:p w14:paraId="29A0F8D9">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2#楼四层卫生间处</w:t>
                  </w:r>
                </w:p>
              </w:tc>
              <w:tc>
                <w:tcPr>
                  <w:tcW w:w="640" w:type="pct"/>
                  <w:vMerge w:val="continue"/>
                  <w:shd w:val="clear" w:color="auto" w:fill="auto"/>
                  <w:vAlign w:val="center"/>
                </w:tcPr>
                <w:p w14:paraId="2B1EFD6C">
                  <w:pPr>
                    <w:jc w:val="center"/>
                    <w:rPr>
                      <w:rFonts w:hint="default" w:ascii="Times New Roman" w:hAnsi="Times New Roman" w:cs="Times New Roman"/>
                      <w:color w:val="auto"/>
                      <w:sz w:val="21"/>
                      <w:szCs w:val="21"/>
                      <w:highlight w:val="none"/>
                    </w:rPr>
                  </w:pPr>
                </w:p>
              </w:tc>
              <w:tc>
                <w:tcPr>
                  <w:tcW w:w="723" w:type="pct"/>
                  <w:vMerge w:val="continue"/>
                  <w:shd w:val="clear" w:color="auto" w:fill="auto"/>
                  <w:vAlign w:val="center"/>
                </w:tcPr>
                <w:p w14:paraId="143F0683">
                  <w:pPr>
                    <w:jc w:val="center"/>
                    <w:rPr>
                      <w:rFonts w:hint="default" w:ascii="Times New Roman" w:hAnsi="Times New Roman" w:cs="Times New Roman"/>
                      <w:color w:val="auto"/>
                      <w:sz w:val="21"/>
                      <w:szCs w:val="21"/>
                      <w:highlight w:val="none"/>
                    </w:rPr>
                  </w:pPr>
                </w:p>
              </w:tc>
              <w:tc>
                <w:tcPr>
                  <w:tcW w:w="667" w:type="pct"/>
                  <w:vMerge w:val="continue"/>
                  <w:shd w:val="clear" w:color="auto" w:fill="auto"/>
                  <w:vAlign w:val="center"/>
                </w:tcPr>
                <w:p w14:paraId="5A228DEB">
                  <w:pPr>
                    <w:jc w:val="center"/>
                    <w:rPr>
                      <w:rFonts w:hint="default" w:ascii="Times New Roman" w:hAnsi="Times New Roman" w:cs="Times New Roman"/>
                      <w:color w:val="auto"/>
                      <w:sz w:val="21"/>
                      <w:szCs w:val="21"/>
                      <w:highlight w:val="none"/>
                    </w:rPr>
                  </w:pPr>
                </w:p>
              </w:tc>
            </w:tr>
            <w:tr w14:paraId="59347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630" w:type="pct"/>
                  <w:vMerge w:val="continue"/>
                  <w:vAlign w:val="center"/>
                </w:tcPr>
                <w:p w14:paraId="25551070">
                  <w:pPr>
                    <w:jc w:val="center"/>
                    <w:rPr>
                      <w:rFonts w:hint="default" w:ascii="Times New Roman" w:hAnsi="Times New Roman" w:cs="Times New Roman"/>
                      <w:color w:val="auto"/>
                      <w:sz w:val="21"/>
                      <w:szCs w:val="21"/>
                      <w:highlight w:val="none"/>
                    </w:rPr>
                  </w:pPr>
                </w:p>
              </w:tc>
              <w:tc>
                <w:tcPr>
                  <w:tcW w:w="643" w:type="pct"/>
                  <w:vMerge w:val="continue"/>
                  <w:vAlign w:val="center"/>
                </w:tcPr>
                <w:p w14:paraId="08AA19B5">
                  <w:pPr>
                    <w:jc w:val="center"/>
                    <w:rPr>
                      <w:rFonts w:hint="default" w:ascii="Times New Roman" w:hAnsi="Times New Roman" w:cs="Times New Roman"/>
                      <w:color w:val="auto"/>
                      <w:sz w:val="21"/>
                      <w:szCs w:val="21"/>
                      <w:highlight w:val="none"/>
                    </w:rPr>
                  </w:pPr>
                </w:p>
              </w:tc>
              <w:tc>
                <w:tcPr>
                  <w:tcW w:w="0" w:type="auto"/>
                  <w:shd w:val="clear" w:color="auto" w:fill="auto"/>
                  <w:vAlign w:val="center"/>
                </w:tcPr>
                <w:p w14:paraId="79E2CEC6">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2#楼五层机房正上方</w:t>
                  </w:r>
                </w:p>
              </w:tc>
              <w:tc>
                <w:tcPr>
                  <w:tcW w:w="640" w:type="pct"/>
                  <w:vMerge w:val="continue"/>
                  <w:vAlign w:val="center"/>
                </w:tcPr>
                <w:p w14:paraId="4C147281">
                  <w:pPr>
                    <w:jc w:val="center"/>
                    <w:rPr>
                      <w:rFonts w:hint="default" w:ascii="Times New Roman" w:hAnsi="Times New Roman" w:cs="Times New Roman"/>
                      <w:color w:val="auto"/>
                      <w:sz w:val="21"/>
                      <w:szCs w:val="21"/>
                      <w:highlight w:val="none"/>
                    </w:rPr>
                  </w:pPr>
                </w:p>
              </w:tc>
              <w:tc>
                <w:tcPr>
                  <w:tcW w:w="723" w:type="pct"/>
                  <w:vMerge w:val="continue"/>
                  <w:vAlign w:val="center"/>
                </w:tcPr>
                <w:p w14:paraId="2B1BFCC5">
                  <w:pPr>
                    <w:jc w:val="center"/>
                    <w:rPr>
                      <w:rFonts w:hint="default" w:ascii="Times New Roman" w:hAnsi="Times New Roman" w:cs="Times New Roman"/>
                      <w:color w:val="auto"/>
                      <w:sz w:val="21"/>
                      <w:szCs w:val="21"/>
                      <w:highlight w:val="none"/>
                    </w:rPr>
                  </w:pPr>
                </w:p>
              </w:tc>
              <w:tc>
                <w:tcPr>
                  <w:tcW w:w="667" w:type="pct"/>
                  <w:vMerge w:val="continue"/>
                  <w:vAlign w:val="center"/>
                </w:tcPr>
                <w:p w14:paraId="5ECC7DEE">
                  <w:pPr>
                    <w:jc w:val="center"/>
                    <w:rPr>
                      <w:rFonts w:hint="default" w:ascii="Times New Roman" w:hAnsi="Times New Roman" w:cs="Times New Roman"/>
                      <w:color w:val="auto"/>
                      <w:sz w:val="21"/>
                      <w:szCs w:val="21"/>
                      <w:highlight w:val="none"/>
                    </w:rPr>
                  </w:pPr>
                </w:p>
              </w:tc>
            </w:tr>
            <w:tr w14:paraId="5BFC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630" w:type="pct"/>
                  <w:vMerge w:val="continue"/>
                  <w:vAlign w:val="center"/>
                </w:tcPr>
                <w:p w14:paraId="3A50FADF">
                  <w:pPr>
                    <w:jc w:val="center"/>
                    <w:rPr>
                      <w:rFonts w:hint="default" w:ascii="Times New Roman" w:hAnsi="Times New Roman" w:cs="Times New Roman"/>
                      <w:color w:val="auto"/>
                      <w:sz w:val="21"/>
                      <w:szCs w:val="21"/>
                      <w:highlight w:val="none"/>
                    </w:rPr>
                  </w:pPr>
                </w:p>
              </w:tc>
              <w:tc>
                <w:tcPr>
                  <w:tcW w:w="643" w:type="pct"/>
                  <w:vMerge w:val="continue"/>
                  <w:vAlign w:val="center"/>
                </w:tcPr>
                <w:p w14:paraId="69B05C9A">
                  <w:pPr>
                    <w:jc w:val="center"/>
                    <w:rPr>
                      <w:rFonts w:hint="default" w:ascii="Times New Roman" w:hAnsi="Times New Roman" w:cs="Times New Roman"/>
                      <w:color w:val="auto"/>
                      <w:sz w:val="21"/>
                      <w:szCs w:val="21"/>
                      <w:highlight w:val="none"/>
                    </w:rPr>
                  </w:pPr>
                </w:p>
              </w:tc>
              <w:tc>
                <w:tcPr>
                  <w:tcW w:w="0" w:type="auto"/>
                  <w:shd w:val="clear" w:color="auto" w:fill="auto"/>
                  <w:vAlign w:val="center"/>
                </w:tcPr>
                <w:p w14:paraId="244BD25C">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1#楼四层医生办公室</w:t>
                  </w:r>
                </w:p>
              </w:tc>
              <w:tc>
                <w:tcPr>
                  <w:tcW w:w="640" w:type="pct"/>
                  <w:vMerge w:val="continue"/>
                  <w:vAlign w:val="center"/>
                </w:tcPr>
                <w:p w14:paraId="685132D9">
                  <w:pPr>
                    <w:jc w:val="center"/>
                    <w:rPr>
                      <w:rFonts w:hint="default" w:ascii="Times New Roman" w:hAnsi="Times New Roman" w:cs="Times New Roman"/>
                      <w:color w:val="auto"/>
                      <w:sz w:val="21"/>
                      <w:szCs w:val="21"/>
                      <w:highlight w:val="none"/>
                    </w:rPr>
                  </w:pPr>
                </w:p>
              </w:tc>
              <w:tc>
                <w:tcPr>
                  <w:tcW w:w="723" w:type="pct"/>
                  <w:vMerge w:val="continue"/>
                  <w:vAlign w:val="center"/>
                </w:tcPr>
                <w:p w14:paraId="4613EDB6">
                  <w:pPr>
                    <w:jc w:val="center"/>
                    <w:rPr>
                      <w:rFonts w:hint="default" w:ascii="Times New Roman" w:hAnsi="Times New Roman" w:cs="Times New Roman"/>
                      <w:color w:val="auto"/>
                      <w:sz w:val="21"/>
                      <w:szCs w:val="21"/>
                      <w:highlight w:val="none"/>
                    </w:rPr>
                  </w:pPr>
                </w:p>
              </w:tc>
              <w:tc>
                <w:tcPr>
                  <w:tcW w:w="667" w:type="pct"/>
                  <w:vMerge w:val="continue"/>
                  <w:vAlign w:val="center"/>
                </w:tcPr>
                <w:p w14:paraId="0FAEAAB9">
                  <w:pPr>
                    <w:jc w:val="center"/>
                    <w:rPr>
                      <w:rFonts w:hint="default" w:ascii="Times New Roman" w:hAnsi="Times New Roman" w:cs="Times New Roman"/>
                      <w:color w:val="auto"/>
                      <w:sz w:val="21"/>
                      <w:szCs w:val="21"/>
                      <w:highlight w:val="none"/>
                    </w:rPr>
                  </w:pPr>
                </w:p>
              </w:tc>
            </w:tr>
            <w:tr w14:paraId="179DC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630" w:type="pct"/>
                  <w:vMerge w:val="continue"/>
                  <w:vAlign w:val="center"/>
                </w:tcPr>
                <w:p w14:paraId="6696FC42">
                  <w:pPr>
                    <w:jc w:val="center"/>
                    <w:rPr>
                      <w:rFonts w:hint="default" w:ascii="Times New Roman" w:hAnsi="Times New Roman" w:cs="Times New Roman"/>
                      <w:color w:val="auto"/>
                      <w:sz w:val="21"/>
                      <w:szCs w:val="21"/>
                      <w:highlight w:val="none"/>
                    </w:rPr>
                  </w:pPr>
                </w:p>
              </w:tc>
              <w:tc>
                <w:tcPr>
                  <w:tcW w:w="643" w:type="pct"/>
                  <w:vMerge w:val="continue"/>
                  <w:vAlign w:val="center"/>
                </w:tcPr>
                <w:p w14:paraId="2C324535">
                  <w:pPr>
                    <w:jc w:val="center"/>
                    <w:rPr>
                      <w:rFonts w:hint="default" w:ascii="Times New Roman" w:hAnsi="Times New Roman" w:cs="Times New Roman"/>
                      <w:color w:val="auto"/>
                      <w:sz w:val="21"/>
                      <w:szCs w:val="21"/>
                      <w:highlight w:val="none"/>
                    </w:rPr>
                  </w:pPr>
                </w:p>
              </w:tc>
              <w:tc>
                <w:tcPr>
                  <w:tcW w:w="0" w:type="auto"/>
                  <w:shd w:val="clear" w:color="auto" w:fill="auto"/>
                  <w:vAlign w:val="center"/>
                </w:tcPr>
                <w:p w14:paraId="63219ECB">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医院体育场处</w:t>
                  </w:r>
                </w:p>
              </w:tc>
              <w:tc>
                <w:tcPr>
                  <w:tcW w:w="640" w:type="pct"/>
                  <w:vMerge w:val="continue"/>
                  <w:vAlign w:val="center"/>
                </w:tcPr>
                <w:p w14:paraId="295B9451">
                  <w:pPr>
                    <w:jc w:val="center"/>
                    <w:rPr>
                      <w:rFonts w:hint="default" w:ascii="Times New Roman" w:hAnsi="Times New Roman" w:cs="Times New Roman"/>
                      <w:color w:val="auto"/>
                      <w:sz w:val="21"/>
                      <w:szCs w:val="21"/>
                      <w:highlight w:val="none"/>
                    </w:rPr>
                  </w:pPr>
                </w:p>
              </w:tc>
              <w:tc>
                <w:tcPr>
                  <w:tcW w:w="723" w:type="pct"/>
                  <w:vMerge w:val="continue"/>
                  <w:vAlign w:val="center"/>
                </w:tcPr>
                <w:p w14:paraId="3E99722F">
                  <w:pPr>
                    <w:jc w:val="center"/>
                    <w:rPr>
                      <w:rFonts w:hint="default" w:ascii="Times New Roman" w:hAnsi="Times New Roman" w:cs="Times New Roman"/>
                      <w:color w:val="auto"/>
                      <w:sz w:val="21"/>
                      <w:szCs w:val="21"/>
                      <w:highlight w:val="none"/>
                    </w:rPr>
                  </w:pPr>
                </w:p>
              </w:tc>
              <w:tc>
                <w:tcPr>
                  <w:tcW w:w="667" w:type="pct"/>
                  <w:vMerge w:val="continue"/>
                  <w:vAlign w:val="center"/>
                </w:tcPr>
                <w:p w14:paraId="07331D70">
                  <w:pPr>
                    <w:jc w:val="center"/>
                    <w:rPr>
                      <w:rFonts w:hint="default" w:ascii="Times New Roman" w:hAnsi="Times New Roman" w:cs="Times New Roman"/>
                      <w:color w:val="auto"/>
                      <w:sz w:val="21"/>
                      <w:szCs w:val="21"/>
                      <w:highlight w:val="none"/>
                    </w:rPr>
                  </w:pPr>
                </w:p>
              </w:tc>
            </w:tr>
            <w:tr w14:paraId="67562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630" w:type="pct"/>
                  <w:vMerge w:val="continue"/>
                  <w:vAlign w:val="center"/>
                </w:tcPr>
                <w:p w14:paraId="709C150D">
                  <w:pPr>
                    <w:jc w:val="center"/>
                    <w:rPr>
                      <w:rFonts w:hint="default" w:ascii="Times New Roman" w:hAnsi="Times New Roman" w:cs="Times New Roman"/>
                      <w:color w:val="auto"/>
                      <w:sz w:val="21"/>
                      <w:szCs w:val="21"/>
                      <w:highlight w:val="none"/>
                    </w:rPr>
                  </w:pPr>
                </w:p>
              </w:tc>
              <w:tc>
                <w:tcPr>
                  <w:tcW w:w="643" w:type="pct"/>
                  <w:vMerge w:val="continue"/>
                  <w:vAlign w:val="center"/>
                </w:tcPr>
                <w:p w14:paraId="7E1CC24D">
                  <w:pPr>
                    <w:jc w:val="center"/>
                    <w:rPr>
                      <w:rFonts w:hint="default" w:ascii="Times New Roman" w:hAnsi="Times New Roman" w:cs="Times New Roman"/>
                      <w:color w:val="auto"/>
                      <w:sz w:val="21"/>
                      <w:szCs w:val="21"/>
                      <w:highlight w:val="none"/>
                    </w:rPr>
                  </w:pPr>
                </w:p>
              </w:tc>
              <w:tc>
                <w:tcPr>
                  <w:tcW w:w="0" w:type="auto"/>
                  <w:shd w:val="clear" w:color="auto" w:fill="auto"/>
                  <w:vAlign w:val="center"/>
                </w:tcPr>
                <w:p w14:paraId="78868862">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2#楼北侧外侧</w:t>
                  </w:r>
                </w:p>
              </w:tc>
              <w:tc>
                <w:tcPr>
                  <w:tcW w:w="640" w:type="pct"/>
                  <w:vMerge w:val="continue"/>
                  <w:vAlign w:val="center"/>
                </w:tcPr>
                <w:p w14:paraId="5CD5AFBF">
                  <w:pPr>
                    <w:jc w:val="center"/>
                    <w:rPr>
                      <w:rFonts w:hint="default" w:ascii="Times New Roman" w:hAnsi="Times New Roman" w:cs="Times New Roman"/>
                      <w:color w:val="auto"/>
                      <w:sz w:val="21"/>
                      <w:szCs w:val="21"/>
                      <w:highlight w:val="none"/>
                    </w:rPr>
                  </w:pPr>
                </w:p>
              </w:tc>
              <w:tc>
                <w:tcPr>
                  <w:tcW w:w="723" w:type="pct"/>
                  <w:vMerge w:val="continue"/>
                  <w:vAlign w:val="center"/>
                </w:tcPr>
                <w:p w14:paraId="3270BE70">
                  <w:pPr>
                    <w:jc w:val="center"/>
                    <w:rPr>
                      <w:rFonts w:hint="default" w:ascii="Times New Roman" w:hAnsi="Times New Roman" w:cs="Times New Roman"/>
                      <w:color w:val="auto"/>
                      <w:sz w:val="21"/>
                      <w:szCs w:val="21"/>
                      <w:highlight w:val="none"/>
                    </w:rPr>
                  </w:pPr>
                </w:p>
              </w:tc>
              <w:tc>
                <w:tcPr>
                  <w:tcW w:w="667" w:type="pct"/>
                  <w:vMerge w:val="continue"/>
                  <w:vAlign w:val="center"/>
                </w:tcPr>
                <w:p w14:paraId="3627411A">
                  <w:pPr>
                    <w:jc w:val="center"/>
                    <w:rPr>
                      <w:rFonts w:hint="default" w:ascii="Times New Roman" w:hAnsi="Times New Roman" w:cs="Times New Roman"/>
                      <w:color w:val="auto"/>
                      <w:sz w:val="21"/>
                      <w:szCs w:val="21"/>
                      <w:highlight w:val="none"/>
                    </w:rPr>
                  </w:pPr>
                </w:p>
              </w:tc>
            </w:tr>
            <w:tr w14:paraId="4705D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630" w:type="pct"/>
                  <w:vMerge w:val="continue"/>
                  <w:vAlign w:val="center"/>
                </w:tcPr>
                <w:p w14:paraId="07EE3840">
                  <w:pPr>
                    <w:jc w:val="center"/>
                    <w:rPr>
                      <w:rFonts w:hint="default" w:ascii="Times New Roman" w:hAnsi="Times New Roman" w:cs="Times New Roman"/>
                      <w:color w:val="auto"/>
                      <w:sz w:val="21"/>
                      <w:szCs w:val="21"/>
                      <w:highlight w:val="none"/>
                    </w:rPr>
                  </w:pPr>
                </w:p>
              </w:tc>
              <w:tc>
                <w:tcPr>
                  <w:tcW w:w="643" w:type="pct"/>
                  <w:vMerge w:val="continue"/>
                  <w:vAlign w:val="center"/>
                </w:tcPr>
                <w:p w14:paraId="70F34C44">
                  <w:pPr>
                    <w:jc w:val="center"/>
                    <w:rPr>
                      <w:rFonts w:hint="default" w:ascii="Times New Roman" w:hAnsi="Times New Roman" w:cs="Times New Roman"/>
                      <w:color w:val="auto"/>
                      <w:sz w:val="21"/>
                      <w:szCs w:val="21"/>
                      <w:highlight w:val="none"/>
                    </w:rPr>
                  </w:pPr>
                </w:p>
              </w:tc>
              <w:tc>
                <w:tcPr>
                  <w:tcW w:w="0" w:type="auto"/>
                  <w:shd w:val="clear" w:color="auto" w:fill="auto"/>
                  <w:vAlign w:val="center"/>
                </w:tcPr>
                <w:p w14:paraId="075DB1DA">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仿宋_GB2312"/>
                      <w:color w:val="auto"/>
                      <w:kern w:val="0"/>
                      <w:sz w:val="21"/>
                      <w:szCs w:val="21"/>
                      <w:highlight w:val="none"/>
                      <w:lang w:val="en-US" w:eastAsia="zh-CN"/>
                    </w:rPr>
                    <w:t>2#楼东侧外侧</w:t>
                  </w:r>
                </w:p>
              </w:tc>
              <w:tc>
                <w:tcPr>
                  <w:tcW w:w="640" w:type="pct"/>
                  <w:vMerge w:val="continue"/>
                  <w:vAlign w:val="center"/>
                </w:tcPr>
                <w:p w14:paraId="53D71FF5">
                  <w:pPr>
                    <w:jc w:val="center"/>
                    <w:rPr>
                      <w:rFonts w:hint="default" w:ascii="Times New Roman" w:hAnsi="Times New Roman" w:cs="Times New Roman"/>
                      <w:color w:val="auto"/>
                      <w:sz w:val="21"/>
                      <w:szCs w:val="21"/>
                      <w:highlight w:val="none"/>
                    </w:rPr>
                  </w:pPr>
                </w:p>
              </w:tc>
              <w:tc>
                <w:tcPr>
                  <w:tcW w:w="723" w:type="pct"/>
                  <w:vMerge w:val="continue"/>
                  <w:vAlign w:val="center"/>
                </w:tcPr>
                <w:p w14:paraId="3E3788C0">
                  <w:pPr>
                    <w:jc w:val="center"/>
                    <w:rPr>
                      <w:rFonts w:hint="default" w:ascii="Times New Roman" w:hAnsi="Times New Roman" w:cs="Times New Roman"/>
                      <w:color w:val="auto"/>
                      <w:sz w:val="21"/>
                      <w:szCs w:val="21"/>
                      <w:highlight w:val="none"/>
                    </w:rPr>
                  </w:pPr>
                </w:p>
              </w:tc>
              <w:tc>
                <w:tcPr>
                  <w:tcW w:w="667" w:type="pct"/>
                  <w:vMerge w:val="continue"/>
                  <w:vAlign w:val="center"/>
                </w:tcPr>
                <w:p w14:paraId="0B4A54F5">
                  <w:pPr>
                    <w:jc w:val="center"/>
                    <w:rPr>
                      <w:rFonts w:hint="default" w:ascii="Times New Roman" w:hAnsi="Times New Roman" w:cs="Times New Roman"/>
                      <w:color w:val="auto"/>
                      <w:sz w:val="21"/>
                      <w:szCs w:val="21"/>
                      <w:highlight w:val="none"/>
                    </w:rPr>
                  </w:pPr>
                </w:p>
              </w:tc>
            </w:tr>
          </w:tbl>
          <w:p w14:paraId="154B666F">
            <w:pPr>
              <w:pStyle w:val="63"/>
              <w:adjustRightInd w:val="0"/>
              <w:snapToGrid w:val="0"/>
              <w:spacing w:line="360" w:lineRule="auto"/>
              <w:ind w:firstLine="0" w:firstLineChars="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二、个人剂量监测</w:t>
            </w:r>
          </w:p>
          <w:p w14:paraId="1ECAABA9">
            <w:pPr>
              <w:pStyle w:val="32"/>
              <w:snapToGrid w:val="0"/>
              <w:spacing w:line="360" w:lineRule="auto"/>
              <w:rPr>
                <w:rFonts w:hint="default" w:ascii="Times New Roman" w:hAnsi="Times New Roman" w:cs="Times New Roman"/>
                <w:color w:val="auto"/>
                <w:highlight w:val="none"/>
              </w:rPr>
            </w:pPr>
            <w:r>
              <w:rPr>
                <w:rFonts w:hint="default" w:ascii="Times New Roman" w:hAnsi="Times New Roman" w:cs="Times New Roman"/>
                <w:b/>
                <w:color w:val="auto"/>
                <w:highlight w:val="none"/>
              </w:rPr>
              <w:t>1.监测频次</w:t>
            </w:r>
          </w:p>
          <w:p w14:paraId="362C6C96">
            <w:pPr>
              <w:pStyle w:val="63"/>
              <w:adjustRightInd w:val="0"/>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辐射工作人员佩戴个人剂量计，个人剂量计定期（根据《职业性外照射个人监测规范》GBZ128-2019规定，常规监测周期为3个月）送有资质部门进行监测，建立个人剂量档案。</w:t>
            </w:r>
          </w:p>
          <w:p w14:paraId="4588E01D">
            <w:pPr>
              <w:pStyle w:val="32"/>
              <w:snapToGrid w:val="0"/>
              <w:spacing w:line="360" w:lineRule="auto"/>
              <w:rPr>
                <w:rFonts w:hint="default" w:ascii="Times New Roman" w:hAnsi="Times New Roman" w:cs="Times New Roman"/>
                <w:b/>
                <w:color w:val="auto"/>
                <w:highlight w:val="none"/>
              </w:rPr>
            </w:pPr>
            <w:r>
              <w:rPr>
                <w:rFonts w:hint="default" w:ascii="Times New Roman" w:hAnsi="Times New Roman" w:cs="Times New Roman"/>
                <w:b/>
                <w:color w:val="auto"/>
                <w:highlight w:val="none"/>
              </w:rPr>
              <w:t>2. 监测仪器</w:t>
            </w:r>
          </w:p>
          <w:p w14:paraId="2E1665FE">
            <w:pPr>
              <w:pStyle w:val="32"/>
              <w:snapToGrid w:val="0"/>
              <w:spacing w:line="360" w:lineRule="auto"/>
              <w:ind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根据《放射性同位素与射线装置安全许可管理办法》要求，使用Ⅱ类射线装置的单位应配备与辐射类型和辐射水平相适应的防护用品和监测仪器，包括个人剂量测量报警仪、辐射监测等仪器。另根据《职业性外照射个人监测规范》：5.3.2对于如介入放射学、核医学放射药物分装与注射等全身受照不均匀的工作情况，应在铅围裙外锁骨对应的领口位置佩戴剂量计。5.3.3对于5.3.2所述工作情况，建议采用双剂量计监测方法（在铅围裙内躯干上再佩戴另一个剂量计）。</w:t>
            </w:r>
          </w:p>
          <w:p w14:paraId="08B667D5">
            <w:pPr>
              <w:pStyle w:val="32"/>
              <w:snapToGrid w:val="0"/>
              <w:spacing w:line="360" w:lineRule="auto"/>
              <w:ind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故本项目为本项目所有参与手术的医师每人配备1套个人剂量计（1个佩戴在铅橡胶防护服内的腰部，1个佩戴在铅防护服的领部外侧，建议佩戴1个在腕部），操作间内技师要求佩戴1</w:t>
            </w:r>
            <w:r>
              <w:rPr>
                <w:rFonts w:hint="default" w:ascii="Times New Roman" w:hAnsi="Times New Roman" w:cs="Times New Roman"/>
                <w:color w:val="auto"/>
                <w:highlight w:val="none"/>
                <w:lang w:eastAsia="zh-CN"/>
              </w:rPr>
              <w:t>个</w:t>
            </w:r>
            <w:r>
              <w:rPr>
                <w:rFonts w:hint="default" w:ascii="Times New Roman" w:hAnsi="Times New Roman" w:cs="Times New Roman"/>
                <w:color w:val="auto"/>
                <w:highlight w:val="none"/>
              </w:rPr>
              <w:t>个人剂量计（</w:t>
            </w:r>
            <w:r>
              <w:rPr>
                <w:rFonts w:hint="default" w:ascii="Times New Roman" w:hAnsi="Times New Roman" w:cs="Times New Roman"/>
                <w:color w:val="auto"/>
                <w:highlight w:val="none"/>
                <w:lang w:val="en-US" w:eastAsia="zh-CN"/>
              </w:rPr>
              <w:t>佩戴在</w:t>
            </w:r>
            <w:r>
              <w:rPr>
                <w:rFonts w:hint="default" w:ascii="Times New Roman" w:hAnsi="Times New Roman" w:cs="Times New Roman"/>
                <w:color w:val="auto"/>
                <w:highlight w:val="none"/>
              </w:rPr>
              <w:t>胸部），用于监控其受到的有效剂量。</w:t>
            </w:r>
          </w:p>
          <w:p w14:paraId="3C72826B">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本报告针对所有参与介入诊疗的人员管理现状提出如下建议：</w:t>
            </w:r>
          </w:p>
          <w:p w14:paraId="11014718">
            <w:pPr>
              <w:autoSpaceDE w:val="0"/>
              <w:autoSpaceDN w:val="0"/>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对于佩戴于不同部位的个人剂量计，请发放剂量计的检测单位提供不同颜色的剂量计用于区分，并用佩戴人的姓名进行文字标签标记。建议医院建立个人剂量计收发档案，第一术者位医生负责监督手术前所有人员佩戴剂量计并签字。根据《职业性外照射个人监测规范》（GBZ128-2019）中8.2.2要求，职业照射个人监测档案应终生保存。保证每名辐射工作人员的个人剂量计专人专用，每个季度及时送检。</w:t>
            </w:r>
          </w:p>
          <w:p w14:paraId="1B0179F3">
            <w:pPr>
              <w:autoSpaceDE w:val="0"/>
              <w:autoSpaceDN w:val="0"/>
              <w:adjustRightInd w:val="0"/>
              <w:snapToGrid w:val="0"/>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根据</w:t>
            </w:r>
            <w:r>
              <w:rPr>
                <w:rFonts w:hint="default" w:ascii="Times New Roman" w:hAnsi="Times New Roman" w:cs="Times New Roman"/>
                <w:color w:val="auto"/>
                <w:kern w:val="0"/>
                <w:sz w:val="24"/>
                <w:highlight w:val="none"/>
                <w:lang w:val="en-US" w:eastAsia="zh-CN" w:bidi="ar"/>
              </w:rPr>
              <w:t>《四川省核技术利用单位辐射安全工作指引（2025年版）》</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核技术利用单位应将个人剂量计定期送检（个人剂量监测周期一般为30天，最长不应超过90天），对于一个季度检测数值超过1.25mSv的，应开展调查，查明原因，撰写调查报告，并由当事人在调查报告上签字确认后存档。对于一个年度累计剂量超过5.0mSv的，应开展调查，查明原因，撰写调查报告，由当事人在调查报告上签字确认后存档，并上报发证机关。职业照射个人剂量档案终生保存。</w:t>
            </w:r>
          </w:p>
          <w:p w14:paraId="56B5259D">
            <w:pPr>
              <w:autoSpaceDE w:val="0"/>
              <w:autoSpaceDN w:val="0"/>
              <w:adjustRightInd w:val="0"/>
              <w:snapToGrid w:val="0"/>
              <w:spacing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3.监测质保</w:t>
            </w:r>
          </w:p>
          <w:p w14:paraId="0B7E663F">
            <w:pPr>
              <w:pStyle w:val="32"/>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bCs/>
                <w:color w:val="auto"/>
                <w:highlight w:val="none"/>
              </w:rPr>
              <w:t>确保执行完善后的</w:t>
            </w:r>
            <w:r>
              <w:rPr>
                <w:rFonts w:hint="default" w:ascii="Times New Roman" w:hAnsi="Times New Roman" w:cs="Times New Roman"/>
                <w:color w:val="auto"/>
                <w:kern w:val="0"/>
                <w:highlight w:val="none"/>
              </w:rPr>
              <w:t>《监测仪表使用与校验管理制度》，并利用委托监测获得的监测数据进行比对并建立比对档案。监测须采用国家颁布的标准方法或推荐方法并制定辐射环境监测管理制度。</w:t>
            </w:r>
          </w:p>
          <w:p w14:paraId="23049E3D">
            <w:pPr>
              <w:autoSpaceDE w:val="0"/>
              <w:autoSpaceDN w:val="0"/>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落实以上措施后，本项目所配备的防护用品和监测仪器以及实施的监测方案能够满足相关管理要求。项目投运前，建设单位应当按照国务院生态环境行政主管部门规定的标准和程序，对配套建设的环境保护措施进行验收。验收报告编制完成后应依法向社会公示验收报告。</w:t>
            </w:r>
          </w:p>
          <w:p w14:paraId="6238F312">
            <w:pPr>
              <w:adjustRightInd w:val="0"/>
              <w:snapToGrid w:val="0"/>
              <w:spacing w:line="360" w:lineRule="auto"/>
              <w:ind w:firstLine="468" w:firstLineChars="200"/>
              <w:rPr>
                <w:rFonts w:hint="default" w:ascii="Times New Roman" w:hAnsi="Times New Roman" w:cs="Times New Roman"/>
                <w:color w:val="auto"/>
                <w:spacing w:val="-3"/>
                <w:sz w:val="24"/>
                <w:highlight w:val="none"/>
              </w:rPr>
            </w:pPr>
            <w:r>
              <w:rPr>
                <w:rFonts w:hint="default" w:ascii="Times New Roman" w:hAnsi="Times New Roman" w:cs="Times New Roman"/>
                <w:color w:val="auto"/>
                <w:spacing w:val="-3"/>
                <w:sz w:val="24"/>
                <w:highlight w:val="none"/>
              </w:rPr>
              <w:t>在开始运营本项目DSA机房后，应密切注意辐射工作人员个人剂量数值，根据累积剂量及时调整工作量，防止个人剂量超标。</w:t>
            </w:r>
          </w:p>
        </w:tc>
      </w:tr>
      <w:tr w14:paraId="4ECFB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tcPr>
          <w:p w14:paraId="2A5DE9F1">
            <w:pPr>
              <w:widowControl/>
              <w:adjustRightInd w:val="0"/>
              <w:snapToGrid w:val="0"/>
              <w:spacing w:line="360" w:lineRule="auto"/>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辐射事故应急</w:t>
            </w:r>
          </w:p>
          <w:p w14:paraId="19BC1827">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一、医院已成立了辐射防护和应急救援领导小组，全面负责医院的辐射事故应急工作。</w:t>
            </w:r>
          </w:p>
          <w:p w14:paraId="6DFE1376">
            <w:pPr>
              <w:adjustRightInd w:val="0"/>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二、为了加强对辐射工作场所的安全管理，保障公众健康，保护环境，医院制定了较为完善的《辐射事故应急预案》。该应急预案包括：应急组织结构，应急职责分工，辐射事故的应急响应工作程序（事故处理程序，事故处置措施，现场调查和监测，监测分析与诊断鉴定，应急联络电话）、事故调查等，其内容较全、措施具体，针对性较强、便于操作，在应对辐射事故和突发性事件时基本可行。医院应做好应急人员的组织培训和应急及救助的装备、资金、物资准备，并将本项目射线装置纳入应急适用范围。辐射事故应急应纳入本单位安全生产事故应急管理体系，定期组织演练。</w:t>
            </w:r>
          </w:p>
          <w:p w14:paraId="78D15717">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三、一旦发生辐射事故，立即启动应急预案，采取必要的防范措施，并在2小时内填写《辐射事故初始报告表》，由辐射事故应急处理领导小组逐级上报当地生态环境主管部门，造成或可能造成人员超剂量照射的，还应同时向当地卫生行政部门报告。并及时组织专业技术人员排除事故。配合各相关部门做好辐射事故调查工作。</w:t>
            </w:r>
          </w:p>
          <w:p w14:paraId="115CBD6F">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0E053445">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73D43DC3">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72C2F848">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4B7E4E2D">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4FB610F5">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0DE5EB41">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179AF85F">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7EF0044C">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66F1E09F">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766915E4">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4E255588">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13C74C6F">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2F5DEE7A">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5CB5F142">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756F0E2F">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19EC04E0">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6160F63A">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68D0E2D5">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1B01219A">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2F9D73DD">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00AC9A28">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1A33AB20">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60C237FE">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3D00431A">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4BFFA05C">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0D041E94">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27DA12C2">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p w14:paraId="35F2F7D9">
            <w:pPr>
              <w:tabs>
                <w:tab w:val="left" w:pos="2290"/>
              </w:tabs>
              <w:adjustRightInd w:val="0"/>
              <w:snapToGrid w:val="0"/>
              <w:spacing w:line="360" w:lineRule="auto"/>
              <w:ind w:firstLine="480" w:firstLineChars="200"/>
              <w:rPr>
                <w:rFonts w:hint="default" w:ascii="Times New Roman" w:hAnsi="Times New Roman" w:cs="Times New Roman"/>
                <w:bCs/>
                <w:color w:val="auto"/>
                <w:sz w:val="24"/>
                <w:highlight w:val="none"/>
              </w:rPr>
            </w:pPr>
          </w:p>
        </w:tc>
      </w:tr>
    </w:tbl>
    <w:p w14:paraId="50C37732">
      <w:pPr>
        <w:pStyle w:val="2"/>
        <w:adjustRightInd w:val="0"/>
        <w:snapToGrid w:val="0"/>
        <w:spacing w:before="0" w:after="0"/>
        <w:rPr>
          <w:rFonts w:hint="default" w:ascii="Times New Roman" w:hAnsi="Times New Roman" w:cs="Times New Roman"/>
          <w:color w:val="auto"/>
          <w:sz w:val="30"/>
          <w:szCs w:val="30"/>
          <w:highlight w:val="none"/>
          <w:lang w:val="en-GB"/>
        </w:rPr>
        <w:sectPr>
          <w:headerReference r:id="rId6" w:type="default"/>
          <w:footerReference r:id="rId7" w:type="default"/>
          <w:pgSz w:w="11907" w:h="16840"/>
          <w:pgMar w:top="1440" w:right="1803" w:bottom="1440" w:left="1803" w:header="851" w:footer="850" w:gutter="0"/>
          <w:pgBorders>
            <w:top w:val="none" w:sz="0" w:space="0"/>
            <w:left w:val="none" w:sz="0" w:space="0"/>
            <w:bottom w:val="none" w:sz="0" w:space="0"/>
            <w:right w:val="none" w:sz="0" w:space="0"/>
          </w:pgBorders>
          <w:cols w:space="720" w:num="1"/>
          <w:docGrid w:type="linesAndChars" w:linePitch="319" w:charSpace="0"/>
        </w:sectPr>
      </w:pPr>
    </w:p>
    <w:p w14:paraId="1891DC44">
      <w:pPr>
        <w:pStyle w:val="2"/>
        <w:adjustRightInd w:val="0"/>
        <w:snapToGrid w:val="0"/>
        <w:spacing w:before="0" w:after="0"/>
        <w:jc w:val="center"/>
        <w:rPr>
          <w:rFonts w:hint="default" w:ascii="Times New Roman" w:hAnsi="Times New Roman" w:cs="Times New Roman"/>
          <w:b w:val="0"/>
          <w:bCs/>
          <w:color w:val="auto"/>
          <w:sz w:val="30"/>
          <w:szCs w:val="30"/>
          <w:highlight w:val="none"/>
          <w:lang w:val="en-GB"/>
        </w:rPr>
      </w:pPr>
      <w:bookmarkStart w:id="72" w:name="_Toc7613"/>
      <w:bookmarkStart w:id="73" w:name="_Toc8953"/>
      <w:bookmarkStart w:id="74" w:name="_Toc6161"/>
      <w:r>
        <w:rPr>
          <w:rFonts w:hint="default" w:ascii="Times New Roman" w:hAnsi="Times New Roman" w:cs="Times New Roman"/>
          <w:b w:val="0"/>
          <w:bCs/>
          <w:color w:val="auto"/>
          <w:sz w:val="30"/>
          <w:szCs w:val="30"/>
          <w:highlight w:val="none"/>
          <w:lang w:val="en-GB"/>
        </w:rPr>
        <w:t>表13 结论与建议</w:t>
      </w:r>
      <w:bookmarkEnd w:id="69"/>
      <w:bookmarkEnd w:id="70"/>
      <w:bookmarkEnd w:id="71"/>
      <w:bookmarkEnd w:id="72"/>
      <w:bookmarkEnd w:id="73"/>
      <w:bookmarkEnd w:id="74"/>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B2DA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3" w:hRule="atLeast"/>
        </w:trPr>
        <w:tc>
          <w:tcPr>
            <w:tcW w:w="5000" w:type="pct"/>
          </w:tcPr>
          <w:p w14:paraId="30BCCF7F">
            <w:pPr>
              <w:widowControl/>
              <w:adjustRightInd w:val="0"/>
              <w:snapToGrid w:val="0"/>
              <w:spacing w:line="358" w:lineRule="auto"/>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结论</w:t>
            </w:r>
          </w:p>
          <w:p w14:paraId="6C201337">
            <w:pPr>
              <w:adjustRightInd w:val="0"/>
              <w:snapToGrid w:val="0"/>
              <w:spacing w:line="358"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一、项目概况</w:t>
            </w:r>
          </w:p>
          <w:p w14:paraId="43CBB8B1">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项目名称：</w:t>
            </w:r>
            <w:r>
              <w:rPr>
                <w:rFonts w:hint="eastAsia" w:ascii="Times New Roman" w:hAnsi="Times New Roman" w:cs="Times New Roman"/>
                <w:color w:val="auto"/>
                <w:sz w:val="24"/>
                <w:highlight w:val="none"/>
                <w:lang w:val="en-US" w:eastAsia="zh-CN"/>
              </w:rPr>
              <w:t>平昌县第二人民医院</w:t>
            </w:r>
            <w:r>
              <w:rPr>
                <w:rFonts w:hint="default" w:ascii="Times New Roman" w:hAnsi="Times New Roman" w:cs="Times New Roman"/>
                <w:color w:val="auto"/>
                <w:sz w:val="24"/>
                <w:highlight w:val="none"/>
                <w:lang w:val="en-US" w:eastAsia="zh-CN"/>
              </w:rPr>
              <w:t>新增</w:t>
            </w:r>
            <w:r>
              <w:rPr>
                <w:rFonts w:hint="default" w:ascii="Times New Roman" w:hAnsi="Times New Roman" w:cs="Times New Roman"/>
                <w:color w:val="auto"/>
                <w:sz w:val="24"/>
                <w:highlight w:val="none"/>
              </w:rPr>
              <w:t>数字减影血管造影机（DSA）项目</w:t>
            </w:r>
          </w:p>
          <w:p w14:paraId="4C903F88">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建设单位：</w:t>
            </w:r>
            <w:r>
              <w:rPr>
                <w:rFonts w:hint="eastAsia" w:ascii="Times New Roman" w:hAnsi="Times New Roman" w:cs="Times New Roman"/>
                <w:color w:val="auto"/>
                <w:sz w:val="24"/>
                <w:highlight w:val="none"/>
                <w:lang w:val="en-US" w:eastAsia="zh-CN"/>
              </w:rPr>
              <w:t>平昌县第二人民医院</w:t>
            </w:r>
          </w:p>
          <w:p w14:paraId="630D2689">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建设性质：</w:t>
            </w:r>
            <w:r>
              <w:rPr>
                <w:rFonts w:hint="eastAsia" w:ascii="Times New Roman" w:hAnsi="Times New Roman" w:cs="Times New Roman"/>
                <w:color w:val="auto"/>
                <w:sz w:val="24"/>
                <w:highlight w:val="none"/>
                <w:lang w:val="en-US" w:eastAsia="zh-CN"/>
              </w:rPr>
              <w:t>新建</w:t>
            </w:r>
          </w:p>
          <w:p w14:paraId="2B36EA00">
            <w:pPr>
              <w:adjustRightInd w:val="0"/>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sz w:val="24"/>
                <w:highlight w:val="none"/>
              </w:rPr>
              <w:t>建设地点：</w:t>
            </w:r>
            <w:r>
              <w:rPr>
                <w:rFonts w:hint="default" w:ascii="Times New Roman" w:hAnsi="Times New Roman" w:eastAsia="宋体" w:cs="Times New Roman"/>
                <w:color w:val="auto"/>
                <w:sz w:val="24"/>
                <w:highlight w:val="none"/>
                <w:lang w:val="en-US" w:eastAsia="zh-CN"/>
              </w:rPr>
              <w:t>平昌县第二人民医院</w:t>
            </w:r>
            <w:r>
              <w:rPr>
                <w:rFonts w:hint="eastAsia" w:ascii="Times New Roman" w:hAnsi="Times New Roman" w:cs="Times New Roman"/>
                <w:color w:val="auto"/>
                <w:sz w:val="24"/>
                <w:highlight w:val="none"/>
                <w:lang w:val="en-US" w:eastAsia="zh-CN"/>
              </w:rPr>
              <w:t>黄滩坝院区</w:t>
            </w:r>
            <w:r>
              <w:rPr>
                <w:rFonts w:hint="default" w:ascii="Times New Roman" w:hAnsi="Times New Roman" w:eastAsia="宋体" w:cs="Times New Roman"/>
                <w:color w:val="auto"/>
                <w:sz w:val="24"/>
                <w:highlight w:val="none"/>
                <w:lang w:val="en-US" w:eastAsia="zh-CN"/>
              </w:rPr>
              <w:t>的</w:t>
            </w:r>
            <w:r>
              <w:rPr>
                <w:rFonts w:hint="eastAsia" w:ascii="Times New Roman" w:hAnsi="Times New Roman" w:cs="Times New Roman"/>
                <w:color w:val="auto"/>
                <w:sz w:val="24"/>
                <w:highlight w:val="none"/>
                <w:lang w:val="en-US" w:eastAsia="zh-CN"/>
              </w:rPr>
              <w:t>2#</w:t>
            </w:r>
            <w:r>
              <w:rPr>
                <w:rFonts w:hint="default" w:ascii="Times New Roman" w:hAnsi="Times New Roman" w:eastAsia="宋体" w:cs="Times New Roman"/>
                <w:color w:val="auto"/>
                <w:sz w:val="24"/>
                <w:highlight w:val="none"/>
                <w:lang w:val="en-US" w:eastAsia="zh-CN"/>
              </w:rPr>
              <w:t>医疗综合楼四楼东北角</w:t>
            </w:r>
          </w:p>
          <w:p w14:paraId="13239D04">
            <w:pPr>
              <w:adjustRightInd w:val="0"/>
              <w:snapToGrid w:val="0"/>
              <w:spacing w:line="360" w:lineRule="auto"/>
              <w:ind w:firstLine="500" w:firstLineChars="200"/>
              <w:rPr>
                <w:rFonts w:hint="default" w:ascii="Times New Roman" w:hAnsi="Times New Roman" w:eastAsia="宋体" w:cs="Times New Roman"/>
                <w:color w:val="auto"/>
                <w:spacing w:val="5"/>
                <w:sz w:val="24"/>
                <w:highlight w:val="none"/>
                <w:shd w:val="clear" w:color="auto" w:fill="FFFFFF"/>
                <w:lang w:val="en-US" w:eastAsia="zh-CN"/>
              </w:rPr>
            </w:pPr>
            <w:r>
              <w:rPr>
                <w:rFonts w:hint="eastAsia" w:ascii="Times New Roman" w:hAnsi="Times New Roman" w:cs="Times New Roman"/>
                <w:color w:val="auto"/>
                <w:spacing w:val="5"/>
                <w:sz w:val="24"/>
                <w:highlight w:val="none"/>
                <w:shd w:val="clear" w:color="auto" w:fill="FFFFFF"/>
                <w:lang w:val="en-US" w:eastAsia="zh-CN"/>
              </w:rPr>
              <w:t>项目拟在</w:t>
            </w:r>
            <w:r>
              <w:rPr>
                <w:rFonts w:hint="default" w:ascii="Times New Roman" w:hAnsi="Times New Roman" w:eastAsia="宋体" w:cs="Times New Roman"/>
                <w:color w:val="auto"/>
                <w:sz w:val="24"/>
                <w:highlight w:val="none"/>
                <w:lang w:val="en-US" w:eastAsia="zh-CN"/>
              </w:rPr>
              <w:t>平昌县第二人民医院</w:t>
            </w:r>
            <w:r>
              <w:rPr>
                <w:rFonts w:hint="eastAsia" w:ascii="Times New Roman" w:hAnsi="Times New Roman" w:cs="Times New Roman"/>
                <w:color w:val="auto"/>
                <w:sz w:val="24"/>
                <w:highlight w:val="none"/>
                <w:lang w:val="en-US" w:eastAsia="zh-CN"/>
              </w:rPr>
              <w:t>黄滩坝院区</w:t>
            </w:r>
            <w:r>
              <w:rPr>
                <w:rFonts w:hint="default" w:ascii="Times New Roman" w:hAnsi="Times New Roman" w:eastAsia="宋体" w:cs="Times New Roman"/>
                <w:color w:val="auto"/>
                <w:sz w:val="24"/>
                <w:highlight w:val="none"/>
                <w:lang w:val="en-US" w:eastAsia="zh-CN"/>
              </w:rPr>
              <w:t>的</w:t>
            </w:r>
            <w:r>
              <w:rPr>
                <w:rFonts w:hint="eastAsia" w:ascii="Times New Roman" w:hAnsi="Times New Roman" w:cs="Times New Roman"/>
                <w:color w:val="auto"/>
                <w:sz w:val="24"/>
                <w:highlight w:val="none"/>
                <w:lang w:val="en-US" w:eastAsia="zh-CN"/>
              </w:rPr>
              <w:t>2#</w:t>
            </w:r>
            <w:r>
              <w:rPr>
                <w:rFonts w:hint="default" w:ascii="Times New Roman" w:hAnsi="Times New Roman" w:eastAsia="宋体" w:cs="Times New Roman"/>
                <w:color w:val="auto"/>
                <w:sz w:val="24"/>
                <w:highlight w:val="none"/>
                <w:lang w:val="en-US" w:eastAsia="zh-CN"/>
              </w:rPr>
              <w:t>医疗综合楼四楼东北角</w:t>
            </w:r>
            <w:r>
              <w:rPr>
                <w:rFonts w:hint="eastAsia" w:ascii="Times New Roman" w:hAnsi="Times New Roman" w:eastAsia="宋体" w:cs="Times New Roman"/>
                <w:color w:val="auto"/>
                <w:sz w:val="24"/>
                <w:highlight w:val="none"/>
                <w:lang w:val="en-US" w:eastAsia="zh-CN"/>
              </w:rPr>
              <w:t>建设</w:t>
            </w:r>
          </w:p>
          <w:p w14:paraId="16A27BE3">
            <w:pPr>
              <w:adjustRightInd w:val="0"/>
              <w:snapToGrid w:val="0"/>
              <w:spacing w:line="360" w:lineRule="auto"/>
              <w:rPr>
                <w:rFonts w:hint="default" w:ascii="Times New Roman" w:hAnsi="Times New Roman" w:cs="Times New Roman"/>
                <w:color w:val="auto"/>
                <w:spacing w:val="5"/>
                <w:sz w:val="24"/>
                <w:highlight w:val="none"/>
                <w:shd w:val="clear" w:color="auto" w:fill="FFFFFF"/>
                <w:lang w:val="en-US" w:eastAsia="zh-CN"/>
              </w:rPr>
            </w:pPr>
            <w:r>
              <w:rPr>
                <w:rFonts w:hint="default" w:ascii="Times New Roman" w:hAnsi="Times New Roman" w:cs="Times New Roman"/>
                <w:color w:val="auto"/>
                <w:spacing w:val="5"/>
                <w:sz w:val="24"/>
                <w:highlight w:val="none"/>
                <w:shd w:val="clear" w:color="auto" w:fill="FFFFFF"/>
                <w:lang w:val="en-US" w:eastAsia="zh-CN"/>
              </w:rPr>
              <w:t>1</w:t>
            </w:r>
            <w:r>
              <w:rPr>
                <w:rFonts w:hint="eastAsia" w:ascii="Times New Roman" w:hAnsi="Times New Roman" w:cs="Times New Roman"/>
                <w:color w:val="auto"/>
                <w:spacing w:val="5"/>
                <w:sz w:val="24"/>
                <w:highlight w:val="none"/>
                <w:shd w:val="clear" w:color="auto" w:fill="FFFFFF"/>
                <w:lang w:val="en-US" w:eastAsia="zh-CN"/>
              </w:rPr>
              <w:t>个介入治疗室。在介入室</w:t>
            </w:r>
            <w:r>
              <w:rPr>
                <w:rFonts w:hint="default" w:ascii="Times New Roman" w:hAnsi="Times New Roman" w:cs="Times New Roman"/>
                <w:color w:val="auto"/>
                <w:spacing w:val="5"/>
                <w:sz w:val="24"/>
                <w:highlight w:val="none"/>
                <w:shd w:val="clear" w:color="auto" w:fill="FFFFFF"/>
                <w:lang w:val="en-US" w:eastAsia="zh-CN"/>
              </w:rPr>
              <w:t>安装使用1台</w:t>
            </w:r>
            <w:r>
              <w:rPr>
                <w:rFonts w:hint="default" w:ascii="Times New Roman" w:hAnsi="Times New Roman" w:cs="Times New Roman"/>
                <w:color w:val="auto"/>
                <w:spacing w:val="5"/>
                <w:sz w:val="24"/>
                <w:highlight w:val="none"/>
                <w:shd w:val="clear" w:color="auto" w:fill="FFFFFF"/>
              </w:rPr>
              <w:t>数字减影血管造影机（DSA），</w:t>
            </w:r>
            <w:r>
              <w:rPr>
                <w:rFonts w:hint="default" w:ascii="Times New Roman" w:hAnsi="Times New Roman" w:cs="Times New Roman"/>
                <w:color w:val="auto"/>
                <w:spacing w:val="5"/>
                <w:sz w:val="24"/>
                <w:highlight w:val="none"/>
                <w:shd w:val="clear" w:color="auto" w:fill="FFFFFF"/>
                <w:lang w:val="en-US" w:eastAsia="zh-CN"/>
              </w:rPr>
              <w:t>该台DSA厂家型号为飞利浦Azurion5 M20</w:t>
            </w:r>
            <w:r>
              <w:rPr>
                <w:rFonts w:hint="eastAsia" w:ascii="Times New Roman" w:hAnsi="Times New Roman" w:cs="Times New Roman"/>
                <w:color w:val="auto"/>
                <w:spacing w:val="5"/>
                <w:sz w:val="24"/>
                <w:highlight w:val="none"/>
                <w:shd w:val="clear" w:color="auto" w:fill="FFFFFF"/>
                <w:lang w:val="en-US" w:eastAsia="zh-CN"/>
              </w:rPr>
              <w:t>，</w:t>
            </w:r>
            <w:r>
              <w:rPr>
                <w:rFonts w:hint="default" w:ascii="Times New Roman" w:hAnsi="Times New Roman" w:cs="Times New Roman"/>
                <w:color w:val="auto"/>
                <w:spacing w:val="5"/>
                <w:sz w:val="24"/>
                <w:highlight w:val="none"/>
                <w:shd w:val="clear" w:color="auto" w:fill="FFFFFF"/>
                <w:lang w:val="en-US" w:eastAsia="zh-CN"/>
              </w:rPr>
              <w:t>额定管电压为125kV，电流为1000mA。</w:t>
            </w:r>
          </w:p>
          <w:p w14:paraId="2AF76CB8">
            <w:pPr>
              <w:pStyle w:val="32"/>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根据院方预计，本项目投入使用后，DSA</w:t>
            </w:r>
            <w:r>
              <w:rPr>
                <w:rFonts w:hint="eastAsia" w:ascii="Times New Roman" w:hAnsi="Times New Roman" w:cs="Times New Roman"/>
                <w:color w:val="auto"/>
                <w:highlight w:val="none"/>
                <w:lang w:val="en-US" w:eastAsia="zh-CN"/>
              </w:rPr>
              <w:t>介入室</w:t>
            </w:r>
            <w:r>
              <w:rPr>
                <w:rFonts w:hint="default" w:ascii="Times New Roman" w:hAnsi="Times New Roman" w:cs="Times New Roman"/>
                <w:color w:val="auto"/>
                <w:highlight w:val="none"/>
              </w:rPr>
              <w:t>年手术量约为</w:t>
            </w:r>
            <w:r>
              <w:rPr>
                <w:rFonts w:hint="default" w:ascii="Times New Roman" w:hAnsi="Times New Roman" w:cs="Times New Roman"/>
                <w:color w:val="auto"/>
                <w:highlight w:val="none"/>
                <w:lang w:val="en-US" w:eastAsia="zh-CN"/>
              </w:rPr>
              <w:t>3</w:t>
            </w:r>
            <w:r>
              <w:rPr>
                <w:rFonts w:hint="eastAsia" w:ascii="Times New Roman" w:hAnsi="Times New Roman" w:cs="Times New Roman"/>
                <w:color w:val="auto"/>
                <w:highlight w:val="none"/>
                <w:lang w:val="en-US" w:eastAsia="zh-CN"/>
              </w:rPr>
              <w:t>0</w:t>
            </w:r>
            <w:r>
              <w:rPr>
                <w:rFonts w:hint="default" w:ascii="Times New Roman" w:hAnsi="Times New Roman" w:cs="Times New Roman"/>
                <w:color w:val="auto"/>
                <w:highlight w:val="none"/>
                <w:lang w:val="en-US" w:eastAsia="zh-CN"/>
              </w:rPr>
              <w:t>0</w:t>
            </w:r>
            <w:r>
              <w:rPr>
                <w:rFonts w:hint="default" w:ascii="Times New Roman" w:hAnsi="Times New Roman" w:cs="Times New Roman"/>
                <w:color w:val="auto"/>
                <w:highlight w:val="none"/>
              </w:rPr>
              <w:t>台（</w:t>
            </w:r>
            <w:r>
              <w:rPr>
                <w:rFonts w:hint="eastAsia" w:ascii="Times New Roman" w:hAnsi="Times New Roman" w:cs="Times New Roman"/>
                <w:color w:val="auto"/>
                <w:highlight w:val="none"/>
                <w:lang w:val="en-US" w:eastAsia="zh-CN"/>
              </w:rPr>
              <w:t>神经内科170</w:t>
            </w:r>
            <w:r>
              <w:rPr>
                <w:rFonts w:hint="default" w:ascii="Times New Roman" w:hAnsi="Times New Roman" w:cs="Times New Roman"/>
                <w:color w:val="auto"/>
                <w:highlight w:val="none"/>
              </w:rPr>
              <w:t>台，</w:t>
            </w:r>
            <w:r>
              <w:rPr>
                <w:rFonts w:hint="eastAsia" w:ascii="Times New Roman" w:hAnsi="Times New Roman" w:cs="Times New Roman"/>
                <w:color w:val="auto"/>
                <w:highlight w:val="none"/>
                <w:lang w:val="en-US" w:eastAsia="zh-CN"/>
              </w:rPr>
              <w:t>神经外科130</w:t>
            </w:r>
            <w:r>
              <w:rPr>
                <w:rFonts w:hint="default" w:ascii="Times New Roman" w:hAnsi="Times New Roman" w:cs="Times New Roman"/>
                <w:color w:val="auto"/>
                <w:highlight w:val="none"/>
                <w:lang w:val="en-US" w:eastAsia="zh-CN"/>
              </w:rPr>
              <w:t>台</w:t>
            </w:r>
            <w:r>
              <w:rPr>
                <w:rFonts w:hint="default" w:ascii="Times New Roman" w:hAnsi="Times New Roman" w:cs="Times New Roman"/>
                <w:color w:val="auto"/>
                <w:highlight w:val="none"/>
              </w:rPr>
              <w:t>）。</w:t>
            </w:r>
          </w:p>
          <w:p w14:paraId="67957969">
            <w:pPr>
              <w:autoSpaceDE w:val="0"/>
              <w:autoSpaceDN w:val="0"/>
              <w:adjustRightInd w:val="0"/>
              <w:snapToGrid w:val="0"/>
              <w:spacing w:line="360" w:lineRule="auto"/>
              <w:ind w:firstLine="480" w:firstLineChars="200"/>
              <w:rPr>
                <w:rFonts w:hint="default" w:ascii="Times New Roman" w:hAnsi="Times New Roman" w:cs="Times New Roman"/>
                <w:color w:val="auto"/>
                <w:spacing w:val="5"/>
                <w:sz w:val="24"/>
                <w:highlight w:val="none"/>
                <w:shd w:val="clear" w:color="auto" w:fill="FFFFFF"/>
              </w:rPr>
            </w:pPr>
            <w:r>
              <w:rPr>
                <w:rFonts w:hint="default" w:ascii="Times New Roman" w:hAnsi="Times New Roman" w:cs="Times New Roman"/>
                <w:color w:val="auto"/>
                <w:sz w:val="24"/>
                <w:highlight w:val="none"/>
              </w:rPr>
              <w:t>根据院方预计，单台</w:t>
            </w:r>
            <w:r>
              <w:rPr>
                <w:rFonts w:hint="eastAsia" w:ascii="Times New Roman" w:hAnsi="Times New Roman" w:cs="Times New Roman"/>
                <w:color w:val="auto"/>
                <w:sz w:val="24"/>
                <w:highlight w:val="none"/>
                <w:lang w:val="en-US" w:eastAsia="zh-CN"/>
              </w:rPr>
              <w:t>神经内科</w:t>
            </w:r>
            <w:r>
              <w:rPr>
                <w:rFonts w:hint="default" w:ascii="Times New Roman" w:hAnsi="Times New Roman" w:cs="Times New Roman"/>
                <w:color w:val="auto"/>
                <w:sz w:val="24"/>
                <w:highlight w:val="none"/>
              </w:rPr>
              <w:t>介入手术透视时间为</w:t>
            </w:r>
            <w:r>
              <w:rPr>
                <w:rFonts w:hint="eastAsia" w:ascii="Times New Roman" w:hAnsi="Times New Roman" w:cs="Times New Roman"/>
                <w:color w:val="auto"/>
                <w:sz w:val="24"/>
                <w:highlight w:val="none"/>
                <w:lang w:val="en-US" w:eastAsia="zh-CN"/>
              </w:rPr>
              <w:t>20</w:t>
            </w:r>
            <w:r>
              <w:rPr>
                <w:rFonts w:hint="default" w:ascii="Times New Roman" w:hAnsi="Times New Roman" w:cs="Times New Roman"/>
                <w:color w:val="auto"/>
                <w:sz w:val="24"/>
                <w:highlight w:val="none"/>
              </w:rPr>
              <w:t>min，拍片时间为</w:t>
            </w:r>
            <w:r>
              <w:rPr>
                <w:rFonts w:hint="eastAsia" w:ascii="Times New Roman" w:hAnsi="Times New Roman" w:cs="Times New Roman"/>
                <w:color w:val="auto"/>
                <w:sz w:val="24"/>
                <w:highlight w:val="none"/>
                <w:lang w:val="en-US" w:eastAsia="zh-CN"/>
              </w:rPr>
              <w:t>60</w:t>
            </w:r>
            <w:r>
              <w:rPr>
                <w:rFonts w:hint="default" w:ascii="Times New Roman" w:hAnsi="Times New Roman" w:cs="Times New Roman"/>
                <w:color w:val="auto"/>
                <w:sz w:val="24"/>
                <w:highlight w:val="none"/>
              </w:rPr>
              <w:t>s；</w:t>
            </w:r>
            <w:r>
              <w:rPr>
                <w:rFonts w:hint="eastAsia" w:ascii="Times New Roman" w:hAnsi="Times New Roman" w:cs="Times New Roman"/>
                <w:color w:val="auto"/>
                <w:sz w:val="24"/>
                <w:highlight w:val="none"/>
                <w:lang w:val="en-US" w:eastAsia="zh-CN"/>
              </w:rPr>
              <w:t>神经外科</w:t>
            </w:r>
            <w:r>
              <w:rPr>
                <w:rFonts w:hint="default" w:ascii="Times New Roman" w:hAnsi="Times New Roman" w:cs="Times New Roman"/>
                <w:color w:val="auto"/>
                <w:sz w:val="24"/>
                <w:highlight w:val="none"/>
              </w:rPr>
              <w:t>单台透视时间为</w:t>
            </w:r>
            <w:r>
              <w:rPr>
                <w:rFonts w:hint="eastAsia" w:ascii="Times New Roman" w:hAnsi="Times New Roman" w:cs="Times New Roman"/>
                <w:color w:val="auto"/>
                <w:sz w:val="24"/>
                <w:highlight w:val="none"/>
                <w:lang w:val="en-US" w:eastAsia="zh-CN"/>
              </w:rPr>
              <w:t>15</w:t>
            </w:r>
            <w:r>
              <w:rPr>
                <w:rFonts w:hint="default" w:ascii="Times New Roman" w:hAnsi="Times New Roman" w:cs="Times New Roman"/>
                <w:color w:val="auto"/>
                <w:sz w:val="24"/>
                <w:highlight w:val="none"/>
              </w:rPr>
              <w:t>min，拍片时间为45s</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因此本项目DSA合计出束时间为</w:t>
            </w:r>
            <w:r>
              <w:rPr>
                <w:rFonts w:hint="eastAsia" w:ascii="Times New Roman" w:hAnsi="Times New Roman" w:cs="Times New Roman"/>
                <w:color w:val="auto"/>
                <w:sz w:val="24"/>
                <w:highlight w:val="none"/>
                <w:lang w:val="en-US" w:eastAsia="zh-CN"/>
              </w:rPr>
              <w:t>93.625</w:t>
            </w:r>
            <w:r>
              <w:rPr>
                <w:rFonts w:hint="default" w:ascii="Times New Roman" w:hAnsi="Times New Roman" w:cs="Times New Roman"/>
                <w:color w:val="auto"/>
                <w:sz w:val="24"/>
                <w:highlight w:val="none"/>
              </w:rPr>
              <w:t>h（透视：</w:t>
            </w:r>
            <w:r>
              <w:rPr>
                <w:rFonts w:hint="eastAsia" w:ascii="Times New Roman" w:hAnsi="Times New Roman" w:cs="Times New Roman"/>
                <w:color w:val="auto"/>
                <w:sz w:val="24"/>
                <w:highlight w:val="none"/>
                <w:lang w:val="en-US" w:eastAsia="zh-CN"/>
              </w:rPr>
              <w:t>89.167</w:t>
            </w:r>
            <w:r>
              <w:rPr>
                <w:rFonts w:hint="default" w:ascii="Times New Roman" w:hAnsi="Times New Roman" w:cs="Times New Roman"/>
                <w:color w:val="auto"/>
                <w:sz w:val="24"/>
                <w:highlight w:val="none"/>
              </w:rPr>
              <w:t>h；拍片</w:t>
            </w:r>
            <w:r>
              <w:rPr>
                <w:rFonts w:hint="eastAsia" w:ascii="Times New Roman" w:hAnsi="Times New Roman" w:cs="Times New Roman"/>
                <w:color w:val="auto"/>
                <w:sz w:val="24"/>
                <w:highlight w:val="none"/>
                <w:lang w:val="en-US" w:eastAsia="zh-CN"/>
              </w:rPr>
              <w:t>4.458</w:t>
            </w:r>
            <w:r>
              <w:rPr>
                <w:rFonts w:hint="default" w:ascii="Times New Roman" w:hAnsi="Times New Roman" w:cs="Times New Roman"/>
                <w:color w:val="auto"/>
                <w:sz w:val="24"/>
                <w:highlight w:val="none"/>
              </w:rPr>
              <w:t>h），曝光方向由下而上。</w:t>
            </w:r>
          </w:p>
          <w:p w14:paraId="0DDD35B8">
            <w:pPr>
              <w:pStyle w:val="51"/>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防护条件：</w:t>
            </w:r>
          </w:p>
          <w:p w14:paraId="6B243783">
            <w:pPr>
              <w:pStyle w:val="51"/>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四周墙体：DSA介入室墙体建筑楼板为</w:t>
            </w:r>
            <w:r>
              <w:rPr>
                <w:rFonts w:hint="eastAsia" w:ascii="Times New Roman" w:hAnsi="Times New Roman" w:cs="Times New Roman"/>
                <w:color w:val="auto"/>
                <w:sz w:val="24"/>
                <w:szCs w:val="24"/>
                <w:highlight w:val="none"/>
                <w:lang w:val="en-US" w:eastAsia="zh-CN"/>
              </w:rPr>
              <w:t>20</w:t>
            </w:r>
            <w:r>
              <w:rPr>
                <w:rFonts w:hint="default" w:ascii="Times New Roman" w:hAnsi="Times New Roman" w:cs="Times New Roman"/>
                <w:color w:val="auto"/>
                <w:sz w:val="24"/>
                <w:szCs w:val="24"/>
                <w:highlight w:val="none"/>
                <w:lang w:val="en-US" w:eastAsia="zh-CN"/>
              </w:rPr>
              <w:t>0mm实心砖墙体，在墙体两面安装钢架龙骨，龙骨采用40*40*2镀锌矩管主龙骨，40*40*12镀锌矩管次龙骨，主龙骨间距450mm，次龙骨间距900mm。墙壁两面龙骨上安装12mm石膏板；在DSA介入室一面石膏板上采用螺钉固定安装22mm厚复合射线防护板，防护板尺寸为1000mm×3000mm，接缝处采用50mm宽同铅当量铅板覆盖。最后使用6mm医疗洁净板装饰。</w:t>
            </w:r>
          </w:p>
          <w:p w14:paraId="16DCE0C1">
            <w:pPr>
              <w:pStyle w:val="51"/>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地面结构：DSA介入室地面为150mm混凝土，在楼板上方刷45mm厚硫酸钡水泥，硫酸钡水泥上方采用水泥砂浆自流平，最后采用2mmPVC地面做地面装饰。</w:t>
            </w:r>
          </w:p>
          <w:p w14:paraId="2357A158">
            <w:pPr>
              <w:pStyle w:val="51"/>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顶部：在DSA介入室顶部建筑楼板安装吊杆，吊杆上架设轻钢龙骨，在龙骨上安装22mm厚复合射线防护板，防护板尺寸为1000mm×3000mm，接缝处采用50mm宽同铅当量铅板覆盖。复合射线防护板下方加设9.5mm石膏板，最后采用6mm医疗洁净板作为顶部装饰。</w:t>
            </w:r>
          </w:p>
          <w:p w14:paraId="2D56813F">
            <w:pPr>
              <w:pStyle w:val="51"/>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通排风系统穿墙及电缆沟：</w:t>
            </w:r>
          </w:p>
          <w:p w14:paraId="2C6A4E8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电缆线穿孔位置采用U型穿孔，并在穿墙口采用铅橡胶套进行封堵并加盖不锈钢盖板，避免漏射产生。为防止射线泄漏，DSA介入室通排风管道穿墙处采用3mm铅当量的铅板包裹。</w:t>
            </w:r>
          </w:p>
          <w:p w14:paraId="4E89C910">
            <w:pPr>
              <w:adjustRightInd w:val="0"/>
              <w:snapToGrid w:val="0"/>
              <w:spacing w:line="358"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二、产业政策符合性</w:t>
            </w:r>
          </w:p>
          <w:p w14:paraId="4B55C81E">
            <w:pPr>
              <w:keepNext w:val="0"/>
              <w:keepLines w:val="0"/>
              <w:pageBreakBefore w:val="0"/>
              <w:widowControl w:val="0"/>
              <w:kinsoku/>
              <w:wordWrap/>
              <w:overflowPunct/>
              <w:topLinePunct w:val="0"/>
              <w:autoSpaceDN w:val="0"/>
              <w:bidi w:val="0"/>
              <w:adjustRightInd w:val="0"/>
              <w:snapToGrid w:val="0"/>
              <w:spacing w:line="360" w:lineRule="auto"/>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国家发展和改革委员会《产业结构调整指导目录（2024年本）》（2023年第7号令）相关规定，本项目的建设属于该指导目录为医院医疗基础建设内容，属于该指导目录中第三十七项“卫生健康”中第1款“医疗服务设施建设”，属于国家鼓励类产业，符合国家产业政策。</w:t>
            </w:r>
          </w:p>
          <w:p w14:paraId="5E22AC43">
            <w:pPr>
              <w:keepNext w:val="0"/>
              <w:keepLines w:val="0"/>
              <w:pageBreakBefore w:val="0"/>
              <w:widowControl w:val="0"/>
              <w:kinsoku/>
              <w:wordWrap/>
              <w:overflowPunct/>
              <w:topLinePunct w:val="0"/>
              <w:bidi w:val="0"/>
              <w:adjustRightInd w:val="0"/>
              <w:snapToGrid w:val="0"/>
              <w:spacing w:line="360" w:lineRule="auto"/>
              <w:textAlignment w:val="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三、本项目选址及平面布局合理性分析</w:t>
            </w:r>
          </w:p>
          <w:p w14:paraId="356F1153">
            <w:pPr>
              <w:keepNext w:val="0"/>
              <w:keepLines w:val="0"/>
              <w:pageBreakBefore w:val="0"/>
              <w:widowControl w:val="0"/>
              <w:kinsoku/>
              <w:wordWrap/>
              <w:overflowPunct/>
              <w:topLinePunct w:val="0"/>
              <w:bidi w:val="0"/>
              <w:adjustRightInd w:val="0"/>
              <w:snapToGrid w:val="0"/>
              <w:spacing w:line="360" w:lineRule="auto"/>
              <w:ind w:firstLine="480" w:firstLineChars="200"/>
              <w:jc w:val="left"/>
              <w:rPr>
                <w:rFonts w:hint="eastAsia"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DSA机房净空面积为</w:t>
            </w:r>
            <w:r>
              <w:rPr>
                <w:rFonts w:hint="eastAsia" w:ascii="Times New Roman" w:hAnsi="Times New Roman" w:cs="Times New Roman"/>
                <w:bCs/>
                <w:color w:val="auto"/>
                <w:sz w:val="24"/>
                <w:highlight w:val="none"/>
                <w:lang w:val="en-US" w:eastAsia="zh-CN"/>
              </w:rPr>
              <w:t>47.2</w:t>
            </w:r>
            <w:r>
              <w:rPr>
                <w:rFonts w:hint="default" w:ascii="Times New Roman" w:hAnsi="Times New Roman" w:cs="Times New Roman"/>
                <w:bCs/>
                <w:color w:val="auto"/>
                <w:sz w:val="24"/>
                <w:highlight w:val="none"/>
                <w:lang w:val="en-US" w:eastAsia="zh-CN"/>
              </w:rPr>
              <w:t>m</w:t>
            </w:r>
            <w:r>
              <w:rPr>
                <w:rFonts w:hint="default" w:ascii="Times New Roman" w:hAnsi="Times New Roman" w:cs="Times New Roman"/>
                <w:bCs/>
                <w:color w:val="auto"/>
                <w:sz w:val="24"/>
                <w:highlight w:val="none"/>
                <w:vertAlign w:val="superscript"/>
                <w:lang w:val="en-US" w:eastAsia="zh-CN"/>
              </w:rPr>
              <w:t>2</w:t>
            </w:r>
            <w:r>
              <w:rPr>
                <w:rFonts w:hint="default" w:ascii="Times New Roman" w:hAnsi="Times New Roman" w:cs="Times New Roman"/>
                <w:bCs/>
                <w:color w:val="auto"/>
                <w:sz w:val="24"/>
                <w:highlight w:val="none"/>
                <w:lang w:val="en-US" w:eastAsia="zh-CN"/>
              </w:rPr>
              <w:t>（净空尺寸长</w:t>
            </w:r>
            <w:r>
              <w:rPr>
                <w:rFonts w:hint="eastAsia" w:ascii="Times New Roman" w:hAnsi="Times New Roman" w:cs="Times New Roman"/>
                <w:bCs/>
                <w:color w:val="auto"/>
                <w:sz w:val="24"/>
                <w:highlight w:val="none"/>
                <w:lang w:val="en-US" w:eastAsia="zh-CN"/>
              </w:rPr>
              <w:t>8.2</w:t>
            </w:r>
            <w:r>
              <w:rPr>
                <w:rFonts w:hint="default" w:ascii="Times New Roman" w:hAnsi="Times New Roman" w:cs="Times New Roman"/>
                <w:bCs/>
                <w:color w:val="auto"/>
                <w:sz w:val="24"/>
                <w:highlight w:val="none"/>
                <w:lang w:val="en-US" w:eastAsia="zh-CN"/>
              </w:rPr>
              <w:t>m×宽5.</w:t>
            </w:r>
            <w:r>
              <w:rPr>
                <w:rFonts w:hint="eastAsia" w:ascii="Times New Roman" w:hAnsi="Times New Roman" w:cs="Times New Roman"/>
                <w:bCs/>
                <w:color w:val="auto"/>
                <w:sz w:val="24"/>
                <w:highlight w:val="none"/>
                <w:lang w:val="en-US" w:eastAsia="zh-CN"/>
              </w:rPr>
              <w:t>7</w:t>
            </w:r>
            <w:r>
              <w:rPr>
                <w:rFonts w:hint="default" w:ascii="Times New Roman" w:hAnsi="Times New Roman" w:cs="Times New Roman"/>
                <w:bCs/>
                <w:color w:val="auto"/>
                <w:sz w:val="24"/>
                <w:highlight w:val="none"/>
                <w:lang w:val="en-US" w:eastAsia="zh-CN"/>
              </w:rPr>
              <w:t>m×高</w:t>
            </w:r>
            <w:r>
              <w:rPr>
                <w:rFonts w:hint="eastAsia" w:ascii="Times New Roman" w:hAnsi="Times New Roman" w:cs="Times New Roman"/>
                <w:bCs/>
                <w:color w:val="auto"/>
                <w:sz w:val="24"/>
                <w:highlight w:val="none"/>
                <w:lang w:val="en-US" w:eastAsia="zh-CN"/>
              </w:rPr>
              <w:t>4.45</w:t>
            </w:r>
            <w:r>
              <w:rPr>
                <w:rFonts w:hint="default" w:ascii="Times New Roman" w:hAnsi="Times New Roman" w:cs="Times New Roman"/>
                <w:bCs/>
                <w:color w:val="auto"/>
                <w:sz w:val="24"/>
                <w:highlight w:val="none"/>
                <w:lang w:val="en-US" w:eastAsia="zh-CN"/>
              </w:rPr>
              <w:t>m，吊顶高度：3m）。</w:t>
            </w:r>
            <w:r>
              <w:rPr>
                <w:rFonts w:hint="eastAsia" w:ascii="Times New Roman" w:hAnsi="Times New Roman" w:cs="Times New Roman"/>
                <w:bCs/>
                <w:color w:val="auto"/>
                <w:sz w:val="24"/>
                <w:highlight w:val="none"/>
                <w:lang w:val="en-US" w:eastAsia="zh-CN"/>
              </w:rPr>
              <w:t>DSA介入手术室东侧为设备间和污物间，污物间连接污物通道。手术室南侧为控制室、医护通道、高值耗材存放处等，西侧为患者缓冲区和患者卫生间。</w:t>
            </w:r>
          </w:p>
          <w:p w14:paraId="0C3EFED6">
            <w:pPr>
              <w:keepNext w:val="0"/>
              <w:keepLines w:val="0"/>
              <w:pageBreakBefore w:val="0"/>
              <w:widowControl w:val="0"/>
              <w:kinsoku/>
              <w:wordWrap/>
              <w:overflowPunct/>
              <w:topLinePunct w:val="0"/>
              <w:bidi w:val="0"/>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rPr>
              <w:t>本项目</w:t>
            </w:r>
            <w:r>
              <w:rPr>
                <w:rFonts w:hint="eastAsia" w:ascii="Times New Roman" w:hAnsi="Times New Roman" w:cs="Times New Roman"/>
                <w:color w:val="auto"/>
                <w:sz w:val="24"/>
                <w:highlight w:val="none"/>
                <w:lang w:eastAsia="zh-CN"/>
              </w:rPr>
              <w:t>的</w:t>
            </w:r>
            <w:r>
              <w:rPr>
                <w:rFonts w:hint="eastAsia" w:ascii="Times New Roman" w:hAnsi="Times New Roman" w:cs="Times New Roman"/>
                <w:color w:val="auto"/>
                <w:sz w:val="24"/>
                <w:highlight w:val="none"/>
                <w:lang w:val="en-US" w:eastAsia="zh-CN"/>
              </w:rPr>
              <w:t>布置</w:t>
            </w:r>
            <w:r>
              <w:rPr>
                <w:rFonts w:hint="default" w:ascii="Times New Roman" w:hAnsi="Times New Roman" w:cs="Times New Roman"/>
                <w:color w:val="auto"/>
                <w:sz w:val="24"/>
                <w:highlight w:val="none"/>
              </w:rPr>
              <w:t>基本考虑了医生和病人的需求；病人通道、医护人员通道分开布置，不存在交叉影响的情况；</w:t>
            </w:r>
          </w:p>
          <w:p w14:paraId="68EF0582">
            <w:pPr>
              <w:keepNext w:val="0"/>
              <w:keepLines w:val="0"/>
              <w:pageBreakBefore w:val="0"/>
              <w:widowControl w:val="0"/>
              <w:kinsoku/>
              <w:wordWrap/>
              <w:overflowPunct/>
              <w:topLinePunct w:val="0"/>
              <w:bidi w:val="0"/>
              <w:adjustRightInd w:val="0"/>
              <w:snapToGrid w:val="0"/>
              <w:spacing w:line="360" w:lineRule="auto"/>
              <w:ind w:firstLine="480" w:firstLineChars="200"/>
              <w:jc w:val="left"/>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rPr>
              <w:t>治疗过程或手术过程中产生的医疗废物采用专门的收集容器集中</w:t>
            </w:r>
            <w:r>
              <w:rPr>
                <w:rFonts w:hint="default" w:ascii="Times New Roman" w:hAnsi="Times New Roman" w:cs="Times New Roman"/>
                <w:color w:val="auto"/>
                <w:sz w:val="24"/>
                <w:highlight w:val="none"/>
                <w:lang w:val="en-US" w:eastAsia="zh-CN"/>
              </w:rPr>
              <w:t>收集</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医疗废物待缓冲间无病人时方可转运。</w:t>
            </w:r>
            <w:r>
              <w:rPr>
                <w:rFonts w:hint="eastAsia" w:ascii="Times New Roman" w:hAnsi="Times New Roman" w:cs="Times New Roman"/>
                <w:color w:val="auto"/>
                <w:sz w:val="24"/>
                <w:highlight w:val="none"/>
                <w:lang w:val="en-US" w:eastAsia="zh-CN"/>
              </w:rPr>
              <w:t>污物间经专门的污物通道运出。</w:t>
            </w:r>
          </w:p>
          <w:p w14:paraId="3D89A37A">
            <w:pPr>
              <w:keepNext w:val="0"/>
              <w:keepLines w:val="0"/>
              <w:pageBreakBefore w:val="0"/>
              <w:widowControl w:val="0"/>
              <w:kinsoku/>
              <w:wordWrap/>
              <w:overflowPunct/>
              <w:topLinePunct w:val="0"/>
              <w:bidi w:val="0"/>
              <w:adjustRightInd w:val="0"/>
              <w:snapToGrid w:val="0"/>
              <w:spacing w:line="360" w:lineRule="auto"/>
              <w:ind w:firstLine="480" w:firstLineChars="200"/>
              <w:jc w:val="left"/>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3、医护人员经医护通道进入卫浴间、控制室，最终进入介入手术室。患者经患者缓冲区进入手术室。患者缓冲区和医护人员有各自专门的卫生间。</w:t>
            </w:r>
          </w:p>
          <w:p w14:paraId="3E9D617F">
            <w:pPr>
              <w:keepNext w:val="0"/>
              <w:keepLines w:val="0"/>
              <w:pageBreakBefore w:val="0"/>
              <w:widowControl w:val="0"/>
              <w:kinsoku/>
              <w:wordWrap/>
              <w:overflowPunct/>
              <w:topLinePunct w:val="0"/>
              <w:bidi w:val="0"/>
              <w:adjustRightInd w:val="0"/>
              <w:snapToGrid w:val="0"/>
              <w:spacing w:line="360" w:lineRule="auto"/>
              <w:ind w:firstLine="480" w:firstLineChars="200"/>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4、手术室楼上为裙房上人屋面，楼下为医生办公室，以及四周紧邻区域没有病房等人员常驻区域，没有紧邻产科、新生儿科等特殊区域。</w:t>
            </w:r>
          </w:p>
          <w:p w14:paraId="4B2994D6">
            <w:pPr>
              <w:keepNext w:val="0"/>
              <w:keepLines w:val="0"/>
              <w:pageBreakBefore w:val="0"/>
              <w:widowControl w:val="0"/>
              <w:kinsoku/>
              <w:wordWrap/>
              <w:overflowPunct/>
              <w:topLinePunct w:val="0"/>
              <w:bidi w:val="0"/>
              <w:adjustRightInd w:val="0"/>
              <w:snapToGrid w:val="0"/>
              <w:spacing w:line="360" w:lineRule="auto"/>
              <w:ind w:firstLine="480" w:firstLineChars="200"/>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5、根据平面布置，本项目不占用消防设施等任何安全设施。</w:t>
            </w:r>
          </w:p>
          <w:p w14:paraId="0E452F2B">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6、DSA介入室设置有控制室防护门、患者通道防护门、污物通道防护门，且污物通道和患者通道为独立2条走廊，互不影响，实现人员与污物路线的分流，人流和物流在时间上也严格错开。</w:t>
            </w:r>
          </w:p>
          <w:p w14:paraId="284252C1">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（二）选址</w:t>
            </w:r>
          </w:p>
          <w:p w14:paraId="607F4529">
            <w:pPr>
              <w:autoSpaceDE w:val="0"/>
              <w:autoSpaceDN w:val="0"/>
              <w:adjustRightInd w:val="0"/>
              <w:snapToGrid w:val="0"/>
              <w:spacing w:line="360" w:lineRule="auto"/>
              <w:ind w:firstLine="480" w:firstLineChars="200"/>
              <w:rPr>
                <w:rFonts w:hint="eastAsia" w:ascii="Times New Roman" w:hAnsi="Times New Roman" w:cs="Times New Roman"/>
                <w:b w:val="0"/>
                <w:bCs w:val="0"/>
                <w:color w:val="auto"/>
                <w:sz w:val="24"/>
                <w:highlight w:val="none"/>
                <w:lang w:val="en-US" w:eastAsia="zh-CN"/>
              </w:rPr>
            </w:pPr>
            <w:r>
              <w:rPr>
                <w:rFonts w:hint="default" w:ascii="Times New Roman" w:hAnsi="Times New Roman" w:cs="Times New Roman"/>
                <w:color w:val="auto"/>
                <w:sz w:val="24"/>
                <w:highlight w:val="none"/>
              </w:rPr>
              <w:t>医院已获得中华人民共和国不动产权证书（编号：</w:t>
            </w:r>
            <w:r>
              <w:rPr>
                <w:rFonts w:hint="eastAsia" w:ascii="Times New Roman" w:hAnsi="Times New Roman" w:cs="Times New Roman"/>
                <w:color w:val="auto"/>
                <w:sz w:val="24"/>
                <w:highlight w:val="none"/>
                <w:lang w:val="en-US" w:eastAsia="zh-CN"/>
              </w:rPr>
              <w:t>003826号</w:t>
            </w:r>
            <w:r>
              <w:rPr>
                <w:rFonts w:hint="default" w:ascii="Times New Roman" w:hAnsi="Times New Roman" w:cs="Times New Roman"/>
                <w:color w:val="auto"/>
                <w:sz w:val="24"/>
                <w:highlight w:val="none"/>
              </w:rPr>
              <w:t>），根据中华人民共和国不动产权证书，本用地属于</w:t>
            </w:r>
            <w:r>
              <w:rPr>
                <w:rFonts w:hint="eastAsia" w:ascii="Times New Roman" w:hAnsi="Times New Roman" w:cs="Times New Roman"/>
                <w:color w:val="auto"/>
                <w:sz w:val="24"/>
                <w:highlight w:val="none"/>
                <w:lang w:val="en-US" w:eastAsia="zh-CN"/>
              </w:rPr>
              <w:t>医卫慈善用地</w:t>
            </w:r>
            <w:r>
              <w:rPr>
                <w:rFonts w:hint="default" w:ascii="Times New Roman" w:hAnsi="Times New Roman" w:cs="Times New Roman"/>
                <w:color w:val="auto"/>
                <w:sz w:val="24"/>
                <w:highlight w:val="none"/>
              </w:rPr>
              <w:t>，本用地符合城市规划要求。</w:t>
            </w:r>
            <w:r>
              <w:rPr>
                <w:rFonts w:hint="default" w:ascii="Times New Roman" w:hAnsi="Times New Roman" w:cs="Times New Roman"/>
                <w:b w:val="0"/>
                <w:bCs w:val="0"/>
                <w:color w:val="auto"/>
                <w:sz w:val="24"/>
                <w:highlight w:val="none"/>
              </w:rPr>
              <w:t>医院已获得了</w:t>
            </w:r>
            <w:r>
              <w:rPr>
                <w:rFonts w:hint="eastAsia" w:ascii="Times New Roman" w:hAnsi="Times New Roman" w:cs="Times New Roman"/>
                <w:b w:val="0"/>
                <w:bCs w:val="0"/>
                <w:color w:val="auto"/>
                <w:sz w:val="24"/>
                <w:highlight w:val="none"/>
                <w:lang w:val="en-US" w:eastAsia="zh-CN"/>
              </w:rPr>
              <w:t>巴中市</w:t>
            </w:r>
            <w:r>
              <w:rPr>
                <w:rFonts w:hint="default" w:ascii="Times New Roman" w:hAnsi="Times New Roman" w:cs="Times New Roman"/>
                <w:b w:val="0"/>
                <w:bCs w:val="0"/>
                <w:color w:val="auto"/>
                <w:sz w:val="24"/>
                <w:highlight w:val="none"/>
                <w:lang w:val="en-US" w:eastAsia="zh-CN"/>
              </w:rPr>
              <w:t>生态环境局出具的《</w:t>
            </w:r>
            <w:r>
              <w:rPr>
                <w:rFonts w:hint="eastAsia" w:ascii="Times New Roman" w:hAnsi="Times New Roman" w:cs="Times New Roman"/>
                <w:b w:val="0"/>
                <w:bCs w:val="0"/>
                <w:color w:val="auto"/>
                <w:sz w:val="24"/>
                <w:highlight w:val="none"/>
                <w:lang w:val="en-US" w:eastAsia="zh-CN"/>
              </w:rPr>
              <w:t>巴中市环境保护局关于平昌县第二人民医院（一期）建设项目环境影响报告书的批复</w:t>
            </w:r>
            <w:r>
              <w:rPr>
                <w:rFonts w:hint="default" w:ascii="Times New Roman" w:hAnsi="Times New Roman" w:cs="Times New Roman"/>
                <w:b w:val="0"/>
                <w:bCs w:val="0"/>
                <w:color w:val="auto"/>
                <w:sz w:val="24"/>
                <w:highlight w:val="none"/>
                <w:lang w:val="en-US" w:eastAsia="zh-CN"/>
              </w:rPr>
              <w:t>》（</w:t>
            </w:r>
            <w:r>
              <w:rPr>
                <w:rFonts w:hint="eastAsia" w:ascii="Times New Roman" w:hAnsi="Times New Roman" w:cs="Times New Roman"/>
                <w:b w:val="0"/>
                <w:bCs w:val="0"/>
                <w:color w:val="auto"/>
                <w:sz w:val="24"/>
                <w:highlight w:val="none"/>
                <w:lang w:val="en-US" w:eastAsia="zh-CN"/>
              </w:rPr>
              <w:t>巴环审[2016]30号</w:t>
            </w:r>
            <w:r>
              <w:rPr>
                <w:rFonts w:hint="default" w:ascii="Times New Roman" w:hAnsi="Times New Roman" w:cs="Times New Roman"/>
                <w:b w:val="0"/>
                <w:bCs w:val="0"/>
                <w:color w:val="auto"/>
                <w:sz w:val="24"/>
                <w:highlight w:val="none"/>
                <w:lang w:val="en-US" w:eastAsia="zh-CN"/>
              </w:rPr>
              <w:t>），详见附件</w:t>
            </w:r>
            <w:r>
              <w:rPr>
                <w:rFonts w:hint="eastAsia" w:ascii="Times New Roman" w:hAnsi="Times New Roman" w:cs="Times New Roman"/>
                <w:b w:val="0"/>
                <w:bCs w:val="0"/>
                <w:color w:val="auto"/>
                <w:sz w:val="24"/>
                <w:highlight w:val="none"/>
                <w:lang w:val="en-US" w:eastAsia="zh-CN"/>
              </w:rPr>
              <w:t>4</w:t>
            </w:r>
            <w:r>
              <w:rPr>
                <w:rFonts w:hint="default" w:ascii="Times New Roman" w:hAnsi="Times New Roman" w:cs="Times New Roman"/>
                <w:b w:val="0"/>
                <w:bCs w:val="0"/>
                <w:color w:val="auto"/>
                <w:sz w:val="24"/>
                <w:highlight w:val="none"/>
                <w:lang w:val="en-US" w:eastAsia="zh-CN"/>
              </w:rPr>
              <w:t>。</w:t>
            </w:r>
            <w:r>
              <w:rPr>
                <w:rFonts w:hint="default" w:ascii="Times New Roman" w:hAnsi="Times New Roman" w:cs="Times New Roman"/>
                <w:b w:val="0"/>
                <w:bCs w:val="0"/>
                <w:color w:val="auto"/>
                <w:sz w:val="24"/>
                <w:highlight w:val="none"/>
              </w:rPr>
              <w:t>本项目</w:t>
            </w:r>
            <w:r>
              <w:rPr>
                <w:rFonts w:hint="eastAsia" w:ascii="Times New Roman" w:hAnsi="Times New Roman" w:cs="Times New Roman"/>
                <w:b w:val="0"/>
                <w:bCs w:val="0"/>
                <w:color w:val="auto"/>
                <w:sz w:val="24"/>
                <w:highlight w:val="none"/>
                <w:lang w:val="en-US" w:eastAsia="zh-CN"/>
              </w:rPr>
              <w:t>拟</w:t>
            </w:r>
            <w:r>
              <w:rPr>
                <w:rFonts w:hint="default" w:ascii="Times New Roman" w:hAnsi="Times New Roman" w:cs="Times New Roman"/>
                <w:b w:val="0"/>
                <w:bCs w:val="0"/>
                <w:color w:val="auto"/>
                <w:sz w:val="24"/>
                <w:highlight w:val="none"/>
              </w:rPr>
              <w:t>位于</w:t>
            </w:r>
            <w:r>
              <w:rPr>
                <w:rFonts w:hint="eastAsia" w:ascii="Times New Roman" w:hAnsi="Times New Roman" w:cs="Times New Roman"/>
                <w:b w:val="0"/>
                <w:bCs w:val="0"/>
                <w:color w:val="auto"/>
                <w:sz w:val="24"/>
                <w:highlight w:val="none"/>
                <w:lang w:val="en-US" w:eastAsia="zh-CN"/>
              </w:rPr>
              <w:t>平昌县第二人民医院2#医疗综合楼四楼东北角。</w:t>
            </w:r>
          </w:p>
          <w:p w14:paraId="685918C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cs="Times New Roman"/>
                <w:color w:val="auto"/>
                <w:spacing w:val="5"/>
                <w:sz w:val="24"/>
                <w:highlight w:val="none"/>
                <w:shd w:val="clear" w:color="auto" w:fill="FFFFFF"/>
                <w:lang w:val="en-US" w:eastAsia="zh-CN"/>
              </w:rPr>
            </w:pPr>
            <w:r>
              <w:rPr>
                <w:rFonts w:hint="eastAsia" w:ascii="Times New Roman" w:hAnsi="Times New Roman" w:cs="Times New Roman"/>
                <w:color w:val="auto"/>
                <w:sz w:val="24"/>
                <w:highlight w:val="none"/>
                <w:lang w:val="en-US" w:eastAsia="zh-CN"/>
              </w:rPr>
              <w:t>屏蔽实体50m范围内保护目标有东侧</w:t>
            </w:r>
            <w:r>
              <w:rPr>
                <w:rFonts w:hint="eastAsia" w:ascii="Times New Roman" w:hAnsi="Times New Roman" w:cs="Times New Roman"/>
                <w:color w:val="auto"/>
                <w:spacing w:val="5"/>
                <w:sz w:val="24"/>
                <w:highlight w:val="none"/>
                <w:shd w:val="clear" w:color="auto" w:fill="FFFFFF"/>
                <w:lang w:val="en-US" w:eastAsia="zh-CN"/>
              </w:rPr>
              <w:t>30-50m的1#医疗综合楼的医生办公室、南侧38-50m的皮肤科门诊、西侧0-2m患者缓冲区、10-50m血液透析大厅，介入室正上方的裙房屋面、介入室正下方的口腔门诊等。DSA介入室及辅房周围设置有物理隔离，进口口设置有门禁，极大程度减小了公众误入的可能。DSA介入室拟建位置靠近电梯厅和楼梯，有利于病人转运，一旦发生事故，周围公众能很快得到疏散。在确保核技术利用项目选址地点周围保护目标尽可能少的同时，医院也将通过采取相应有效治理和屏蔽措施减少对周围的环境影响。</w:t>
            </w:r>
          </w:p>
          <w:p w14:paraId="12F182F5">
            <w:pPr>
              <w:autoSpaceDE w:val="0"/>
              <w:autoSpaceDN w:val="0"/>
              <w:adjustRightInd w:val="0"/>
              <w:snapToGrid w:val="0"/>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综上而言，平昌县第二人民医院选址合理性已在其环评报告中论述，本项目为医疗设备建设项目，与院区规划相容。DSA介入室位于东北角，在选址时尽可能考虑了周围保护目标最小化。且DSA介入室为专门的辐射工作场所，具有良好的实体屏蔽措施和防护措施，产生的辐射经屏蔽和防护后对周围环境影响较小，从辐射安全防护的角度分析，</w:t>
            </w:r>
            <w:r>
              <w:rPr>
                <w:rFonts w:hint="default" w:ascii="Times New Roman" w:hAnsi="Times New Roman" w:cs="Times New Roman"/>
                <w:color w:val="auto"/>
                <w:sz w:val="24"/>
                <w:highlight w:val="none"/>
                <w:lang w:val="en-US" w:eastAsia="zh-CN"/>
              </w:rPr>
              <w:t>本项目选址合理。</w:t>
            </w:r>
          </w:p>
          <w:p w14:paraId="0E23AC1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综上，本项目选址合理。</w:t>
            </w:r>
          </w:p>
          <w:p w14:paraId="6AC28FDC">
            <w:pPr>
              <w:keepNext w:val="0"/>
              <w:keepLines w:val="0"/>
              <w:pageBreakBefore w:val="0"/>
              <w:widowControl w:val="0"/>
              <w:kinsoku/>
              <w:wordWrap/>
              <w:overflowPunct/>
              <w:topLinePunct w:val="0"/>
              <w:bidi w:val="0"/>
              <w:adjustRightInd w:val="0"/>
              <w:snapToGrid w:val="0"/>
              <w:spacing w:line="360" w:lineRule="auto"/>
              <w:textAlignment w:val="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四、工程所在地区环境质量现状</w:t>
            </w:r>
          </w:p>
          <w:p w14:paraId="699AACD8">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项目所在区域的X-γ辐射背景值为</w:t>
            </w:r>
            <w:r>
              <w:rPr>
                <w:rFonts w:hint="eastAsia" w:ascii="Times New Roman" w:hAnsi="Times New Roman" w:cs="Times New Roman"/>
                <w:b w:val="0"/>
                <w:bCs/>
                <w:color w:val="auto"/>
                <w:sz w:val="24"/>
                <w:szCs w:val="24"/>
                <w:highlight w:val="none"/>
                <w:lang w:val="en-US" w:eastAsia="zh-CN"/>
              </w:rPr>
              <w:t>73.8</w:t>
            </w:r>
            <w:r>
              <w:rPr>
                <w:rFonts w:hint="default" w:ascii="Times New Roman" w:hAnsi="Times New Roman" w:eastAsia="宋体" w:cs="Times New Roman"/>
                <w:b w:val="0"/>
                <w:bCs/>
                <w:color w:val="auto"/>
                <w:sz w:val="24"/>
                <w:szCs w:val="24"/>
                <w:highlight w:val="none"/>
                <w:lang w:val="en-US" w:eastAsia="zh-CN"/>
              </w:rPr>
              <w:t xml:space="preserve"> nGy/h ~</w:t>
            </w:r>
            <w:r>
              <w:rPr>
                <w:rFonts w:hint="default" w:ascii="Times New Roman" w:hAnsi="Times New Roman" w:cs="Times New Roman"/>
                <w:b w:val="0"/>
                <w:bCs/>
                <w:color w:val="auto"/>
                <w:sz w:val="24"/>
                <w:szCs w:val="24"/>
                <w:highlight w:val="none"/>
                <w:lang w:val="en-US" w:eastAsia="zh-CN"/>
              </w:rPr>
              <w:t>1</w:t>
            </w:r>
            <w:r>
              <w:rPr>
                <w:rFonts w:hint="eastAsia" w:ascii="Times New Roman" w:hAnsi="Times New Roman" w:cs="Times New Roman"/>
                <w:b w:val="0"/>
                <w:bCs/>
                <w:color w:val="auto"/>
                <w:sz w:val="24"/>
                <w:szCs w:val="24"/>
                <w:highlight w:val="none"/>
                <w:lang w:val="en-US" w:eastAsia="zh-CN"/>
              </w:rPr>
              <w:t>25.2</w:t>
            </w:r>
            <w:r>
              <w:rPr>
                <w:rFonts w:hint="default" w:ascii="Times New Roman" w:hAnsi="Times New Roman" w:eastAsia="宋体" w:cs="Times New Roman"/>
                <w:b w:val="0"/>
                <w:bCs/>
                <w:color w:val="auto"/>
                <w:sz w:val="24"/>
                <w:szCs w:val="24"/>
                <w:highlight w:val="none"/>
                <w:lang w:val="en-US" w:eastAsia="zh-CN"/>
              </w:rPr>
              <w:t xml:space="preserve"> nGy/h，与四川省生态环境厅《2024年四川省生态环境状况公报》中</w:t>
            </w:r>
            <w:r>
              <w:rPr>
                <w:rFonts w:hint="eastAsia" w:ascii="Times New Roman" w:hAnsi="Times New Roman" w:eastAsia="宋体" w:cs="Times New Roman"/>
                <w:b w:val="0"/>
                <w:bCs/>
                <w:color w:val="auto"/>
                <w:sz w:val="24"/>
                <w:szCs w:val="24"/>
                <w:highlight w:val="none"/>
                <w:lang w:val="en-US" w:eastAsia="zh-CN"/>
              </w:rPr>
              <w:t>巴中市</w:t>
            </w:r>
            <w:r>
              <w:rPr>
                <w:rFonts w:hint="default" w:ascii="Times New Roman" w:hAnsi="Times New Roman" w:eastAsia="宋体" w:cs="Times New Roman"/>
                <w:b w:val="0"/>
                <w:bCs/>
                <w:color w:val="auto"/>
                <w:sz w:val="24"/>
                <w:szCs w:val="24"/>
                <w:highlight w:val="none"/>
                <w:lang w:val="en-US" w:eastAsia="zh-CN"/>
              </w:rPr>
              <w:t>辐射环境自动监测站实时连续监测空气吸收剂量率监测结果（</w:t>
            </w:r>
            <w:r>
              <w:rPr>
                <w:rFonts w:hint="eastAsia" w:ascii="Times New Roman" w:hAnsi="Times New Roman" w:eastAsia="宋体" w:cs="Times New Roman"/>
                <w:b w:val="0"/>
                <w:bCs/>
                <w:color w:val="auto"/>
                <w:sz w:val="24"/>
                <w:szCs w:val="24"/>
                <w:highlight w:val="none"/>
                <w:lang w:val="en-US" w:eastAsia="zh-CN"/>
              </w:rPr>
              <w:t>70-</w:t>
            </w:r>
            <w:r>
              <w:rPr>
                <w:rFonts w:hint="default" w:ascii="Times New Roman" w:hAnsi="Times New Roman" w:eastAsia="宋体" w:cs="Times New Roman"/>
                <w:b w:val="0"/>
                <w:bCs/>
                <w:color w:val="auto"/>
                <w:sz w:val="24"/>
                <w:szCs w:val="24"/>
                <w:highlight w:val="none"/>
                <w:lang w:val="en-US" w:eastAsia="zh-CN"/>
              </w:rPr>
              <w:t>1</w:t>
            </w:r>
            <w:r>
              <w:rPr>
                <w:rFonts w:hint="eastAsia" w:ascii="Times New Roman" w:hAnsi="Times New Roman" w:eastAsia="宋体" w:cs="Times New Roman"/>
                <w:b w:val="0"/>
                <w:bCs/>
                <w:color w:val="auto"/>
                <w:sz w:val="24"/>
                <w:szCs w:val="24"/>
                <w:highlight w:val="none"/>
                <w:lang w:val="en-US" w:eastAsia="zh-CN"/>
              </w:rPr>
              <w:t>0</w:t>
            </w:r>
            <w:r>
              <w:rPr>
                <w:rFonts w:hint="default" w:ascii="Times New Roman" w:hAnsi="Times New Roman" w:eastAsia="宋体" w:cs="Times New Roman"/>
                <w:b w:val="0"/>
                <w:bCs/>
                <w:color w:val="auto"/>
                <w:sz w:val="24"/>
                <w:szCs w:val="24"/>
                <w:highlight w:val="none"/>
                <w:lang w:val="en-US" w:eastAsia="zh-CN"/>
              </w:rPr>
              <w:t>0nGy）</w:t>
            </w:r>
            <w:r>
              <w:rPr>
                <w:rFonts w:hint="eastAsia" w:ascii="Times New Roman" w:hAnsi="Times New Roman" w:cs="Times New Roman"/>
                <w:b w:val="0"/>
                <w:bCs/>
                <w:color w:val="auto"/>
                <w:sz w:val="24"/>
                <w:szCs w:val="24"/>
                <w:highlight w:val="none"/>
                <w:lang w:val="en-US" w:eastAsia="zh-CN"/>
              </w:rPr>
              <w:t>基本</w:t>
            </w:r>
            <w:r>
              <w:rPr>
                <w:rFonts w:hint="default" w:ascii="Times New Roman" w:hAnsi="Times New Roman" w:eastAsia="宋体" w:cs="Times New Roman"/>
                <w:b w:val="0"/>
                <w:bCs/>
                <w:color w:val="auto"/>
                <w:sz w:val="24"/>
                <w:szCs w:val="24"/>
                <w:highlight w:val="none"/>
                <w:lang w:val="en-US" w:eastAsia="zh-CN"/>
              </w:rPr>
              <w:t>相当，属于当地天然本底辐射水平。</w:t>
            </w:r>
          </w:p>
          <w:p w14:paraId="7176C32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b/>
                <w:bCs w:val="0"/>
                <w:color w:val="auto"/>
                <w:highlight w:val="none"/>
                <w:lang w:val="en-US" w:eastAsia="zh-CN"/>
              </w:rPr>
            </w:pPr>
            <w:r>
              <w:rPr>
                <w:rFonts w:hint="eastAsia" w:ascii="Times New Roman" w:hAnsi="Times New Roman" w:eastAsia="宋体" w:cs="Times New Roman"/>
                <w:b w:val="0"/>
                <w:bCs/>
                <w:snapToGrid/>
                <w:color w:val="auto"/>
                <w:kern w:val="2"/>
                <w:sz w:val="24"/>
                <w:highlight w:val="none"/>
                <w:lang w:val="en-US" w:eastAsia="zh-CN"/>
              </w:rPr>
              <w:t>本项目监测值略偏高的主要原因在于：一是监测点位多位于建筑物室内，建筑材料中的天然放射性核素会对γ射线产生一定的散射和屏蔽效应，导致室内剂量率通常高于室外开阔环境；二是DSA介入室拟建址内部点位因空间相对封闭、墙体材料密度较高，形成了一定的本底累积效应。拟建址内部点位剂量率最高，室外点位剂量率低于室内，这一分布规律符合放射性物质在屏蔽介质中的衰减规律。</w:t>
            </w:r>
          </w:p>
          <w:p w14:paraId="5D3BEC37">
            <w:pPr>
              <w:adjustRightInd w:val="0"/>
              <w:snapToGrid w:val="0"/>
              <w:spacing w:line="358"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五、环境影响评价分析结论</w:t>
            </w:r>
          </w:p>
          <w:p w14:paraId="0CF223DE">
            <w:pPr>
              <w:adjustRightInd w:val="0"/>
              <w:snapToGrid w:val="0"/>
              <w:spacing w:line="358" w:lineRule="auto"/>
              <w:ind w:firstLine="472" w:firstLineChars="200"/>
              <w:rPr>
                <w:rFonts w:hint="default" w:ascii="Times New Roman" w:hAnsi="Times New Roman" w:cs="Times New Roman"/>
                <w:color w:val="auto"/>
                <w:spacing w:val="-2"/>
                <w:sz w:val="24"/>
                <w:highlight w:val="none"/>
              </w:rPr>
            </w:pPr>
            <w:r>
              <w:rPr>
                <w:rFonts w:hint="default" w:ascii="Times New Roman" w:hAnsi="Times New Roman" w:cs="Times New Roman"/>
                <w:color w:val="auto"/>
                <w:spacing w:val="-2"/>
                <w:sz w:val="24"/>
                <w:highlight w:val="none"/>
              </w:rPr>
              <w:t>根据理论计算，DSA机房</w:t>
            </w:r>
            <w:r>
              <w:rPr>
                <w:rFonts w:hint="default" w:ascii="Times New Roman" w:hAnsi="Times New Roman" w:cs="Times New Roman"/>
                <w:bCs/>
                <w:color w:val="auto"/>
                <w:sz w:val="24"/>
                <w:highlight w:val="none"/>
              </w:rPr>
              <w:t>四周墙体、铅防护门、观察窗、顶部的屏蔽条件均能满足辐射屏蔽的要求，即透视和拍片时在设计或已有的防护条件下，屏蔽体外表面0.3m外的周围剂量当量率均满足《放射诊断放射防护要求》（GBZ130-2020）要求。</w:t>
            </w:r>
            <w:r>
              <w:rPr>
                <w:rFonts w:hint="default" w:ascii="Times New Roman" w:hAnsi="Times New Roman" w:cs="Times New Roman"/>
                <w:color w:val="auto"/>
                <w:spacing w:val="-2"/>
                <w:sz w:val="24"/>
                <w:highlight w:val="none"/>
              </w:rPr>
              <w:t>本项目</w:t>
            </w:r>
            <w:r>
              <w:rPr>
                <w:rFonts w:hint="default" w:ascii="Times New Roman" w:hAnsi="Times New Roman" w:cs="Times New Roman"/>
                <w:color w:val="auto"/>
                <w:sz w:val="24"/>
                <w:highlight w:val="none"/>
              </w:rPr>
              <w:t>辐射</w:t>
            </w:r>
            <w:r>
              <w:rPr>
                <w:rFonts w:hint="default" w:ascii="Times New Roman" w:hAnsi="Times New Roman" w:cs="Times New Roman"/>
                <w:color w:val="auto"/>
                <w:spacing w:val="-2"/>
                <w:sz w:val="24"/>
                <w:highlight w:val="none"/>
              </w:rPr>
              <w:t>工作人员、周围公众年有效剂量均能够满足《电离辐射防护与辐射源安全基本标准》（GB18871-2002）剂量限值和本项目管理目标限值的要求（职业人员年有效剂量不超过5mSv；职业人员四肢（手和足）或皮肤年当量剂量约束值为125mSv；职业人员单季度剂量约束值为1.25mSv；公众年有效剂量不超过0.1mSv）。</w:t>
            </w:r>
          </w:p>
          <w:p w14:paraId="0EA6E827">
            <w:pPr>
              <w:adjustRightInd w:val="0"/>
              <w:snapToGrid w:val="0"/>
              <w:spacing w:line="358"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六、事故风险与防范</w:t>
            </w:r>
          </w:p>
          <w:p w14:paraId="2883FE57">
            <w:pPr>
              <w:adjustRightInd w:val="0"/>
              <w:snapToGrid w:val="0"/>
              <w:spacing w:line="358" w:lineRule="auto"/>
              <w:ind w:firstLine="55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医院制订的安全规章制度内容较全面、措施可行，应认真贯彻实施，以减少和避免发生辐射事故与突发事件。医院制定的应急预案需按环评提出的要求进行完善。</w:t>
            </w:r>
          </w:p>
          <w:p w14:paraId="6E5411CB">
            <w:pPr>
              <w:adjustRightInd w:val="0"/>
              <w:snapToGrid w:val="0"/>
              <w:spacing w:line="358"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七、环保设施与保护目标</w:t>
            </w:r>
          </w:p>
          <w:p w14:paraId="015C7D7C">
            <w:pPr>
              <w:adjustRightInd w:val="0"/>
              <w:snapToGrid w:val="0"/>
              <w:spacing w:line="358"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医院现有和设计的环保设施配置较全，总体效能良好，可使本次环评中确定的保护目标所受的辐射剂量保持在合理的、可达到的尽可能低的水平。</w:t>
            </w:r>
          </w:p>
          <w:p w14:paraId="7AF99B7E">
            <w:pPr>
              <w:adjustRightInd w:val="0"/>
              <w:snapToGrid w:val="0"/>
              <w:spacing w:line="358"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八、医院辐射安全管理的综合能力</w:t>
            </w:r>
          </w:p>
          <w:p w14:paraId="3283495B">
            <w:pPr>
              <w:adjustRightInd w:val="0"/>
              <w:snapToGrid w:val="0"/>
              <w:spacing w:line="358" w:lineRule="auto"/>
              <w:ind w:firstLine="55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医院辐射安全管理机构健全，有领导分管，人员落实，责任明确，辐射工作人员配置合理，考试（核）合格，有辐射事故应急预案与安全规章制度；环保设施总体效能良好，可满足防护实际需要。对本次DSA医用辐射设备和场所而言，医院在一一落实设计的环保设施和相关法律法规要求后，医院具备辐射安全管理的综合能力。</w:t>
            </w:r>
          </w:p>
          <w:p w14:paraId="2C1E2695">
            <w:pPr>
              <w:adjustRightInd w:val="0"/>
              <w:snapToGrid w:val="0"/>
              <w:spacing w:line="358"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九、项目环保可行性结论</w:t>
            </w:r>
          </w:p>
          <w:p w14:paraId="0D7CAE14">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建设单位在采取切实可行的环保措施，落实本报告提出的各项污染防治措施后，本评价认为，本项目</w:t>
            </w:r>
            <w:r>
              <w:rPr>
                <w:rFonts w:hint="default" w:ascii="Times New Roman" w:hAnsi="Times New Roman" w:cs="Times New Roman"/>
                <w:color w:val="auto"/>
                <w:sz w:val="24"/>
                <w:highlight w:val="none"/>
                <w:lang w:eastAsia="zh-CN"/>
              </w:rPr>
              <w:t>在</w:t>
            </w:r>
            <w:r>
              <w:rPr>
                <w:rFonts w:hint="default" w:ascii="Times New Roman" w:hAnsi="Times New Roman" w:eastAsia="宋体" w:cs="Times New Roman"/>
                <w:color w:val="auto"/>
                <w:sz w:val="24"/>
                <w:highlight w:val="none"/>
                <w:lang w:val="en-US" w:eastAsia="zh-CN"/>
              </w:rPr>
              <w:t>平昌县第二人民医院</w:t>
            </w:r>
            <w:r>
              <w:rPr>
                <w:rFonts w:hint="eastAsia" w:ascii="Times New Roman" w:hAnsi="Times New Roman" w:cs="Times New Roman"/>
                <w:color w:val="auto"/>
                <w:sz w:val="24"/>
                <w:highlight w:val="none"/>
                <w:lang w:val="en-US" w:eastAsia="zh-CN"/>
              </w:rPr>
              <w:t>黄滩坝院区</w:t>
            </w:r>
            <w:r>
              <w:rPr>
                <w:rFonts w:hint="default" w:ascii="Times New Roman" w:hAnsi="Times New Roman" w:eastAsia="宋体" w:cs="Times New Roman"/>
                <w:color w:val="auto"/>
                <w:sz w:val="24"/>
                <w:highlight w:val="none"/>
                <w:lang w:val="en-US" w:eastAsia="zh-CN"/>
              </w:rPr>
              <w:t>的</w:t>
            </w:r>
            <w:r>
              <w:rPr>
                <w:rFonts w:hint="eastAsia" w:ascii="Times New Roman" w:hAnsi="Times New Roman" w:cs="Times New Roman"/>
                <w:color w:val="auto"/>
                <w:sz w:val="24"/>
                <w:highlight w:val="none"/>
                <w:lang w:val="en-US" w:eastAsia="zh-CN"/>
              </w:rPr>
              <w:t>2#</w:t>
            </w:r>
            <w:r>
              <w:rPr>
                <w:rFonts w:hint="default" w:ascii="Times New Roman" w:hAnsi="Times New Roman" w:eastAsia="宋体" w:cs="Times New Roman"/>
                <w:color w:val="auto"/>
                <w:sz w:val="24"/>
                <w:highlight w:val="none"/>
                <w:lang w:val="en-US" w:eastAsia="zh-CN"/>
              </w:rPr>
              <w:t>医疗综合楼四楼东北角</w:t>
            </w:r>
            <w:r>
              <w:rPr>
                <w:rFonts w:hint="default" w:ascii="Times New Roman" w:hAnsi="Times New Roman" w:cs="Times New Roman"/>
                <w:color w:val="auto"/>
                <w:sz w:val="24"/>
                <w:highlight w:val="none"/>
              </w:rPr>
              <w:t>进行建设，从环境保护和辐射安全角度看是可行的。</w:t>
            </w:r>
          </w:p>
          <w:p w14:paraId="1A978B92">
            <w:pPr>
              <w:widowControl/>
              <w:adjustRightInd w:val="0"/>
              <w:snapToGrid w:val="0"/>
              <w:spacing w:line="358" w:lineRule="auto"/>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建议</w:t>
            </w:r>
          </w:p>
          <w:p w14:paraId="21164B86">
            <w:pPr>
              <w:widowControl/>
              <w:adjustRightInd w:val="0"/>
              <w:snapToGrid w:val="0"/>
              <w:spacing w:line="358"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lang w:bidi="ar"/>
              </w:rPr>
              <w:t xml:space="preserve">1、落实本报告中的各项辐射防护措施和安全管理制度。 </w:t>
            </w:r>
          </w:p>
          <w:p w14:paraId="3003DB9F">
            <w:pPr>
              <w:widowControl/>
              <w:adjustRightInd w:val="0"/>
              <w:snapToGrid w:val="0"/>
              <w:spacing w:line="358"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lang w:bidi="ar"/>
              </w:rPr>
              <w:t xml:space="preserve">2、建设单位须重视控制区和监督区的管理。 </w:t>
            </w:r>
          </w:p>
          <w:p w14:paraId="35DA05C7">
            <w:pPr>
              <w:widowControl/>
              <w:adjustRightInd w:val="0"/>
              <w:snapToGrid w:val="0"/>
              <w:spacing w:line="358"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lang w:bidi="ar"/>
              </w:rPr>
              <w:t xml:space="preserve">3、医院应严格执行辐射工作人员学习考核制度，组织辐射工作人员、相关管理人员到生态环境部网上免费学习考核平台（http://fushe.mee.gov.cn）中进行辐射安全与防护专业知识的学习，考核通过后方能继续上岗。 </w:t>
            </w:r>
          </w:p>
          <w:p w14:paraId="01FC860F">
            <w:pPr>
              <w:widowControl/>
              <w:adjustRightInd w:val="0"/>
              <w:snapToGrid w:val="0"/>
              <w:spacing w:line="358"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lang w:bidi="ar"/>
              </w:rPr>
              <w:t xml:space="preserve">4、本项目配套建设的环境保护设施竣工后，及时办理《辐射安全许可证》，并在取得《辐射安全许可证》3个月内完成本项目自主验收。 </w:t>
            </w:r>
          </w:p>
          <w:p w14:paraId="2C7512C8">
            <w:pPr>
              <w:widowControl/>
              <w:adjustRightInd w:val="0"/>
              <w:snapToGrid w:val="0"/>
              <w:spacing w:line="358"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lang w:bidi="ar"/>
              </w:rPr>
              <w:t xml:space="preserve">5、定期开展场所和环境的辐射监测，据此对所用的射线装置的安全和防护状况进行年度评估，编写辐射安全和防护状况年度自查评估报告，并于每年1月31日前在核安全申报系统中进行报送，报送内容包括：①辐射安全和防护设施的运行与维护情况；②辐射安全和防护制度及措施的制定与落实情况；③辐射工作人员变动及接受辐射安全和防护知识教育学习考核情况；④场所辐射环境监测报告和个人剂量监测情况监测数据；⑤辐射事故及应急响应情况；⑥核技术利用项目新建、改建、扩建和退役情况； ⑦存在的安全隐患及其整改情况；⑧其他有关法律、法规规定的落实情况。 </w:t>
            </w:r>
          </w:p>
          <w:p w14:paraId="4881197A">
            <w:pPr>
              <w:widowControl/>
              <w:adjustRightInd w:val="0"/>
              <w:snapToGrid w:val="0"/>
              <w:spacing w:line="358"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lang w:bidi="ar"/>
              </w:rPr>
              <w:t>6、按照《四川省辐射污染防治条例》，射线装置在报废处置时，使用单位应当对射线装置内的高压射线管进行拆解和去功能化处理。</w:t>
            </w:r>
          </w:p>
          <w:p w14:paraId="029481D8">
            <w:pPr>
              <w:widowControl/>
              <w:adjustRightInd w:val="0"/>
              <w:snapToGrid w:val="0"/>
              <w:spacing w:line="358"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lang w:bidi="ar"/>
              </w:rPr>
              <w:t>7、建设单位必须在全国核技术利用辐射安全申报系统（网址：</w:t>
            </w:r>
            <w:r>
              <w:rPr>
                <w:rFonts w:hint="default" w:ascii="Times New Roman" w:hAnsi="Times New Roman" w:cs="Times New Roman"/>
                <w:color w:val="auto"/>
                <w:sz w:val="24"/>
                <w:highlight w:val="none"/>
              </w:rPr>
              <w:t>http://</w:t>
            </w:r>
            <w:r>
              <w:rPr>
                <w:rFonts w:hint="default" w:ascii="Times New Roman" w:hAnsi="Times New Roman" w:cs="Times New Roman"/>
                <w:color w:val="auto"/>
                <w:kern w:val="0"/>
                <w:sz w:val="24"/>
                <w:highlight w:val="none"/>
                <w:lang w:bidi="ar"/>
              </w:rPr>
              <w:t>rr.mee.gov.cn）中实施申报登记。申领、延续、更换《辐射安全许可证》、新增或注销射线装置以及单位信息变更、个人剂量、年度评估报告等信息均应及时在系统中申报。</w:t>
            </w:r>
          </w:p>
          <w:p w14:paraId="221F5D78">
            <w:pPr>
              <w:widowControl/>
              <w:adjustRightInd w:val="0"/>
              <w:snapToGrid w:val="0"/>
              <w:spacing w:line="358" w:lineRule="auto"/>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承诺</w:t>
            </w:r>
          </w:p>
          <w:p w14:paraId="4B57EB5E">
            <w:pPr>
              <w:pStyle w:val="57"/>
              <w:snapToGrid w:val="0"/>
              <w:spacing w:line="358" w:lineRule="auto"/>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（1）建设单位在变更辐射安全许可证前，注册并登录全国核技术利用辐射安全申报系统（网址：http://rr.mee.gov.cn），对建设单位所用射线装置的相关信息进行填写。</w:t>
            </w:r>
          </w:p>
          <w:p w14:paraId="1F48CC1C">
            <w:pPr>
              <w:pStyle w:val="57"/>
              <w:snapToGrid w:val="0"/>
              <w:spacing w:line="358" w:lineRule="auto"/>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（2）尽快安排未取得成绩报告单的辐射工作人员在国家核技术利用辐射安全与防护培训平台（网址：http://fushe.mee.gov.cn）学习相关知识并报名参加考核</w:t>
            </w:r>
            <w:r>
              <w:rPr>
                <w:rFonts w:hint="default" w:ascii="Times New Roman" w:hAnsi="Times New Roman" w:cs="Times New Roman"/>
                <w:color w:val="auto"/>
                <w:sz w:val="24"/>
                <w:highlight w:val="none"/>
                <w:lang w:val="en-US" w:eastAsia="zh-CN"/>
              </w:rPr>
              <w:t>并取得成绩合格证书</w:t>
            </w:r>
            <w:r>
              <w:rPr>
                <w:rFonts w:hint="default" w:ascii="Times New Roman" w:hAnsi="Times New Roman" w:cs="Times New Roman"/>
                <w:color w:val="auto"/>
                <w:sz w:val="24"/>
                <w:highlight w:val="none"/>
              </w:rPr>
              <w:t>。</w:t>
            </w:r>
          </w:p>
          <w:p w14:paraId="6A27807D">
            <w:pPr>
              <w:pStyle w:val="57"/>
              <w:snapToGrid w:val="0"/>
              <w:spacing w:line="358" w:lineRule="auto"/>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（3）项目应按照国家相关法律法规尽快进行验收。</w:t>
            </w:r>
          </w:p>
          <w:p w14:paraId="1F61C6DB">
            <w:pPr>
              <w:pStyle w:val="57"/>
              <w:snapToGrid w:val="0"/>
              <w:spacing w:line="358" w:lineRule="auto"/>
              <w:ind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（4）接受生态环境主管部门的监督检查。</w:t>
            </w:r>
          </w:p>
          <w:p w14:paraId="78F311F4">
            <w:pPr>
              <w:widowControl/>
              <w:adjustRightInd w:val="0"/>
              <w:snapToGrid w:val="0"/>
              <w:spacing w:line="358" w:lineRule="auto"/>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项目竣工验收检查内容</w:t>
            </w:r>
          </w:p>
          <w:p w14:paraId="6058A86A">
            <w:pPr>
              <w:widowControl/>
              <w:adjustRightInd w:val="0"/>
              <w:snapToGrid w:val="0"/>
              <w:spacing w:line="358"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根据《国务院关于修改&lt;建设项目环境保护管理条例&gt;的决定》（国务院682号令），工程建设执行污染治理设施与主体工程同时设计、同时施工、同时投产使用的“三同时”制度。项目投入运行后，建设单位应当按照国务院环境保护行政主管部门规定的标准和程序，自行对配套建设的环境保护设施进行验收，编制验收报告，并依法向社会公开验收报告。</w:t>
            </w:r>
            <w:r>
              <w:rPr>
                <w:rFonts w:hint="default" w:ascii="Times New Roman" w:hAnsi="Times New Roman" w:cs="Times New Roman"/>
                <w:color w:val="auto"/>
                <w:spacing w:val="-3"/>
                <w:kern w:val="0"/>
                <w:sz w:val="24"/>
                <w:highlight w:val="none"/>
              </w:rPr>
              <w:t>根据《建设项目竣工环境保护验收暂行办法》第十二条 除需要取得排污许可证的水和大气污染防治设施外，其他环境保护设施的验收期限一般不超过3个月；需要对该类环境保护设施进行调试或者整改的，验收期限可以适当延期，但最长不超过12个月。建议建设单位在本项目环境保护设施竣工后3个月内进行竣工环保验收。</w:t>
            </w:r>
            <w:r>
              <w:rPr>
                <w:rFonts w:hint="default" w:ascii="Times New Roman" w:hAnsi="Times New Roman" w:cs="Times New Roman"/>
                <w:bCs/>
                <w:color w:val="auto"/>
                <w:sz w:val="24"/>
                <w:highlight w:val="none"/>
              </w:rPr>
              <w:t>本项目竣工环境保护验收一览表见表13-1。</w:t>
            </w:r>
          </w:p>
          <w:p w14:paraId="5A66CBC8">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表13-1 </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环境保护设施验收一览表</w:t>
            </w:r>
          </w:p>
          <w:tbl>
            <w:tblPr>
              <w:tblStyle w:val="22"/>
              <w:tblW w:w="4913"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5"/>
              <w:gridCol w:w="6727"/>
            </w:tblGrid>
            <w:tr w14:paraId="4CEA9B1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64" w:type="pct"/>
                  <w:tcBorders>
                    <w:top w:val="single" w:color="auto" w:sz="4" w:space="0"/>
                    <w:left w:val="single" w:color="auto" w:sz="4" w:space="0"/>
                  </w:tcBorders>
                  <w:shd w:val="clear" w:color="auto" w:fill="auto"/>
                  <w:vAlign w:val="center"/>
                </w:tcPr>
                <w:p w14:paraId="55F47E71">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项目</w:t>
                  </w:r>
                </w:p>
              </w:tc>
              <w:tc>
                <w:tcPr>
                  <w:tcW w:w="4135" w:type="pct"/>
                  <w:tcBorders>
                    <w:top w:val="single" w:color="auto" w:sz="4" w:space="0"/>
                    <w:right w:val="single" w:color="auto" w:sz="4" w:space="0"/>
                  </w:tcBorders>
                  <w:shd w:val="clear" w:color="auto" w:fill="auto"/>
                  <w:vAlign w:val="center"/>
                </w:tcPr>
                <w:p w14:paraId="0141A0E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rPr>
                    <w:t>设施（措施）</w:t>
                  </w:r>
                </w:p>
              </w:tc>
            </w:tr>
            <w:tr w14:paraId="74D6BE7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64" w:type="pct"/>
                  <w:vMerge w:val="restart"/>
                  <w:tcBorders>
                    <w:left w:val="single" w:color="auto" w:sz="4" w:space="0"/>
                  </w:tcBorders>
                  <w:vAlign w:val="center"/>
                </w:tcPr>
                <w:p w14:paraId="6FABCB4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pacing w:val="-11"/>
                      <w:szCs w:val="21"/>
                      <w:highlight w:val="none"/>
                    </w:rPr>
                    <w:t>辐射屏蔽措施</w:t>
                  </w:r>
                </w:p>
              </w:tc>
              <w:tc>
                <w:tcPr>
                  <w:tcW w:w="4135" w:type="pct"/>
                  <w:tcBorders>
                    <w:right w:val="single" w:color="auto" w:sz="4" w:space="0"/>
                  </w:tcBorders>
                  <w:vAlign w:val="center"/>
                </w:tcPr>
                <w:p w14:paraId="4728ADB2">
                  <w:pPr>
                    <w:pStyle w:val="51"/>
                    <w:adjustRightInd w:val="0"/>
                    <w:snapToGrid w:val="0"/>
                    <w:jc w:val="left"/>
                    <w:rPr>
                      <w:rFonts w:hint="default" w:ascii="Times New Roman" w:hAnsi="Times New Roman" w:eastAsia="宋体" w:cs="Times New Roman"/>
                      <w:b w:val="0"/>
                      <w:color w:val="auto"/>
                      <w:kern w:val="2"/>
                      <w:sz w:val="21"/>
                      <w:szCs w:val="21"/>
                      <w:highlight w:val="none"/>
                      <w:lang w:val="en-US" w:eastAsia="zh-CN" w:bidi="ar-SA"/>
                    </w:rPr>
                  </w:pPr>
                  <w:r>
                    <w:rPr>
                      <w:rFonts w:hint="eastAsia" w:ascii="Times New Roman" w:hAnsi="Times New Roman" w:cs="Times New Roman"/>
                      <w:b w:val="0"/>
                      <w:color w:val="auto"/>
                      <w:kern w:val="2"/>
                      <w:sz w:val="21"/>
                      <w:szCs w:val="21"/>
                      <w:highlight w:val="none"/>
                      <w:lang w:val="en-US" w:eastAsia="zh-CN" w:bidi="ar-SA"/>
                    </w:rPr>
                    <w:t>四周墙体：200mm</w:t>
                  </w:r>
                  <w:r>
                    <w:rPr>
                      <w:rFonts w:hint="eastAsia" w:ascii="Times New Roman" w:hAnsi="Times New Roman" w:cs="Times New Roman"/>
                      <w:color w:val="auto"/>
                      <w:szCs w:val="21"/>
                      <w:highlight w:val="none"/>
                      <w:lang w:val="en-US" w:eastAsia="zh-CN"/>
                    </w:rPr>
                    <w:t>厚实心砖砌体+22mm复合射线防护板</w:t>
                  </w:r>
                </w:p>
              </w:tc>
            </w:tr>
            <w:tr w14:paraId="2157E4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64" w:type="pct"/>
                  <w:vMerge w:val="continue"/>
                  <w:tcBorders>
                    <w:left w:val="single" w:color="auto" w:sz="4" w:space="0"/>
                  </w:tcBorders>
                  <w:vAlign w:val="center"/>
                </w:tcPr>
                <w:p w14:paraId="6D262081">
                  <w:pPr>
                    <w:adjustRightInd w:val="0"/>
                    <w:snapToGrid w:val="0"/>
                    <w:jc w:val="center"/>
                    <w:rPr>
                      <w:rFonts w:hint="default" w:ascii="Times New Roman" w:hAnsi="Times New Roman" w:cs="Times New Roman"/>
                      <w:color w:val="auto"/>
                      <w:spacing w:val="-11"/>
                      <w:szCs w:val="21"/>
                      <w:highlight w:val="none"/>
                    </w:rPr>
                  </w:pPr>
                </w:p>
              </w:tc>
              <w:tc>
                <w:tcPr>
                  <w:tcW w:w="4135" w:type="pct"/>
                  <w:tcBorders>
                    <w:right w:val="single" w:color="auto" w:sz="4" w:space="0"/>
                  </w:tcBorders>
                  <w:vAlign w:val="center"/>
                </w:tcPr>
                <w:p w14:paraId="5FF2D1CB">
                  <w:pPr>
                    <w:pStyle w:val="51"/>
                    <w:adjustRightInd w:val="0"/>
                    <w:snapToGrid w:val="0"/>
                    <w:jc w:val="left"/>
                    <w:rPr>
                      <w:rFonts w:hint="default" w:ascii="Times New Roman" w:hAnsi="Times New Roman" w:eastAsia="宋体" w:cs="Times New Roman"/>
                      <w:b w:val="0"/>
                      <w:color w:val="auto"/>
                      <w:kern w:val="2"/>
                      <w:sz w:val="21"/>
                      <w:szCs w:val="21"/>
                      <w:highlight w:val="none"/>
                      <w:lang w:val="en-US" w:eastAsia="zh-CN" w:bidi="ar-SA"/>
                    </w:rPr>
                  </w:pPr>
                  <w:r>
                    <w:rPr>
                      <w:rFonts w:hint="eastAsia" w:ascii="Times New Roman" w:hAnsi="Times New Roman" w:cs="Times New Roman"/>
                      <w:b w:val="0"/>
                      <w:color w:val="auto"/>
                      <w:kern w:val="2"/>
                      <w:sz w:val="21"/>
                      <w:szCs w:val="21"/>
                      <w:highlight w:val="none"/>
                      <w:lang w:val="en-US" w:eastAsia="zh-CN" w:bidi="ar-SA"/>
                    </w:rPr>
                    <w:t>顶部：</w:t>
                  </w:r>
                  <w:r>
                    <w:rPr>
                      <w:rFonts w:hint="eastAsia" w:ascii="Times New Roman" w:hAnsi="Times New Roman" w:cs="Times New Roman"/>
                      <w:color w:val="auto"/>
                      <w:szCs w:val="21"/>
                      <w:highlight w:val="none"/>
                      <w:lang w:val="en-US" w:eastAsia="zh-CN"/>
                    </w:rPr>
                    <w:t>150mm混凝土+22mm复合射线防护板</w:t>
                  </w:r>
                </w:p>
              </w:tc>
            </w:tr>
            <w:tr w14:paraId="47D9A57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864" w:type="pct"/>
                  <w:vMerge w:val="continue"/>
                  <w:tcBorders>
                    <w:left w:val="single" w:color="auto" w:sz="4" w:space="0"/>
                  </w:tcBorders>
                  <w:vAlign w:val="center"/>
                </w:tcPr>
                <w:p w14:paraId="1A5ED1BD">
                  <w:pPr>
                    <w:adjustRightInd w:val="0"/>
                    <w:snapToGrid w:val="0"/>
                    <w:jc w:val="center"/>
                    <w:rPr>
                      <w:rFonts w:hint="default" w:ascii="Times New Roman" w:hAnsi="Times New Roman" w:cs="Times New Roman"/>
                      <w:color w:val="auto"/>
                      <w:szCs w:val="21"/>
                      <w:highlight w:val="none"/>
                    </w:rPr>
                  </w:pPr>
                </w:p>
              </w:tc>
              <w:tc>
                <w:tcPr>
                  <w:tcW w:w="4135" w:type="pct"/>
                  <w:tcBorders>
                    <w:right w:val="single" w:color="auto" w:sz="4" w:space="0"/>
                  </w:tcBorders>
                  <w:vAlign w:val="center"/>
                </w:tcPr>
                <w:p w14:paraId="69986FD2">
                  <w:pPr>
                    <w:pStyle w:val="51"/>
                    <w:adjustRightInd w:val="0"/>
                    <w:snapToGrid w:val="0"/>
                    <w:jc w:val="left"/>
                    <w:rPr>
                      <w:rFonts w:hint="eastAsia"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地面：150mm混凝土+45mm硫酸钡水泥</w:t>
                  </w:r>
                </w:p>
              </w:tc>
            </w:tr>
            <w:tr w14:paraId="2A62042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864" w:type="pct"/>
                  <w:vMerge w:val="continue"/>
                  <w:tcBorders>
                    <w:left w:val="single" w:color="auto" w:sz="4" w:space="0"/>
                  </w:tcBorders>
                  <w:vAlign w:val="center"/>
                </w:tcPr>
                <w:p w14:paraId="4C657CAA">
                  <w:pPr>
                    <w:adjustRightInd w:val="0"/>
                    <w:snapToGrid w:val="0"/>
                    <w:jc w:val="center"/>
                    <w:rPr>
                      <w:rFonts w:hint="default" w:ascii="Times New Roman" w:hAnsi="Times New Roman" w:cs="Times New Roman"/>
                      <w:color w:val="auto"/>
                      <w:szCs w:val="21"/>
                      <w:highlight w:val="none"/>
                    </w:rPr>
                  </w:pPr>
                </w:p>
              </w:tc>
              <w:tc>
                <w:tcPr>
                  <w:tcW w:w="4135" w:type="pct"/>
                  <w:tcBorders>
                    <w:right w:val="single" w:color="auto" w:sz="4" w:space="0"/>
                  </w:tcBorders>
                  <w:vAlign w:val="center"/>
                </w:tcPr>
                <w:p w14:paraId="3E7ADE91">
                  <w:pPr>
                    <w:keepNext w:val="0"/>
                    <w:keepLines w:val="0"/>
                    <w:pageBreakBefore w:val="0"/>
                    <w:widowControl w:val="0"/>
                    <w:kinsoku/>
                    <w:wordWrap/>
                    <w:overflowPunct/>
                    <w:topLinePunct w:val="0"/>
                    <w:bidi w:val="0"/>
                    <w:adjustRightInd w:val="0"/>
                    <w:snapToGrid w:val="0"/>
                    <w:spacing w:line="240" w:lineRule="auto"/>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观察窗：1扇3mmPb厚铅玻璃</w:t>
                  </w:r>
                </w:p>
              </w:tc>
            </w:tr>
            <w:tr w14:paraId="355CFF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4" w:type="pct"/>
                  <w:vMerge w:val="continue"/>
                  <w:tcBorders>
                    <w:left w:val="single" w:color="auto" w:sz="4" w:space="0"/>
                  </w:tcBorders>
                  <w:vAlign w:val="center"/>
                </w:tcPr>
                <w:p w14:paraId="4A8B805A">
                  <w:pPr>
                    <w:adjustRightInd w:val="0"/>
                    <w:snapToGrid w:val="0"/>
                    <w:jc w:val="center"/>
                    <w:rPr>
                      <w:rFonts w:hint="default" w:ascii="Times New Roman" w:hAnsi="Times New Roman" w:cs="Times New Roman"/>
                      <w:color w:val="auto"/>
                      <w:szCs w:val="21"/>
                      <w:highlight w:val="none"/>
                    </w:rPr>
                  </w:pPr>
                </w:p>
              </w:tc>
              <w:tc>
                <w:tcPr>
                  <w:tcW w:w="4135" w:type="pct"/>
                  <w:tcBorders>
                    <w:right w:val="single" w:color="auto" w:sz="4" w:space="0"/>
                  </w:tcBorders>
                  <w:vAlign w:val="center"/>
                </w:tcPr>
                <w:p w14:paraId="7E3B2B50">
                  <w:pPr>
                    <w:keepNext w:val="0"/>
                    <w:keepLines w:val="0"/>
                    <w:pageBreakBefore w:val="0"/>
                    <w:widowControl w:val="0"/>
                    <w:kinsoku/>
                    <w:wordWrap/>
                    <w:overflowPunct/>
                    <w:topLinePunct w:val="0"/>
                    <w:bidi w:val="0"/>
                    <w:adjustRightInd w:val="0"/>
                    <w:snapToGrid w:val="0"/>
                    <w:spacing w:line="240" w:lineRule="auto"/>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防护门：5扇3mmPb的防护门</w:t>
                  </w:r>
                </w:p>
              </w:tc>
            </w:tr>
            <w:tr w14:paraId="00ECBA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4" w:type="pct"/>
                  <w:vMerge w:val="continue"/>
                  <w:tcBorders>
                    <w:left w:val="single" w:color="auto" w:sz="4" w:space="0"/>
                  </w:tcBorders>
                  <w:vAlign w:val="center"/>
                </w:tcPr>
                <w:p w14:paraId="2C1A634A">
                  <w:pPr>
                    <w:adjustRightInd w:val="0"/>
                    <w:snapToGrid w:val="0"/>
                    <w:jc w:val="center"/>
                    <w:rPr>
                      <w:rFonts w:hint="default" w:ascii="Times New Roman" w:hAnsi="Times New Roman" w:cs="Times New Roman"/>
                      <w:color w:val="auto"/>
                      <w:szCs w:val="21"/>
                      <w:highlight w:val="none"/>
                    </w:rPr>
                  </w:pPr>
                </w:p>
              </w:tc>
              <w:tc>
                <w:tcPr>
                  <w:tcW w:w="4135" w:type="pct"/>
                  <w:tcBorders>
                    <w:right w:val="single" w:color="auto" w:sz="4" w:space="0"/>
                  </w:tcBorders>
                  <w:vAlign w:val="center"/>
                </w:tcPr>
                <w:p w14:paraId="19C37E06">
                  <w:pPr>
                    <w:keepNext w:val="0"/>
                    <w:keepLines w:val="0"/>
                    <w:pageBreakBefore w:val="0"/>
                    <w:widowControl w:val="0"/>
                    <w:kinsoku/>
                    <w:wordWrap/>
                    <w:overflowPunct/>
                    <w:topLinePunct w:val="0"/>
                    <w:bidi w:val="0"/>
                    <w:adjustRightInd w:val="0"/>
                    <w:snapToGrid w:val="0"/>
                    <w:spacing w:line="240" w:lineRule="auto"/>
                    <w:jc w:val="center"/>
                    <w:rPr>
                      <w:rFonts w:hint="eastAsia"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操作位局部屏蔽防护措施</w:t>
                  </w:r>
                  <w:r>
                    <w:rPr>
                      <w:rFonts w:hint="eastAsia" w:ascii="Times New Roman" w:hAnsi="Times New Roman" w:cs="Times New Roman"/>
                      <w:color w:val="auto"/>
                      <w:szCs w:val="21"/>
                      <w:highlight w:val="none"/>
                      <w:lang w:eastAsia="zh-CN"/>
                    </w:rPr>
                    <w:t>：</w:t>
                  </w:r>
                  <w:r>
                    <w:rPr>
                      <w:color w:val="auto"/>
                      <w:szCs w:val="21"/>
                      <w:highlight w:val="none"/>
                    </w:rPr>
                    <w:t>设备自带铅帘及铅吊屏</w:t>
                  </w:r>
                </w:p>
              </w:tc>
            </w:tr>
            <w:tr w14:paraId="33AB8E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4" w:type="pct"/>
                  <w:tcBorders>
                    <w:left w:val="single" w:color="auto" w:sz="4" w:space="0"/>
                  </w:tcBorders>
                  <w:vAlign w:val="center"/>
                </w:tcPr>
                <w:p w14:paraId="174987F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通排风系统</w:t>
                  </w:r>
                </w:p>
              </w:tc>
              <w:tc>
                <w:tcPr>
                  <w:tcW w:w="4135" w:type="pct"/>
                  <w:tcBorders>
                    <w:right w:val="single" w:color="auto" w:sz="4" w:space="0"/>
                  </w:tcBorders>
                  <w:vAlign w:val="center"/>
                </w:tcPr>
                <w:p w14:paraId="2E167205">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1套通排风系统</w:t>
                  </w:r>
                </w:p>
              </w:tc>
            </w:tr>
            <w:tr w14:paraId="4E24701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4" w:type="pct"/>
                  <w:vMerge w:val="restart"/>
                  <w:tcBorders>
                    <w:left w:val="single" w:color="auto" w:sz="4" w:space="0"/>
                  </w:tcBorders>
                  <w:vAlign w:val="center"/>
                </w:tcPr>
                <w:p w14:paraId="1061514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安全措施</w:t>
                  </w:r>
                </w:p>
              </w:tc>
              <w:tc>
                <w:tcPr>
                  <w:tcW w:w="4135" w:type="pct"/>
                  <w:tcBorders>
                    <w:right w:val="single" w:color="auto" w:sz="4" w:space="0"/>
                  </w:tcBorders>
                  <w:shd w:val="clear" w:color="auto" w:fill="auto"/>
                  <w:vAlign w:val="center"/>
                </w:tcPr>
                <w:p w14:paraId="63E0E7A4">
                  <w:pPr>
                    <w:pStyle w:val="32"/>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急停按钮：设备自带（DSA床旁和控制室内各1个）</w:t>
                  </w:r>
                </w:p>
              </w:tc>
            </w:tr>
            <w:tr w14:paraId="20F06B4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4" w:type="pct"/>
                  <w:vMerge w:val="continue"/>
                  <w:tcBorders>
                    <w:left w:val="single" w:color="auto" w:sz="4" w:space="0"/>
                  </w:tcBorders>
                  <w:vAlign w:val="center"/>
                </w:tcPr>
                <w:p w14:paraId="7845E0EB">
                  <w:pPr>
                    <w:adjustRightInd w:val="0"/>
                    <w:snapToGrid w:val="0"/>
                    <w:jc w:val="center"/>
                    <w:rPr>
                      <w:rFonts w:hint="default" w:ascii="Times New Roman" w:hAnsi="Times New Roman" w:cs="Times New Roman"/>
                      <w:color w:val="auto"/>
                      <w:szCs w:val="21"/>
                      <w:highlight w:val="none"/>
                    </w:rPr>
                  </w:pPr>
                </w:p>
              </w:tc>
              <w:tc>
                <w:tcPr>
                  <w:tcW w:w="4135" w:type="pct"/>
                  <w:tcBorders>
                    <w:right w:val="single" w:color="auto" w:sz="4" w:space="0"/>
                  </w:tcBorders>
                  <w:shd w:val="clear" w:color="auto" w:fill="auto"/>
                  <w:vAlign w:val="center"/>
                </w:tcPr>
                <w:p w14:paraId="4175ACE1">
                  <w:pPr>
                    <w:pStyle w:val="63"/>
                    <w:keepNext w:val="0"/>
                    <w:keepLines w:val="0"/>
                    <w:pageBreakBefore w:val="0"/>
                    <w:widowControl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门灯连锁：</w:t>
                  </w:r>
                  <w:r>
                    <w:rPr>
                      <w:rFonts w:hint="eastAsia" w:ascii="Times New Roman" w:hAnsi="Times New Roman" w:cs="Times New Roman"/>
                      <w:color w:val="auto"/>
                      <w:szCs w:val="21"/>
                      <w:highlight w:val="none"/>
                      <w:lang w:val="en-US" w:eastAsia="zh-CN"/>
                    </w:rPr>
                    <w:t>5个，5扇门外各1个</w:t>
                  </w:r>
                </w:p>
              </w:tc>
            </w:tr>
            <w:tr w14:paraId="2D112A7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864" w:type="pct"/>
                  <w:vMerge w:val="continue"/>
                  <w:tcBorders>
                    <w:left w:val="single" w:color="auto" w:sz="4" w:space="0"/>
                  </w:tcBorders>
                  <w:vAlign w:val="center"/>
                </w:tcPr>
                <w:p w14:paraId="7EDB87D3">
                  <w:pPr>
                    <w:adjustRightInd w:val="0"/>
                    <w:snapToGrid w:val="0"/>
                    <w:jc w:val="center"/>
                    <w:rPr>
                      <w:rFonts w:hint="default" w:ascii="Times New Roman" w:hAnsi="Times New Roman" w:cs="Times New Roman"/>
                      <w:color w:val="auto"/>
                      <w:szCs w:val="21"/>
                      <w:highlight w:val="none"/>
                    </w:rPr>
                  </w:pPr>
                </w:p>
              </w:tc>
              <w:tc>
                <w:tcPr>
                  <w:tcW w:w="4135" w:type="pct"/>
                  <w:tcBorders>
                    <w:right w:val="single" w:color="auto" w:sz="4" w:space="0"/>
                  </w:tcBorders>
                  <w:shd w:val="clear" w:color="auto" w:fill="auto"/>
                  <w:vAlign w:val="center"/>
                </w:tcPr>
                <w:p w14:paraId="72D40D97">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对讲装置：</w:t>
                  </w:r>
                  <w:r>
                    <w:rPr>
                      <w:rFonts w:hint="eastAsia" w:ascii="Times New Roman" w:hAnsi="Times New Roman" w:cs="Times New Roman"/>
                      <w:color w:val="auto"/>
                      <w:szCs w:val="21"/>
                      <w:highlight w:val="none"/>
                      <w:lang w:val="en-US" w:eastAsia="zh-CN"/>
                    </w:rPr>
                    <w:t>1套，连接DSA介入室和控制室</w:t>
                  </w:r>
                </w:p>
              </w:tc>
            </w:tr>
            <w:tr w14:paraId="2545EA5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864" w:type="pct"/>
                  <w:vMerge w:val="continue"/>
                  <w:tcBorders>
                    <w:left w:val="single" w:color="auto" w:sz="4" w:space="0"/>
                  </w:tcBorders>
                  <w:vAlign w:val="center"/>
                </w:tcPr>
                <w:p w14:paraId="44A8ED3B">
                  <w:pPr>
                    <w:adjustRightInd w:val="0"/>
                    <w:snapToGrid w:val="0"/>
                    <w:jc w:val="center"/>
                    <w:rPr>
                      <w:rFonts w:hint="default" w:ascii="Times New Roman" w:hAnsi="Times New Roman" w:cs="Times New Roman"/>
                      <w:color w:val="auto"/>
                      <w:szCs w:val="21"/>
                      <w:highlight w:val="none"/>
                    </w:rPr>
                  </w:pPr>
                </w:p>
              </w:tc>
              <w:tc>
                <w:tcPr>
                  <w:tcW w:w="4135" w:type="pct"/>
                  <w:tcBorders>
                    <w:right w:val="single" w:color="auto" w:sz="4" w:space="0"/>
                  </w:tcBorders>
                  <w:shd w:val="clear" w:color="auto" w:fill="auto"/>
                  <w:vAlign w:val="center"/>
                </w:tcPr>
                <w:p w14:paraId="4684B9F4">
                  <w:pPr>
                    <w:pStyle w:val="63"/>
                    <w:keepNext w:val="0"/>
                    <w:keepLines w:val="0"/>
                    <w:pageBreakBefore w:val="0"/>
                    <w:widowControl w:val="0"/>
                    <w:kinsoku/>
                    <w:wordWrap/>
                    <w:overflowPunct/>
                    <w:topLinePunct w:val="0"/>
                    <w:bidi w:val="0"/>
                    <w:adjustRightInd w:val="0"/>
                    <w:snapToGrid w:val="0"/>
                    <w:spacing w:line="240" w:lineRule="auto"/>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控制区入口处电离辐射警告标志</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5个，5扇门外各1个</w:t>
                  </w:r>
                </w:p>
              </w:tc>
            </w:tr>
            <w:tr w14:paraId="7FFD07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864" w:type="pct"/>
                  <w:vMerge w:val="continue"/>
                  <w:tcBorders>
                    <w:left w:val="single" w:color="auto" w:sz="4" w:space="0"/>
                  </w:tcBorders>
                  <w:vAlign w:val="center"/>
                </w:tcPr>
                <w:p w14:paraId="72965E72">
                  <w:pPr>
                    <w:adjustRightInd w:val="0"/>
                    <w:snapToGrid w:val="0"/>
                    <w:jc w:val="center"/>
                    <w:rPr>
                      <w:rFonts w:hint="default" w:ascii="Times New Roman" w:hAnsi="Times New Roman" w:cs="Times New Roman"/>
                      <w:color w:val="auto"/>
                      <w:szCs w:val="21"/>
                      <w:highlight w:val="none"/>
                    </w:rPr>
                  </w:pPr>
                </w:p>
              </w:tc>
              <w:tc>
                <w:tcPr>
                  <w:tcW w:w="4135" w:type="pct"/>
                  <w:tcBorders>
                    <w:right w:val="single" w:color="auto" w:sz="4" w:space="0"/>
                  </w:tcBorders>
                  <w:shd w:val="clear" w:color="auto" w:fill="auto"/>
                  <w:vAlign w:val="center"/>
                </w:tcPr>
                <w:p w14:paraId="4C9493AD">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监督区标志：</w:t>
                  </w:r>
                  <w:r>
                    <w:rPr>
                      <w:rFonts w:hint="eastAsia" w:ascii="Times New Roman" w:hAnsi="Times New Roman" w:cs="Times New Roman"/>
                      <w:color w:val="auto"/>
                      <w:szCs w:val="21"/>
                      <w:highlight w:val="none"/>
                      <w:lang w:val="en-US" w:eastAsia="zh-CN"/>
                    </w:rPr>
                    <w:t>3个，患者缓冲区入口处、控制室入口处、污物间入口处</w:t>
                  </w:r>
                </w:p>
              </w:tc>
            </w:tr>
            <w:tr w14:paraId="02FDAD7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864" w:type="pct"/>
                  <w:vMerge w:val="continue"/>
                  <w:tcBorders>
                    <w:left w:val="single" w:color="auto" w:sz="4" w:space="0"/>
                  </w:tcBorders>
                  <w:vAlign w:val="center"/>
                </w:tcPr>
                <w:p w14:paraId="54C4F2F5">
                  <w:pPr>
                    <w:adjustRightInd w:val="0"/>
                    <w:snapToGrid w:val="0"/>
                    <w:jc w:val="center"/>
                    <w:rPr>
                      <w:rFonts w:hint="default" w:ascii="Times New Roman" w:hAnsi="Times New Roman" w:cs="Times New Roman"/>
                      <w:color w:val="auto"/>
                      <w:szCs w:val="21"/>
                      <w:highlight w:val="none"/>
                    </w:rPr>
                  </w:pPr>
                </w:p>
              </w:tc>
              <w:tc>
                <w:tcPr>
                  <w:tcW w:w="4135" w:type="pct"/>
                  <w:tcBorders>
                    <w:right w:val="single" w:color="auto" w:sz="4" w:space="0"/>
                  </w:tcBorders>
                  <w:shd w:val="clear" w:color="auto" w:fill="auto"/>
                  <w:vAlign w:val="center"/>
                </w:tcPr>
                <w:p w14:paraId="2FFB7EA2">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自动闭门装置：</w:t>
                  </w:r>
                  <w:r>
                    <w:rPr>
                      <w:rFonts w:hint="eastAsia" w:ascii="Times New Roman" w:hAnsi="Times New Roman" w:cs="Times New Roman"/>
                      <w:color w:val="auto"/>
                      <w:szCs w:val="21"/>
                      <w:highlight w:val="none"/>
                      <w:lang w:val="en-US" w:eastAsia="zh-CN"/>
                    </w:rPr>
                    <w:t>1个，患者缓冲区门</w:t>
                  </w:r>
                </w:p>
              </w:tc>
            </w:tr>
            <w:tr w14:paraId="7E43124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864" w:type="pct"/>
                  <w:vMerge w:val="continue"/>
                  <w:tcBorders>
                    <w:left w:val="single" w:color="auto" w:sz="4" w:space="0"/>
                  </w:tcBorders>
                  <w:vAlign w:val="center"/>
                </w:tcPr>
                <w:p w14:paraId="45C73236">
                  <w:pPr>
                    <w:adjustRightInd w:val="0"/>
                    <w:snapToGrid w:val="0"/>
                    <w:jc w:val="center"/>
                    <w:rPr>
                      <w:rFonts w:hint="default" w:ascii="Times New Roman" w:hAnsi="Times New Roman" w:cs="Times New Roman"/>
                      <w:color w:val="auto"/>
                      <w:szCs w:val="21"/>
                      <w:highlight w:val="none"/>
                    </w:rPr>
                  </w:pPr>
                </w:p>
              </w:tc>
              <w:tc>
                <w:tcPr>
                  <w:tcW w:w="4135" w:type="pct"/>
                  <w:tcBorders>
                    <w:right w:val="single" w:color="auto" w:sz="4" w:space="0"/>
                  </w:tcBorders>
                  <w:shd w:val="clear" w:color="auto" w:fill="auto"/>
                  <w:vAlign w:val="center"/>
                </w:tcPr>
                <w:p w14:paraId="310D7890">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1套灭火器材（无磁灭火器）：</w:t>
                  </w:r>
                  <w:r>
                    <w:rPr>
                      <w:rFonts w:hint="eastAsia" w:ascii="Times New Roman" w:hAnsi="Times New Roman" w:cs="Times New Roman"/>
                      <w:color w:val="auto"/>
                      <w:szCs w:val="21"/>
                      <w:highlight w:val="none"/>
                      <w:lang w:val="en-US" w:eastAsia="zh-CN"/>
                    </w:rPr>
                    <w:t>控制室内</w:t>
                  </w:r>
                </w:p>
              </w:tc>
            </w:tr>
            <w:tr w14:paraId="7077BC8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864" w:type="pct"/>
                  <w:vMerge w:val="continue"/>
                  <w:tcBorders>
                    <w:left w:val="single" w:color="auto" w:sz="4" w:space="0"/>
                  </w:tcBorders>
                  <w:vAlign w:val="center"/>
                </w:tcPr>
                <w:p w14:paraId="40672AED">
                  <w:pPr>
                    <w:adjustRightInd w:val="0"/>
                    <w:snapToGrid w:val="0"/>
                    <w:jc w:val="center"/>
                    <w:rPr>
                      <w:rFonts w:hint="default" w:ascii="Times New Roman" w:hAnsi="Times New Roman" w:cs="Times New Roman"/>
                      <w:color w:val="auto"/>
                      <w:szCs w:val="21"/>
                      <w:highlight w:val="none"/>
                    </w:rPr>
                  </w:pPr>
                </w:p>
              </w:tc>
              <w:tc>
                <w:tcPr>
                  <w:tcW w:w="4135" w:type="pct"/>
                  <w:tcBorders>
                    <w:right w:val="single" w:color="auto" w:sz="4" w:space="0"/>
                  </w:tcBorders>
                  <w:shd w:val="clear" w:color="auto" w:fill="auto"/>
                  <w:vAlign w:val="center"/>
                </w:tcPr>
                <w:p w14:paraId="6D92BE72">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放射防护注意事项告知栏：1套，患者缓冲区内</w:t>
                  </w:r>
                </w:p>
              </w:tc>
            </w:tr>
            <w:tr w14:paraId="6FAD4CD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864" w:type="pct"/>
                  <w:vMerge w:val="continue"/>
                  <w:tcBorders>
                    <w:left w:val="single" w:color="auto" w:sz="4" w:space="0"/>
                  </w:tcBorders>
                  <w:vAlign w:val="center"/>
                </w:tcPr>
                <w:p w14:paraId="6D2184AD">
                  <w:pPr>
                    <w:adjustRightInd w:val="0"/>
                    <w:snapToGrid w:val="0"/>
                    <w:jc w:val="center"/>
                    <w:rPr>
                      <w:rFonts w:hint="default" w:ascii="Times New Roman" w:hAnsi="Times New Roman" w:cs="Times New Roman"/>
                      <w:color w:val="auto"/>
                      <w:szCs w:val="21"/>
                      <w:highlight w:val="none"/>
                    </w:rPr>
                  </w:pPr>
                </w:p>
              </w:tc>
              <w:tc>
                <w:tcPr>
                  <w:tcW w:w="4135" w:type="pct"/>
                  <w:tcBorders>
                    <w:right w:val="single" w:color="auto" w:sz="4" w:space="0"/>
                  </w:tcBorders>
                  <w:shd w:val="clear" w:color="auto" w:fill="auto"/>
                  <w:vAlign w:val="center"/>
                </w:tcPr>
                <w:p w14:paraId="61D05585">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制度牌：1套，控制室内。</w:t>
                  </w:r>
                </w:p>
              </w:tc>
            </w:tr>
            <w:tr w14:paraId="6FDC902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4" w:type="pct"/>
                  <w:vMerge w:val="restart"/>
                  <w:tcBorders>
                    <w:left w:val="single" w:color="auto" w:sz="4" w:space="0"/>
                  </w:tcBorders>
                  <w:vAlign w:val="center"/>
                </w:tcPr>
                <w:p w14:paraId="7ACD53A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pacing w:val="-11"/>
                      <w:szCs w:val="21"/>
                      <w:highlight w:val="none"/>
                    </w:rPr>
                    <w:t>个人防护用品</w:t>
                  </w:r>
                </w:p>
              </w:tc>
              <w:tc>
                <w:tcPr>
                  <w:tcW w:w="4135" w:type="pct"/>
                  <w:tcBorders>
                    <w:right w:val="single" w:color="auto" w:sz="4" w:space="0"/>
                  </w:tcBorders>
                  <w:vAlign w:val="center"/>
                </w:tcPr>
                <w:p w14:paraId="42556724">
                  <w:pPr>
                    <w:keepNext w:val="0"/>
                    <w:keepLines w:val="0"/>
                    <w:pageBreakBefore w:val="0"/>
                    <w:widowControl w:val="0"/>
                    <w:kinsoku/>
                    <w:wordWrap/>
                    <w:overflowPunct/>
                    <w:topLinePunct w:val="0"/>
                    <w:bidi w:val="0"/>
                    <w:adjustRightInd w:val="0"/>
                    <w:snapToGrid w:val="0"/>
                    <w:spacing w:line="240" w:lineRule="auto"/>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医护人员：</w:t>
                  </w:r>
                  <w:r>
                    <w:rPr>
                      <w:rFonts w:hint="eastAsia"/>
                      <w:color w:val="auto"/>
                      <w:szCs w:val="21"/>
                      <w:highlight w:val="none"/>
                    </w:rPr>
                    <w:t>拟配备</w:t>
                  </w:r>
                  <w:r>
                    <w:rPr>
                      <w:rFonts w:hint="eastAsia"/>
                      <w:color w:val="auto"/>
                      <w:szCs w:val="21"/>
                      <w:highlight w:val="none"/>
                      <w:lang w:val="en-US" w:eastAsia="zh-CN"/>
                    </w:rPr>
                    <w:t>2</w:t>
                  </w:r>
                  <w:r>
                    <w:rPr>
                      <w:color w:val="auto"/>
                      <w:szCs w:val="21"/>
                      <w:highlight w:val="none"/>
                    </w:rPr>
                    <w:t>套医护防护用品（铅橡胶围裙、铅橡胶颈套、铅防护眼镜、介入防护手套）</w:t>
                  </w:r>
                </w:p>
              </w:tc>
            </w:tr>
            <w:tr w14:paraId="61EB048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864" w:type="pct"/>
                  <w:vMerge w:val="continue"/>
                  <w:tcBorders>
                    <w:left w:val="single" w:color="auto" w:sz="4" w:space="0"/>
                  </w:tcBorders>
                  <w:vAlign w:val="center"/>
                </w:tcPr>
                <w:p w14:paraId="35DB400B">
                  <w:pPr>
                    <w:adjustRightInd w:val="0"/>
                    <w:snapToGrid w:val="0"/>
                    <w:jc w:val="center"/>
                    <w:rPr>
                      <w:rFonts w:hint="default" w:ascii="Times New Roman" w:hAnsi="Times New Roman" w:cs="Times New Roman"/>
                      <w:bCs/>
                      <w:color w:val="auto"/>
                      <w:szCs w:val="21"/>
                      <w:highlight w:val="none"/>
                    </w:rPr>
                  </w:pPr>
                </w:p>
              </w:tc>
              <w:tc>
                <w:tcPr>
                  <w:tcW w:w="4135" w:type="pct"/>
                  <w:tcBorders>
                    <w:right w:val="single" w:color="auto" w:sz="4" w:space="0"/>
                  </w:tcBorders>
                  <w:vAlign w:val="center"/>
                </w:tcPr>
                <w:p w14:paraId="181C146D">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患者防护：</w:t>
                  </w:r>
                  <w:r>
                    <w:rPr>
                      <w:rFonts w:hint="eastAsia"/>
                      <w:color w:val="auto"/>
                      <w:szCs w:val="21"/>
                      <w:highlight w:val="none"/>
                    </w:rPr>
                    <w:t>1</w:t>
                  </w:r>
                  <w:r>
                    <w:rPr>
                      <w:color w:val="auto"/>
                      <w:szCs w:val="21"/>
                      <w:highlight w:val="none"/>
                    </w:rPr>
                    <w:t>套</w:t>
                  </w:r>
                  <w:r>
                    <w:rPr>
                      <w:rFonts w:hint="eastAsia"/>
                      <w:color w:val="auto"/>
                      <w:szCs w:val="21"/>
                      <w:highlight w:val="none"/>
                    </w:rPr>
                    <w:t>患者</w:t>
                  </w:r>
                  <w:r>
                    <w:rPr>
                      <w:color w:val="auto"/>
                      <w:szCs w:val="21"/>
                      <w:highlight w:val="none"/>
                    </w:rPr>
                    <w:t>防护用品（医院配备铅橡胶性腺防护围裙（方形）或方巾、铅橡胶颈套）</w:t>
                  </w:r>
                  <w:r>
                    <w:rPr>
                      <w:rFonts w:hint="eastAsia"/>
                      <w:color w:val="auto"/>
                      <w:szCs w:val="21"/>
                      <w:highlight w:val="none"/>
                      <w:lang w:eastAsia="zh-CN"/>
                    </w:rPr>
                    <w:t>，</w:t>
                  </w:r>
                  <w:r>
                    <w:rPr>
                      <w:rFonts w:hint="eastAsia"/>
                      <w:color w:val="auto"/>
                      <w:szCs w:val="21"/>
                      <w:highlight w:val="none"/>
                      <w:lang w:val="en-US" w:eastAsia="zh-CN"/>
                    </w:rPr>
                    <w:t>1套儿童防护用品。</w:t>
                  </w:r>
                </w:p>
              </w:tc>
            </w:tr>
            <w:tr w14:paraId="54D528B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864" w:type="pct"/>
                  <w:vMerge w:val="continue"/>
                  <w:tcBorders>
                    <w:left w:val="single" w:color="auto" w:sz="4" w:space="0"/>
                  </w:tcBorders>
                  <w:vAlign w:val="center"/>
                </w:tcPr>
                <w:p w14:paraId="679A82B1">
                  <w:pPr>
                    <w:adjustRightInd w:val="0"/>
                    <w:snapToGrid w:val="0"/>
                    <w:jc w:val="center"/>
                    <w:rPr>
                      <w:rFonts w:hint="default" w:ascii="Times New Roman" w:hAnsi="Times New Roman" w:cs="Times New Roman"/>
                      <w:bCs/>
                      <w:color w:val="auto"/>
                      <w:szCs w:val="21"/>
                      <w:highlight w:val="none"/>
                    </w:rPr>
                  </w:pPr>
                </w:p>
              </w:tc>
              <w:tc>
                <w:tcPr>
                  <w:tcW w:w="4135" w:type="pct"/>
                  <w:tcBorders>
                    <w:right w:val="single" w:color="auto" w:sz="4" w:space="0"/>
                  </w:tcBorders>
                  <w:vAlign w:val="center"/>
                </w:tcPr>
                <w:p w14:paraId="3B8F4996">
                  <w:pPr>
                    <w:keepNext w:val="0"/>
                    <w:keepLines w:val="0"/>
                    <w:pageBreakBefore w:val="0"/>
                    <w:widowControl w:val="0"/>
                    <w:kinsoku/>
                    <w:wordWrap/>
                    <w:overflowPunct/>
                    <w:topLinePunct w:val="0"/>
                    <w:bidi w:val="0"/>
                    <w:adjustRightInd w:val="0"/>
                    <w:snapToGrid w:val="0"/>
                    <w:spacing w:line="240" w:lineRule="auto"/>
                    <w:jc w:val="center"/>
                    <w:rPr>
                      <w:rFonts w:hint="eastAsia" w:ascii="Times New Roman" w:hAnsi="Times New Roman" w:cs="Times New Roman"/>
                      <w:color w:val="auto"/>
                      <w:szCs w:val="21"/>
                      <w:highlight w:val="none"/>
                      <w:lang w:val="en-US" w:eastAsia="zh-CN"/>
                    </w:rPr>
                  </w:pPr>
                  <w:r>
                    <w:rPr>
                      <w:rFonts w:hint="default" w:ascii="Times New Roman" w:hAnsi="Times New Roman" w:cs="Times New Roman"/>
                      <w:color w:val="auto"/>
                      <w:sz w:val="21"/>
                      <w:szCs w:val="21"/>
                      <w:highlight w:val="none"/>
                    </w:rPr>
                    <w:t>0.5mmPb铅防护吊屏+床下铅帘2套</w:t>
                  </w:r>
                </w:p>
              </w:tc>
            </w:tr>
            <w:tr w14:paraId="2AB68F6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4" w:type="pct"/>
                  <w:vMerge w:val="restart"/>
                  <w:tcBorders>
                    <w:left w:val="single" w:color="auto" w:sz="4" w:space="0"/>
                  </w:tcBorders>
                  <w:vAlign w:val="center"/>
                </w:tcPr>
                <w:p w14:paraId="4A4DC1E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监测</w:t>
                  </w:r>
                </w:p>
              </w:tc>
              <w:tc>
                <w:tcPr>
                  <w:tcW w:w="4135" w:type="pct"/>
                  <w:tcBorders>
                    <w:right w:val="single" w:color="auto" w:sz="4" w:space="0"/>
                  </w:tcBorders>
                  <w:vAlign w:val="center"/>
                </w:tcPr>
                <w:p w14:paraId="57B70011">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辐射监测仪</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1台</w:t>
                  </w:r>
                </w:p>
              </w:tc>
            </w:tr>
            <w:tr w14:paraId="67858E3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64" w:type="pct"/>
                  <w:vMerge w:val="continue"/>
                  <w:tcBorders>
                    <w:left w:val="single" w:color="auto" w:sz="4" w:space="0"/>
                  </w:tcBorders>
                  <w:vAlign w:val="center"/>
                </w:tcPr>
                <w:p w14:paraId="73AE6F64">
                  <w:pPr>
                    <w:adjustRightInd w:val="0"/>
                    <w:snapToGrid w:val="0"/>
                    <w:jc w:val="center"/>
                    <w:rPr>
                      <w:rFonts w:hint="default" w:ascii="Times New Roman" w:hAnsi="Times New Roman" w:cs="Times New Roman"/>
                      <w:color w:val="auto"/>
                      <w:szCs w:val="21"/>
                      <w:highlight w:val="none"/>
                    </w:rPr>
                  </w:pPr>
                </w:p>
              </w:tc>
              <w:tc>
                <w:tcPr>
                  <w:tcW w:w="4135" w:type="pct"/>
                  <w:tcBorders>
                    <w:right w:val="single" w:color="auto" w:sz="4" w:space="0"/>
                  </w:tcBorders>
                  <w:vAlign w:val="center"/>
                </w:tcPr>
                <w:p w14:paraId="1F3FD617">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个人剂量计：拟为本项目配备6套（医师和护师应在铅衣内外各佩戴一个个人剂量计，至少佩戴两个个人剂量计）</w:t>
                  </w:r>
                </w:p>
              </w:tc>
            </w:tr>
            <w:tr w14:paraId="1EDD37A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64" w:type="pct"/>
                  <w:vMerge w:val="continue"/>
                  <w:tcBorders>
                    <w:left w:val="single" w:color="auto" w:sz="4" w:space="0"/>
                  </w:tcBorders>
                  <w:vAlign w:val="center"/>
                </w:tcPr>
                <w:p w14:paraId="566E7973">
                  <w:pPr>
                    <w:adjustRightInd w:val="0"/>
                    <w:snapToGrid w:val="0"/>
                    <w:jc w:val="center"/>
                    <w:rPr>
                      <w:rFonts w:hint="default" w:ascii="Times New Roman" w:hAnsi="Times New Roman" w:cs="Times New Roman"/>
                      <w:color w:val="auto"/>
                      <w:szCs w:val="21"/>
                      <w:highlight w:val="none"/>
                    </w:rPr>
                  </w:pPr>
                </w:p>
              </w:tc>
              <w:tc>
                <w:tcPr>
                  <w:tcW w:w="4135" w:type="pct"/>
                  <w:tcBorders>
                    <w:right w:val="single" w:color="auto" w:sz="4" w:space="0"/>
                  </w:tcBorders>
                  <w:vAlign w:val="center"/>
                </w:tcPr>
                <w:p w14:paraId="503B9879">
                  <w:pPr>
                    <w:keepNext w:val="0"/>
                    <w:keepLines w:val="0"/>
                    <w:pageBreakBefore w:val="0"/>
                    <w:widowControl w:val="0"/>
                    <w:kinsoku/>
                    <w:wordWrap/>
                    <w:overflowPunct/>
                    <w:topLinePunct w:val="0"/>
                    <w:bidi w:val="0"/>
                    <w:adjustRightInd w:val="0"/>
                    <w:snapToGrid w:val="0"/>
                    <w:spacing w:line="240" w:lineRule="auto"/>
                    <w:jc w:val="center"/>
                    <w:rPr>
                      <w:rFonts w:hint="eastAsia" w:ascii="Times New Roman" w:hAnsi="Times New Roman" w:cs="Times New Roman"/>
                      <w:color w:val="auto"/>
                      <w:szCs w:val="21"/>
                      <w:highlight w:val="none"/>
                      <w:lang w:val="en-US" w:eastAsia="zh-CN"/>
                    </w:rPr>
                  </w:pPr>
                  <w:r>
                    <w:rPr>
                      <w:rFonts w:hint="default" w:ascii="Times New Roman" w:hAnsi="Times New Roman" w:cs="Times New Roman"/>
                      <w:color w:val="auto"/>
                      <w:sz w:val="21"/>
                      <w:szCs w:val="21"/>
                      <w:highlight w:val="none"/>
                    </w:rPr>
                    <w:t>射线装置工作场所年度监测、验收监测费用</w:t>
                  </w:r>
                </w:p>
              </w:tc>
            </w:tr>
            <w:tr w14:paraId="1FCA670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4" w:type="pct"/>
                  <w:vMerge w:val="restart"/>
                  <w:tcBorders>
                    <w:left w:val="single" w:color="auto" w:sz="4" w:space="0"/>
                  </w:tcBorders>
                  <w:vAlign w:val="center"/>
                </w:tcPr>
                <w:p w14:paraId="5CFC222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其他</w:t>
                  </w:r>
                </w:p>
              </w:tc>
              <w:tc>
                <w:tcPr>
                  <w:tcW w:w="4135" w:type="pct"/>
                  <w:tcBorders>
                    <w:right w:val="single" w:color="auto" w:sz="4" w:space="0"/>
                  </w:tcBorders>
                  <w:vAlign w:val="center"/>
                </w:tcPr>
                <w:p w14:paraId="29D096BE">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rPr>
                    <w:t>应急和救助的物资准备（警示牌、警戒线、通讯设施、医疗箱等）</w:t>
                  </w:r>
                </w:p>
              </w:tc>
            </w:tr>
            <w:tr w14:paraId="2035E6E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864" w:type="pct"/>
                  <w:vMerge w:val="continue"/>
                  <w:tcBorders>
                    <w:left w:val="single" w:color="auto" w:sz="4" w:space="0"/>
                    <w:bottom w:val="single" w:color="auto" w:sz="4" w:space="0"/>
                  </w:tcBorders>
                  <w:vAlign w:val="center"/>
                </w:tcPr>
                <w:p w14:paraId="5E2E546D">
                  <w:pPr>
                    <w:adjustRightInd w:val="0"/>
                    <w:snapToGrid w:val="0"/>
                    <w:jc w:val="center"/>
                    <w:rPr>
                      <w:rFonts w:hint="default" w:ascii="Times New Roman" w:hAnsi="Times New Roman" w:cs="Times New Roman"/>
                      <w:color w:val="auto"/>
                      <w:szCs w:val="21"/>
                      <w:highlight w:val="none"/>
                    </w:rPr>
                  </w:pPr>
                </w:p>
              </w:tc>
              <w:tc>
                <w:tcPr>
                  <w:tcW w:w="4135" w:type="pct"/>
                  <w:tcBorders>
                    <w:bottom w:val="single" w:color="auto" w:sz="4" w:space="0"/>
                    <w:right w:val="single" w:color="auto" w:sz="4" w:space="0"/>
                  </w:tcBorders>
                  <w:vAlign w:val="center"/>
                </w:tcPr>
                <w:p w14:paraId="5DA891D6">
                  <w:pPr>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rPr>
                    <w:t>辐射工作人员、管理人员及</w:t>
                  </w:r>
                  <w:r>
                    <w:rPr>
                      <w:rFonts w:hint="default" w:ascii="Times New Roman" w:hAnsi="Times New Roman" w:cs="Times New Roman"/>
                      <w:bCs/>
                      <w:color w:val="auto"/>
                      <w:sz w:val="21"/>
                      <w:szCs w:val="21"/>
                      <w:highlight w:val="none"/>
                    </w:rPr>
                    <w:t>应急人员的组织培训</w:t>
                  </w:r>
                </w:p>
              </w:tc>
            </w:tr>
          </w:tbl>
          <w:p w14:paraId="149CE9AC">
            <w:pPr>
              <w:pStyle w:val="34"/>
              <w:ind w:left="0"/>
              <w:rPr>
                <w:rFonts w:hint="default" w:ascii="Times New Roman" w:hAnsi="Times New Roman" w:cs="Times New Roman"/>
                <w:color w:val="auto"/>
                <w:sz w:val="24"/>
                <w:szCs w:val="24"/>
                <w:highlight w:val="none"/>
              </w:rPr>
            </w:pPr>
          </w:p>
          <w:p w14:paraId="23339B28">
            <w:pPr>
              <w:rPr>
                <w:rFonts w:hint="default" w:ascii="Times New Roman" w:hAnsi="Times New Roman" w:cs="Times New Roman"/>
                <w:bCs/>
                <w:color w:val="auto"/>
                <w:sz w:val="24"/>
                <w:highlight w:val="none"/>
              </w:rPr>
            </w:pPr>
          </w:p>
          <w:p w14:paraId="482AA650">
            <w:pPr>
              <w:rPr>
                <w:rFonts w:hint="default" w:ascii="Times New Roman" w:hAnsi="Times New Roman" w:cs="Times New Roman"/>
                <w:bCs/>
                <w:color w:val="auto"/>
                <w:sz w:val="24"/>
                <w:highlight w:val="none"/>
              </w:rPr>
            </w:pPr>
          </w:p>
          <w:p w14:paraId="7A237AB2">
            <w:pPr>
              <w:pStyle w:val="57"/>
              <w:snapToGrid w:val="0"/>
              <w:spacing w:line="360" w:lineRule="auto"/>
              <w:ind w:firstLine="0"/>
              <w:jc w:val="both"/>
              <w:rPr>
                <w:rFonts w:hint="default" w:ascii="Times New Roman" w:hAnsi="Times New Roman" w:cs="Times New Roman"/>
                <w:bCs/>
                <w:color w:val="auto"/>
                <w:sz w:val="24"/>
                <w:highlight w:val="none"/>
              </w:rPr>
            </w:pPr>
          </w:p>
          <w:p w14:paraId="144D463F">
            <w:pPr>
              <w:pStyle w:val="57"/>
              <w:snapToGrid w:val="0"/>
              <w:spacing w:line="360" w:lineRule="auto"/>
              <w:ind w:firstLine="0"/>
              <w:jc w:val="both"/>
              <w:rPr>
                <w:rFonts w:hint="default" w:ascii="Times New Roman" w:hAnsi="Times New Roman" w:cs="Times New Roman"/>
                <w:bCs/>
                <w:color w:val="auto"/>
                <w:sz w:val="24"/>
                <w:highlight w:val="none"/>
              </w:rPr>
            </w:pPr>
          </w:p>
        </w:tc>
      </w:tr>
    </w:tbl>
    <w:p w14:paraId="1CB2598E">
      <w:pPr>
        <w:rPr>
          <w:rFonts w:hint="default" w:ascii="Times New Roman" w:hAnsi="Times New Roman" w:cs="Times New Roman"/>
          <w:color w:val="auto"/>
          <w:highlight w:val="none"/>
        </w:rPr>
      </w:pPr>
    </w:p>
    <w:sectPr>
      <w:pgSz w:w="11906" w:h="16838"/>
      <w:pgMar w:top="1440" w:right="1800" w:bottom="1440" w:left="1800" w:header="851" w:footer="1219"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ˎ̥">
    <w:altName w:val="宋体"/>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70DBC">
    <w:pPr>
      <w:pStyle w:val="16"/>
      <w:tabs>
        <w:tab w:val="center" w:pos="4320"/>
        <w:tab w:val="right" w:pos="8640"/>
        <w:tab w:val="clear" w:pos="4153"/>
        <w:tab w:val="clear" w:pos="8306"/>
      </w:tabs>
      <w:rPr>
        <w:rStyle w:val="26"/>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4E796A">
                          <w:pPr>
                            <w:pStyle w:val="16"/>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04E796A">
                    <w:pPr>
                      <w:pStyle w:val="16"/>
                    </w:pP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E9FA6D"/>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31E9FA6D"/>
                </w:txbxContent>
              </v:textbox>
            </v:shape>
          </w:pict>
        </mc:Fallback>
      </mc:AlternateContent>
    </w:r>
  </w:p>
  <w:p w14:paraId="315DF818">
    <w:pPr>
      <w:pStyle w:val="16"/>
      <w:tabs>
        <w:tab w:val="center" w:pos="4320"/>
        <w:tab w:val="right" w:pos="8640"/>
        <w:tab w:val="clear" w:pos="4153"/>
        <w:tab w:val="clear" w:pos="8306"/>
      </w:tab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6E45B">
    <w:pPr>
      <w:pStyle w:val="16"/>
      <w:tabs>
        <w:tab w:val="center" w:pos="4320"/>
        <w:tab w:val="right" w:pos="8640"/>
        <w:tab w:val="clear" w:pos="4153"/>
        <w:tab w:val="clear" w:pos="8306"/>
      </w:tabs>
      <w:rPr>
        <w:rStyle w:val="26"/>
      </w:rPr>
    </w:pPr>
    <w:r>
      <w:rPr>
        <w:sz w:val="18"/>
      </w:rPr>
      <mc:AlternateContent>
        <mc:Choice Requires="wps">
          <w:drawing>
            <wp:anchor distT="0" distB="0" distL="114300" distR="114300" simplePos="0" relativeHeight="251668480" behindDoc="0" locked="0" layoutInCell="1" allowOverlap="1">
              <wp:simplePos x="0" y="0"/>
              <wp:positionH relativeFrom="margin">
                <wp:posOffset>2298065</wp:posOffset>
              </wp:positionH>
              <wp:positionV relativeFrom="paragraph">
                <wp:posOffset>0</wp:posOffset>
              </wp:positionV>
              <wp:extent cx="370840" cy="116205"/>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370840" cy="1162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35721A">
                          <w:pPr>
                            <w:pStyle w:val="16"/>
                            <w:jc w:val="center"/>
                            <w:rPr>
                              <w:rFonts w:hint="default" w:ascii="Times New Roman" w:hAnsi="Times New Roman" w:cs="Times New Roman"/>
                              <w:sz w:val="18"/>
                              <w:szCs w:val="18"/>
                            </w:rPr>
                          </w:pP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PAGE  \* MERGEFORMAT </w:instrText>
                          </w:r>
                          <w:r>
                            <w:rPr>
                              <w:rFonts w:hint="default" w:ascii="Times New Roman" w:hAnsi="Times New Roman" w:cs="Times New Roman"/>
                              <w:sz w:val="18"/>
                              <w:szCs w:val="18"/>
                            </w:rPr>
                            <w:fldChar w:fldCharType="separate"/>
                          </w:r>
                          <w:r>
                            <w:rPr>
                              <w:rFonts w:hint="default" w:ascii="Times New Roman" w:hAnsi="Times New Roman" w:cs="Times New Roman"/>
                              <w:sz w:val="18"/>
                              <w:szCs w:val="18"/>
                            </w:rPr>
                            <w:t>1</w:t>
                          </w:r>
                          <w:r>
                            <w:rPr>
                              <w:rFonts w:hint="default" w:ascii="Times New Roman" w:hAnsi="Times New Roman" w:cs="Times New Roman"/>
                              <w:sz w:val="18"/>
                              <w:szCs w:val="18"/>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80.95pt;margin-top:0pt;height:9.15pt;width:29.2pt;mso-position-horizontal-relative:margin;z-index:251668480;mso-width-relative:page;mso-height-relative:page;" filled="f" stroked="f" coordsize="21600,21600" o:gfxdata="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ZcloDtYAAAAHAQAADwAAAAAAAAABACAAAAAiAAAAZHJzL2Rvd25y&#10;ZXYueG1sUEsBAhQAFAAAAAgAh07iQKZb56g5AgAAYwQAAA4AAAAAAAAAAQAgAAAAJQEAAGRycy9l&#10;Mm9Eb2MueG1sUEsFBgAAAAAGAAYAWQEAANAFAAAAAA==&#10;">
              <v:fill on="f" focussize="0,0"/>
              <v:stroke on="f" weight="0.5pt"/>
              <v:imagedata o:title=""/>
              <o:lock v:ext="edit" aspectratio="f"/>
              <v:textbox inset="0mm,0mm,0mm,0mm">
                <w:txbxContent>
                  <w:p w14:paraId="1435721A">
                    <w:pPr>
                      <w:pStyle w:val="16"/>
                      <w:jc w:val="center"/>
                      <w:rPr>
                        <w:rFonts w:hint="default" w:ascii="Times New Roman" w:hAnsi="Times New Roman" w:cs="Times New Roman"/>
                        <w:sz w:val="18"/>
                        <w:szCs w:val="18"/>
                      </w:rPr>
                    </w:pP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PAGE  \* MERGEFORMAT </w:instrText>
                    </w:r>
                    <w:r>
                      <w:rPr>
                        <w:rFonts w:hint="default" w:ascii="Times New Roman" w:hAnsi="Times New Roman" w:cs="Times New Roman"/>
                        <w:sz w:val="18"/>
                        <w:szCs w:val="18"/>
                      </w:rPr>
                      <w:fldChar w:fldCharType="separate"/>
                    </w:r>
                    <w:r>
                      <w:rPr>
                        <w:rFonts w:hint="default" w:ascii="Times New Roman" w:hAnsi="Times New Roman" w:cs="Times New Roman"/>
                        <w:sz w:val="18"/>
                        <w:szCs w:val="18"/>
                      </w:rPr>
                      <w:t>1</w:t>
                    </w:r>
                    <w:r>
                      <w:rPr>
                        <w:rFonts w:hint="default" w:ascii="Times New Roman" w:hAnsi="Times New Roman" w:cs="Times New Roman"/>
                        <w:sz w:val="18"/>
                        <w:szCs w:val="18"/>
                      </w:rPr>
                      <w:fldChar w:fldCharType="end"/>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290195"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29019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5F8D17"/>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22.85pt;mso-position-horizontal:center;mso-position-horizontal-relative:margin;z-index:251666432;mso-width-relative:page;mso-height-relative:page;" filled="f" stroked="f" coordsize="21600,21600" o:gfxdata="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NxnY01AAAAAQBAAAPAAAAAAAAAAEAIAAAACIAAABkcnMvZG93bnJldi54bWxQ&#10;SwECFAAUAAAACACHTuJAlLgVkDQCAABYBAAADgAAAAAAAAABACAAAAAjAQAAZHJzL2Uyb0RvYy54&#10;bWxQSwUGAAAAAAYABgBZAQAAyQUAAAAA&#10;">
              <v:fill on="f" focussize="0,0"/>
              <v:stroke on="f" weight="0.5pt"/>
              <v:imagedata o:title=""/>
              <o:lock v:ext="edit" aspectratio="f"/>
              <v:textbox inset="0mm,0mm,0mm,0mm" style="mso-fit-shape-to-text:t;">
                <w:txbxContent>
                  <w:p w14:paraId="275F8D17"/>
                </w:txbxContent>
              </v:textbox>
            </v:shape>
          </w:pict>
        </mc:Fallback>
      </mc:AlternateContent>
    </w:r>
  </w:p>
  <w:p w14:paraId="12CA5F7C">
    <w:pPr>
      <w:pStyle w:val="16"/>
      <w:tabs>
        <w:tab w:val="center" w:pos="4320"/>
        <w:tab w:val="right" w:pos="8640"/>
        <w:tab w:val="clear" w:pos="4153"/>
        <w:tab w:val="clear" w:pos="8306"/>
      </w:tabs>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41F6C">
    <w:pPr>
      <w:pStyle w:val="16"/>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9C7453">
                          <w:pPr>
                            <w:pStyle w:val="16"/>
                          </w:pPr>
                          <w:r>
                            <w:fldChar w:fldCharType="begin"/>
                          </w:r>
                          <w:r>
                            <w:instrText xml:space="preserve"> PAGE  \* MERGEFORMAT </w:instrText>
                          </w:r>
                          <w:r>
                            <w:fldChar w:fldCharType="separate"/>
                          </w:r>
                          <w:r>
                            <w:t>93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14:paraId="069C7453">
                    <w:pPr>
                      <w:pStyle w:val="16"/>
                    </w:pPr>
                    <w:r>
                      <w:fldChar w:fldCharType="begin"/>
                    </w:r>
                    <w:r>
                      <w:instrText xml:space="preserve"> PAGE  \* MERGEFORMAT </w:instrText>
                    </w:r>
                    <w:r>
                      <w:fldChar w:fldCharType="separate"/>
                    </w:r>
                    <w:r>
                      <w:t>93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899E9">
    <w:pPr>
      <w:pStyle w:val="1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391FA">
    <w:pPr>
      <w:pStyle w:val="1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A8B592"/>
    <w:multiLevelType w:val="singleLevel"/>
    <w:tmpl w:val="87A8B592"/>
    <w:lvl w:ilvl="0" w:tentative="0">
      <w:start w:val="1"/>
      <w:numFmt w:val="decimal"/>
      <w:suff w:val="nothing"/>
      <w:lvlText w:val="表8-%1  "/>
      <w:lvlJc w:val="left"/>
      <w:pPr>
        <w:ind w:left="0" w:firstLine="403"/>
      </w:pPr>
      <w:rPr>
        <w:rFonts w:hint="default"/>
      </w:rPr>
    </w:lvl>
  </w:abstractNum>
  <w:abstractNum w:abstractNumId="1">
    <w:nsid w:val="8FE7E411"/>
    <w:multiLevelType w:val="singleLevel"/>
    <w:tmpl w:val="8FE7E411"/>
    <w:lvl w:ilvl="0" w:tentative="0">
      <w:start w:val="1"/>
      <w:numFmt w:val="decimal"/>
      <w:suff w:val="nothing"/>
      <w:lvlText w:val="%1．"/>
      <w:lvlJc w:val="left"/>
      <w:pPr>
        <w:ind w:left="0" w:firstLine="403"/>
      </w:pPr>
      <w:rPr>
        <w:rFonts w:hint="default"/>
      </w:rPr>
    </w:lvl>
  </w:abstractNum>
  <w:abstractNum w:abstractNumId="2">
    <w:nsid w:val="A428F26B"/>
    <w:multiLevelType w:val="singleLevel"/>
    <w:tmpl w:val="A428F26B"/>
    <w:lvl w:ilvl="0" w:tentative="0">
      <w:start w:val="1"/>
      <w:numFmt w:val="decimal"/>
      <w:suff w:val="nothing"/>
      <w:lvlText w:val="%1、"/>
      <w:lvlJc w:val="left"/>
    </w:lvl>
  </w:abstractNum>
  <w:abstractNum w:abstractNumId="3">
    <w:nsid w:val="E6F76C72"/>
    <w:multiLevelType w:val="singleLevel"/>
    <w:tmpl w:val="E6F76C72"/>
    <w:lvl w:ilvl="0" w:tentative="0">
      <w:start w:val="1"/>
      <w:numFmt w:val="lowerLetter"/>
      <w:suff w:val="nothing"/>
      <w:lvlText w:val="%1）"/>
      <w:lvlJc w:val="left"/>
    </w:lvl>
  </w:abstractNum>
  <w:abstractNum w:abstractNumId="4">
    <w:nsid w:val="E9C92333"/>
    <w:multiLevelType w:val="singleLevel"/>
    <w:tmpl w:val="E9C92333"/>
    <w:lvl w:ilvl="0" w:tentative="0">
      <w:start w:val="2"/>
      <w:numFmt w:val="chineseCounting"/>
      <w:suff w:val="nothing"/>
      <w:lvlText w:val="%1、"/>
      <w:lvlJc w:val="left"/>
      <w:rPr>
        <w:rFonts w:hint="eastAsia"/>
      </w:rPr>
    </w:lvl>
  </w:abstractNum>
  <w:abstractNum w:abstractNumId="5">
    <w:nsid w:val="FB93A3BA"/>
    <w:multiLevelType w:val="singleLevel"/>
    <w:tmpl w:val="FB93A3BA"/>
    <w:lvl w:ilvl="0" w:tentative="0">
      <w:start w:val="1"/>
      <w:numFmt w:val="decimal"/>
      <w:suff w:val="nothing"/>
      <w:lvlText w:val="（%1）"/>
      <w:lvlJc w:val="left"/>
    </w:lvl>
  </w:abstractNum>
  <w:abstractNum w:abstractNumId="6">
    <w:nsid w:val="FE2DBC69"/>
    <w:multiLevelType w:val="singleLevel"/>
    <w:tmpl w:val="FE2DBC69"/>
    <w:lvl w:ilvl="0" w:tentative="0">
      <w:start w:val="1"/>
      <w:numFmt w:val="chineseCounting"/>
      <w:suff w:val="nothing"/>
      <w:lvlText w:val="%1、"/>
      <w:lvlJc w:val="left"/>
      <w:rPr>
        <w:rFonts w:hint="eastAsia"/>
      </w:rPr>
    </w:lvl>
  </w:abstractNum>
  <w:abstractNum w:abstractNumId="7">
    <w:nsid w:val="00000001"/>
    <w:multiLevelType w:val="singleLevel"/>
    <w:tmpl w:val="00000001"/>
    <w:lvl w:ilvl="0" w:tentative="0">
      <w:start w:val="1"/>
      <w:numFmt w:val="decimal"/>
      <w:suff w:val="nothing"/>
      <w:lvlText w:val="（%1）"/>
      <w:lvlJc w:val="left"/>
    </w:lvl>
  </w:abstractNum>
  <w:abstractNum w:abstractNumId="8">
    <w:nsid w:val="0000000D"/>
    <w:multiLevelType w:val="multilevel"/>
    <w:tmpl w:val="0000000D"/>
    <w:lvl w:ilvl="0" w:tentative="0">
      <w:start w:val="1"/>
      <w:numFmt w:val="decimal"/>
      <w:lvlText w:val="%1."/>
      <w:lvlJc w:val="left"/>
    </w:lvl>
    <w:lvl w:ilvl="1" w:tentative="0">
      <w:start w:val="1"/>
      <w:numFmt w:val="decimal"/>
      <w:lvlText w:val="%1.%2"/>
      <w:lvlJc w:val="left"/>
    </w:lvl>
    <w:lvl w:ilvl="2" w:tentative="0">
      <w:start w:val="1"/>
      <w:numFmt w:val="japaneseCounting"/>
      <w:pStyle w:val="3"/>
      <w:lvlText w:val="（%3）"/>
      <w:lvlJc w:val="left"/>
      <w:rPr>
        <w:rFonts w:ascii="Times New Roman" w:hAnsi="Times New Roman" w:eastAsia="Times New Roman" w:cs="Times New Roman"/>
      </w:rPr>
    </w:lvl>
    <w:lvl w:ilvl="3" w:tentative="0">
      <w:start w:val="1"/>
      <w:numFmt w:val="decimal"/>
      <w:pStyle w:val="4"/>
      <w:lvlText w:val="%1.%2.%3.%4"/>
      <w:lvlJc w:val="left"/>
    </w:lvl>
    <w:lvl w:ilvl="4" w:tentative="0">
      <w:start w:val="1"/>
      <w:numFmt w:val="decimal"/>
      <w:lvlText w:val="%1.%2.%3.%4.%5"/>
      <w:lvlJc w:val="left"/>
    </w:lvl>
    <w:lvl w:ilvl="5" w:tentative="0">
      <w:start w:val="1"/>
      <w:numFmt w:val="decimal"/>
      <w:lvlText w:val="%1.%2.%3.%4.%5.%6"/>
      <w:lvlJc w:val="left"/>
    </w:lvl>
    <w:lvl w:ilvl="6" w:tentative="0">
      <w:start w:val="1"/>
      <w:numFmt w:val="decimal"/>
      <w:lvlText w:val="%1.%2.%3.%4.%5.%6.%7"/>
      <w:lvlJc w:val="left"/>
    </w:lvl>
    <w:lvl w:ilvl="7" w:tentative="0">
      <w:start w:val="1"/>
      <w:numFmt w:val="decimal"/>
      <w:lvlText w:val="%1.%2.%3.%4.%5.%6.%7.%8"/>
      <w:lvlJc w:val="left"/>
    </w:lvl>
    <w:lvl w:ilvl="8" w:tentative="0">
      <w:start w:val="1"/>
      <w:numFmt w:val="decimal"/>
      <w:lvlText w:val="%1.%2.%3.%4.%5.%6.%7.%8.%9"/>
      <w:lvlJc w:val="left"/>
    </w:lvl>
  </w:abstractNum>
  <w:abstractNum w:abstractNumId="9">
    <w:nsid w:val="094DFCAB"/>
    <w:multiLevelType w:val="singleLevel"/>
    <w:tmpl w:val="094DFCAB"/>
    <w:lvl w:ilvl="0" w:tentative="0">
      <w:start w:val="1"/>
      <w:numFmt w:val="decimal"/>
      <w:lvlText w:val="图1-%1"/>
      <w:lvlJc w:val="left"/>
      <w:pPr>
        <w:tabs>
          <w:tab w:val="left" w:pos="420"/>
        </w:tabs>
        <w:ind w:left="425" w:leftChars="0" w:hanging="425" w:firstLineChars="0"/>
      </w:pPr>
      <w:rPr>
        <w:rFonts w:hint="default"/>
      </w:rPr>
    </w:lvl>
  </w:abstractNum>
  <w:abstractNum w:abstractNumId="10">
    <w:nsid w:val="117E9042"/>
    <w:multiLevelType w:val="singleLevel"/>
    <w:tmpl w:val="117E9042"/>
    <w:lvl w:ilvl="0" w:tentative="0">
      <w:start w:val="2"/>
      <w:numFmt w:val="decimal"/>
      <w:suff w:val="nothing"/>
      <w:lvlText w:val="（%1）"/>
      <w:lvlJc w:val="left"/>
    </w:lvl>
  </w:abstractNum>
  <w:abstractNum w:abstractNumId="11">
    <w:nsid w:val="11FFE9EC"/>
    <w:multiLevelType w:val="singleLevel"/>
    <w:tmpl w:val="11FFE9EC"/>
    <w:lvl w:ilvl="0" w:tentative="0">
      <w:start w:val="1"/>
      <w:numFmt w:val="chineseCounting"/>
      <w:suff w:val="nothing"/>
      <w:lvlText w:val="（%1）"/>
      <w:lvlJc w:val="left"/>
      <w:rPr>
        <w:rFonts w:hint="eastAsia"/>
      </w:rPr>
    </w:lvl>
  </w:abstractNum>
  <w:abstractNum w:abstractNumId="12">
    <w:nsid w:val="17B35EAE"/>
    <w:multiLevelType w:val="singleLevel"/>
    <w:tmpl w:val="17B35EAE"/>
    <w:lvl w:ilvl="0" w:tentative="0">
      <w:start w:val="1"/>
      <w:numFmt w:val="decimal"/>
      <w:suff w:val="space"/>
      <w:lvlText w:val="%1."/>
      <w:lvlJc w:val="left"/>
    </w:lvl>
  </w:abstractNum>
  <w:abstractNum w:abstractNumId="13">
    <w:nsid w:val="1CB96E5A"/>
    <w:multiLevelType w:val="singleLevel"/>
    <w:tmpl w:val="1CB96E5A"/>
    <w:lvl w:ilvl="0" w:tentative="0">
      <w:start w:val="1"/>
      <w:numFmt w:val="decimal"/>
      <w:suff w:val="nothing"/>
      <w:lvlText w:val="%1、"/>
      <w:lvlJc w:val="left"/>
    </w:lvl>
  </w:abstractNum>
  <w:abstractNum w:abstractNumId="14">
    <w:nsid w:val="248F9C1F"/>
    <w:multiLevelType w:val="singleLevel"/>
    <w:tmpl w:val="248F9C1F"/>
    <w:lvl w:ilvl="0" w:tentative="0">
      <w:start w:val="1"/>
      <w:numFmt w:val="decimal"/>
      <w:lvlText w:val="图9-%1"/>
      <w:lvlJc w:val="left"/>
      <w:pPr>
        <w:tabs>
          <w:tab w:val="left" w:pos="420"/>
        </w:tabs>
        <w:ind w:left="425" w:leftChars="0" w:hanging="425" w:firstLineChars="0"/>
      </w:pPr>
      <w:rPr>
        <w:rFonts w:hint="default"/>
      </w:rPr>
    </w:lvl>
  </w:abstractNum>
  <w:abstractNum w:abstractNumId="15">
    <w:nsid w:val="32ED17F3"/>
    <w:multiLevelType w:val="singleLevel"/>
    <w:tmpl w:val="32ED17F3"/>
    <w:lvl w:ilvl="0" w:tentative="0">
      <w:start w:val="5"/>
      <w:numFmt w:val="decimal"/>
      <w:suff w:val="nothing"/>
      <w:lvlText w:val="（%1）"/>
      <w:lvlJc w:val="left"/>
    </w:lvl>
  </w:abstractNum>
  <w:abstractNum w:abstractNumId="16">
    <w:nsid w:val="43C21C29"/>
    <w:multiLevelType w:val="multilevel"/>
    <w:tmpl w:val="43C21C29"/>
    <w:lvl w:ilvl="0" w:tentative="0">
      <w:start w:val="1"/>
      <w:numFmt w:val="decimal"/>
      <w:lvlText w:val="%1."/>
      <w:lvlJc w:val="left"/>
      <w:pPr>
        <w:tabs>
          <w:tab w:val="left" w:pos="360"/>
        </w:tabs>
        <w:ind w:left="1701" w:firstLine="0"/>
      </w:pPr>
      <w:rPr>
        <w:rFonts w:hint="eastAsia"/>
        <w:color w:val="FFFFFF"/>
      </w:rPr>
    </w:lvl>
    <w:lvl w:ilvl="1" w:tentative="0">
      <w:start w:val="3"/>
      <w:numFmt w:val="decimal"/>
      <w:lvlText w:val="%1.%2"/>
      <w:lvlJc w:val="left"/>
      <w:pPr>
        <w:tabs>
          <w:tab w:val="left" w:pos="142"/>
        </w:tabs>
        <w:ind w:left="142" w:firstLine="0"/>
      </w:pPr>
      <w:rPr>
        <w:rFonts w:hint="default" w:ascii="宋体" w:hAnsi="宋体" w:eastAsia="宋体" w:cs="Times New Roman"/>
        <w:sz w:val="28"/>
        <w:szCs w:val="28"/>
        <w:lang w:val="en-US"/>
      </w:rPr>
    </w:lvl>
    <w:lvl w:ilvl="2" w:tentative="0">
      <w:start w:val="1"/>
      <w:numFmt w:val="decimal"/>
      <w:lvlText w:val="%1.%2.%3"/>
      <w:lvlJc w:val="left"/>
      <w:pPr>
        <w:tabs>
          <w:tab w:val="left" w:pos="567"/>
        </w:tabs>
        <w:ind w:left="0" w:firstLine="118"/>
      </w:pPr>
      <w:rPr>
        <w:rFonts w:hint="default" w:ascii="宋体" w:hAnsi="宋体" w:eastAsia="宋体" w:cs="Times New Roman"/>
        <w:b/>
        <w:bCs/>
        <w:color w:val="auto"/>
        <w:sz w:val="24"/>
        <w:szCs w:val="24"/>
      </w:rPr>
    </w:lvl>
    <w:lvl w:ilvl="3" w:tentative="0">
      <w:start w:val="1"/>
      <w:numFmt w:val="decimal"/>
      <w:suff w:val="space"/>
      <w:lvlText w:val="3.1.7.%4"/>
      <w:lvlJc w:val="left"/>
      <w:pPr>
        <w:tabs>
          <w:tab w:val="left" w:pos="0"/>
        </w:tabs>
        <w:ind w:left="210" w:firstLine="0"/>
      </w:pPr>
      <w:rPr>
        <w:rFonts w:hint="default" w:ascii="Times New Roman" w:hAnsi="Times New Roman" w:cs="宋体"/>
        <w:sz w:val="24"/>
        <w:szCs w:val="24"/>
      </w:rPr>
    </w:lvl>
    <w:lvl w:ilvl="4" w:tentative="0">
      <w:start w:val="1"/>
      <w:numFmt w:val="decimal"/>
      <w:pStyle w:val="5"/>
      <w:lvlText w:val="3.1.8.1.%5"/>
      <w:lvlJc w:val="left"/>
      <w:pPr>
        <w:tabs>
          <w:tab w:val="left" w:pos="284"/>
        </w:tabs>
        <w:ind w:left="284" w:firstLine="0"/>
      </w:pPr>
      <w:rPr>
        <w:rFonts w:hint="default"/>
        <w:sz w:val="24"/>
        <w:szCs w:val="24"/>
      </w:rPr>
    </w:lvl>
    <w:lvl w:ilvl="5" w:tentative="0">
      <w:start w:val="1"/>
      <w:numFmt w:val="decimal"/>
      <w:lvlText w:val="%1.%2.%3.%4.%5.%6"/>
      <w:lvlJc w:val="left"/>
      <w:pPr>
        <w:tabs>
          <w:tab w:val="left" w:pos="-284"/>
        </w:tabs>
        <w:ind w:left="0" w:firstLine="0"/>
      </w:pPr>
      <w:rPr>
        <w:rFonts w:hint="eastAsia"/>
      </w:rPr>
    </w:lvl>
    <w:lvl w:ilvl="6" w:tentative="0">
      <w:start w:val="1"/>
      <w:numFmt w:val="decimal"/>
      <w:lvlText w:val="%1.%2.%3.%4.%5.%6.%7"/>
      <w:lvlJc w:val="left"/>
      <w:pPr>
        <w:tabs>
          <w:tab w:val="left" w:pos="-284"/>
        </w:tabs>
        <w:ind w:left="0" w:firstLine="0"/>
      </w:pPr>
      <w:rPr>
        <w:rFonts w:hint="eastAsia"/>
      </w:rPr>
    </w:lvl>
    <w:lvl w:ilvl="7" w:tentative="0">
      <w:start w:val="1"/>
      <w:numFmt w:val="decimal"/>
      <w:lvlText w:val="%1.%2.%3.%4.%5.%6.%7.%8"/>
      <w:lvlJc w:val="left"/>
      <w:pPr>
        <w:tabs>
          <w:tab w:val="left" w:pos="-284"/>
        </w:tabs>
        <w:ind w:left="0" w:firstLine="0"/>
      </w:pPr>
      <w:rPr>
        <w:rFonts w:hint="eastAsia"/>
      </w:rPr>
    </w:lvl>
    <w:lvl w:ilvl="8" w:tentative="0">
      <w:start w:val="1"/>
      <w:numFmt w:val="decimal"/>
      <w:lvlText w:val="%1.%2.%3.%4.%5.%6.%7.%8.%9"/>
      <w:lvlJc w:val="left"/>
      <w:pPr>
        <w:tabs>
          <w:tab w:val="left" w:pos="-284"/>
        </w:tabs>
        <w:ind w:left="0" w:firstLine="0"/>
      </w:pPr>
      <w:rPr>
        <w:rFonts w:hint="eastAsia"/>
      </w:rPr>
    </w:lvl>
  </w:abstractNum>
  <w:abstractNum w:abstractNumId="17">
    <w:nsid w:val="4FC685E8"/>
    <w:multiLevelType w:val="singleLevel"/>
    <w:tmpl w:val="4FC685E8"/>
    <w:lvl w:ilvl="0" w:tentative="0">
      <w:start w:val="1"/>
      <w:numFmt w:val="decimal"/>
      <w:suff w:val="nothing"/>
      <w:lvlText w:val="表11-%1"/>
      <w:lvlJc w:val="left"/>
      <w:pPr>
        <w:tabs>
          <w:tab w:val="left" w:pos="0"/>
        </w:tabs>
      </w:pPr>
      <w:rPr>
        <w:rFonts w:hint="default" w:ascii="Times New Roman" w:hAnsi="Times New Roman" w:eastAsia="宋体" w:cs="Times New Roman"/>
      </w:rPr>
    </w:lvl>
  </w:abstractNum>
  <w:abstractNum w:abstractNumId="18">
    <w:nsid w:val="5299A930"/>
    <w:multiLevelType w:val="singleLevel"/>
    <w:tmpl w:val="5299A930"/>
    <w:lvl w:ilvl="0" w:tentative="0">
      <w:start w:val="1"/>
      <w:numFmt w:val="decimal"/>
      <w:suff w:val="nothing"/>
      <w:lvlText w:val="%1）"/>
      <w:lvlJc w:val="left"/>
    </w:lvl>
  </w:abstractNum>
  <w:abstractNum w:abstractNumId="19">
    <w:nsid w:val="570C94AA"/>
    <w:multiLevelType w:val="singleLevel"/>
    <w:tmpl w:val="570C94AA"/>
    <w:lvl w:ilvl="0" w:tentative="0">
      <w:start w:val="1"/>
      <w:numFmt w:val="chineseCounting"/>
      <w:suff w:val="nothing"/>
      <w:lvlText w:val="（%1）"/>
      <w:lvlJc w:val="left"/>
    </w:lvl>
  </w:abstractNum>
  <w:abstractNum w:abstractNumId="20">
    <w:nsid w:val="5D53B7F0"/>
    <w:multiLevelType w:val="singleLevel"/>
    <w:tmpl w:val="5D53B7F0"/>
    <w:lvl w:ilvl="0" w:tentative="0">
      <w:start w:val="3"/>
      <w:numFmt w:val="chineseCounting"/>
      <w:suff w:val="nothing"/>
      <w:lvlText w:val="（%1）"/>
      <w:lvlJc w:val="left"/>
      <w:rPr>
        <w:rFonts w:hint="eastAsia"/>
      </w:rPr>
    </w:lvl>
  </w:abstractNum>
  <w:abstractNum w:abstractNumId="21">
    <w:nsid w:val="5F7F509A"/>
    <w:multiLevelType w:val="singleLevel"/>
    <w:tmpl w:val="5F7F509A"/>
    <w:lvl w:ilvl="0" w:tentative="0">
      <w:start w:val="1"/>
      <w:numFmt w:val="decimal"/>
      <w:lvlText w:val="表7-%1"/>
      <w:lvlJc w:val="left"/>
      <w:pPr>
        <w:tabs>
          <w:tab w:val="left" w:pos="420"/>
        </w:tabs>
        <w:ind w:left="425" w:leftChars="0" w:hanging="425" w:firstLineChars="0"/>
      </w:pPr>
      <w:rPr>
        <w:rFonts w:hint="default"/>
      </w:rPr>
    </w:lvl>
  </w:abstractNum>
  <w:abstractNum w:abstractNumId="22">
    <w:nsid w:val="66D97CF6"/>
    <w:multiLevelType w:val="singleLevel"/>
    <w:tmpl w:val="66D97CF6"/>
    <w:lvl w:ilvl="0" w:tentative="0">
      <w:start w:val="3"/>
      <w:numFmt w:val="chineseCounting"/>
      <w:suff w:val="nothing"/>
      <w:lvlText w:val="（%1）"/>
      <w:lvlJc w:val="left"/>
      <w:rPr>
        <w:rFonts w:hint="eastAsia"/>
      </w:rPr>
    </w:lvl>
  </w:abstractNum>
  <w:abstractNum w:abstractNumId="23">
    <w:nsid w:val="75309D84"/>
    <w:multiLevelType w:val="singleLevel"/>
    <w:tmpl w:val="75309D84"/>
    <w:lvl w:ilvl="0" w:tentative="0">
      <w:start w:val="1"/>
      <w:numFmt w:val="decimal"/>
      <w:lvlText w:val="表9-%1"/>
      <w:lvlJc w:val="left"/>
      <w:pPr>
        <w:tabs>
          <w:tab w:val="left" w:pos="420"/>
        </w:tabs>
        <w:ind w:left="425" w:leftChars="0" w:hanging="425" w:firstLineChars="0"/>
      </w:pPr>
      <w:rPr>
        <w:rFonts w:hint="default"/>
      </w:rPr>
    </w:lvl>
  </w:abstractNum>
  <w:abstractNum w:abstractNumId="24">
    <w:nsid w:val="7DEF8FE7"/>
    <w:multiLevelType w:val="singleLevel"/>
    <w:tmpl w:val="7DEF8FE7"/>
    <w:lvl w:ilvl="0" w:tentative="0">
      <w:start w:val="1"/>
      <w:numFmt w:val="decimal"/>
      <w:lvlText w:val="表1-%1"/>
      <w:lvlJc w:val="left"/>
      <w:pPr>
        <w:tabs>
          <w:tab w:val="left" w:pos="420"/>
        </w:tabs>
        <w:ind w:left="425" w:leftChars="0" w:hanging="425" w:firstLineChars="0"/>
      </w:pPr>
      <w:rPr>
        <w:rFonts w:hint="default"/>
      </w:rPr>
    </w:lvl>
  </w:abstractNum>
  <w:abstractNum w:abstractNumId="25">
    <w:nsid w:val="7FF9B842"/>
    <w:multiLevelType w:val="singleLevel"/>
    <w:tmpl w:val="7FF9B842"/>
    <w:lvl w:ilvl="0" w:tentative="0">
      <w:start w:val="2"/>
      <w:numFmt w:val="chineseCounting"/>
      <w:suff w:val="nothing"/>
      <w:lvlText w:val="（%1）"/>
      <w:lvlJc w:val="left"/>
      <w:rPr>
        <w:rFonts w:hint="eastAsia"/>
      </w:rPr>
    </w:lvl>
  </w:abstractNum>
  <w:num w:numId="1">
    <w:abstractNumId w:val="8"/>
  </w:num>
  <w:num w:numId="2">
    <w:abstractNumId w:val="16"/>
  </w:num>
  <w:num w:numId="3">
    <w:abstractNumId w:val="24"/>
  </w:num>
  <w:num w:numId="4">
    <w:abstractNumId w:val="9"/>
  </w:num>
  <w:num w:numId="5">
    <w:abstractNumId w:val="20"/>
  </w:num>
  <w:num w:numId="6">
    <w:abstractNumId w:val="10"/>
  </w:num>
  <w:num w:numId="7">
    <w:abstractNumId w:val="25"/>
  </w:num>
  <w:num w:numId="8">
    <w:abstractNumId w:val="19"/>
  </w:num>
  <w:num w:numId="9">
    <w:abstractNumId w:val="4"/>
  </w:num>
  <w:num w:numId="10">
    <w:abstractNumId w:val="2"/>
  </w:num>
  <w:num w:numId="11">
    <w:abstractNumId w:val="21"/>
  </w:num>
  <w:num w:numId="12">
    <w:abstractNumId w:val="11"/>
  </w:num>
  <w:num w:numId="13">
    <w:abstractNumId w:val="22"/>
  </w:num>
  <w:num w:numId="14">
    <w:abstractNumId w:val="0"/>
  </w:num>
  <w:num w:numId="15">
    <w:abstractNumId w:val="14"/>
  </w:num>
  <w:num w:numId="16">
    <w:abstractNumId w:val="15"/>
  </w:num>
  <w:num w:numId="17">
    <w:abstractNumId w:val="23"/>
  </w:num>
  <w:num w:numId="18">
    <w:abstractNumId w:val="6"/>
  </w:num>
  <w:num w:numId="19">
    <w:abstractNumId w:val="13"/>
  </w:num>
  <w:num w:numId="20">
    <w:abstractNumId w:val="3"/>
  </w:num>
  <w:num w:numId="21">
    <w:abstractNumId w:val="12"/>
  </w:num>
  <w:num w:numId="22">
    <w:abstractNumId w:val="17"/>
  </w:num>
  <w:num w:numId="23">
    <w:abstractNumId w:val="7"/>
  </w:num>
  <w:num w:numId="24">
    <w:abstractNumId w:val="1"/>
  </w:num>
  <w:num w:numId="25">
    <w:abstractNumId w:val="18"/>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xZjExYmUwYzdiMjViOWQwMWFhM2JjY2NkYmFlZGMifQ=="/>
  </w:docVars>
  <w:rsids>
    <w:rsidRoot w:val="005A3B89"/>
    <w:rsid w:val="00006483"/>
    <w:rsid w:val="0002061C"/>
    <w:rsid w:val="00072AB1"/>
    <w:rsid w:val="00076E43"/>
    <w:rsid w:val="000824FE"/>
    <w:rsid w:val="00082E63"/>
    <w:rsid w:val="00090D20"/>
    <w:rsid w:val="000B2C3E"/>
    <w:rsid w:val="000C2220"/>
    <w:rsid w:val="000C79D9"/>
    <w:rsid w:val="000F2353"/>
    <w:rsid w:val="00103897"/>
    <w:rsid w:val="001140AE"/>
    <w:rsid w:val="0014455F"/>
    <w:rsid w:val="00160011"/>
    <w:rsid w:val="00160CE1"/>
    <w:rsid w:val="001A1D3C"/>
    <w:rsid w:val="001A25CD"/>
    <w:rsid w:val="001A7BBA"/>
    <w:rsid w:val="00202527"/>
    <w:rsid w:val="002235CA"/>
    <w:rsid w:val="00232C60"/>
    <w:rsid w:val="002414F4"/>
    <w:rsid w:val="00276E33"/>
    <w:rsid w:val="00296F2D"/>
    <w:rsid w:val="002A610A"/>
    <w:rsid w:val="002D0961"/>
    <w:rsid w:val="002D50B8"/>
    <w:rsid w:val="00300AFD"/>
    <w:rsid w:val="00321E7B"/>
    <w:rsid w:val="0032242B"/>
    <w:rsid w:val="0032714C"/>
    <w:rsid w:val="003863F7"/>
    <w:rsid w:val="003C07CA"/>
    <w:rsid w:val="00400D5B"/>
    <w:rsid w:val="00405888"/>
    <w:rsid w:val="00412C2A"/>
    <w:rsid w:val="004324A0"/>
    <w:rsid w:val="00437840"/>
    <w:rsid w:val="00450218"/>
    <w:rsid w:val="00450246"/>
    <w:rsid w:val="00490163"/>
    <w:rsid w:val="004B4D50"/>
    <w:rsid w:val="004C7F2E"/>
    <w:rsid w:val="004D6A43"/>
    <w:rsid w:val="00501F99"/>
    <w:rsid w:val="00552FBA"/>
    <w:rsid w:val="00565BE8"/>
    <w:rsid w:val="0057296D"/>
    <w:rsid w:val="00574720"/>
    <w:rsid w:val="00586E3B"/>
    <w:rsid w:val="005A3B89"/>
    <w:rsid w:val="005A64FB"/>
    <w:rsid w:val="005E35C1"/>
    <w:rsid w:val="005F1C23"/>
    <w:rsid w:val="00620861"/>
    <w:rsid w:val="006348C6"/>
    <w:rsid w:val="00644D8F"/>
    <w:rsid w:val="00665EA6"/>
    <w:rsid w:val="00674549"/>
    <w:rsid w:val="00690821"/>
    <w:rsid w:val="006A0354"/>
    <w:rsid w:val="006A783D"/>
    <w:rsid w:val="006D3D52"/>
    <w:rsid w:val="00757E21"/>
    <w:rsid w:val="00761D56"/>
    <w:rsid w:val="00770B3F"/>
    <w:rsid w:val="007856DA"/>
    <w:rsid w:val="007F292C"/>
    <w:rsid w:val="008045DB"/>
    <w:rsid w:val="00812A92"/>
    <w:rsid w:val="00841825"/>
    <w:rsid w:val="00845F09"/>
    <w:rsid w:val="00851AF0"/>
    <w:rsid w:val="00867B67"/>
    <w:rsid w:val="0087165B"/>
    <w:rsid w:val="00890A0F"/>
    <w:rsid w:val="008B6420"/>
    <w:rsid w:val="008F0144"/>
    <w:rsid w:val="0093532D"/>
    <w:rsid w:val="0094496E"/>
    <w:rsid w:val="009675B7"/>
    <w:rsid w:val="00974D36"/>
    <w:rsid w:val="00981F97"/>
    <w:rsid w:val="009C14FD"/>
    <w:rsid w:val="009E1B7A"/>
    <w:rsid w:val="009F2811"/>
    <w:rsid w:val="009F7D3F"/>
    <w:rsid w:val="00A12F70"/>
    <w:rsid w:val="00A21E21"/>
    <w:rsid w:val="00A91C66"/>
    <w:rsid w:val="00AC04AB"/>
    <w:rsid w:val="00AC4A57"/>
    <w:rsid w:val="00AE2F6F"/>
    <w:rsid w:val="00B060D3"/>
    <w:rsid w:val="00B06852"/>
    <w:rsid w:val="00B13205"/>
    <w:rsid w:val="00B20B10"/>
    <w:rsid w:val="00B31AC4"/>
    <w:rsid w:val="00B43988"/>
    <w:rsid w:val="00B62C0E"/>
    <w:rsid w:val="00B72BEC"/>
    <w:rsid w:val="00B7529D"/>
    <w:rsid w:val="00BD54F6"/>
    <w:rsid w:val="00BF76AD"/>
    <w:rsid w:val="00C10443"/>
    <w:rsid w:val="00C162CD"/>
    <w:rsid w:val="00C61AB0"/>
    <w:rsid w:val="00C76976"/>
    <w:rsid w:val="00C82A58"/>
    <w:rsid w:val="00CB1A8E"/>
    <w:rsid w:val="00CB2B6A"/>
    <w:rsid w:val="00CB71D0"/>
    <w:rsid w:val="00CE4D7C"/>
    <w:rsid w:val="00D36088"/>
    <w:rsid w:val="00D47D43"/>
    <w:rsid w:val="00D721DB"/>
    <w:rsid w:val="00D72CB2"/>
    <w:rsid w:val="00DE178D"/>
    <w:rsid w:val="00DF4160"/>
    <w:rsid w:val="00DF5084"/>
    <w:rsid w:val="00E22E12"/>
    <w:rsid w:val="00E2622B"/>
    <w:rsid w:val="00E45B51"/>
    <w:rsid w:val="00E51C0A"/>
    <w:rsid w:val="00EB2387"/>
    <w:rsid w:val="00EF343F"/>
    <w:rsid w:val="00EF4390"/>
    <w:rsid w:val="00F158F9"/>
    <w:rsid w:val="00F335A7"/>
    <w:rsid w:val="00F359D0"/>
    <w:rsid w:val="00F40B20"/>
    <w:rsid w:val="00F43BCA"/>
    <w:rsid w:val="00F70EB5"/>
    <w:rsid w:val="00F93EC5"/>
    <w:rsid w:val="00FA1FEB"/>
    <w:rsid w:val="00FC03B5"/>
    <w:rsid w:val="01094650"/>
    <w:rsid w:val="010B6579"/>
    <w:rsid w:val="011673FE"/>
    <w:rsid w:val="011A3AA5"/>
    <w:rsid w:val="012A5F64"/>
    <w:rsid w:val="01352967"/>
    <w:rsid w:val="014C22D4"/>
    <w:rsid w:val="014F32E7"/>
    <w:rsid w:val="01514167"/>
    <w:rsid w:val="01651A5E"/>
    <w:rsid w:val="017533EF"/>
    <w:rsid w:val="018D0411"/>
    <w:rsid w:val="01AD3144"/>
    <w:rsid w:val="01B140BF"/>
    <w:rsid w:val="01C42B8B"/>
    <w:rsid w:val="01CE5A02"/>
    <w:rsid w:val="01D60B10"/>
    <w:rsid w:val="01E00300"/>
    <w:rsid w:val="01F77735"/>
    <w:rsid w:val="021E5C75"/>
    <w:rsid w:val="02237543"/>
    <w:rsid w:val="0227136C"/>
    <w:rsid w:val="025D196E"/>
    <w:rsid w:val="02702DB3"/>
    <w:rsid w:val="028E5F70"/>
    <w:rsid w:val="02910752"/>
    <w:rsid w:val="02A14C7A"/>
    <w:rsid w:val="02AC0CA7"/>
    <w:rsid w:val="02B91C3E"/>
    <w:rsid w:val="02C92BDA"/>
    <w:rsid w:val="02E46BD2"/>
    <w:rsid w:val="02EE6D81"/>
    <w:rsid w:val="03105638"/>
    <w:rsid w:val="0311512A"/>
    <w:rsid w:val="03127926"/>
    <w:rsid w:val="03196F07"/>
    <w:rsid w:val="032773DC"/>
    <w:rsid w:val="034A3826"/>
    <w:rsid w:val="03513BBD"/>
    <w:rsid w:val="03523384"/>
    <w:rsid w:val="035372C7"/>
    <w:rsid w:val="03665187"/>
    <w:rsid w:val="037C0935"/>
    <w:rsid w:val="037E5AB8"/>
    <w:rsid w:val="03845A5B"/>
    <w:rsid w:val="03863E70"/>
    <w:rsid w:val="038739DD"/>
    <w:rsid w:val="0388180D"/>
    <w:rsid w:val="03C54999"/>
    <w:rsid w:val="03CB0AA5"/>
    <w:rsid w:val="03CE0009"/>
    <w:rsid w:val="03E17915"/>
    <w:rsid w:val="04287FBB"/>
    <w:rsid w:val="043644EB"/>
    <w:rsid w:val="04580539"/>
    <w:rsid w:val="045B70AB"/>
    <w:rsid w:val="046703B4"/>
    <w:rsid w:val="04693B13"/>
    <w:rsid w:val="047B4A99"/>
    <w:rsid w:val="047C774D"/>
    <w:rsid w:val="047E3D2A"/>
    <w:rsid w:val="047F2D99"/>
    <w:rsid w:val="048E2C65"/>
    <w:rsid w:val="048F6DDC"/>
    <w:rsid w:val="04B64B19"/>
    <w:rsid w:val="04C603A8"/>
    <w:rsid w:val="04CB4F3F"/>
    <w:rsid w:val="04EB39F0"/>
    <w:rsid w:val="04FB466E"/>
    <w:rsid w:val="050414F1"/>
    <w:rsid w:val="05092B4C"/>
    <w:rsid w:val="051554AC"/>
    <w:rsid w:val="05304F4D"/>
    <w:rsid w:val="053171B4"/>
    <w:rsid w:val="053E1FB5"/>
    <w:rsid w:val="054C51E8"/>
    <w:rsid w:val="0562498A"/>
    <w:rsid w:val="056448BD"/>
    <w:rsid w:val="05654F74"/>
    <w:rsid w:val="05764D71"/>
    <w:rsid w:val="057866FB"/>
    <w:rsid w:val="057A23A6"/>
    <w:rsid w:val="058F1702"/>
    <w:rsid w:val="0597609F"/>
    <w:rsid w:val="059F2CBB"/>
    <w:rsid w:val="05BA0897"/>
    <w:rsid w:val="05C50002"/>
    <w:rsid w:val="05E919FB"/>
    <w:rsid w:val="05EE21A6"/>
    <w:rsid w:val="05F2182E"/>
    <w:rsid w:val="060416AF"/>
    <w:rsid w:val="061C410F"/>
    <w:rsid w:val="06251E91"/>
    <w:rsid w:val="06432B56"/>
    <w:rsid w:val="064824A8"/>
    <w:rsid w:val="068E4E98"/>
    <w:rsid w:val="06922992"/>
    <w:rsid w:val="069C40D7"/>
    <w:rsid w:val="06B949C2"/>
    <w:rsid w:val="06CE1DB6"/>
    <w:rsid w:val="06D05B2E"/>
    <w:rsid w:val="06E37E02"/>
    <w:rsid w:val="06E42523"/>
    <w:rsid w:val="06E87608"/>
    <w:rsid w:val="06F86F74"/>
    <w:rsid w:val="06FA2BAB"/>
    <w:rsid w:val="070A2486"/>
    <w:rsid w:val="07147AE8"/>
    <w:rsid w:val="073C3547"/>
    <w:rsid w:val="074460CC"/>
    <w:rsid w:val="074C371E"/>
    <w:rsid w:val="07736B14"/>
    <w:rsid w:val="07795B93"/>
    <w:rsid w:val="077E40F7"/>
    <w:rsid w:val="07870497"/>
    <w:rsid w:val="07943000"/>
    <w:rsid w:val="079C444D"/>
    <w:rsid w:val="07A779A9"/>
    <w:rsid w:val="07BA3909"/>
    <w:rsid w:val="07C53557"/>
    <w:rsid w:val="07E84069"/>
    <w:rsid w:val="07F34704"/>
    <w:rsid w:val="07F41CF0"/>
    <w:rsid w:val="08094B4A"/>
    <w:rsid w:val="083541E3"/>
    <w:rsid w:val="0845254C"/>
    <w:rsid w:val="086A7B81"/>
    <w:rsid w:val="08730EA9"/>
    <w:rsid w:val="08767BF6"/>
    <w:rsid w:val="087C2468"/>
    <w:rsid w:val="08923B7D"/>
    <w:rsid w:val="08A756A4"/>
    <w:rsid w:val="08AE5461"/>
    <w:rsid w:val="08BB09B5"/>
    <w:rsid w:val="08BF4A0E"/>
    <w:rsid w:val="08C02B68"/>
    <w:rsid w:val="08C456CC"/>
    <w:rsid w:val="08C90E33"/>
    <w:rsid w:val="08CD3E6F"/>
    <w:rsid w:val="08D85451"/>
    <w:rsid w:val="08EB4197"/>
    <w:rsid w:val="08F625A7"/>
    <w:rsid w:val="092020B9"/>
    <w:rsid w:val="0943659E"/>
    <w:rsid w:val="09471B37"/>
    <w:rsid w:val="09552C2F"/>
    <w:rsid w:val="095C7B4D"/>
    <w:rsid w:val="09760D00"/>
    <w:rsid w:val="097B4D91"/>
    <w:rsid w:val="097D1872"/>
    <w:rsid w:val="09A55A0A"/>
    <w:rsid w:val="09AD7C16"/>
    <w:rsid w:val="09AE35E0"/>
    <w:rsid w:val="09C709B8"/>
    <w:rsid w:val="09D94505"/>
    <w:rsid w:val="09DD7E45"/>
    <w:rsid w:val="0A050E07"/>
    <w:rsid w:val="0A174B28"/>
    <w:rsid w:val="0A1B5493"/>
    <w:rsid w:val="0A3835B7"/>
    <w:rsid w:val="0A3F4E04"/>
    <w:rsid w:val="0A47010D"/>
    <w:rsid w:val="0A4F015D"/>
    <w:rsid w:val="0A570314"/>
    <w:rsid w:val="0A6273E5"/>
    <w:rsid w:val="0A7113D6"/>
    <w:rsid w:val="0A79472F"/>
    <w:rsid w:val="0A7F7F97"/>
    <w:rsid w:val="0A911A78"/>
    <w:rsid w:val="0A973970"/>
    <w:rsid w:val="0AA014CF"/>
    <w:rsid w:val="0AB35E1D"/>
    <w:rsid w:val="0AC10D12"/>
    <w:rsid w:val="0ACD25A1"/>
    <w:rsid w:val="0AFA761E"/>
    <w:rsid w:val="0B144CD5"/>
    <w:rsid w:val="0B1979D0"/>
    <w:rsid w:val="0B2448A2"/>
    <w:rsid w:val="0B292F36"/>
    <w:rsid w:val="0B3E2E09"/>
    <w:rsid w:val="0B441DB0"/>
    <w:rsid w:val="0B481630"/>
    <w:rsid w:val="0B646BEC"/>
    <w:rsid w:val="0B6724E3"/>
    <w:rsid w:val="0B7078E0"/>
    <w:rsid w:val="0B72685A"/>
    <w:rsid w:val="0B7B5784"/>
    <w:rsid w:val="0B7D3DAB"/>
    <w:rsid w:val="0B8405B2"/>
    <w:rsid w:val="0B907CF9"/>
    <w:rsid w:val="0BA565CB"/>
    <w:rsid w:val="0BB240EC"/>
    <w:rsid w:val="0BB70556"/>
    <w:rsid w:val="0BC33BC2"/>
    <w:rsid w:val="0BC77024"/>
    <w:rsid w:val="0BC96AE1"/>
    <w:rsid w:val="0BCC74ED"/>
    <w:rsid w:val="0BD4512E"/>
    <w:rsid w:val="0C051EF2"/>
    <w:rsid w:val="0C0D3381"/>
    <w:rsid w:val="0C20014B"/>
    <w:rsid w:val="0C2B2A14"/>
    <w:rsid w:val="0C331C58"/>
    <w:rsid w:val="0C434F02"/>
    <w:rsid w:val="0C445DE9"/>
    <w:rsid w:val="0C747126"/>
    <w:rsid w:val="0C78214E"/>
    <w:rsid w:val="0C860970"/>
    <w:rsid w:val="0C87759C"/>
    <w:rsid w:val="0CA92ABA"/>
    <w:rsid w:val="0CA96022"/>
    <w:rsid w:val="0CBC3C74"/>
    <w:rsid w:val="0CDF7B5E"/>
    <w:rsid w:val="0CEE7AD2"/>
    <w:rsid w:val="0CF90EA0"/>
    <w:rsid w:val="0D1A6C54"/>
    <w:rsid w:val="0D220D9D"/>
    <w:rsid w:val="0D2D3B4C"/>
    <w:rsid w:val="0D3C6A85"/>
    <w:rsid w:val="0D4174CA"/>
    <w:rsid w:val="0D422131"/>
    <w:rsid w:val="0D464D9C"/>
    <w:rsid w:val="0D472932"/>
    <w:rsid w:val="0D47435B"/>
    <w:rsid w:val="0D4D218A"/>
    <w:rsid w:val="0D5E6CDB"/>
    <w:rsid w:val="0D6F3584"/>
    <w:rsid w:val="0D72108A"/>
    <w:rsid w:val="0D745238"/>
    <w:rsid w:val="0D7C46AF"/>
    <w:rsid w:val="0D9217D1"/>
    <w:rsid w:val="0D9C2230"/>
    <w:rsid w:val="0DBB6E2E"/>
    <w:rsid w:val="0DC6349B"/>
    <w:rsid w:val="0DC824DF"/>
    <w:rsid w:val="0DE34399"/>
    <w:rsid w:val="0DEE4521"/>
    <w:rsid w:val="0DFA5B87"/>
    <w:rsid w:val="0DFC18FF"/>
    <w:rsid w:val="0E1F56F3"/>
    <w:rsid w:val="0E2818B8"/>
    <w:rsid w:val="0E5C32D6"/>
    <w:rsid w:val="0E6E44E2"/>
    <w:rsid w:val="0E757C0B"/>
    <w:rsid w:val="0E765841"/>
    <w:rsid w:val="0E927B6D"/>
    <w:rsid w:val="0E9953A0"/>
    <w:rsid w:val="0EA92AB9"/>
    <w:rsid w:val="0EB429F0"/>
    <w:rsid w:val="0EBD2E3C"/>
    <w:rsid w:val="0EC6390D"/>
    <w:rsid w:val="0EDC783A"/>
    <w:rsid w:val="0EF44384"/>
    <w:rsid w:val="0EF453F7"/>
    <w:rsid w:val="0EF97E5C"/>
    <w:rsid w:val="0EFD2274"/>
    <w:rsid w:val="0F0A4535"/>
    <w:rsid w:val="0F30609E"/>
    <w:rsid w:val="0F3D02BB"/>
    <w:rsid w:val="0F410FD8"/>
    <w:rsid w:val="0F564CC4"/>
    <w:rsid w:val="0F7227EF"/>
    <w:rsid w:val="0F7F3C8F"/>
    <w:rsid w:val="0F84395A"/>
    <w:rsid w:val="0F8459E8"/>
    <w:rsid w:val="0F8B0C78"/>
    <w:rsid w:val="0F9310E4"/>
    <w:rsid w:val="0F9A317D"/>
    <w:rsid w:val="0F9E6352"/>
    <w:rsid w:val="0FA1022D"/>
    <w:rsid w:val="0FA67D74"/>
    <w:rsid w:val="0FA83AEC"/>
    <w:rsid w:val="0FAE49B6"/>
    <w:rsid w:val="0FAE71DE"/>
    <w:rsid w:val="0FBF435C"/>
    <w:rsid w:val="0FD13F18"/>
    <w:rsid w:val="0FDE6B2D"/>
    <w:rsid w:val="0FF93C23"/>
    <w:rsid w:val="10391A4C"/>
    <w:rsid w:val="105C7844"/>
    <w:rsid w:val="105D502D"/>
    <w:rsid w:val="105F01DB"/>
    <w:rsid w:val="106C582E"/>
    <w:rsid w:val="106F1558"/>
    <w:rsid w:val="107A55EA"/>
    <w:rsid w:val="107B1755"/>
    <w:rsid w:val="109836C9"/>
    <w:rsid w:val="10A91B4A"/>
    <w:rsid w:val="10AF2C58"/>
    <w:rsid w:val="10BD75EA"/>
    <w:rsid w:val="10BE10ED"/>
    <w:rsid w:val="10E02E12"/>
    <w:rsid w:val="10F535AC"/>
    <w:rsid w:val="110725CC"/>
    <w:rsid w:val="110D6C3F"/>
    <w:rsid w:val="110F6903"/>
    <w:rsid w:val="112E3DD6"/>
    <w:rsid w:val="112E5D0F"/>
    <w:rsid w:val="113F555A"/>
    <w:rsid w:val="11401B02"/>
    <w:rsid w:val="1154735C"/>
    <w:rsid w:val="11870B0D"/>
    <w:rsid w:val="1191052A"/>
    <w:rsid w:val="11A71B81"/>
    <w:rsid w:val="11AE03C0"/>
    <w:rsid w:val="11B71F75"/>
    <w:rsid w:val="11B81FB3"/>
    <w:rsid w:val="11B9640D"/>
    <w:rsid w:val="11DA1F57"/>
    <w:rsid w:val="11DA44CF"/>
    <w:rsid w:val="11EF7354"/>
    <w:rsid w:val="12135980"/>
    <w:rsid w:val="12305320"/>
    <w:rsid w:val="123D469D"/>
    <w:rsid w:val="12402E84"/>
    <w:rsid w:val="1248281F"/>
    <w:rsid w:val="124B21FC"/>
    <w:rsid w:val="12503FC7"/>
    <w:rsid w:val="12517511"/>
    <w:rsid w:val="12582E7C"/>
    <w:rsid w:val="126C5F87"/>
    <w:rsid w:val="127203E1"/>
    <w:rsid w:val="127C300E"/>
    <w:rsid w:val="127D322F"/>
    <w:rsid w:val="128903EC"/>
    <w:rsid w:val="128A572B"/>
    <w:rsid w:val="129649DC"/>
    <w:rsid w:val="12A73F3E"/>
    <w:rsid w:val="12AA58F0"/>
    <w:rsid w:val="12B409FA"/>
    <w:rsid w:val="12BF4183"/>
    <w:rsid w:val="12C551CB"/>
    <w:rsid w:val="12C9435B"/>
    <w:rsid w:val="12EF558E"/>
    <w:rsid w:val="12FD7FAB"/>
    <w:rsid w:val="1300779B"/>
    <w:rsid w:val="130724E6"/>
    <w:rsid w:val="13102AB9"/>
    <w:rsid w:val="1319004B"/>
    <w:rsid w:val="132F6716"/>
    <w:rsid w:val="1335392F"/>
    <w:rsid w:val="13392190"/>
    <w:rsid w:val="1342685E"/>
    <w:rsid w:val="1351234D"/>
    <w:rsid w:val="1361299E"/>
    <w:rsid w:val="13685097"/>
    <w:rsid w:val="137B32EF"/>
    <w:rsid w:val="1382549E"/>
    <w:rsid w:val="138E68DE"/>
    <w:rsid w:val="138F468A"/>
    <w:rsid w:val="13914897"/>
    <w:rsid w:val="139F6FB4"/>
    <w:rsid w:val="13A15444"/>
    <w:rsid w:val="13A52BEE"/>
    <w:rsid w:val="13C27E4F"/>
    <w:rsid w:val="13CB6724"/>
    <w:rsid w:val="13D529D6"/>
    <w:rsid w:val="13F402B4"/>
    <w:rsid w:val="13F5208D"/>
    <w:rsid w:val="13FF7A53"/>
    <w:rsid w:val="14064CD1"/>
    <w:rsid w:val="1431578F"/>
    <w:rsid w:val="144A7774"/>
    <w:rsid w:val="1461070D"/>
    <w:rsid w:val="146124BC"/>
    <w:rsid w:val="148C396A"/>
    <w:rsid w:val="14A04967"/>
    <w:rsid w:val="14A10FF2"/>
    <w:rsid w:val="14A44572"/>
    <w:rsid w:val="14B90C33"/>
    <w:rsid w:val="14B91689"/>
    <w:rsid w:val="14BA513D"/>
    <w:rsid w:val="14BD4543"/>
    <w:rsid w:val="14CD7951"/>
    <w:rsid w:val="14D9647F"/>
    <w:rsid w:val="14D97ECC"/>
    <w:rsid w:val="14E27508"/>
    <w:rsid w:val="14F0067C"/>
    <w:rsid w:val="14FE25D4"/>
    <w:rsid w:val="150C7881"/>
    <w:rsid w:val="15127F19"/>
    <w:rsid w:val="151D4DD1"/>
    <w:rsid w:val="15220305"/>
    <w:rsid w:val="15241C69"/>
    <w:rsid w:val="15267DDB"/>
    <w:rsid w:val="152C2AC9"/>
    <w:rsid w:val="15317009"/>
    <w:rsid w:val="15455A63"/>
    <w:rsid w:val="156C2C88"/>
    <w:rsid w:val="157D006F"/>
    <w:rsid w:val="15926A2C"/>
    <w:rsid w:val="15A22C1A"/>
    <w:rsid w:val="15A71597"/>
    <w:rsid w:val="15CB3215"/>
    <w:rsid w:val="15D1446A"/>
    <w:rsid w:val="15DD41B0"/>
    <w:rsid w:val="15E275F7"/>
    <w:rsid w:val="15E47AC3"/>
    <w:rsid w:val="15EE4223"/>
    <w:rsid w:val="16095BEA"/>
    <w:rsid w:val="16096A5E"/>
    <w:rsid w:val="161F618A"/>
    <w:rsid w:val="1644110B"/>
    <w:rsid w:val="16445BF1"/>
    <w:rsid w:val="165A2269"/>
    <w:rsid w:val="166C5148"/>
    <w:rsid w:val="16747155"/>
    <w:rsid w:val="16A172ED"/>
    <w:rsid w:val="16BA1C3C"/>
    <w:rsid w:val="16BD413D"/>
    <w:rsid w:val="16C1448B"/>
    <w:rsid w:val="16CE00B1"/>
    <w:rsid w:val="16D6565B"/>
    <w:rsid w:val="16DF3BC5"/>
    <w:rsid w:val="16E3525C"/>
    <w:rsid w:val="16EB18AF"/>
    <w:rsid w:val="16ED0036"/>
    <w:rsid w:val="16F45869"/>
    <w:rsid w:val="16F66D00"/>
    <w:rsid w:val="17034520"/>
    <w:rsid w:val="170C3831"/>
    <w:rsid w:val="1718317E"/>
    <w:rsid w:val="172E5488"/>
    <w:rsid w:val="17324FA7"/>
    <w:rsid w:val="173914CE"/>
    <w:rsid w:val="176710D1"/>
    <w:rsid w:val="176F7B24"/>
    <w:rsid w:val="17740758"/>
    <w:rsid w:val="177870F4"/>
    <w:rsid w:val="178A4484"/>
    <w:rsid w:val="17922113"/>
    <w:rsid w:val="17966920"/>
    <w:rsid w:val="179B4B68"/>
    <w:rsid w:val="179B56E9"/>
    <w:rsid w:val="179D7CAF"/>
    <w:rsid w:val="17A60B24"/>
    <w:rsid w:val="17AF3CFA"/>
    <w:rsid w:val="17CD20E3"/>
    <w:rsid w:val="17D336D0"/>
    <w:rsid w:val="17DE3FAB"/>
    <w:rsid w:val="17E01616"/>
    <w:rsid w:val="17F6653C"/>
    <w:rsid w:val="17F80221"/>
    <w:rsid w:val="17F82D9A"/>
    <w:rsid w:val="17FF652E"/>
    <w:rsid w:val="184A4E1E"/>
    <w:rsid w:val="184B067B"/>
    <w:rsid w:val="184E5512"/>
    <w:rsid w:val="18583BD5"/>
    <w:rsid w:val="185C53B9"/>
    <w:rsid w:val="18642E49"/>
    <w:rsid w:val="186C73C8"/>
    <w:rsid w:val="18737847"/>
    <w:rsid w:val="18853540"/>
    <w:rsid w:val="18B24793"/>
    <w:rsid w:val="18BC2CF8"/>
    <w:rsid w:val="18C24021"/>
    <w:rsid w:val="18D03838"/>
    <w:rsid w:val="18E64900"/>
    <w:rsid w:val="18E744E5"/>
    <w:rsid w:val="19102B69"/>
    <w:rsid w:val="191C4F72"/>
    <w:rsid w:val="19222D93"/>
    <w:rsid w:val="192569C6"/>
    <w:rsid w:val="195521F3"/>
    <w:rsid w:val="197B7B7C"/>
    <w:rsid w:val="19955B2B"/>
    <w:rsid w:val="19BB266E"/>
    <w:rsid w:val="19CE4BDD"/>
    <w:rsid w:val="19D67345"/>
    <w:rsid w:val="19E33973"/>
    <w:rsid w:val="19F742F1"/>
    <w:rsid w:val="19FE1BC4"/>
    <w:rsid w:val="19FE618D"/>
    <w:rsid w:val="1A0F5BFA"/>
    <w:rsid w:val="1A255D39"/>
    <w:rsid w:val="1A2E2E40"/>
    <w:rsid w:val="1A49360E"/>
    <w:rsid w:val="1A563666"/>
    <w:rsid w:val="1A626914"/>
    <w:rsid w:val="1A6B7270"/>
    <w:rsid w:val="1A701868"/>
    <w:rsid w:val="1A8056B6"/>
    <w:rsid w:val="1A8B1E0A"/>
    <w:rsid w:val="1AA2382E"/>
    <w:rsid w:val="1ACC4407"/>
    <w:rsid w:val="1AD70214"/>
    <w:rsid w:val="1AE053D8"/>
    <w:rsid w:val="1AF03C28"/>
    <w:rsid w:val="1AFD28EF"/>
    <w:rsid w:val="1B010554"/>
    <w:rsid w:val="1B082FEE"/>
    <w:rsid w:val="1B235143"/>
    <w:rsid w:val="1B2B3823"/>
    <w:rsid w:val="1B3064D3"/>
    <w:rsid w:val="1B346E41"/>
    <w:rsid w:val="1B3752AA"/>
    <w:rsid w:val="1B3761C4"/>
    <w:rsid w:val="1B377468"/>
    <w:rsid w:val="1B47703E"/>
    <w:rsid w:val="1B660E24"/>
    <w:rsid w:val="1B6944F7"/>
    <w:rsid w:val="1B760266"/>
    <w:rsid w:val="1B7A3D7F"/>
    <w:rsid w:val="1B8A117B"/>
    <w:rsid w:val="1B8F5B0A"/>
    <w:rsid w:val="1B980ED4"/>
    <w:rsid w:val="1B9F38C9"/>
    <w:rsid w:val="1BAC0600"/>
    <w:rsid w:val="1BB57563"/>
    <w:rsid w:val="1BBC6ECE"/>
    <w:rsid w:val="1BC32555"/>
    <w:rsid w:val="1BCF0653"/>
    <w:rsid w:val="1BEE0A68"/>
    <w:rsid w:val="1BF7103C"/>
    <w:rsid w:val="1BFD15C0"/>
    <w:rsid w:val="1C0B6C4C"/>
    <w:rsid w:val="1C1B20CD"/>
    <w:rsid w:val="1C232CD3"/>
    <w:rsid w:val="1C234216"/>
    <w:rsid w:val="1C2775DA"/>
    <w:rsid w:val="1C3911EF"/>
    <w:rsid w:val="1C3F2ACB"/>
    <w:rsid w:val="1C3F5BE8"/>
    <w:rsid w:val="1C4D552D"/>
    <w:rsid w:val="1C534DE0"/>
    <w:rsid w:val="1C5B5A42"/>
    <w:rsid w:val="1C65563B"/>
    <w:rsid w:val="1C6568C1"/>
    <w:rsid w:val="1C6963B1"/>
    <w:rsid w:val="1C7A14BE"/>
    <w:rsid w:val="1C7C0F59"/>
    <w:rsid w:val="1C8A2181"/>
    <w:rsid w:val="1C8B27CB"/>
    <w:rsid w:val="1C9A425D"/>
    <w:rsid w:val="1C9B72A7"/>
    <w:rsid w:val="1C9F2E35"/>
    <w:rsid w:val="1CA82DF3"/>
    <w:rsid w:val="1CAD6A29"/>
    <w:rsid w:val="1CC01010"/>
    <w:rsid w:val="1CC31114"/>
    <w:rsid w:val="1CCC325A"/>
    <w:rsid w:val="1CD437EA"/>
    <w:rsid w:val="1CE47591"/>
    <w:rsid w:val="1CF71D70"/>
    <w:rsid w:val="1D0B7468"/>
    <w:rsid w:val="1D1105C9"/>
    <w:rsid w:val="1D1B03DC"/>
    <w:rsid w:val="1D1C2454"/>
    <w:rsid w:val="1D1C3369"/>
    <w:rsid w:val="1D263D54"/>
    <w:rsid w:val="1D323D78"/>
    <w:rsid w:val="1D41379E"/>
    <w:rsid w:val="1D49661E"/>
    <w:rsid w:val="1D4B27C8"/>
    <w:rsid w:val="1D50131F"/>
    <w:rsid w:val="1D5063A9"/>
    <w:rsid w:val="1D7268F3"/>
    <w:rsid w:val="1D767ADD"/>
    <w:rsid w:val="1D977951"/>
    <w:rsid w:val="1DA56C94"/>
    <w:rsid w:val="1DA72215"/>
    <w:rsid w:val="1DC4719C"/>
    <w:rsid w:val="1DD70A4B"/>
    <w:rsid w:val="1DD733D1"/>
    <w:rsid w:val="1DE01FAC"/>
    <w:rsid w:val="1DFD0516"/>
    <w:rsid w:val="1DFD4F9E"/>
    <w:rsid w:val="1E003790"/>
    <w:rsid w:val="1E0F2F88"/>
    <w:rsid w:val="1E2564FE"/>
    <w:rsid w:val="1E283F67"/>
    <w:rsid w:val="1E2F53D8"/>
    <w:rsid w:val="1E347545"/>
    <w:rsid w:val="1E357FF8"/>
    <w:rsid w:val="1E4179F8"/>
    <w:rsid w:val="1E4C1AE7"/>
    <w:rsid w:val="1E4C5E54"/>
    <w:rsid w:val="1E5D55B0"/>
    <w:rsid w:val="1E6017E1"/>
    <w:rsid w:val="1E6A347E"/>
    <w:rsid w:val="1E75345D"/>
    <w:rsid w:val="1E913D35"/>
    <w:rsid w:val="1E965015"/>
    <w:rsid w:val="1EA12809"/>
    <w:rsid w:val="1EC42D89"/>
    <w:rsid w:val="1EC469C9"/>
    <w:rsid w:val="1ECD15FC"/>
    <w:rsid w:val="1EE40A5D"/>
    <w:rsid w:val="1EEE3FBD"/>
    <w:rsid w:val="1EF06916"/>
    <w:rsid w:val="1EF57AA0"/>
    <w:rsid w:val="1EFD2393"/>
    <w:rsid w:val="1F0F4506"/>
    <w:rsid w:val="1F1529EB"/>
    <w:rsid w:val="1F1F544D"/>
    <w:rsid w:val="1F2652B5"/>
    <w:rsid w:val="1F310CB4"/>
    <w:rsid w:val="1F3E1FD8"/>
    <w:rsid w:val="1F425642"/>
    <w:rsid w:val="1F4D4F46"/>
    <w:rsid w:val="1F4E1877"/>
    <w:rsid w:val="1F4F097C"/>
    <w:rsid w:val="1F5229F1"/>
    <w:rsid w:val="1F5E4540"/>
    <w:rsid w:val="1F7E375A"/>
    <w:rsid w:val="1F9D6F77"/>
    <w:rsid w:val="1FA5253C"/>
    <w:rsid w:val="1FB152E4"/>
    <w:rsid w:val="1FD914D4"/>
    <w:rsid w:val="1FE3647B"/>
    <w:rsid w:val="1FE41527"/>
    <w:rsid w:val="1FF870A7"/>
    <w:rsid w:val="1FFA6EA4"/>
    <w:rsid w:val="1FFC578E"/>
    <w:rsid w:val="20045817"/>
    <w:rsid w:val="20046ACE"/>
    <w:rsid w:val="20060F10"/>
    <w:rsid w:val="20191E9C"/>
    <w:rsid w:val="201A5598"/>
    <w:rsid w:val="201C38CD"/>
    <w:rsid w:val="2027280B"/>
    <w:rsid w:val="203A68C7"/>
    <w:rsid w:val="204B0D23"/>
    <w:rsid w:val="20631A24"/>
    <w:rsid w:val="206E036F"/>
    <w:rsid w:val="206F3515"/>
    <w:rsid w:val="20764567"/>
    <w:rsid w:val="20801F1B"/>
    <w:rsid w:val="208055EA"/>
    <w:rsid w:val="20860B1F"/>
    <w:rsid w:val="208C08C0"/>
    <w:rsid w:val="208C18AB"/>
    <w:rsid w:val="20A121B6"/>
    <w:rsid w:val="20A82791"/>
    <w:rsid w:val="20AC4BA2"/>
    <w:rsid w:val="20D41937"/>
    <w:rsid w:val="20DA542D"/>
    <w:rsid w:val="20EF0C52"/>
    <w:rsid w:val="2109670F"/>
    <w:rsid w:val="2117242D"/>
    <w:rsid w:val="21227273"/>
    <w:rsid w:val="212773AD"/>
    <w:rsid w:val="21464F13"/>
    <w:rsid w:val="215E7C80"/>
    <w:rsid w:val="21745B75"/>
    <w:rsid w:val="217F1C22"/>
    <w:rsid w:val="218471EC"/>
    <w:rsid w:val="21866569"/>
    <w:rsid w:val="218A20E3"/>
    <w:rsid w:val="218B4316"/>
    <w:rsid w:val="218C182B"/>
    <w:rsid w:val="218D1315"/>
    <w:rsid w:val="21997739"/>
    <w:rsid w:val="219E7F36"/>
    <w:rsid w:val="21AE7AB9"/>
    <w:rsid w:val="21B404E9"/>
    <w:rsid w:val="21B70322"/>
    <w:rsid w:val="21C80C42"/>
    <w:rsid w:val="21CC7DA6"/>
    <w:rsid w:val="21CF4F08"/>
    <w:rsid w:val="21DA565B"/>
    <w:rsid w:val="21E938C6"/>
    <w:rsid w:val="21E950C7"/>
    <w:rsid w:val="21EB7868"/>
    <w:rsid w:val="21F34E0C"/>
    <w:rsid w:val="21FA06C6"/>
    <w:rsid w:val="220B1CB9"/>
    <w:rsid w:val="22143A6E"/>
    <w:rsid w:val="2223303D"/>
    <w:rsid w:val="222334A6"/>
    <w:rsid w:val="222933E3"/>
    <w:rsid w:val="222F06FD"/>
    <w:rsid w:val="223C00C4"/>
    <w:rsid w:val="224D64B6"/>
    <w:rsid w:val="224D6F3D"/>
    <w:rsid w:val="224F1BA5"/>
    <w:rsid w:val="226323ED"/>
    <w:rsid w:val="22640916"/>
    <w:rsid w:val="227E6ED8"/>
    <w:rsid w:val="228C06EB"/>
    <w:rsid w:val="22A43B65"/>
    <w:rsid w:val="22B93805"/>
    <w:rsid w:val="22D221A8"/>
    <w:rsid w:val="22E22A19"/>
    <w:rsid w:val="22F040AA"/>
    <w:rsid w:val="23024E6A"/>
    <w:rsid w:val="230555F9"/>
    <w:rsid w:val="232042F9"/>
    <w:rsid w:val="23256644"/>
    <w:rsid w:val="23290D14"/>
    <w:rsid w:val="232E3EB1"/>
    <w:rsid w:val="233331C3"/>
    <w:rsid w:val="23375881"/>
    <w:rsid w:val="233B509B"/>
    <w:rsid w:val="23621DAC"/>
    <w:rsid w:val="23705F3E"/>
    <w:rsid w:val="23812232"/>
    <w:rsid w:val="23827D58"/>
    <w:rsid w:val="23845460"/>
    <w:rsid w:val="238D1FCE"/>
    <w:rsid w:val="23934A35"/>
    <w:rsid w:val="23950B2E"/>
    <w:rsid w:val="239E1E23"/>
    <w:rsid w:val="23AA7A92"/>
    <w:rsid w:val="23B03EF9"/>
    <w:rsid w:val="23BA7844"/>
    <w:rsid w:val="23C41BE7"/>
    <w:rsid w:val="23CB6B07"/>
    <w:rsid w:val="23EB61A9"/>
    <w:rsid w:val="23F067DA"/>
    <w:rsid w:val="240A46F4"/>
    <w:rsid w:val="24103DB4"/>
    <w:rsid w:val="24312D51"/>
    <w:rsid w:val="243C14F4"/>
    <w:rsid w:val="24424D26"/>
    <w:rsid w:val="24521CAA"/>
    <w:rsid w:val="24612B73"/>
    <w:rsid w:val="2472309B"/>
    <w:rsid w:val="247578BD"/>
    <w:rsid w:val="24787B6D"/>
    <w:rsid w:val="24BD467F"/>
    <w:rsid w:val="24C20D86"/>
    <w:rsid w:val="24C6178C"/>
    <w:rsid w:val="24C719C1"/>
    <w:rsid w:val="24C91598"/>
    <w:rsid w:val="24D06B03"/>
    <w:rsid w:val="24D71550"/>
    <w:rsid w:val="24ED56A6"/>
    <w:rsid w:val="250408BB"/>
    <w:rsid w:val="25226A3F"/>
    <w:rsid w:val="25231BD8"/>
    <w:rsid w:val="252A718C"/>
    <w:rsid w:val="2546550C"/>
    <w:rsid w:val="25517F57"/>
    <w:rsid w:val="25540335"/>
    <w:rsid w:val="25613A4A"/>
    <w:rsid w:val="256476B4"/>
    <w:rsid w:val="25675458"/>
    <w:rsid w:val="25AE4F48"/>
    <w:rsid w:val="25BE1F9D"/>
    <w:rsid w:val="25CB4906"/>
    <w:rsid w:val="25D32AED"/>
    <w:rsid w:val="25D97CEF"/>
    <w:rsid w:val="25F0544D"/>
    <w:rsid w:val="25F211C5"/>
    <w:rsid w:val="25F56066"/>
    <w:rsid w:val="25F7717A"/>
    <w:rsid w:val="26026451"/>
    <w:rsid w:val="2606604C"/>
    <w:rsid w:val="260A29DD"/>
    <w:rsid w:val="2685028B"/>
    <w:rsid w:val="26872C01"/>
    <w:rsid w:val="26914E82"/>
    <w:rsid w:val="269848AC"/>
    <w:rsid w:val="269F5473"/>
    <w:rsid w:val="26D27ED4"/>
    <w:rsid w:val="26DF4342"/>
    <w:rsid w:val="26E33204"/>
    <w:rsid w:val="26EB4B2B"/>
    <w:rsid w:val="26F92A28"/>
    <w:rsid w:val="26FD0C6D"/>
    <w:rsid w:val="271D63E3"/>
    <w:rsid w:val="27202D3F"/>
    <w:rsid w:val="27364396"/>
    <w:rsid w:val="27396D5C"/>
    <w:rsid w:val="273D6B52"/>
    <w:rsid w:val="274413E1"/>
    <w:rsid w:val="275E288B"/>
    <w:rsid w:val="27640E18"/>
    <w:rsid w:val="27802801"/>
    <w:rsid w:val="27A4698E"/>
    <w:rsid w:val="27A65319"/>
    <w:rsid w:val="27AC01A1"/>
    <w:rsid w:val="27C4366A"/>
    <w:rsid w:val="27C61E21"/>
    <w:rsid w:val="27D20045"/>
    <w:rsid w:val="27DC5B01"/>
    <w:rsid w:val="27F531EF"/>
    <w:rsid w:val="280C76E6"/>
    <w:rsid w:val="281C07C0"/>
    <w:rsid w:val="28397580"/>
    <w:rsid w:val="28480336"/>
    <w:rsid w:val="284E2F1C"/>
    <w:rsid w:val="284F5F3F"/>
    <w:rsid w:val="28643ED1"/>
    <w:rsid w:val="28692246"/>
    <w:rsid w:val="28713BA9"/>
    <w:rsid w:val="28754330"/>
    <w:rsid w:val="28757E8C"/>
    <w:rsid w:val="288449A9"/>
    <w:rsid w:val="28932333"/>
    <w:rsid w:val="28AF339E"/>
    <w:rsid w:val="28B05971"/>
    <w:rsid w:val="28B766F6"/>
    <w:rsid w:val="28D9666D"/>
    <w:rsid w:val="28F214DC"/>
    <w:rsid w:val="2908599B"/>
    <w:rsid w:val="292024ED"/>
    <w:rsid w:val="29355C0C"/>
    <w:rsid w:val="294A1318"/>
    <w:rsid w:val="29622B06"/>
    <w:rsid w:val="296543A4"/>
    <w:rsid w:val="2983174B"/>
    <w:rsid w:val="299A22A0"/>
    <w:rsid w:val="29D52297"/>
    <w:rsid w:val="29D56857"/>
    <w:rsid w:val="29D83E73"/>
    <w:rsid w:val="29E051D8"/>
    <w:rsid w:val="2A073287"/>
    <w:rsid w:val="2A18186E"/>
    <w:rsid w:val="2A1A05B1"/>
    <w:rsid w:val="2A1F27A5"/>
    <w:rsid w:val="2A29181D"/>
    <w:rsid w:val="2A2B50DC"/>
    <w:rsid w:val="2A4C2E6E"/>
    <w:rsid w:val="2A581B75"/>
    <w:rsid w:val="2A7234AD"/>
    <w:rsid w:val="2A75037D"/>
    <w:rsid w:val="2A7D2D50"/>
    <w:rsid w:val="2A846776"/>
    <w:rsid w:val="2A8D4A1D"/>
    <w:rsid w:val="2A93574A"/>
    <w:rsid w:val="2AAC1998"/>
    <w:rsid w:val="2AC55386"/>
    <w:rsid w:val="2AE71432"/>
    <w:rsid w:val="2AE72B91"/>
    <w:rsid w:val="2AEB6121"/>
    <w:rsid w:val="2B05057A"/>
    <w:rsid w:val="2B057EE8"/>
    <w:rsid w:val="2B094BE1"/>
    <w:rsid w:val="2B1F4C55"/>
    <w:rsid w:val="2B235FD5"/>
    <w:rsid w:val="2B2D4AF3"/>
    <w:rsid w:val="2B362929"/>
    <w:rsid w:val="2B4227D3"/>
    <w:rsid w:val="2B4A3EE9"/>
    <w:rsid w:val="2B5110B5"/>
    <w:rsid w:val="2B521396"/>
    <w:rsid w:val="2B623BF0"/>
    <w:rsid w:val="2B702A4B"/>
    <w:rsid w:val="2B7C05C5"/>
    <w:rsid w:val="2B87024F"/>
    <w:rsid w:val="2B903D92"/>
    <w:rsid w:val="2BA03472"/>
    <w:rsid w:val="2BBF53E1"/>
    <w:rsid w:val="2BC41856"/>
    <w:rsid w:val="2BC53DDE"/>
    <w:rsid w:val="2BC74EA2"/>
    <w:rsid w:val="2BC96E6C"/>
    <w:rsid w:val="2BCA78E6"/>
    <w:rsid w:val="2BFB056E"/>
    <w:rsid w:val="2C136339"/>
    <w:rsid w:val="2C371498"/>
    <w:rsid w:val="2C475FE3"/>
    <w:rsid w:val="2C4A214C"/>
    <w:rsid w:val="2C570793"/>
    <w:rsid w:val="2C5A5D16"/>
    <w:rsid w:val="2C5D2D34"/>
    <w:rsid w:val="2C6920B2"/>
    <w:rsid w:val="2C7026F4"/>
    <w:rsid w:val="2C8E1883"/>
    <w:rsid w:val="2C8E776E"/>
    <w:rsid w:val="2C9770A0"/>
    <w:rsid w:val="2C9F4AA5"/>
    <w:rsid w:val="2CA23578"/>
    <w:rsid w:val="2CA23EDD"/>
    <w:rsid w:val="2CC230F7"/>
    <w:rsid w:val="2CC67B11"/>
    <w:rsid w:val="2CCD64E8"/>
    <w:rsid w:val="2CE13D42"/>
    <w:rsid w:val="2D091419"/>
    <w:rsid w:val="2D17275D"/>
    <w:rsid w:val="2D21526D"/>
    <w:rsid w:val="2D374119"/>
    <w:rsid w:val="2D3C541C"/>
    <w:rsid w:val="2D4062F4"/>
    <w:rsid w:val="2D4227EC"/>
    <w:rsid w:val="2D600E14"/>
    <w:rsid w:val="2D69089A"/>
    <w:rsid w:val="2D720C76"/>
    <w:rsid w:val="2D7501E6"/>
    <w:rsid w:val="2D7740A4"/>
    <w:rsid w:val="2D870D8D"/>
    <w:rsid w:val="2DAF4609"/>
    <w:rsid w:val="2DC90D10"/>
    <w:rsid w:val="2DCA349C"/>
    <w:rsid w:val="2DCB5A20"/>
    <w:rsid w:val="2DCB67CD"/>
    <w:rsid w:val="2DCC3276"/>
    <w:rsid w:val="2DCE1089"/>
    <w:rsid w:val="2DD54029"/>
    <w:rsid w:val="2DD815E9"/>
    <w:rsid w:val="2DD85B6E"/>
    <w:rsid w:val="2DDF4725"/>
    <w:rsid w:val="2DE40968"/>
    <w:rsid w:val="2DF91EDD"/>
    <w:rsid w:val="2E036B6A"/>
    <w:rsid w:val="2E097289"/>
    <w:rsid w:val="2E0A3EC3"/>
    <w:rsid w:val="2E0E427E"/>
    <w:rsid w:val="2E1570B0"/>
    <w:rsid w:val="2E1A7421"/>
    <w:rsid w:val="2E3369F4"/>
    <w:rsid w:val="2E456552"/>
    <w:rsid w:val="2E512568"/>
    <w:rsid w:val="2E59687F"/>
    <w:rsid w:val="2E692241"/>
    <w:rsid w:val="2E700F33"/>
    <w:rsid w:val="2E8062F2"/>
    <w:rsid w:val="2E813A2E"/>
    <w:rsid w:val="2E8161D9"/>
    <w:rsid w:val="2E924715"/>
    <w:rsid w:val="2E9B1127"/>
    <w:rsid w:val="2E9C077D"/>
    <w:rsid w:val="2EB8596B"/>
    <w:rsid w:val="2EC97183"/>
    <w:rsid w:val="2ED42C7F"/>
    <w:rsid w:val="2ED96274"/>
    <w:rsid w:val="2EE729FC"/>
    <w:rsid w:val="2EE81F8A"/>
    <w:rsid w:val="2EF44200"/>
    <w:rsid w:val="2EF45AAD"/>
    <w:rsid w:val="2F0B1378"/>
    <w:rsid w:val="2F0E7D4A"/>
    <w:rsid w:val="2F113A3C"/>
    <w:rsid w:val="2F16022F"/>
    <w:rsid w:val="2F2124A2"/>
    <w:rsid w:val="2F6801BE"/>
    <w:rsid w:val="2F6F7629"/>
    <w:rsid w:val="2F8D7C50"/>
    <w:rsid w:val="2FA15C85"/>
    <w:rsid w:val="2FB31BA9"/>
    <w:rsid w:val="2FCB3085"/>
    <w:rsid w:val="2FCF0256"/>
    <w:rsid w:val="2FD56B58"/>
    <w:rsid w:val="2FDB0199"/>
    <w:rsid w:val="2FDE74BC"/>
    <w:rsid w:val="2FE63E27"/>
    <w:rsid w:val="2FF61DA0"/>
    <w:rsid w:val="300202B2"/>
    <w:rsid w:val="300872B5"/>
    <w:rsid w:val="30110DE2"/>
    <w:rsid w:val="30272806"/>
    <w:rsid w:val="30300DD1"/>
    <w:rsid w:val="30322065"/>
    <w:rsid w:val="30542779"/>
    <w:rsid w:val="30640F12"/>
    <w:rsid w:val="30657C10"/>
    <w:rsid w:val="30973B21"/>
    <w:rsid w:val="309C7DC6"/>
    <w:rsid w:val="30AE4811"/>
    <w:rsid w:val="30BD26BC"/>
    <w:rsid w:val="30DC32B7"/>
    <w:rsid w:val="30F57DBC"/>
    <w:rsid w:val="3115045E"/>
    <w:rsid w:val="31152A06"/>
    <w:rsid w:val="31237A4C"/>
    <w:rsid w:val="31390AF0"/>
    <w:rsid w:val="31603E65"/>
    <w:rsid w:val="316D2D81"/>
    <w:rsid w:val="317F0E37"/>
    <w:rsid w:val="318B24CE"/>
    <w:rsid w:val="31C459D9"/>
    <w:rsid w:val="31DF0DA8"/>
    <w:rsid w:val="31E4416E"/>
    <w:rsid w:val="31F938DC"/>
    <w:rsid w:val="32033A62"/>
    <w:rsid w:val="320D49EC"/>
    <w:rsid w:val="320D7A93"/>
    <w:rsid w:val="32271EED"/>
    <w:rsid w:val="322E0BF5"/>
    <w:rsid w:val="3232341B"/>
    <w:rsid w:val="32323C55"/>
    <w:rsid w:val="324C7D2D"/>
    <w:rsid w:val="3251657B"/>
    <w:rsid w:val="32597B0D"/>
    <w:rsid w:val="325E7BE3"/>
    <w:rsid w:val="32622DFE"/>
    <w:rsid w:val="32682EAC"/>
    <w:rsid w:val="3281184B"/>
    <w:rsid w:val="3284589B"/>
    <w:rsid w:val="32A61CB5"/>
    <w:rsid w:val="32A777DC"/>
    <w:rsid w:val="32AB68BB"/>
    <w:rsid w:val="32DF05D8"/>
    <w:rsid w:val="32DF445D"/>
    <w:rsid w:val="32F23FD2"/>
    <w:rsid w:val="330144D0"/>
    <w:rsid w:val="33030916"/>
    <w:rsid w:val="330B341B"/>
    <w:rsid w:val="33133727"/>
    <w:rsid w:val="332556CE"/>
    <w:rsid w:val="33285557"/>
    <w:rsid w:val="3329121B"/>
    <w:rsid w:val="332E3A59"/>
    <w:rsid w:val="333718EE"/>
    <w:rsid w:val="333F17C2"/>
    <w:rsid w:val="334A2E61"/>
    <w:rsid w:val="3350490B"/>
    <w:rsid w:val="33702C70"/>
    <w:rsid w:val="337C6283"/>
    <w:rsid w:val="33804B4F"/>
    <w:rsid w:val="33956114"/>
    <w:rsid w:val="33A41187"/>
    <w:rsid w:val="33B82900"/>
    <w:rsid w:val="33BD3FC9"/>
    <w:rsid w:val="33C431E5"/>
    <w:rsid w:val="33D834CC"/>
    <w:rsid w:val="33D943F9"/>
    <w:rsid w:val="33F92E99"/>
    <w:rsid w:val="34076784"/>
    <w:rsid w:val="341C06A7"/>
    <w:rsid w:val="341D1BA8"/>
    <w:rsid w:val="34211AD1"/>
    <w:rsid w:val="343044F1"/>
    <w:rsid w:val="34450CCD"/>
    <w:rsid w:val="34631237"/>
    <w:rsid w:val="34684F09"/>
    <w:rsid w:val="34737CE7"/>
    <w:rsid w:val="347B75B6"/>
    <w:rsid w:val="34945433"/>
    <w:rsid w:val="34A42548"/>
    <w:rsid w:val="34A9468F"/>
    <w:rsid w:val="34AC10D9"/>
    <w:rsid w:val="34BA59D0"/>
    <w:rsid w:val="34F96ECA"/>
    <w:rsid w:val="34FF7571"/>
    <w:rsid w:val="350E015D"/>
    <w:rsid w:val="35317631"/>
    <w:rsid w:val="35324502"/>
    <w:rsid w:val="3562438D"/>
    <w:rsid w:val="356402C4"/>
    <w:rsid w:val="356469EA"/>
    <w:rsid w:val="356E0E34"/>
    <w:rsid w:val="35731DB8"/>
    <w:rsid w:val="3574069A"/>
    <w:rsid w:val="359027A9"/>
    <w:rsid w:val="35AB75E3"/>
    <w:rsid w:val="35AB76AA"/>
    <w:rsid w:val="35D0285D"/>
    <w:rsid w:val="35DB61CD"/>
    <w:rsid w:val="35DD3645"/>
    <w:rsid w:val="35DE50FA"/>
    <w:rsid w:val="35E84D8B"/>
    <w:rsid w:val="35F1414E"/>
    <w:rsid w:val="361155E6"/>
    <w:rsid w:val="361233E6"/>
    <w:rsid w:val="361E1EC7"/>
    <w:rsid w:val="362C1BA9"/>
    <w:rsid w:val="362C3C78"/>
    <w:rsid w:val="362C7B62"/>
    <w:rsid w:val="362D1DA6"/>
    <w:rsid w:val="36347ADE"/>
    <w:rsid w:val="36440C16"/>
    <w:rsid w:val="36521D9C"/>
    <w:rsid w:val="36533F02"/>
    <w:rsid w:val="36541A28"/>
    <w:rsid w:val="365D2980"/>
    <w:rsid w:val="365E011D"/>
    <w:rsid w:val="365E4655"/>
    <w:rsid w:val="365E60F4"/>
    <w:rsid w:val="366E3D25"/>
    <w:rsid w:val="36760B1C"/>
    <w:rsid w:val="3676374D"/>
    <w:rsid w:val="369654FF"/>
    <w:rsid w:val="369C39F1"/>
    <w:rsid w:val="36B1013F"/>
    <w:rsid w:val="36B8355A"/>
    <w:rsid w:val="36C91ADC"/>
    <w:rsid w:val="36CE2427"/>
    <w:rsid w:val="36D15EBF"/>
    <w:rsid w:val="36D96EA8"/>
    <w:rsid w:val="36DD37CC"/>
    <w:rsid w:val="36DF0D50"/>
    <w:rsid w:val="36E42151"/>
    <w:rsid w:val="36E72411"/>
    <w:rsid w:val="370873A1"/>
    <w:rsid w:val="370A59A0"/>
    <w:rsid w:val="371D1E1A"/>
    <w:rsid w:val="372238D5"/>
    <w:rsid w:val="372C2DE0"/>
    <w:rsid w:val="3733047E"/>
    <w:rsid w:val="374547E4"/>
    <w:rsid w:val="375E2E79"/>
    <w:rsid w:val="377C4D93"/>
    <w:rsid w:val="378E1589"/>
    <w:rsid w:val="37A04867"/>
    <w:rsid w:val="37A448B4"/>
    <w:rsid w:val="37AF74C4"/>
    <w:rsid w:val="37BE5938"/>
    <w:rsid w:val="37C902D1"/>
    <w:rsid w:val="380B1FC7"/>
    <w:rsid w:val="3810372D"/>
    <w:rsid w:val="38333D70"/>
    <w:rsid w:val="385C7468"/>
    <w:rsid w:val="38646A17"/>
    <w:rsid w:val="386B0338"/>
    <w:rsid w:val="386C22C7"/>
    <w:rsid w:val="38850307"/>
    <w:rsid w:val="38892684"/>
    <w:rsid w:val="38A12251"/>
    <w:rsid w:val="38A345A1"/>
    <w:rsid w:val="38B14F10"/>
    <w:rsid w:val="38BA6E9F"/>
    <w:rsid w:val="38F752E9"/>
    <w:rsid w:val="38F9291C"/>
    <w:rsid w:val="391334D5"/>
    <w:rsid w:val="391D3291"/>
    <w:rsid w:val="3925538E"/>
    <w:rsid w:val="392E7E47"/>
    <w:rsid w:val="3940537B"/>
    <w:rsid w:val="3942465D"/>
    <w:rsid w:val="394B5CF4"/>
    <w:rsid w:val="39522707"/>
    <w:rsid w:val="396C6312"/>
    <w:rsid w:val="396E2050"/>
    <w:rsid w:val="398A0F56"/>
    <w:rsid w:val="398C3287"/>
    <w:rsid w:val="39975C24"/>
    <w:rsid w:val="399F05E1"/>
    <w:rsid w:val="39A85EAC"/>
    <w:rsid w:val="39B9139E"/>
    <w:rsid w:val="39C81415"/>
    <w:rsid w:val="39C86C78"/>
    <w:rsid w:val="39D6710A"/>
    <w:rsid w:val="39E16F9D"/>
    <w:rsid w:val="39E272C2"/>
    <w:rsid w:val="39E3734B"/>
    <w:rsid w:val="39EE4A27"/>
    <w:rsid w:val="39F7091C"/>
    <w:rsid w:val="3A054FF8"/>
    <w:rsid w:val="3A0C58A4"/>
    <w:rsid w:val="3A291450"/>
    <w:rsid w:val="3A443B62"/>
    <w:rsid w:val="3A540500"/>
    <w:rsid w:val="3A655A54"/>
    <w:rsid w:val="3A6D4E2B"/>
    <w:rsid w:val="3A79380C"/>
    <w:rsid w:val="3A815A13"/>
    <w:rsid w:val="3A856654"/>
    <w:rsid w:val="3A9939F2"/>
    <w:rsid w:val="3AA247A5"/>
    <w:rsid w:val="3AA36ADA"/>
    <w:rsid w:val="3AB742A4"/>
    <w:rsid w:val="3AC239F8"/>
    <w:rsid w:val="3AC6140D"/>
    <w:rsid w:val="3ACE441A"/>
    <w:rsid w:val="3AD02C90"/>
    <w:rsid w:val="3AD447DF"/>
    <w:rsid w:val="3ADC1D62"/>
    <w:rsid w:val="3AFA0390"/>
    <w:rsid w:val="3AFC5055"/>
    <w:rsid w:val="3B0F5F1E"/>
    <w:rsid w:val="3B2D6332"/>
    <w:rsid w:val="3B334302"/>
    <w:rsid w:val="3B5A2A04"/>
    <w:rsid w:val="3B5D312D"/>
    <w:rsid w:val="3B8D1C92"/>
    <w:rsid w:val="3B8D24DB"/>
    <w:rsid w:val="3B8D6DBB"/>
    <w:rsid w:val="3B9D79CE"/>
    <w:rsid w:val="3BAA5C47"/>
    <w:rsid w:val="3BAC5E63"/>
    <w:rsid w:val="3BB6100A"/>
    <w:rsid w:val="3BBB3BE6"/>
    <w:rsid w:val="3BBD3BCC"/>
    <w:rsid w:val="3BD43F5C"/>
    <w:rsid w:val="3BD765A6"/>
    <w:rsid w:val="3BED7220"/>
    <w:rsid w:val="3C017DF2"/>
    <w:rsid w:val="3C137C90"/>
    <w:rsid w:val="3C2D6205"/>
    <w:rsid w:val="3C4C0011"/>
    <w:rsid w:val="3C5738CA"/>
    <w:rsid w:val="3C7E60B0"/>
    <w:rsid w:val="3C936A65"/>
    <w:rsid w:val="3CAA4150"/>
    <w:rsid w:val="3CAD3C40"/>
    <w:rsid w:val="3CB450AA"/>
    <w:rsid w:val="3CBD1022"/>
    <w:rsid w:val="3CBE0957"/>
    <w:rsid w:val="3CD16432"/>
    <w:rsid w:val="3CD83A26"/>
    <w:rsid w:val="3CDA05FD"/>
    <w:rsid w:val="3CDC4526"/>
    <w:rsid w:val="3CDC4978"/>
    <w:rsid w:val="3CF54660"/>
    <w:rsid w:val="3D1912D6"/>
    <w:rsid w:val="3D2F2C1F"/>
    <w:rsid w:val="3D374762"/>
    <w:rsid w:val="3D3E1B64"/>
    <w:rsid w:val="3D47532D"/>
    <w:rsid w:val="3D4C04A6"/>
    <w:rsid w:val="3D605353"/>
    <w:rsid w:val="3D6106DD"/>
    <w:rsid w:val="3D676BD3"/>
    <w:rsid w:val="3D6805FB"/>
    <w:rsid w:val="3D9B7F3D"/>
    <w:rsid w:val="3DAD7ED6"/>
    <w:rsid w:val="3DB93EC2"/>
    <w:rsid w:val="3DC2130E"/>
    <w:rsid w:val="3DCE11D0"/>
    <w:rsid w:val="3DDD1170"/>
    <w:rsid w:val="3DDF3A1E"/>
    <w:rsid w:val="3DE35E40"/>
    <w:rsid w:val="3DE468CA"/>
    <w:rsid w:val="3DF869C6"/>
    <w:rsid w:val="3E11668B"/>
    <w:rsid w:val="3E1B345D"/>
    <w:rsid w:val="3E1E0BB9"/>
    <w:rsid w:val="3E31728A"/>
    <w:rsid w:val="3E354C62"/>
    <w:rsid w:val="3E5266D3"/>
    <w:rsid w:val="3E6071A2"/>
    <w:rsid w:val="3E644235"/>
    <w:rsid w:val="3E6B3C3B"/>
    <w:rsid w:val="3E9055C8"/>
    <w:rsid w:val="3EA45F67"/>
    <w:rsid w:val="3ED9557D"/>
    <w:rsid w:val="3EDC68BF"/>
    <w:rsid w:val="3EEF0151"/>
    <w:rsid w:val="3EFB5137"/>
    <w:rsid w:val="3F096269"/>
    <w:rsid w:val="3F0C5568"/>
    <w:rsid w:val="3F3A33AF"/>
    <w:rsid w:val="3F5551D0"/>
    <w:rsid w:val="3F5F7EC2"/>
    <w:rsid w:val="3F704541"/>
    <w:rsid w:val="3F917849"/>
    <w:rsid w:val="3F957FDE"/>
    <w:rsid w:val="3F961829"/>
    <w:rsid w:val="3F9E5AC2"/>
    <w:rsid w:val="3FAE2A19"/>
    <w:rsid w:val="3FC10C55"/>
    <w:rsid w:val="3FC40D14"/>
    <w:rsid w:val="3FD041A8"/>
    <w:rsid w:val="3FD11291"/>
    <w:rsid w:val="3FD17C46"/>
    <w:rsid w:val="3FE16591"/>
    <w:rsid w:val="3FEC7332"/>
    <w:rsid w:val="40000076"/>
    <w:rsid w:val="400054C5"/>
    <w:rsid w:val="4004333B"/>
    <w:rsid w:val="400C0336"/>
    <w:rsid w:val="402661E4"/>
    <w:rsid w:val="402A4735"/>
    <w:rsid w:val="402F5207"/>
    <w:rsid w:val="40331E74"/>
    <w:rsid w:val="403506D9"/>
    <w:rsid w:val="403F0A6E"/>
    <w:rsid w:val="40552FA8"/>
    <w:rsid w:val="405F21DD"/>
    <w:rsid w:val="40702400"/>
    <w:rsid w:val="407B3BD3"/>
    <w:rsid w:val="40873B84"/>
    <w:rsid w:val="408829FA"/>
    <w:rsid w:val="40913480"/>
    <w:rsid w:val="409533D7"/>
    <w:rsid w:val="409B7229"/>
    <w:rsid w:val="40B5118B"/>
    <w:rsid w:val="40CB0B39"/>
    <w:rsid w:val="40CB44EF"/>
    <w:rsid w:val="40DD051E"/>
    <w:rsid w:val="40E253EC"/>
    <w:rsid w:val="40F42EE7"/>
    <w:rsid w:val="411355BF"/>
    <w:rsid w:val="411E01AB"/>
    <w:rsid w:val="41435434"/>
    <w:rsid w:val="41524DB6"/>
    <w:rsid w:val="41617DE6"/>
    <w:rsid w:val="41743326"/>
    <w:rsid w:val="418C678B"/>
    <w:rsid w:val="41947EA6"/>
    <w:rsid w:val="41AC627D"/>
    <w:rsid w:val="41BF1AB4"/>
    <w:rsid w:val="41C07F72"/>
    <w:rsid w:val="41F20FB4"/>
    <w:rsid w:val="41F40B67"/>
    <w:rsid w:val="420C31B7"/>
    <w:rsid w:val="420D4936"/>
    <w:rsid w:val="42131A5A"/>
    <w:rsid w:val="421E0FAB"/>
    <w:rsid w:val="422B0A2D"/>
    <w:rsid w:val="42381E42"/>
    <w:rsid w:val="424164BB"/>
    <w:rsid w:val="42425063"/>
    <w:rsid w:val="42451FA9"/>
    <w:rsid w:val="42456282"/>
    <w:rsid w:val="42594FF1"/>
    <w:rsid w:val="425D1C65"/>
    <w:rsid w:val="425F6C4C"/>
    <w:rsid w:val="42601716"/>
    <w:rsid w:val="42611635"/>
    <w:rsid w:val="42652CF5"/>
    <w:rsid w:val="42703746"/>
    <w:rsid w:val="42977DB4"/>
    <w:rsid w:val="42A02D8F"/>
    <w:rsid w:val="42A61D25"/>
    <w:rsid w:val="42B96D3E"/>
    <w:rsid w:val="42BC2E2F"/>
    <w:rsid w:val="42BE193F"/>
    <w:rsid w:val="42C45840"/>
    <w:rsid w:val="42DC7598"/>
    <w:rsid w:val="42E16B95"/>
    <w:rsid w:val="42EA15D3"/>
    <w:rsid w:val="42F64632"/>
    <w:rsid w:val="43030A5E"/>
    <w:rsid w:val="43234C5C"/>
    <w:rsid w:val="4351211A"/>
    <w:rsid w:val="438074C3"/>
    <w:rsid w:val="438571F3"/>
    <w:rsid w:val="43860D47"/>
    <w:rsid w:val="43895CE9"/>
    <w:rsid w:val="43923B90"/>
    <w:rsid w:val="43A57EFA"/>
    <w:rsid w:val="43DA5835"/>
    <w:rsid w:val="43DF7846"/>
    <w:rsid w:val="43EF6D03"/>
    <w:rsid w:val="43F8073C"/>
    <w:rsid w:val="43FA736E"/>
    <w:rsid w:val="440F1DC4"/>
    <w:rsid w:val="440F5FF3"/>
    <w:rsid w:val="44202FAD"/>
    <w:rsid w:val="44270A12"/>
    <w:rsid w:val="442C18EF"/>
    <w:rsid w:val="442F62DC"/>
    <w:rsid w:val="44316F05"/>
    <w:rsid w:val="443C257D"/>
    <w:rsid w:val="44423E18"/>
    <w:rsid w:val="44567ED6"/>
    <w:rsid w:val="445A645C"/>
    <w:rsid w:val="44650D7A"/>
    <w:rsid w:val="446E2997"/>
    <w:rsid w:val="44724DA0"/>
    <w:rsid w:val="447529E4"/>
    <w:rsid w:val="448C5F63"/>
    <w:rsid w:val="44980152"/>
    <w:rsid w:val="44A84AEB"/>
    <w:rsid w:val="44AD4291"/>
    <w:rsid w:val="44B07BCE"/>
    <w:rsid w:val="44B1153C"/>
    <w:rsid w:val="44B22367"/>
    <w:rsid w:val="44BF3CEC"/>
    <w:rsid w:val="44F23083"/>
    <w:rsid w:val="45002C52"/>
    <w:rsid w:val="45034D45"/>
    <w:rsid w:val="450729F2"/>
    <w:rsid w:val="450D7490"/>
    <w:rsid w:val="45134350"/>
    <w:rsid w:val="45237196"/>
    <w:rsid w:val="45297D20"/>
    <w:rsid w:val="452F4A20"/>
    <w:rsid w:val="45467BF7"/>
    <w:rsid w:val="455418C4"/>
    <w:rsid w:val="45640ADE"/>
    <w:rsid w:val="457F208C"/>
    <w:rsid w:val="45846CE0"/>
    <w:rsid w:val="458E2CC4"/>
    <w:rsid w:val="45AF4DD7"/>
    <w:rsid w:val="45C76AA2"/>
    <w:rsid w:val="45E470B3"/>
    <w:rsid w:val="45F859BC"/>
    <w:rsid w:val="45FD4CB1"/>
    <w:rsid w:val="46030355"/>
    <w:rsid w:val="461B1E1B"/>
    <w:rsid w:val="462025AE"/>
    <w:rsid w:val="462E638F"/>
    <w:rsid w:val="462F5D81"/>
    <w:rsid w:val="463001AB"/>
    <w:rsid w:val="46316342"/>
    <w:rsid w:val="46423CC1"/>
    <w:rsid w:val="46697EB2"/>
    <w:rsid w:val="46701BA1"/>
    <w:rsid w:val="4676492F"/>
    <w:rsid w:val="469E0D66"/>
    <w:rsid w:val="46B11628"/>
    <w:rsid w:val="46C16C66"/>
    <w:rsid w:val="46CA2F67"/>
    <w:rsid w:val="46D71FE6"/>
    <w:rsid w:val="46F04E55"/>
    <w:rsid w:val="470676DD"/>
    <w:rsid w:val="472B0583"/>
    <w:rsid w:val="47580873"/>
    <w:rsid w:val="476E453E"/>
    <w:rsid w:val="47865207"/>
    <w:rsid w:val="478D3E6D"/>
    <w:rsid w:val="47906638"/>
    <w:rsid w:val="4795242A"/>
    <w:rsid w:val="47A16CF9"/>
    <w:rsid w:val="47AA10AB"/>
    <w:rsid w:val="47BC742D"/>
    <w:rsid w:val="47C35A2F"/>
    <w:rsid w:val="47CF4E93"/>
    <w:rsid w:val="47D24E14"/>
    <w:rsid w:val="47E510EC"/>
    <w:rsid w:val="47EB0435"/>
    <w:rsid w:val="47F60B91"/>
    <w:rsid w:val="47F70C92"/>
    <w:rsid w:val="480531F5"/>
    <w:rsid w:val="48062649"/>
    <w:rsid w:val="482354F7"/>
    <w:rsid w:val="48343468"/>
    <w:rsid w:val="483F5A1A"/>
    <w:rsid w:val="48561661"/>
    <w:rsid w:val="4856365A"/>
    <w:rsid w:val="486712F3"/>
    <w:rsid w:val="486D46CF"/>
    <w:rsid w:val="486E0728"/>
    <w:rsid w:val="48802209"/>
    <w:rsid w:val="48841EB6"/>
    <w:rsid w:val="48877BD1"/>
    <w:rsid w:val="4895017B"/>
    <w:rsid w:val="48990F3D"/>
    <w:rsid w:val="489A36B6"/>
    <w:rsid w:val="48A82C85"/>
    <w:rsid w:val="48D031B7"/>
    <w:rsid w:val="48DA2590"/>
    <w:rsid w:val="48E37114"/>
    <w:rsid w:val="48F22448"/>
    <w:rsid w:val="4907292A"/>
    <w:rsid w:val="49103453"/>
    <w:rsid w:val="4911647E"/>
    <w:rsid w:val="49216996"/>
    <w:rsid w:val="49383AB6"/>
    <w:rsid w:val="493E29E9"/>
    <w:rsid w:val="49456BB7"/>
    <w:rsid w:val="49831FB1"/>
    <w:rsid w:val="49885BB7"/>
    <w:rsid w:val="498C6A1D"/>
    <w:rsid w:val="499A3F51"/>
    <w:rsid w:val="499D4590"/>
    <w:rsid w:val="49A56501"/>
    <w:rsid w:val="49B64BF4"/>
    <w:rsid w:val="49BE539C"/>
    <w:rsid w:val="49BE755B"/>
    <w:rsid w:val="49BF4FB3"/>
    <w:rsid w:val="49C55F01"/>
    <w:rsid w:val="49CF0B60"/>
    <w:rsid w:val="49F12254"/>
    <w:rsid w:val="49FA331B"/>
    <w:rsid w:val="4A143562"/>
    <w:rsid w:val="4A2803BA"/>
    <w:rsid w:val="4A395BD8"/>
    <w:rsid w:val="4A4B5C50"/>
    <w:rsid w:val="4A895696"/>
    <w:rsid w:val="4A9D52F4"/>
    <w:rsid w:val="4AB6270F"/>
    <w:rsid w:val="4ABD5996"/>
    <w:rsid w:val="4ADF1DF5"/>
    <w:rsid w:val="4ADF3B5F"/>
    <w:rsid w:val="4AEC1D69"/>
    <w:rsid w:val="4AF36966"/>
    <w:rsid w:val="4AF9086A"/>
    <w:rsid w:val="4B0D3806"/>
    <w:rsid w:val="4B0E15B7"/>
    <w:rsid w:val="4B0E7EA6"/>
    <w:rsid w:val="4B1B5F97"/>
    <w:rsid w:val="4B1B6437"/>
    <w:rsid w:val="4B203D1A"/>
    <w:rsid w:val="4B2914F0"/>
    <w:rsid w:val="4B470C8C"/>
    <w:rsid w:val="4B5040DD"/>
    <w:rsid w:val="4B555771"/>
    <w:rsid w:val="4B645E12"/>
    <w:rsid w:val="4B771481"/>
    <w:rsid w:val="4B810772"/>
    <w:rsid w:val="4B85149C"/>
    <w:rsid w:val="4B932A46"/>
    <w:rsid w:val="4BA56C4C"/>
    <w:rsid w:val="4BB74194"/>
    <w:rsid w:val="4BB90134"/>
    <w:rsid w:val="4BC277DA"/>
    <w:rsid w:val="4BDB2578"/>
    <w:rsid w:val="4BEF7721"/>
    <w:rsid w:val="4C1B0BC7"/>
    <w:rsid w:val="4C2332C2"/>
    <w:rsid w:val="4C2B6930"/>
    <w:rsid w:val="4C3D658C"/>
    <w:rsid w:val="4C3E70F3"/>
    <w:rsid w:val="4C4B4E67"/>
    <w:rsid w:val="4C54458F"/>
    <w:rsid w:val="4C6950F6"/>
    <w:rsid w:val="4C6A56AA"/>
    <w:rsid w:val="4C6F4A6E"/>
    <w:rsid w:val="4C7A261F"/>
    <w:rsid w:val="4C902E58"/>
    <w:rsid w:val="4C972FEC"/>
    <w:rsid w:val="4CB045D8"/>
    <w:rsid w:val="4CD07AC5"/>
    <w:rsid w:val="4CDF5517"/>
    <w:rsid w:val="4CDF5569"/>
    <w:rsid w:val="4CE002CB"/>
    <w:rsid w:val="4CEA212A"/>
    <w:rsid w:val="4D0C050F"/>
    <w:rsid w:val="4D10399E"/>
    <w:rsid w:val="4D1F4FCD"/>
    <w:rsid w:val="4D421AF0"/>
    <w:rsid w:val="4D4A7A1C"/>
    <w:rsid w:val="4D562ACB"/>
    <w:rsid w:val="4D5D520F"/>
    <w:rsid w:val="4D752AD7"/>
    <w:rsid w:val="4D7B35E3"/>
    <w:rsid w:val="4D8F05DD"/>
    <w:rsid w:val="4DA374EF"/>
    <w:rsid w:val="4DA62441"/>
    <w:rsid w:val="4DA73837"/>
    <w:rsid w:val="4DB43081"/>
    <w:rsid w:val="4DBC7F72"/>
    <w:rsid w:val="4DCD10CD"/>
    <w:rsid w:val="4DE0611D"/>
    <w:rsid w:val="4DE97FAF"/>
    <w:rsid w:val="4DF55447"/>
    <w:rsid w:val="4E063AA7"/>
    <w:rsid w:val="4E0A7750"/>
    <w:rsid w:val="4E0C5176"/>
    <w:rsid w:val="4E0C53DE"/>
    <w:rsid w:val="4E0F2A67"/>
    <w:rsid w:val="4E1107D8"/>
    <w:rsid w:val="4E301679"/>
    <w:rsid w:val="4E3971D9"/>
    <w:rsid w:val="4E3A61D1"/>
    <w:rsid w:val="4E465CA3"/>
    <w:rsid w:val="4E4C1E6E"/>
    <w:rsid w:val="4E4F1270"/>
    <w:rsid w:val="4E53084F"/>
    <w:rsid w:val="4E5902C9"/>
    <w:rsid w:val="4E65159F"/>
    <w:rsid w:val="4E760336"/>
    <w:rsid w:val="4E831BC0"/>
    <w:rsid w:val="4E86088B"/>
    <w:rsid w:val="4E96536A"/>
    <w:rsid w:val="4EAF5486"/>
    <w:rsid w:val="4EB14C0F"/>
    <w:rsid w:val="4EC2442C"/>
    <w:rsid w:val="4ED07800"/>
    <w:rsid w:val="4ED65279"/>
    <w:rsid w:val="4EF629C9"/>
    <w:rsid w:val="4F0C6F29"/>
    <w:rsid w:val="4F1432D5"/>
    <w:rsid w:val="4F2D1B91"/>
    <w:rsid w:val="4F337FD5"/>
    <w:rsid w:val="4F4071D5"/>
    <w:rsid w:val="4F487434"/>
    <w:rsid w:val="4F495A5F"/>
    <w:rsid w:val="4F524493"/>
    <w:rsid w:val="4F534B07"/>
    <w:rsid w:val="4F5B3B24"/>
    <w:rsid w:val="4F5E2678"/>
    <w:rsid w:val="4F62473C"/>
    <w:rsid w:val="4F6347E0"/>
    <w:rsid w:val="4F7F51A7"/>
    <w:rsid w:val="4F7F7461"/>
    <w:rsid w:val="4F8A64BE"/>
    <w:rsid w:val="4FA64C13"/>
    <w:rsid w:val="4FA735B8"/>
    <w:rsid w:val="4FB075F8"/>
    <w:rsid w:val="4FBF26A4"/>
    <w:rsid w:val="4FCB1468"/>
    <w:rsid w:val="4FCC2102"/>
    <w:rsid w:val="4FD51B4E"/>
    <w:rsid w:val="4FD5323A"/>
    <w:rsid w:val="4FF44107"/>
    <w:rsid w:val="4FFC7D0B"/>
    <w:rsid w:val="50183774"/>
    <w:rsid w:val="50201D48"/>
    <w:rsid w:val="50320A95"/>
    <w:rsid w:val="504E7B09"/>
    <w:rsid w:val="50560EA8"/>
    <w:rsid w:val="505749BA"/>
    <w:rsid w:val="50684ACB"/>
    <w:rsid w:val="50886E4A"/>
    <w:rsid w:val="50BC3FFA"/>
    <w:rsid w:val="50D16069"/>
    <w:rsid w:val="50D9192C"/>
    <w:rsid w:val="510460CD"/>
    <w:rsid w:val="51142088"/>
    <w:rsid w:val="512A0A14"/>
    <w:rsid w:val="514128A7"/>
    <w:rsid w:val="51431DF8"/>
    <w:rsid w:val="5147420C"/>
    <w:rsid w:val="51595261"/>
    <w:rsid w:val="5168280E"/>
    <w:rsid w:val="517A2F9A"/>
    <w:rsid w:val="517B3EB5"/>
    <w:rsid w:val="51844B18"/>
    <w:rsid w:val="519647E9"/>
    <w:rsid w:val="519D2D48"/>
    <w:rsid w:val="519D5AF2"/>
    <w:rsid w:val="519F5DF6"/>
    <w:rsid w:val="51A27694"/>
    <w:rsid w:val="51A4340C"/>
    <w:rsid w:val="51A62DEA"/>
    <w:rsid w:val="51AB1D51"/>
    <w:rsid w:val="51CB051C"/>
    <w:rsid w:val="51CC08D5"/>
    <w:rsid w:val="51D657AD"/>
    <w:rsid w:val="51D74534"/>
    <w:rsid w:val="51E2607A"/>
    <w:rsid w:val="51FD48CA"/>
    <w:rsid w:val="5208323E"/>
    <w:rsid w:val="520F1964"/>
    <w:rsid w:val="52350508"/>
    <w:rsid w:val="52372744"/>
    <w:rsid w:val="525A5DBD"/>
    <w:rsid w:val="52651209"/>
    <w:rsid w:val="526B5049"/>
    <w:rsid w:val="527705A4"/>
    <w:rsid w:val="5283592F"/>
    <w:rsid w:val="52884140"/>
    <w:rsid w:val="52A62164"/>
    <w:rsid w:val="52AD62F0"/>
    <w:rsid w:val="52C04276"/>
    <w:rsid w:val="52CA1B96"/>
    <w:rsid w:val="52EE3739"/>
    <w:rsid w:val="52EE756C"/>
    <w:rsid w:val="52F81F7A"/>
    <w:rsid w:val="52F83A10"/>
    <w:rsid w:val="53137AC2"/>
    <w:rsid w:val="53205045"/>
    <w:rsid w:val="53226CDE"/>
    <w:rsid w:val="532547C6"/>
    <w:rsid w:val="5343188B"/>
    <w:rsid w:val="534327B1"/>
    <w:rsid w:val="53487D7C"/>
    <w:rsid w:val="534E1618"/>
    <w:rsid w:val="53591FD4"/>
    <w:rsid w:val="53611320"/>
    <w:rsid w:val="53611F1F"/>
    <w:rsid w:val="536E06B7"/>
    <w:rsid w:val="536E443C"/>
    <w:rsid w:val="53782CDB"/>
    <w:rsid w:val="537E60C7"/>
    <w:rsid w:val="537F3FDB"/>
    <w:rsid w:val="5386218F"/>
    <w:rsid w:val="53C0040C"/>
    <w:rsid w:val="53C51418"/>
    <w:rsid w:val="53C97AC4"/>
    <w:rsid w:val="53E06252"/>
    <w:rsid w:val="53EF7E72"/>
    <w:rsid w:val="53FD5D34"/>
    <w:rsid w:val="541520EB"/>
    <w:rsid w:val="54163FA1"/>
    <w:rsid w:val="54280337"/>
    <w:rsid w:val="544D0978"/>
    <w:rsid w:val="54611A98"/>
    <w:rsid w:val="54662BFB"/>
    <w:rsid w:val="546A4D3E"/>
    <w:rsid w:val="547C0A13"/>
    <w:rsid w:val="547E539D"/>
    <w:rsid w:val="548354CA"/>
    <w:rsid w:val="5488491F"/>
    <w:rsid w:val="548B58FA"/>
    <w:rsid w:val="54A6749B"/>
    <w:rsid w:val="54B44EF9"/>
    <w:rsid w:val="54B55930"/>
    <w:rsid w:val="54BA4CF5"/>
    <w:rsid w:val="54D666BF"/>
    <w:rsid w:val="54E33989"/>
    <w:rsid w:val="54E63994"/>
    <w:rsid w:val="54E658DC"/>
    <w:rsid w:val="54EC08A2"/>
    <w:rsid w:val="551763CE"/>
    <w:rsid w:val="55342770"/>
    <w:rsid w:val="55344AA7"/>
    <w:rsid w:val="5565093E"/>
    <w:rsid w:val="556E2FD9"/>
    <w:rsid w:val="55733F14"/>
    <w:rsid w:val="557F4A25"/>
    <w:rsid w:val="558B0936"/>
    <w:rsid w:val="55A1265B"/>
    <w:rsid w:val="55AA1573"/>
    <w:rsid w:val="55AA61F9"/>
    <w:rsid w:val="55AE4503"/>
    <w:rsid w:val="55AF5759"/>
    <w:rsid w:val="55AF74A5"/>
    <w:rsid w:val="55BD3BBE"/>
    <w:rsid w:val="55C018F0"/>
    <w:rsid w:val="55C05FE5"/>
    <w:rsid w:val="55C844F0"/>
    <w:rsid w:val="55CF368C"/>
    <w:rsid w:val="55D23DB9"/>
    <w:rsid w:val="55D33BEB"/>
    <w:rsid w:val="55D87B09"/>
    <w:rsid w:val="55E957DF"/>
    <w:rsid w:val="55F70CD9"/>
    <w:rsid w:val="56097CFA"/>
    <w:rsid w:val="56175115"/>
    <w:rsid w:val="5621008A"/>
    <w:rsid w:val="562761FB"/>
    <w:rsid w:val="56382375"/>
    <w:rsid w:val="56421EAD"/>
    <w:rsid w:val="564927D4"/>
    <w:rsid w:val="564D6903"/>
    <w:rsid w:val="5653404A"/>
    <w:rsid w:val="56565409"/>
    <w:rsid w:val="565A7BA3"/>
    <w:rsid w:val="566152DE"/>
    <w:rsid w:val="56625829"/>
    <w:rsid w:val="568832FC"/>
    <w:rsid w:val="568B6911"/>
    <w:rsid w:val="568B6D64"/>
    <w:rsid w:val="569B75FE"/>
    <w:rsid w:val="56B20949"/>
    <w:rsid w:val="56DF0B9C"/>
    <w:rsid w:val="56E4170E"/>
    <w:rsid w:val="56E94771"/>
    <w:rsid w:val="56EB668C"/>
    <w:rsid w:val="56F40992"/>
    <w:rsid w:val="570109B9"/>
    <w:rsid w:val="570E6E8F"/>
    <w:rsid w:val="571B13DC"/>
    <w:rsid w:val="571C3A45"/>
    <w:rsid w:val="5727448F"/>
    <w:rsid w:val="572A0CE0"/>
    <w:rsid w:val="57334A51"/>
    <w:rsid w:val="573F5F97"/>
    <w:rsid w:val="574865E8"/>
    <w:rsid w:val="575E22AF"/>
    <w:rsid w:val="57663944"/>
    <w:rsid w:val="57686347"/>
    <w:rsid w:val="577B6072"/>
    <w:rsid w:val="577D6AB6"/>
    <w:rsid w:val="578A4E52"/>
    <w:rsid w:val="579440F7"/>
    <w:rsid w:val="579E7D32"/>
    <w:rsid w:val="57E55ED3"/>
    <w:rsid w:val="57E81D32"/>
    <w:rsid w:val="57E94E70"/>
    <w:rsid w:val="57FA58C0"/>
    <w:rsid w:val="582A30CA"/>
    <w:rsid w:val="583F0505"/>
    <w:rsid w:val="585D2B39"/>
    <w:rsid w:val="588F3099"/>
    <w:rsid w:val="589E4218"/>
    <w:rsid w:val="58B4208E"/>
    <w:rsid w:val="58B72863"/>
    <w:rsid w:val="58EF7663"/>
    <w:rsid w:val="591C56EE"/>
    <w:rsid w:val="591E1CF6"/>
    <w:rsid w:val="593212FE"/>
    <w:rsid w:val="59420FDC"/>
    <w:rsid w:val="595A73CD"/>
    <w:rsid w:val="595B77A1"/>
    <w:rsid w:val="598507B3"/>
    <w:rsid w:val="599E3F2C"/>
    <w:rsid w:val="59AA2360"/>
    <w:rsid w:val="59AD7337"/>
    <w:rsid w:val="59C520E0"/>
    <w:rsid w:val="59C7413C"/>
    <w:rsid w:val="59CF1242"/>
    <w:rsid w:val="59D2488F"/>
    <w:rsid w:val="59D8084A"/>
    <w:rsid w:val="59EC3BA2"/>
    <w:rsid w:val="5A156E04"/>
    <w:rsid w:val="5A21757C"/>
    <w:rsid w:val="5A33357F"/>
    <w:rsid w:val="5A356690"/>
    <w:rsid w:val="5A364EE8"/>
    <w:rsid w:val="5A3D6724"/>
    <w:rsid w:val="5A4237C2"/>
    <w:rsid w:val="5A51612D"/>
    <w:rsid w:val="5A5534F6"/>
    <w:rsid w:val="5A6E0372"/>
    <w:rsid w:val="5A7122F9"/>
    <w:rsid w:val="5A8B1C18"/>
    <w:rsid w:val="5A974CF7"/>
    <w:rsid w:val="5AA45DD8"/>
    <w:rsid w:val="5AF012AB"/>
    <w:rsid w:val="5AF26F96"/>
    <w:rsid w:val="5AFD6309"/>
    <w:rsid w:val="5B081542"/>
    <w:rsid w:val="5B0A2ABC"/>
    <w:rsid w:val="5B2353A2"/>
    <w:rsid w:val="5B2756D9"/>
    <w:rsid w:val="5B4E3470"/>
    <w:rsid w:val="5B783B1B"/>
    <w:rsid w:val="5B82419F"/>
    <w:rsid w:val="5B8E4796"/>
    <w:rsid w:val="5BA5225B"/>
    <w:rsid w:val="5BA920B9"/>
    <w:rsid w:val="5BCE2C85"/>
    <w:rsid w:val="5BE67824"/>
    <w:rsid w:val="5BE862DE"/>
    <w:rsid w:val="5C0653B9"/>
    <w:rsid w:val="5C1C011C"/>
    <w:rsid w:val="5C1C6830"/>
    <w:rsid w:val="5C2314B1"/>
    <w:rsid w:val="5C2C64D8"/>
    <w:rsid w:val="5C2D019F"/>
    <w:rsid w:val="5C342A80"/>
    <w:rsid w:val="5C357E39"/>
    <w:rsid w:val="5C3E6EB7"/>
    <w:rsid w:val="5C4E644E"/>
    <w:rsid w:val="5C525142"/>
    <w:rsid w:val="5C593045"/>
    <w:rsid w:val="5C5D07F8"/>
    <w:rsid w:val="5C6854DB"/>
    <w:rsid w:val="5C8D2F06"/>
    <w:rsid w:val="5C961B0B"/>
    <w:rsid w:val="5CA42512"/>
    <w:rsid w:val="5CAD36DE"/>
    <w:rsid w:val="5CAE513F"/>
    <w:rsid w:val="5CAE575A"/>
    <w:rsid w:val="5CB70498"/>
    <w:rsid w:val="5CC91F79"/>
    <w:rsid w:val="5CCB5ADC"/>
    <w:rsid w:val="5CD03307"/>
    <w:rsid w:val="5CDD05B0"/>
    <w:rsid w:val="5CEB6393"/>
    <w:rsid w:val="5CED76AF"/>
    <w:rsid w:val="5D016C9A"/>
    <w:rsid w:val="5D4601D3"/>
    <w:rsid w:val="5D493CBC"/>
    <w:rsid w:val="5D572A52"/>
    <w:rsid w:val="5D6705C7"/>
    <w:rsid w:val="5D670A15"/>
    <w:rsid w:val="5D6D682B"/>
    <w:rsid w:val="5D721BFC"/>
    <w:rsid w:val="5D7A2B77"/>
    <w:rsid w:val="5D89041B"/>
    <w:rsid w:val="5D900CE9"/>
    <w:rsid w:val="5D916AED"/>
    <w:rsid w:val="5D9E45CE"/>
    <w:rsid w:val="5DA640CB"/>
    <w:rsid w:val="5DC84A05"/>
    <w:rsid w:val="5DC8565B"/>
    <w:rsid w:val="5DCF31A4"/>
    <w:rsid w:val="5DE94DB3"/>
    <w:rsid w:val="5DEA28EB"/>
    <w:rsid w:val="5DEB5F1F"/>
    <w:rsid w:val="5DF474C9"/>
    <w:rsid w:val="5E0019CA"/>
    <w:rsid w:val="5E050AE2"/>
    <w:rsid w:val="5E1831B8"/>
    <w:rsid w:val="5E2857AA"/>
    <w:rsid w:val="5E384916"/>
    <w:rsid w:val="5E4F2127"/>
    <w:rsid w:val="5E5341F0"/>
    <w:rsid w:val="5E551A9A"/>
    <w:rsid w:val="5E562B32"/>
    <w:rsid w:val="5E6E6B5A"/>
    <w:rsid w:val="5E6E733C"/>
    <w:rsid w:val="5E8D5AFE"/>
    <w:rsid w:val="5EA862F6"/>
    <w:rsid w:val="5EAA4DFC"/>
    <w:rsid w:val="5EC7698C"/>
    <w:rsid w:val="5EE877E2"/>
    <w:rsid w:val="5EE87FAA"/>
    <w:rsid w:val="5EF35656"/>
    <w:rsid w:val="5EF83BA6"/>
    <w:rsid w:val="5F0D4582"/>
    <w:rsid w:val="5F1204CB"/>
    <w:rsid w:val="5F13572D"/>
    <w:rsid w:val="5F1478F6"/>
    <w:rsid w:val="5F1B34F3"/>
    <w:rsid w:val="5F407207"/>
    <w:rsid w:val="5F486A14"/>
    <w:rsid w:val="5F4C2593"/>
    <w:rsid w:val="5F5839AD"/>
    <w:rsid w:val="5F6710B6"/>
    <w:rsid w:val="5F671504"/>
    <w:rsid w:val="5F70492E"/>
    <w:rsid w:val="5F774C72"/>
    <w:rsid w:val="5FAB005C"/>
    <w:rsid w:val="5FB6194E"/>
    <w:rsid w:val="5FC92290"/>
    <w:rsid w:val="5FD16F4D"/>
    <w:rsid w:val="5FD77E75"/>
    <w:rsid w:val="5FDC1FC3"/>
    <w:rsid w:val="5FED5194"/>
    <w:rsid w:val="5FF236DA"/>
    <w:rsid w:val="5FF44B4E"/>
    <w:rsid w:val="5FF90DC7"/>
    <w:rsid w:val="5FFA3AFB"/>
    <w:rsid w:val="5FFF288E"/>
    <w:rsid w:val="60030B76"/>
    <w:rsid w:val="60061BFB"/>
    <w:rsid w:val="600A2860"/>
    <w:rsid w:val="601350B2"/>
    <w:rsid w:val="60252D65"/>
    <w:rsid w:val="6031230F"/>
    <w:rsid w:val="603A08C8"/>
    <w:rsid w:val="604007A4"/>
    <w:rsid w:val="60423C48"/>
    <w:rsid w:val="604F09E7"/>
    <w:rsid w:val="6056516A"/>
    <w:rsid w:val="606301A5"/>
    <w:rsid w:val="60631694"/>
    <w:rsid w:val="60751D8A"/>
    <w:rsid w:val="608A1423"/>
    <w:rsid w:val="60A70B41"/>
    <w:rsid w:val="60B05B90"/>
    <w:rsid w:val="60C82DD9"/>
    <w:rsid w:val="60E75EB4"/>
    <w:rsid w:val="610813BF"/>
    <w:rsid w:val="6115578D"/>
    <w:rsid w:val="612E2FC9"/>
    <w:rsid w:val="6132114D"/>
    <w:rsid w:val="613E04C0"/>
    <w:rsid w:val="616106CF"/>
    <w:rsid w:val="617436E2"/>
    <w:rsid w:val="617D287D"/>
    <w:rsid w:val="61906284"/>
    <w:rsid w:val="61B20B63"/>
    <w:rsid w:val="61CB22EF"/>
    <w:rsid w:val="61D4389A"/>
    <w:rsid w:val="61DC2E5F"/>
    <w:rsid w:val="61E82BB3"/>
    <w:rsid w:val="61E92424"/>
    <w:rsid w:val="62110FAD"/>
    <w:rsid w:val="6214169A"/>
    <w:rsid w:val="621726D2"/>
    <w:rsid w:val="622B4F66"/>
    <w:rsid w:val="622C6EE1"/>
    <w:rsid w:val="623772E0"/>
    <w:rsid w:val="62381D49"/>
    <w:rsid w:val="623A2E45"/>
    <w:rsid w:val="623D1C52"/>
    <w:rsid w:val="62437E34"/>
    <w:rsid w:val="624F364D"/>
    <w:rsid w:val="625412A2"/>
    <w:rsid w:val="625614D2"/>
    <w:rsid w:val="625642AF"/>
    <w:rsid w:val="625944B2"/>
    <w:rsid w:val="62606EDB"/>
    <w:rsid w:val="626F69EE"/>
    <w:rsid w:val="627B775D"/>
    <w:rsid w:val="627D7A8D"/>
    <w:rsid w:val="62816E52"/>
    <w:rsid w:val="62925463"/>
    <w:rsid w:val="62A32C87"/>
    <w:rsid w:val="62B809C2"/>
    <w:rsid w:val="62BB2A7C"/>
    <w:rsid w:val="62BF1D86"/>
    <w:rsid w:val="62C97FA5"/>
    <w:rsid w:val="62D42C4C"/>
    <w:rsid w:val="62D82A62"/>
    <w:rsid w:val="62E92A2C"/>
    <w:rsid w:val="62F5534C"/>
    <w:rsid w:val="632824B5"/>
    <w:rsid w:val="63351269"/>
    <w:rsid w:val="633769FF"/>
    <w:rsid w:val="635729A1"/>
    <w:rsid w:val="635B2477"/>
    <w:rsid w:val="637C05C1"/>
    <w:rsid w:val="63830DBC"/>
    <w:rsid w:val="638E1826"/>
    <w:rsid w:val="63945EDE"/>
    <w:rsid w:val="640146EE"/>
    <w:rsid w:val="640C30FE"/>
    <w:rsid w:val="642125DF"/>
    <w:rsid w:val="642F018C"/>
    <w:rsid w:val="64507C48"/>
    <w:rsid w:val="64531CF2"/>
    <w:rsid w:val="64550B9A"/>
    <w:rsid w:val="645F0603"/>
    <w:rsid w:val="648A2FC3"/>
    <w:rsid w:val="64921620"/>
    <w:rsid w:val="64973387"/>
    <w:rsid w:val="64992B79"/>
    <w:rsid w:val="64A02B15"/>
    <w:rsid w:val="64A5736E"/>
    <w:rsid w:val="64C179D9"/>
    <w:rsid w:val="64E819C0"/>
    <w:rsid w:val="64EA593B"/>
    <w:rsid w:val="64F341D0"/>
    <w:rsid w:val="650A1D8C"/>
    <w:rsid w:val="652158C1"/>
    <w:rsid w:val="652E0015"/>
    <w:rsid w:val="65322E75"/>
    <w:rsid w:val="65377724"/>
    <w:rsid w:val="65395977"/>
    <w:rsid w:val="654B2514"/>
    <w:rsid w:val="657038D9"/>
    <w:rsid w:val="65796908"/>
    <w:rsid w:val="657A7D1F"/>
    <w:rsid w:val="658646B6"/>
    <w:rsid w:val="658A709B"/>
    <w:rsid w:val="658E0327"/>
    <w:rsid w:val="6599219B"/>
    <w:rsid w:val="65BB6238"/>
    <w:rsid w:val="65C61D01"/>
    <w:rsid w:val="65CA46E5"/>
    <w:rsid w:val="65D64A43"/>
    <w:rsid w:val="65E205CB"/>
    <w:rsid w:val="65F30CB6"/>
    <w:rsid w:val="661464E7"/>
    <w:rsid w:val="6617685B"/>
    <w:rsid w:val="662951D4"/>
    <w:rsid w:val="665A043F"/>
    <w:rsid w:val="665B4AA2"/>
    <w:rsid w:val="6663644E"/>
    <w:rsid w:val="66643479"/>
    <w:rsid w:val="666A5045"/>
    <w:rsid w:val="66A95777"/>
    <w:rsid w:val="66AC6B93"/>
    <w:rsid w:val="66BF2545"/>
    <w:rsid w:val="66C72B60"/>
    <w:rsid w:val="67054D41"/>
    <w:rsid w:val="670C5D10"/>
    <w:rsid w:val="670F11A8"/>
    <w:rsid w:val="67106804"/>
    <w:rsid w:val="671D53D7"/>
    <w:rsid w:val="671E03AA"/>
    <w:rsid w:val="67353D94"/>
    <w:rsid w:val="673B3A73"/>
    <w:rsid w:val="67462987"/>
    <w:rsid w:val="6746602E"/>
    <w:rsid w:val="674C1DB7"/>
    <w:rsid w:val="675D2186"/>
    <w:rsid w:val="676C00D0"/>
    <w:rsid w:val="677451B8"/>
    <w:rsid w:val="67890ED1"/>
    <w:rsid w:val="67892A30"/>
    <w:rsid w:val="678B628A"/>
    <w:rsid w:val="678B7A9F"/>
    <w:rsid w:val="6790753E"/>
    <w:rsid w:val="67936E6A"/>
    <w:rsid w:val="679C219B"/>
    <w:rsid w:val="67AA28AC"/>
    <w:rsid w:val="67C815A1"/>
    <w:rsid w:val="67CC03E4"/>
    <w:rsid w:val="67E37CCD"/>
    <w:rsid w:val="67E5242C"/>
    <w:rsid w:val="67EA7BCE"/>
    <w:rsid w:val="67EB36EB"/>
    <w:rsid w:val="67F427AE"/>
    <w:rsid w:val="67FB0EF7"/>
    <w:rsid w:val="681F29BA"/>
    <w:rsid w:val="68655331"/>
    <w:rsid w:val="686B2D87"/>
    <w:rsid w:val="68735D43"/>
    <w:rsid w:val="689334EB"/>
    <w:rsid w:val="689E597A"/>
    <w:rsid w:val="68AB69D7"/>
    <w:rsid w:val="68B21A66"/>
    <w:rsid w:val="68B45183"/>
    <w:rsid w:val="68C12890"/>
    <w:rsid w:val="68CF7C8A"/>
    <w:rsid w:val="68E65C61"/>
    <w:rsid w:val="68F05765"/>
    <w:rsid w:val="68F1661A"/>
    <w:rsid w:val="68FC08CF"/>
    <w:rsid w:val="690600B1"/>
    <w:rsid w:val="69194A7E"/>
    <w:rsid w:val="69204BA9"/>
    <w:rsid w:val="69270753"/>
    <w:rsid w:val="69274178"/>
    <w:rsid w:val="693410C2"/>
    <w:rsid w:val="693D03EF"/>
    <w:rsid w:val="69427AF7"/>
    <w:rsid w:val="69486113"/>
    <w:rsid w:val="69866BB4"/>
    <w:rsid w:val="698735C8"/>
    <w:rsid w:val="698F62F8"/>
    <w:rsid w:val="69957B3C"/>
    <w:rsid w:val="699B21A4"/>
    <w:rsid w:val="69A128C6"/>
    <w:rsid w:val="69A85905"/>
    <w:rsid w:val="69BA15C7"/>
    <w:rsid w:val="69CC30A8"/>
    <w:rsid w:val="69CD3414"/>
    <w:rsid w:val="69D21317"/>
    <w:rsid w:val="69D4078A"/>
    <w:rsid w:val="69DC4818"/>
    <w:rsid w:val="69DE226B"/>
    <w:rsid w:val="69E342ED"/>
    <w:rsid w:val="69EC09E2"/>
    <w:rsid w:val="69FA0441"/>
    <w:rsid w:val="6A097524"/>
    <w:rsid w:val="6A105954"/>
    <w:rsid w:val="6A1063B8"/>
    <w:rsid w:val="6A1C4DD3"/>
    <w:rsid w:val="6A1D6CEA"/>
    <w:rsid w:val="6A3D714E"/>
    <w:rsid w:val="6A507835"/>
    <w:rsid w:val="6A541AB2"/>
    <w:rsid w:val="6A567D16"/>
    <w:rsid w:val="6A6432E1"/>
    <w:rsid w:val="6A700704"/>
    <w:rsid w:val="6A807668"/>
    <w:rsid w:val="6A8B4048"/>
    <w:rsid w:val="6A8D49FB"/>
    <w:rsid w:val="6A9625E8"/>
    <w:rsid w:val="6A9A10C6"/>
    <w:rsid w:val="6A9A38AE"/>
    <w:rsid w:val="6AA06A0F"/>
    <w:rsid w:val="6AA177F0"/>
    <w:rsid w:val="6AB333F6"/>
    <w:rsid w:val="6ACD5BE3"/>
    <w:rsid w:val="6ACD783B"/>
    <w:rsid w:val="6ACE640D"/>
    <w:rsid w:val="6AD37D33"/>
    <w:rsid w:val="6AE4091F"/>
    <w:rsid w:val="6AE775D4"/>
    <w:rsid w:val="6AE9056D"/>
    <w:rsid w:val="6AF56FCD"/>
    <w:rsid w:val="6B170353"/>
    <w:rsid w:val="6B3032AB"/>
    <w:rsid w:val="6B32219F"/>
    <w:rsid w:val="6B39476E"/>
    <w:rsid w:val="6B4C59A1"/>
    <w:rsid w:val="6B4F21E3"/>
    <w:rsid w:val="6B6B746D"/>
    <w:rsid w:val="6B850C9C"/>
    <w:rsid w:val="6B94401A"/>
    <w:rsid w:val="6B957F5A"/>
    <w:rsid w:val="6BB43608"/>
    <w:rsid w:val="6BB43B72"/>
    <w:rsid w:val="6BDE66C0"/>
    <w:rsid w:val="6BE268F5"/>
    <w:rsid w:val="6BED5805"/>
    <w:rsid w:val="6BF6052E"/>
    <w:rsid w:val="6C0752D1"/>
    <w:rsid w:val="6C082F7F"/>
    <w:rsid w:val="6C271ECE"/>
    <w:rsid w:val="6C2814C5"/>
    <w:rsid w:val="6C467142"/>
    <w:rsid w:val="6C6367AC"/>
    <w:rsid w:val="6C917204"/>
    <w:rsid w:val="6C9240BC"/>
    <w:rsid w:val="6C950AE3"/>
    <w:rsid w:val="6CC56897"/>
    <w:rsid w:val="6CEE4D5A"/>
    <w:rsid w:val="6D13223C"/>
    <w:rsid w:val="6D1363F5"/>
    <w:rsid w:val="6D336600"/>
    <w:rsid w:val="6D3A26D6"/>
    <w:rsid w:val="6D75177F"/>
    <w:rsid w:val="6D833C91"/>
    <w:rsid w:val="6D8B37AC"/>
    <w:rsid w:val="6D8E0211"/>
    <w:rsid w:val="6DA265CB"/>
    <w:rsid w:val="6DA55785"/>
    <w:rsid w:val="6DAB02BA"/>
    <w:rsid w:val="6DBD49B1"/>
    <w:rsid w:val="6DD63E63"/>
    <w:rsid w:val="6DF20A14"/>
    <w:rsid w:val="6E16077A"/>
    <w:rsid w:val="6E1B2370"/>
    <w:rsid w:val="6E1F78D3"/>
    <w:rsid w:val="6E257169"/>
    <w:rsid w:val="6E4525D8"/>
    <w:rsid w:val="6E492F1A"/>
    <w:rsid w:val="6E5A0C83"/>
    <w:rsid w:val="6E635635"/>
    <w:rsid w:val="6E6C4E5A"/>
    <w:rsid w:val="6E87317F"/>
    <w:rsid w:val="6E8C1058"/>
    <w:rsid w:val="6E8E3022"/>
    <w:rsid w:val="6EB11DC7"/>
    <w:rsid w:val="6ECC76A7"/>
    <w:rsid w:val="6ECC7D83"/>
    <w:rsid w:val="6ECD0DBF"/>
    <w:rsid w:val="6ED75F6B"/>
    <w:rsid w:val="6EDC1217"/>
    <w:rsid w:val="6EE930B1"/>
    <w:rsid w:val="6EF10267"/>
    <w:rsid w:val="6F0A08FB"/>
    <w:rsid w:val="6F18537B"/>
    <w:rsid w:val="6F225EF0"/>
    <w:rsid w:val="6F2A249C"/>
    <w:rsid w:val="6F4061EB"/>
    <w:rsid w:val="6F5222A2"/>
    <w:rsid w:val="6F681A19"/>
    <w:rsid w:val="6F6C4F77"/>
    <w:rsid w:val="6F7906C1"/>
    <w:rsid w:val="6F892B5A"/>
    <w:rsid w:val="6F923036"/>
    <w:rsid w:val="6F9E7346"/>
    <w:rsid w:val="6FA27220"/>
    <w:rsid w:val="6FBA36D8"/>
    <w:rsid w:val="6FCA664A"/>
    <w:rsid w:val="6FD93E34"/>
    <w:rsid w:val="6FDB5371"/>
    <w:rsid w:val="6FDF2907"/>
    <w:rsid w:val="6FE81112"/>
    <w:rsid w:val="7009625B"/>
    <w:rsid w:val="70156649"/>
    <w:rsid w:val="703B40D6"/>
    <w:rsid w:val="70414D3F"/>
    <w:rsid w:val="705160B5"/>
    <w:rsid w:val="708577B2"/>
    <w:rsid w:val="708A15C7"/>
    <w:rsid w:val="70CF5DB1"/>
    <w:rsid w:val="70F34F16"/>
    <w:rsid w:val="71042B81"/>
    <w:rsid w:val="711D243B"/>
    <w:rsid w:val="71227ED9"/>
    <w:rsid w:val="71293B2B"/>
    <w:rsid w:val="71295F64"/>
    <w:rsid w:val="71301C47"/>
    <w:rsid w:val="713D38A0"/>
    <w:rsid w:val="714149C3"/>
    <w:rsid w:val="7189776B"/>
    <w:rsid w:val="71A36FD9"/>
    <w:rsid w:val="71B216C2"/>
    <w:rsid w:val="71CA4446"/>
    <w:rsid w:val="71D6339B"/>
    <w:rsid w:val="71D950B5"/>
    <w:rsid w:val="71DB1B59"/>
    <w:rsid w:val="71E87929"/>
    <w:rsid w:val="71EA4291"/>
    <w:rsid w:val="71EC395C"/>
    <w:rsid w:val="71EF3E51"/>
    <w:rsid w:val="71F12CD9"/>
    <w:rsid w:val="72007368"/>
    <w:rsid w:val="72167C9A"/>
    <w:rsid w:val="72483E7E"/>
    <w:rsid w:val="724E4BE2"/>
    <w:rsid w:val="72554235"/>
    <w:rsid w:val="72583C0A"/>
    <w:rsid w:val="72642981"/>
    <w:rsid w:val="72725D7F"/>
    <w:rsid w:val="727857DF"/>
    <w:rsid w:val="7285473C"/>
    <w:rsid w:val="72867E45"/>
    <w:rsid w:val="729055BB"/>
    <w:rsid w:val="72905A3A"/>
    <w:rsid w:val="72C40DC1"/>
    <w:rsid w:val="72C765B8"/>
    <w:rsid w:val="72D775B7"/>
    <w:rsid w:val="72D77E5A"/>
    <w:rsid w:val="72F3614F"/>
    <w:rsid w:val="72F5422F"/>
    <w:rsid w:val="72FA6ED8"/>
    <w:rsid w:val="72FC67AC"/>
    <w:rsid w:val="73055489"/>
    <w:rsid w:val="731D1A69"/>
    <w:rsid w:val="732B6FFF"/>
    <w:rsid w:val="73376967"/>
    <w:rsid w:val="733F6698"/>
    <w:rsid w:val="73443657"/>
    <w:rsid w:val="73487C44"/>
    <w:rsid w:val="73667DA0"/>
    <w:rsid w:val="736F1CCF"/>
    <w:rsid w:val="73722354"/>
    <w:rsid w:val="737562FF"/>
    <w:rsid w:val="73885637"/>
    <w:rsid w:val="739161DC"/>
    <w:rsid w:val="739F579C"/>
    <w:rsid w:val="73A55256"/>
    <w:rsid w:val="73B821F7"/>
    <w:rsid w:val="73B9029B"/>
    <w:rsid w:val="73BB68B5"/>
    <w:rsid w:val="73C12294"/>
    <w:rsid w:val="73D10955"/>
    <w:rsid w:val="73D94D40"/>
    <w:rsid w:val="73E40B52"/>
    <w:rsid w:val="73EB7D30"/>
    <w:rsid w:val="74026C63"/>
    <w:rsid w:val="74327ACF"/>
    <w:rsid w:val="743F65E5"/>
    <w:rsid w:val="744C085C"/>
    <w:rsid w:val="744F7DD3"/>
    <w:rsid w:val="746C7BF2"/>
    <w:rsid w:val="746F05F6"/>
    <w:rsid w:val="74734939"/>
    <w:rsid w:val="74806F69"/>
    <w:rsid w:val="74940C67"/>
    <w:rsid w:val="74A21154"/>
    <w:rsid w:val="74A770B6"/>
    <w:rsid w:val="74B54B5C"/>
    <w:rsid w:val="74BB763F"/>
    <w:rsid w:val="74C26CEC"/>
    <w:rsid w:val="74C7103C"/>
    <w:rsid w:val="74C747CD"/>
    <w:rsid w:val="74D426FD"/>
    <w:rsid w:val="74E97204"/>
    <w:rsid w:val="74EC2DDA"/>
    <w:rsid w:val="74FF4332"/>
    <w:rsid w:val="75011FCD"/>
    <w:rsid w:val="750D185B"/>
    <w:rsid w:val="75175B20"/>
    <w:rsid w:val="752738FA"/>
    <w:rsid w:val="75286F2A"/>
    <w:rsid w:val="753A35BC"/>
    <w:rsid w:val="753A55C7"/>
    <w:rsid w:val="75453620"/>
    <w:rsid w:val="757A1C0A"/>
    <w:rsid w:val="758D7B90"/>
    <w:rsid w:val="75941FF3"/>
    <w:rsid w:val="75951B4C"/>
    <w:rsid w:val="759E7FEF"/>
    <w:rsid w:val="75B55252"/>
    <w:rsid w:val="75B55338"/>
    <w:rsid w:val="75C86E1A"/>
    <w:rsid w:val="75C90858"/>
    <w:rsid w:val="75E92C28"/>
    <w:rsid w:val="75FE711C"/>
    <w:rsid w:val="76067944"/>
    <w:rsid w:val="760E7B9E"/>
    <w:rsid w:val="760E7F0D"/>
    <w:rsid w:val="760F7CE6"/>
    <w:rsid w:val="76124A8D"/>
    <w:rsid w:val="76251B05"/>
    <w:rsid w:val="762B1FC3"/>
    <w:rsid w:val="762F50EB"/>
    <w:rsid w:val="7666438C"/>
    <w:rsid w:val="766B53AB"/>
    <w:rsid w:val="76707D39"/>
    <w:rsid w:val="767E572A"/>
    <w:rsid w:val="76927C0E"/>
    <w:rsid w:val="76BA2B32"/>
    <w:rsid w:val="76CC4359"/>
    <w:rsid w:val="76DD5371"/>
    <w:rsid w:val="76F312A1"/>
    <w:rsid w:val="76F93003"/>
    <w:rsid w:val="77210349"/>
    <w:rsid w:val="773846C1"/>
    <w:rsid w:val="773B320F"/>
    <w:rsid w:val="773F1E74"/>
    <w:rsid w:val="774C5829"/>
    <w:rsid w:val="774D3A7A"/>
    <w:rsid w:val="775538EB"/>
    <w:rsid w:val="777E249B"/>
    <w:rsid w:val="77836141"/>
    <w:rsid w:val="77870262"/>
    <w:rsid w:val="778D1184"/>
    <w:rsid w:val="779D0C1E"/>
    <w:rsid w:val="77A5683C"/>
    <w:rsid w:val="77B7437F"/>
    <w:rsid w:val="77D07D54"/>
    <w:rsid w:val="77D456C3"/>
    <w:rsid w:val="77DD19B1"/>
    <w:rsid w:val="77EF18D9"/>
    <w:rsid w:val="78094B5E"/>
    <w:rsid w:val="780C1B55"/>
    <w:rsid w:val="780F2928"/>
    <w:rsid w:val="78182336"/>
    <w:rsid w:val="7820118F"/>
    <w:rsid w:val="78216CB5"/>
    <w:rsid w:val="78234D3F"/>
    <w:rsid w:val="783D5EDE"/>
    <w:rsid w:val="78414C61"/>
    <w:rsid w:val="78486CF0"/>
    <w:rsid w:val="784B5AE0"/>
    <w:rsid w:val="78620438"/>
    <w:rsid w:val="786F5C73"/>
    <w:rsid w:val="789B2BC9"/>
    <w:rsid w:val="78A96E26"/>
    <w:rsid w:val="78BB6F56"/>
    <w:rsid w:val="78BF735B"/>
    <w:rsid w:val="78C137A7"/>
    <w:rsid w:val="78DF4BA6"/>
    <w:rsid w:val="78E12051"/>
    <w:rsid w:val="78F757E2"/>
    <w:rsid w:val="78FD0FBA"/>
    <w:rsid w:val="79032835"/>
    <w:rsid w:val="791975C2"/>
    <w:rsid w:val="79224069"/>
    <w:rsid w:val="7943686F"/>
    <w:rsid w:val="7952309E"/>
    <w:rsid w:val="79584FAA"/>
    <w:rsid w:val="796E5F2A"/>
    <w:rsid w:val="797057FE"/>
    <w:rsid w:val="79726040"/>
    <w:rsid w:val="7979721F"/>
    <w:rsid w:val="79843637"/>
    <w:rsid w:val="798D47F5"/>
    <w:rsid w:val="79962FB3"/>
    <w:rsid w:val="79986EF0"/>
    <w:rsid w:val="799C06F5"/>
    <w:rsid w:val="799F60E4"/>
    <w:rsid w:val="79A04BAE"/>
    <w:rsid w:val="79A359EF"/>
    <w:rsid w:val="79A60A46"/>
    <w:rsid w:val="79A9537A"/>
    <w:rsid w:val="79BD47BC"/>
    <w:rsid w:val="79BE0C60"/>
    <w:rsid w:val="79C46EB6"/>
    <w:rsid w:val="79C91431"/>
    <w:rsid w:val="79D10450"/>
    <w:rsid w:val="79EC60C3"/>
    <w:rsid w:val="79FB7128"/>
    <w:rsid w:val="79FE139C"/>
    <w:rsid w:val="7A191868"/>
    <w:rsid w:val="7A2B37EA"/>
    <w:rsid w:val="7A2E0536"/>
    <w:rsid w:val="7A4636C7"/>
    <w:rsid w:val="7A574260"/>
    <w:rsid w:val="7A7B0FF6"/>
    <w:rsid w:val="7A9A4690"/>
    <w:rsid w:val="7AB12572"/>
    <w:rsid w:val="7AB7132D"/>
    <w:rsid w:val="7AC202DC"/>
    <w:rsid w:val="7AC64CD0"/>
    <w:rsid w:val="7AE86370"/>
    <w:rsid w:val="7AF74D7B"/>
    <w:rsid w:val="7B043CA2"/>
    <w:rsid w:val="7B423DF8"/>
    <w:rsid w:val="7B5F5B2A"/>
    <w:rsid w:val="7B734B9C"/>
    <w:rsid w:val="7B783B2C"/>
    <w:rsid w:val="7B851309"/>
    <w:rsid w:val="7BAB1872"/>
    <w:rsid w:val="7BB51737"/>
    <w:rsid w:val="7BB918EE"/>
    <w:rsid w:val="7BCB7664"/>
    <w:rsid w:val="7BD217ED"/>
    <w:rsid w:val="7BE354EC"/>
    <w:rsid w:val="7BEB44B6"/>
    <w:rsid w:val="7BF61061"/>
    <w:rsid w:val="7BF74D2D"/>
    <w:rsid w:val="7C0248BF"/>
    <w:rsid w:val="7C10365D"/>
    <w:rsid w:val="7C120DEF"/>
    <w:rsid w:val="7C15268D"/>
    <w:rsid w:val="7C172980"/>
    <w:rsid w:val="7C27172E"/>
    <w:rsid w:val="7C2A25DC"/>
    <w:rsid w:val="7C2A30E3"/>
    <w:rsid w:val="7C2C706A"/>
    <w:rsid w:val="7C3172CF"/>
    <w:rsid w:val="7C564D00"/>
    <w:rsid w:val="7C6C6AC4"/>
    <w:rsid w:val="7C6F2086"/>
    <w:rsid w:val="7C713AB2"/>
    <w:rsid w:val="7C986115"/>
    <w:rsid w:val="7CA95614"/>
    <w:rsid w:val="7CBA34DD"/>
    <w:rsid w:val="7CBF0CFA"/>
    <w:rsid w:val="7CC01B88"/>
    <w:rsid w:val="7CF229CE"/>
    <w:rsid w:val="7CF46916"/>
    <w:rsid w:val="7D176F72"/>
    <w:rsid w:val="7D25174F"/>
    <w:rsid w:val="7D2A303A"/>
    <w:rsid w:val="7D2C6F0C"/>
    <w:rsid w:val="7D3F22B0"/>
    <w:rsid w:val="7D4551F4"/>
    <w:rsid w:val="7D58082B"/>
    <w:rsid w:val="7D71677F"/>
    <w:rsid w:val="7D9046C1"/>
    <w:rsid w:val="7DA64BF9"/>
    <w:rsid w:val="7DAA32A9"/>
    <w:rsid w:val="7DBA173E"/>
    <w:rsid w:val="7DC178C7"/>
    <w:rsid w:val="7DC244E9"/>
    <w:rsid w:val="7DCB1223"/>
    <w:rsid w:val="7DDB21FE"/>
    <w:rsid w:val="7DDC0E2A"/>
    <w:rsid w:val="7DE079B9"/>
    <w:rsid w:val="7DE15F42"/>
    <w:rsid w:val="7DE312BA"/>
    <w:rsid w:val="7DE751E7"/>
    <w:rsid w:val="7DEC51A7"/>
    <w:rsid w:val="7DEF0DFD"/>
    <w:rsid w:val="7DEF4E42"/>
    <w:rsid w:val="7DF507AE"/>
    <w:rsid w:val="7DFB58B2"/>
    <w:rsid w:val="7E034FCC"/>
    <w:rsid w:val="7E17093E"/>
    <w:rsid w:val="7E2412AD"/>
    <w:rsid w:val="7E3221D3"/>
    <w:rsid w:val="7E4826E0"/>
    <w:rsid w:val="7E604ADF"/>
    <w:rsid w:val="7E8E55A1"/>
    <w:rsid w:val="7EB37222"/>
    <w:rsid w:val="7EC36A22"/>
    <w:rsid w:val="7EC469ED"/>
    <w:rsid w:val="7EC550FA"/>
    <w:rsid w:val="7ED20D09"/>
    <w:rsid w:val="7ED96525"/>
    <w:rsid w:val="7EE1128F"/>
    <w:rsid w:val="7F0B7D77"/>
    <w:rsid w:val="7F1217EE"/>
    <w:rsid w:val="7F25181A"/>
    <w:rsid w:val="7F2826D7"/>
    <w:rsid w:val="7F47439C"/>
    <w:rsid w:val="7F6C4CBA"/>
    <w:rsid w:val="7F6C7D71"/>
    <w:rsid w:val="7F6D5577"/>
    <w:rsid w:val="7FB14DC3"/>
    <w:rsid w:val="7FB36445"/>
    <w:rsid w:val="7FB83A5B"/>
    <w:rsid w:val="7FB90B0F"/>
    <w:rsid w:val="7FC844D5"/>
    <w:rsid w:val="7FDF34BC"/>
    <w:rsid w:val="7FE83B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iPriority="1"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240" w:after="120"/>
      <w:outlineLvl w:val="0"/>
    </w:pPr>
    <w:rPr>
      <w:b/>
      <w:sz w:val="44"/>
    </w:rPr>
  </w:style>
  <w:style w:type="paragraph" w:styleId="3">
    <w:name w:val="heading 3"/>
    <w:basedOn w:val="1"/>
    <w:next w:val="1"/>
    <w:qFormat/>
    <w:uiPriority w:val="0"/>
    <w:pPr>
      <w:keepNext/>
      <w:keepLines/>
      <w:numPr>
        <w:ilvl w:val="2"/>
        <w:numId w:val="1"/>
      </w:numPr>
      <w:outlineLvl w:val="2"/>
    </w:pPr>
    <w:rPr>
      <w:b/>
      <w:sz w:val="32"/>
    </w:rPr>
  </w:style>
  <w:style w:type="paragraph" w:styleId="4">
    <w:name w:val="heading 4"/>
    <w:basedOn w:val="1"/>
    <w:next w:val="1"/>
    <w:autoRedefine/>
    <w:qFormat/>
    <w:uiPriority w:val="0"/>
    <w:pPr>
      <w:keepNext/>
      <w:keepLines/>
      <w:numPr>
        <w:ilvl w:val="3"/>
        <w:numId w:val="1"/>
      </w:numPr>
      <w:outlineLvl w:val="3"/>
    </w:pPr>
    <w:rPr>
      <w:rFonts w:ascii="Arial" w:hAnsi="Arial" w:eastAsia="黑体"/>
      <w:b/>
      <w:kern w:val="28"/>
      <w:sz w:val="28"/>
    </w:rPr>
  </w:style>
  <w:style w:type="paragraph" w:styleId="5">
    <w:name w:val="heading 5"/>
    <w:basedOn w:val="1"/>
    <w:next w:val="1"/>
    <w:unhideWhenUsed/>
    <w:qFormat/>
    <w:uiPriority w:val="0"/>
    <w:pPr>
      <w:keepNext/>
      <w:keepLines/>
      <w:numPr>
        <w:ilvl w:val="4"/>
        <w:numId w:val="2"/>
      </w:numPr>
      <w:tabs>
        <w:tab w:val="left" w:pos="0"/>
      </w:tabs>
      <w:adjustRightInd w:val="0"/>
      <w:spacing w:line="360" w:lineRule="auto"/>
      <w:ind w:left="284"/>
      <w:jc w:val="left"/>
      <w:textAlignment w:val="baseline"/>
      <w:outlineLvl w:val="4"/>
    </w:pPr>
    <w:rPr>
      <w:kern w:val="0"/>
      <w:szCs w:val="20"/>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firstLineChars="200"/>
    </w:pPr>
    <w:rPr>
      <w:rFonts w:eastAsia="仿宋_GB2312"/>
    </w:rPr>
  </w:style>
  <w:style w:type="paragraph" w:styleId="7">
    <w:name w:val="annotation text"/>
    <w:basedOn w:val="1"/>
    <w:link w:val="36"/>
    <w:autoRedefine/>
    <w:qFormat/>
    <w:uiPriority w:val="0"/>
    <w:pPr>
      <w:jc w:val="left"/>
    </w:pPr>
  </w:style>
  <w:style w:type="paragraph" w:styleId="8">
    <w:name w:val="Salutation"/>
    <w:basedOn w:val="1"/>
    <w:next w:val="1"/>
    <w:autoRedefine/>
    <w:qFormat/>
    <w:uiPriority w:val="0"/>
  </w:style>
  <w:style w:type="paragraph" w:styleId="9">
    <w:name w:val="Closing"/>
    <w:basedOn w:val="1"/>
    <w:autoRedefine/>
    <w:qFormat/>
    <w:uiPriority w:val="0"/>
    <w:pPr>
      <w:ind w:left="100" w:leftChars="2100"/>
    </w:pPr>
    <w:rPr>
      <w:rFonts w:ascii="Arial" w:hAnsi="Arial" w:eastAsia="楷体_GB2312" w:cs="Arial"/>
      <w:b/>
      <w:sz w:val="24"/>
    </w:rPr>
  </w:style>
  <w:style w:type="paragraph" w:styleId="10">
    <w:name w:val="Body Text"/>
    <w:basedOn w:val="1"/>
    <w:link w:val="37"/>
    <w:autoRedefine/>
    <w:unhideWhenUsed/>
    <w:qFormat/>
    <w:uiPriority w:val="1"/>
    <w:rPr>
      <w:rFonts w:hint="eastAsia"/>
      <w:sz w:val="24"/>
    </w:rPr>
  </w:style>
  <w:style w:type="paragraph" w:styleId="11">
    <w:name w:val="Body Text Indent"/>
    <w:basedOn w:val="1"/>
    <w:autoRedefine/>
    <w:qFormat/>
    <w:uiPriority w:val="0"/>
    <w:pPr>
      <w:ind w:firstLine="560"/>
    </w:pPr>
    <w:rPr>
      <w:sz w:val="28"/>
    </w:rPr>
  </w:style>
  <w:style w:type="paragraph" w:styleId="12">
    <w:name w:val="toc 3"/>
    <w:basedOn w:val="1"/>
    <w:next w:val="1"/>
    <w:autoRedefine/>
    <w:qFormat/>
    <w:uiPriority w:val="0"/>
    <w:pPr>
      <w:ind w:left="840" w:leftChars="400"/>
    </w:pPr>
  </w:style>
  <w:style w:type="paragraph" w:styleId="13">
    <w:name w:val="Plain Text"/>
    <w:basedOn w:val="1"/>
    <w:autoRedefine/>
    <w:qFormat/>
    <w:uiPriority w:val="0"/>
    <w:rPr>
      <w:rFonts w:ascii="宋体" w:hAnsi="Courier New"/>
    </w:rPr>
  </w:style>
  <w:style w:type="paragraph" w:styleId="14">
    <w:name w:val="Body Text Indent 2"/>
    <w:basedOn w:val="1"/>
    <w:autoRedefine/>
    <w:qFormat/>
    <w:uiPriority w:val="0"/>
    <w:pPr>
      <w:spacing w:line="360" w:lineRule="auto"/>
      <w:ind w:firstLine="360" w:firstLineChars="150"/>
    </w:pPr>
    <w:rPr>
      <w:sz w:val="24"/>
      <w:szCs w:val="20"/>
    </w:rPr>
  </w:style>
  <w:style w:type="paragraph" w:styleId="15">
    <w:name w:val="Balloon Text"/>
    <w:basedOn w:val="1"/>
    <w:link w:val="38"/>
    <w:autoRedefine/>
    <w:qFormat/>
    <w:uiPriority w:val="0"/>
    <w:rPr>
      <w:sz w:val="18"/>
      <w:szCs w:val="18"/>
    </w:rPr>
  </w:style>
  <w:style w:type="paragraph" w:styleId="16">
    <w:name w:val="footer"/>
    <w:basedOn w:val="1"/>
    <w:autoRedefine/>
    <w:qFormat/>
    <w:uiPriority w:val="0"/>
    <w:pPr>
      <w:tabs>
        <w:tab w:val="center" w:pos="4153"/>
        <w:tab w:val="right" w:pos="8306"/>
      </w:tabs>
      <w:snapToGrid w:val="0"/>
      <w:jc w:val="left"/>
    </w:pPr>
    <w:rPr>
      <w:sz w:val="18"/>
    </w:rPr>
  </w:style>
  <w:style w:type="paragraph" w:styleId="17">
    <w:name w:val="header"/>
    <w:basedOn w:val="1"/>
    <w:next w:val="10"/>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8">
    <w:name w:val="toc 1"/>
    <w:basedOn w:val="1"/>
    <w:next w:val="1"/>
    <w:autoRedefine/>
    <w:qFormat/>
    <w:uiPriority w:val="39"/>
    <w:pPr>
      <w:tabs>
        <w:tab w:val="right" w:leader="dot" w:pos="8312"/>
      </w:tabs>
      <w:spacing w:line="360" w:lineRule="auto"/>
    </w:pPr>
    <w:rPr>
      <w:b/>
      <w:sz w:val="24"/>
    </w:rPr>
  </w:style>
  <w:style w:type="paragraph" w:styleId="19">
    <w:name w:val="Normal (Web)"/>
    <w:basedOn w:val="1"/>
    <w:autoRedefine/>
    <w:qFormat/>
    <w:uiPriority w:val="0"/>
    <w:pPr>
      <w:spacing w:before="100" w:beforeAutospacing="1" w:after="100" w:afterAutospacing="1"/>
      <w:jc w:val="left"/>
    </w:pPr>
    <w:rPr>
      <w:kern w:val="0"/>
      <w:sz w:val="24"/>
    </w:rPr>
  </w:style>
  <w:style w:type="paragraph" w:styleId="20">
    <w:name w:val="annotation subject"/>
    <w:basedOn w:val="7"/>
    <w:next w:val="7"/>
    <w:link w:val="39"/>
    <w:autoRedefine/>
    <w:qFormat/>
    <w:uiPriority w:val="0"/>
    <w:rPr>
      <w:b/>
      <w:bCs/>
    </w:rPr>
  </w:style>
  <w:style w:type="paragraph" w:styleId="21">
    <w:name w:val="Body Text First Indent 2"/>
    <w:basedOn w:val="11"/>
    <w:autoRedefine/>
    <w:qFormat/>
    <w:uiPriority w:val="0"/>
    <w:pPr>
      <w:ind w:firstLine="420"/>
      <w:jc w:val="left"/>
    </w:pPr>
    <w:rPr>
      <w:rFonts w:hAnsi="Times New Roman"/>
    </w:rPr>
  </w:style>
  <w:style w:type="table" w:styleId="23">
    <w:name w:val="Table Grid"/>
    <w:basedOn w:val="2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basedOn w:val="24"/>
    <w:autoRedefine/>
    <w:qFormat/>
    <w:uiPriority w:val="0"/>
    <w:rPr>
      <w:b/>
      <w:sz w:val="24"/>
      <w:szCs w:val="24"/>
    </w:rPr>
  </w:style>
  <w:style w:type="character" w:styleId="26">
    <w:name w:val="page number"/>
    <w:autoRedefine/>
    <w:qFormat/>
    <w:uiPriority w:val="0"/>
    <w:rPr>
      <w:rFonts w:ascii="宋体" w:hAnsi="宋体" w:eastAsia="宋体"/>
    </w:rPr>
  </w:style>
  <w:style w:type="character" w:styleId="27">
    <w:name w:val="FollowedHyperlink"/>
    <w:autoRedefine/>
    <w:qFormat/>
    <w:uiPriority w:val="0"/>
    <w:rPr>
      <w:color w:val="222222"/>
      <w:u w:val="none"/>
    </w:rPr>
  </w:style>
  <w:style w:type="character" w:styleId="28">
    <w:name w:val="Emphasis"/>
    <w:basedOn w:val="24"/>
    <w:autoRedefine/>
    <w:qFormat/>
    <w:uiPriority w:val="0"/>
    <w:rPr>
      <w:color w:val="D73130"/>
      <w:sz w:val="24"/>
      <w:szCs w:val="24"/>
    </w:rPr>
  </w:style>
  <w:style w:type="character" w:styleId="29">
    <w:name w:val="Hyperlink"/>
    <w:basedOn w:val="24"/>
    <w:autoRedefine/>
    <w:qFormat/>
    <w:uiPriority w:val="99"/>
    <w:rPr>
      <w:rFonts w:hint="default" w:ascii="ˎ̥" w:hAnsi="ˎ̥"/>
      <w:color w:val="3193C1"/>
      <w:sz w:val="18"/>
      <w:szCs w:val="18"/>
      <w:u w:val="none"/>
    </w:rPr>
  </w:style>
  <w:style w:type="character" w:styleId="30">
    <w:name w:val="annotation reference"/>
    <w:autoRedefine/>
    <w:qFormat/>
    <w:uiPriority w:val="0"/>
    <w:rPr>
      <w:sz w:val="21"/>
      <w:szCs w:val="21"/>
    </w:rPr>
  </w:style>
  <w:style w:type="character" w:styleId="31">
    <w:name w:val="HTML Cite"/>
    <w:basedOn w:val="24"/>
    <w:autoRedefine/>
    <w:qFormat/>
    <w:uiPriority w:val="0"/>
    <w:rPr>
      <w:sz w:val="24"/>
      <w:szCs w:val="24"/>
    </w:rPr>
  </w:style>
  <w:style w:type="paragraph" w:customStyle="1" w:styleId="32">
    <w:name w:val="Default"/>
    <w:basedOn w:val="33"/>
    <w:next w:val="34"/>
    <w:qFormat/>
    <w:uiPriority w:val="0"/>
    <w:pPr>
      <w:autoSpaceDE w:val="0"/>
      <w:autoSpaceDN w:val="0"/>
    </w:pPr>
    <w:rPr>
      <w:rFonts w:ascii="Calibri" w:hAnsi="Calibri"/>
      <w:color w:val="000000"/>
      <w:szCs w:val="24"/>
    </w:rPr>
  </w:style>
  <w:style w:type="paragraph" w:customStyle="1" w:styleId="33">
    <w:name w:val="纯文本1"/>
    <w:basedOn w:val="1"/>
    <w:autoRedefine/>
    <w:qFormat/>
    <w:uiPriority w:val="0"/>
    <w:pPr>
      <w:adjustRightInd w:val="0"/>
      <w:jc w:val="left"/>
      <w:textAlignment w:val="baseline"/>
    </w:pPr>
    <w:rPr>
      <w:rFonts w:ascii="宋体" w:hAnsi="Courier New"/>
      <w:sz w:val="24"/>
      <w:szCs w:val="20"/>
    </w:rPr>
  </w:style>
  <w:style w:type="paragraph" w:customStyle="1" w:styleId="34">
    <w:name w:val="正文文字 6"/>
    <w:basedOn w:val="35"/>
    <w:next w:val="1"/>
    <w:autoRedefine/>
    <w:qFormat/>
    <w:uiPriority w:val="0"/>
    <w:pPr>
      <w:ind w:left="240"/>
      <w:jc w:val="both"/>
    </w:pPr>
    <w:rPr>
      <w:rFonts w:ascii="宋体" w:cs="Times New Roman"/>
      <w:bCs/>
      <w:sz w:val="32"/>
      <w:szCs w:val="32"/>
    </w:rPr>
  </w:style>
  <w:style w:type="paragraph" w:customStyle="1" w:styleId="35">
    <w:name w:val="TT标题"/>
    <w:basedOn w:val="1"/>
    <w:autoRedefine/>
    <w:qFormat/>
    <w:uiPriority w:val="0"/>
    <w:pPr>
      <w:jc w:val="center"/>
    </w:pPr>
    <w:rPr>
      <w:rFonts w:cs="宋体"/>
      <w:b/>
      <w:szCs w:val="20"/>
    </w:rPr>
  </w:style>
  <w:style w:type="character" w:customStyle="1" w:styleId="36">
    <w:name w:val="批注文字 Char"/>
    <w:link w:val="7"/>
    <w:autoRedefine/>
    <w:qFormat/>
    <w:uiPriority w:val="0"/>
    <w:rPr>
      <w:rFonts w:ascii="Calibri" w:hAnsi="Calibri"/>
      <w:kern w:val="2"/>
      <w:sz w:val="21"/>
      <w:szCs w:val="24"/>
    </w:rPr>
  </w:style>
  <w:style w:type="character" w:customStyle="1" w:styleId="37">
    <w:name w:val="正文文本 Char"/>
    <w:link w:val="10"/>
    <w:autoRedefine/>
    <w:qFormat/>
    <w:uiPriority w:val="1"/>
    <w:rPr>
      <w:rFonts w:hint="eastAsia"/>
      <w:sz w:val="24"/>
      <w:szCs w:val="24"/>
    </w:rPr>
  </w:style>
  <w:style w:type="character" w:customStyle="1" w:styleId="38">
    <w:name w:val="批注框文本 Char"/>
    <w:link w:val="15"/>
    <w:autoRedefine/>
    <w:qFormat/>
    <w:uiPriority w:val="0"/>
    <w:rPr>
      <w:rFonts w:ascii="Calibri" w:hAnsi="Calibri"/>
      <w:kern w:val="2"/>
      <w:sz w:val="18"/>
      <w:szCs w:val="18"/>
    </w:rPr>
  </w:style>
  <w:style w:type="character" w:customStyle="1" w:styleId="39">
    <w:name w:val="批注主题 Char"/>
    <w:link w:val="20"/>
    <w:autoRedefine/>
    <w:qFormat/>
    <w:uiPriority w:val="0"/>
    <w:rPr>
      <w:rFonts w:ascii="Calibri" w:hAnsi="Calibri"/>
      <w:b/>
      <w:bCs/>
      <w:kern w:val="2"/>
      <w:sz w:val="21"/>
      <w:szCs w:val="24"/>
    </w:rPr>
  </w:style>
  <w:style w:type="paragraph" w:customStyle="1" w:styleId="40">
    <w:name w:val="报告"/>
    <w:basedOn w:val="1"/>
    <w:autoRedefine/>
    <w:qFormat/>
    <w:uiPriority w:val="0"/>
    <w:pPr>
      <w:spacing w:line="360" w:lineRule="auto"/>
      <w:ind w:firstLine="505"/>
    </w:pPr>
  </w:style>
  <w:style w:type="paragraph" w:customStyle="1" w:styleId="41">
    <w:name w:val="样式2"/>
    <w:basedOn w:val="1"/>
    <w:autoRedefine/>
    <w:qFormat/>
    <w:uiPriority w:val="0"/>
    <w:pPr>
      <w:ind w:left="170"/>
    </w:pPr>
    <w:rPr>
      <w:b/>
    </w:rPr>
  </w:style>
  <w:style w:type="character" w:customStyle="1" w:styleId="42">
    <w:name w:val="font61"/>
    <w:autoRedefine/>
    <w:qFormat/>
    <w:uiPriority w:val="0"/>
    <w:rPr>
      <w:rFonts w:hint="eastAsia" w:ascii="宋体" w:hAnsi="宋体" w:eastAsia="宋体" w:cs="宋体"/>
      <w:color w:val="000000"/>
      <w:sz w:val="22"/>
      <w:szCs w:val="22"/>
      <w:u w:val="none"/>
    </w:rPr>
  </w:style>
  <w:style w:type="character" w:customStyle="1" w:styleId="43">
    <w:name w:val="font51"/>
    <w:autoRedefine/>
    <w:qFormat/>
    <w:uiPriority w:val="0"/>
    <w:rPr>
      <w:rFonts w:hint="eastAsia" w:ascii="宋体" w:hAnsi="宋体" w:eastAsia="宋体" w:cs="宋体"/>
      <w:b/>
      <w:color w:val="000000"/>
      <w:sz w:val="24"/>
      <w:szCs w:val="24"/>
      <w:u w:val="none"/>
    </w:rPr>
  </w:style>
  <w:style w:type="character" w:customStyle="1" w:styleId="44">
    <w:name w:val="font41"/>
    <w:autoRedefine/>
    <w:qFormat/>
    <w:uiPriority w:val="0"/>
    <w:rPr>
      <w:rFonts w:hint="default" w:ascii="Times New Roman" w:hAnsi="Times New Roman" w:cs="Times New Roman"/>
      <w:b/>
      <w:color w:val="000000"/>
      <w:sz w:val="24"/>
      <w:szCs w:val="24"/>
      <w:u w:val="none"/>
    </w:rPr>
  </w:style>
  <w:style w:type="character" w:customStyle="1" w:styleId="45">
    <w:name w:val="font21"/>
    <w:basedOn w:val="24"/>
    <w:autoRedefine/>
    <w:qFormat/>
    <w:uiPriority w:val="0"/>
    <w:rPr>
      <w:rFonts w:hint="default" w:ascii="Times New Roman" w:hAnsi="Times New Roman" w:cs="Times New Roman"/>
      <w:color w:val="000000"/>
      <w:sz w:val="22"/>
      <w:szCs w:val="22"/>
      <w:u w:val="none"/>
    </w:rPr>
  </w:style>
  <w:style w:type="paragraph" w:styleId="46">
    <w:name w:val="No Spacing"/>
    <w:autoRedefine/>
    <w:qFormat/>
    <w:uiPriority w:val="1"/>
    <w:pPr>
      <w:widowControl w:val="0"/>
      <w:adjustRightInd w:val="0"/>
      <w:snapToGrid w:val="0"/>
      <w:spacing w:line="20" w:lineRule="atLeast"/>
      <w:jc w:val="center"/>
    </w:pPr>
    <w:rPr>
      <w:rFonts w:ascii="Times New Roman" w:hAnsi="Times New Roman" w:eastAsia="宋体" w:cs="Times New Roman"/>
      <w:kern w:val="2"/>
      <w:sz w:val="21"/>
      <w:szCs w:val="22"/>
      <w:lang w:val="en-US" w:eastAsia="zh-CN" w:bidi="ar-SA"/>
    </w:rPr>
  </w:style>
  <w:style w:type="paragraph" w:customStyle="1" w:styleId="47">
    <w:name w:val="p0"/>
    <w:basedOn w:val="1"/>
    <w:autoRedefine/>
    <w:qFormat/>
    <w:uiPriority w:val="0"/>
    <w:pPr>
      <w:widowControl/>
    </w:pPr>
    <w:rPr>
      <w:szCs w:val="21"/>
    </w:rPr>
  </w:style>
  <w:style w:type="paragraph" w:customStyle="1" w:styleId="48">
    <w:name w:val="列出段落1"/>
    <w:basedOn w:val="1"/>
    <w:autoRedefine/>
    <w:unhideWhenUsed/>
    <w:qFormat/>
    <w:uiPriority w:val="99"/>
    <w:pPr>
      <w:ind w:firstLine="420" w:firstLineChars="200"/>
    </w:pPr>
  </w:style>
  <w:style w:type="paragraph" w:customStyle="1" w:styleId="49">
    <w:name w:val="No Spacing1"/>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0">
    <w:name w:val="List Paragraph"/>
    <w:basedOn w:val="1"/>
    <w:autoRedefine/>
    <w:qFormat/>
    <w:uiPriority w:val="99"/>
    <w:pPr>
      <w:ind w:firstLine="420" w:firstLineChars="200"/>
    </w:pPr>
  </w:style>
  <w:style w:type="paragraph" w:customStyle="1" w:styleId="51">
    <w:name w:val="应填表格"/>
    <w:basedOn w:val="52"/>
    <w:autoRedefine/>
    <w:qFormat/>
    <w:uiPriority w:val="0"/>
    <w:pPr>
      <w:jc w:val="left"/>
    </w:pPr>
    <w:rPr>
      <w:b w:val="0"/>
    </w:rPr>
  </w:style>
  <w:style w:type="paragraph" w:customStyle="1" w:styleId="52">
    <w:name w:val="已有表格"/>
    <w:basedOn w:val="1"/>
    <w:autoRedefine/>
    <w:qFormat/>
    <w:uiPriority w:val="0"/>
    <w:pPr>
      <w:jc w:val="center"/>
    </w:pPr>
    <w:rPr>
      <w:b/>
    </w:rPr>
  </w:style>
  <w:style w:type="paragraph" w:customStyle="1" w:styleId="53">
    <w:name w:val="填表内容"/>
    <w:basedOn w:val="1"/>
    <w:autoRedefine/>
    <w:qFormat/>
    <w:uiPriority w:val="0"/>
    <w:pPr>
      <w:spacing w:line="480" w:lineRule="exact"/>
      <w:ind w:firstLine="560" w:firstLineChars="200"/>
    </w:pPr>
    <w:rPr>
      <w:rFonts w:ascii="楷体_GB2312" w:eastAsia="楷体_GB2312"/>
      <w:sz w:val="28"/>
    </w:rPr>
  </w:style>
  <w:style w:type="paragraph" w:customStyle="1" w:styleId="54">
    <w:name w:val="Default1"/>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55">
    <w:name w:val="font01"/>
    <w:autoRedefine/>
    <w:qFormat/>
    <w:uiPriority w:val="0"/>
    <w:rPr>
      <w:rFonts w:hint="default" w:ascii="Times New Roman" w:hAnsi="Times New Roman" w:cs="Times New Roman"/>
      <w:color w:val="000000"/>
      <w:sz w:val="21"/>
      <w:szCs w:val="21"/>
      <w:u w:val="none"/>
    </w:rPr>
  </w:style>
  <w:style w:type="character" w:customStyle="1" w:styleId="56">
    <w:name w:val="font31"/>
    <w:basedOn w:val="24"/>
    <w:autoRedefine/>
    <w:qFormat/>
    <w:uiPriority w:val="0"/>
    <w:rPr>
      <w:rFonts w:hint="eastAsia" w:ascii="宋体" w:hAnsi="宋体" w:eastAsia="宋体" w:cs="宋体"/>
      <w:color w:val="000000"/>
      <w:sz w:val="21"/>
      <w:szCs w:val="21"/>
      <w:u w:val="none"/>
    </w:rPr>
  </w:style>
  <w:style w:type="paragraph" w:customStyle="1" w:styleId="57">
    <w:name w:val="标准正文"/>
    <w:basedOn w:val="1"/>
    <w:autoRedefine/>
    <w:qFormat/>
    <w:uiPriority w:val="0"/>
    <w:pPr>
      <w:adjustRightInd w:val="0"/>
      <w:spacing w:line="460" w:lineRule="atLeast"/>
      <w:ind w:firstLine="567"/>
      <w:jc w:val="left"/>
    </w:pPr>
    <w:rPr>
      <w:kern w:val="28"/>
      <w:sz w:val="28"/>
    </w:rPr>
  </w:style>
  <w:style w:type="paragraph" w:customStyle="1" w:styleId="58">
    <w:name w:val="排版正文"/>
    <w:autoRedefine/>
    <w:qFormat/>
    <w:uiPriority w:val="0"/>
    <w:pPr>
      <w:widowControl w:val="0"/>
      <w:spacing w:line="460" w:lineRule="exact"/>
      <w:ind w:firstLine="200" w:firstLineChars="200"/>
      <w:jc w:val="both"/>
    </w:pPr>
    <w:rPr>
      <w:rFonts w:ascii="仿宋_GB2312" w:hAnsi="Times New Roman" w:eastAsia="仿宋_GB2312" w:cs="仿宋_GB2312"/>
      <w:spacing w:val="8"/>
      <w:sz w:val="28"/>
      <w:szCs w:val="28"/>
      <w:lang w:val="en-US" w:eastAsia="zh-CN" w:bidi="ar-SA"/>
    </w:rPr>
  </w:style>
  <w:style w:type="paragraph" w:customStyle="1" w:styleId="59">
    <w:name w:val="B表格文字"/>
    <w:autoRedefine/>
    <w:qFormat/>
    <w:uiPriority w:val="0"/>
    <w:pPr>
      <w:jc w:val="center"/>
    </w:pPr>
    <w:rPr>
      <w:rFonts w:ascii="Times New Roman" w:hAnsi="Times New Roman" w:eastAsia="宋体" w:cs="Times New Roman"/>
      <w:kern w:val="2"/>
      <w:sz w:val="21"/>
      <w:szCs w:val="24"/>
      <w:lang w:val="en-US" w:eastAsia="zh-CN" w:bidi="ar-SA"/>
    </w:rPr>
  </w:style>
  <w:style w:type="paragraph" w:customStyle="1" w:styleId="60">
    <w:name w:val="B表头"/>
    <w:link w:val="61"/>
    <w:autoRedefine/>
    <w:qFormat/>
    <w:uiPriority w:val="0"/>
    <w:pPr>
      <w:jc w:val="center"/>
    </w:pPr>
    <w:rPr>
      <w:rFonts w:ascii="Times New Roman" w:hAnsi="Times New Roman" w:eastAsia="黑体" w:cs="Times New Roman"/>
      <w:kern w:val="2"/>
      <w:sz w:val="24"/>
      <w:szCs w:val="24"/>
      <w:lang w:val="en-US" w:eastAsia="zh-CN" w:bidi="ar-SA"/>
    </w:rPr>
  </w:style>
  <w:style w:type="character" w:customStyle="1" w:styleId="61">
    <w:name w:val="B表头 Char"/>
    <w:link w:val="60"/>
    <w:autoRedefine/>
    <w:qFormat/>
    <w:uiPriority w:val="0"/>
    <w:rPr>
      <w:rFonts w:ascii="Times New Roman" w:hAnsi="Times New Roman" w:eastAsia="黑体" w:cs="Times New Roman"/>
      <w:kern w:val="2"/>
      <w:sz w:val="24"/>
      <w:szCs w:val="24"/>
      <w:lang w:val="en-US" w:eastAsia="zh-CN" w:bidi="ar-SA"/>
    </w:rPr>
  </w:style>
  <w:style w:type="paragraph" w:customStyle="1" w:styleId="62">
    <w:name w:val="Table Paragraph"/>
    <w:basedOn w:val="1"/>
    <w:autoRedefine/>
    <w:qFormat/>
    <w:uiPriority w:val="1"/>
    <w:pPr>
      <w:jc w:val="center"/>
    </w:pPr>
    <w:rPr>
      <w:rFonts w:ascii="宋体" w:hAnsi="宋体" w:cs="宋体"/>
      <w:lang w:val="zh-CN" w:bidi="zh-CN"/>
    </w:rPr>
  </w:style>
  <w:style w:type="paragraph" w:customStyle="1" w:styleId="63">
    <w:name w:val="List Paragraph11"/>
    <w:basedOn w:val="1"/>
    <w:autoRedefine/>
    <w:qFormat/>
    <w:uiPriority w:val="34"/>
    <w:pPr>
      <w:ind w:firstLine="420" w:firstLineChars="200"/>
    </w:pPr>
  </w:style>
  <w:style w:type="paragraph" w:customStyle="1" w:styleId="64">
    <w:name w:val="List Paragraph1"/>
    <w:basedOn w:val="1"/>
    <w:autoRedefine/>
    <w:qFormat/>
    <w:uiPriority w:val="34"/>
    <w:pPr>
      <w:ind w:firstLine="420" w:firstLineChars="200"/>
    </w:pPr>
  </w:style>
  <w:style w:type="paragraph" w:customStyle="1" w:styleId="65">
    <w:name w:val="_Style 1"/>
    <w:basedOn w:val="1"/>
    <w:autoRedefine/>
    <w:qFormat/>
    <w:uiPriority w:val="34"/>
    <w:pPr>
      <w:ind w:firstLine="420" w:firstLineChars="200"/>
    </w:pPr>
  </w:style>
  <w:style w:type="paragraph" w:customStyle="1" w:styleId="66">
    <w:name w:val="_Style 2"/>
    <w:basedOn w:val="1"/>
    <w:autoRedefine/>
    <w:qFormat/>
    <w:uiPriority w:val="0"/>
    <w:pPr>
      <w:ind w:firstLine="420" w:firstLineChars="200"/>
    </w:pPr>
  </w:style>
  <w:style w:type="character" w:customStyle="1" w:styleId="67">
    <w:name w:val="font11"/>
    <w:basedOn w:val="24"/>
    <w:autoRedefine/>
    <w:qFormat/>
    <w:uiPriority w:val="0"/>
    <w:rPr>
      <w:rFonts w:hint="eastAsia" w:ascii="宋体" w:hAnsi="宋体" w:eastAsia="宋体" w:cs="宋体"/>
      <w:color w:val="000000"/>
      <w:sz w:val="21"/>
      <w:szCs w:val="21"/>
      <w:u w:val="none"/>
    </w:rPr>
  </w:style>
  <w:style w:type="character" w:customStyle="1" w:styleId="68">
    <w:name w:val="layui-this"/>
    <w:basedOn w:val="24"/>
    <w:autoRedefine/>
    <w:qFormat/>
    <w:uiPriority w:val="0"/>
    <w:rPr>
      <w:bdr w:val="single" w:color="EEEEEE" w:sz="6" w:space="0"/>
      <w:shd w:val="clear" w:color="auto" w:fill="FFFFFF"/>
    </w:rPr>
  </w:style>
  <w:style w:type="character" w:customStyle="1" w:styleId="69">
    <w:name w:val="first-child"/>
    <w:basedOn w:val="24"/>
    <w:autoRedefine/>
    <w:qFormat/>
    <w:uiPriority w:val="0"/>
  </w:style>
  <w:style w:type="paragraph" w:customStyle="1" w:styleId="70">
    <w:name w:val="lwx-正文"/>
    <w:basedOn w:val="71"/>
    <w:autoRedefine/>
    <w:qFormat/>
    <w:uiPriority w:val="0"/>
    <w:pPr>
      <w:spacing w:after="0" w:afterLines="0" w:line="360" w:lineRule="auto"/>
      <w:ind w:firstLine="200" w:firstLineChars="200"/>
      <w:jc w:val="both"/>
    </w:pPr>
    <w:rPr>
      <w:b w:val="0"/>
      <w:sz w:val="24"/>
    </w:rPr>
  </w:style>
  <w:style w:type="paragraph" w:customStyle="1" w:styleId="71">
    <w:name w:val="lwx-图名"/>
    <w:basedOn w:val="72"/>
    <w:autoRedefine/>
    <w:qFormat/>
    <w:uiPriority w:val="0"/>
    <w:pPr>
      <w:spacing w:before="0" w:beforeLines="0" w:after="50" w:afterLines="50"/>
    </w:pPr>
  </w:style>
  <w:style w:type="paragraph" w:customStyle="1" w:styleId="72">
    <w:name w:val="lwx-表头"/>
    <w:basedOn w:val="73"/>
    <w:autoRedefine/>
    <w:qFormat/>
    <w:uiPriority w:val="0"/>
    <w:pPr>
      <w:spacing w:before="50" w:beforeLines="50"/>
    </w:pPr>
    <w:rPr>
      <w:b/>
    </w:rPr>
  </w:style>
  <w:style w:type="paragraph" w:customStyle="1" w:styleId="73">
    <w:name w:val="lwx-表内文字"/>
    <w:basedOn w:val="1"/>
    <w:autoRedefine/>
    <w:qFormat/>
    <w:uiPriority w:val="0"/>
    <w:pPr>
      <w:adjustRightInd w:val="0"/>
      <w:snapToGrid w:val="0"/>
      <w:jc w:val="center"/>
    </w:pPr>
    <w:rPr>
      <w:bCs/>
      <w:szCs w:val="21"/>
    </w:rPr>
  </w:style>
  <w:style w:type="paragraph" w:customStyle="1" w:styleId="74">
    <w:name w:val="y正文"/>
    <w:autoRedefine/>
    <w:qFormat/>
    <w:uiPriority w:val="0"/>
    <w:pPr>
      <w:spacing w:line="360" w:lineRule="auto"/>
      <w:ind w:firstLine="480" w:firstLineChars="200"/>
      <w:jc w:val="both"/>
    </w:pPr>
    <w:rPr>
      <w:rFonts w:ascii="Times New Roman" w:hAnsi="Times New Roman" w:eastAsia="宋体" w:cs="Times New Roman"/>
      <w:kern w:val="2"/>
      <w:sz w:val="24"/>
      <w:lang w:val="en-US" w:eastAsia="zh-CN" w:bidi="ar-SA"/>
    </w:rPr>
  </w:style>
  <w:style w:type="paragraph" w:customStyle="1" w:styleId="75">
    <w:name w:val="列表段落1"/>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3" Type="http://schemas.openxmlformats.org/officeDocument/2006/relationships/fontTable" Target="fontTable.xml"/><Relationship Id="rId52" Type="http://schemas.openxmlformats.org/officeDocument/2006/relationships/numbering" Target="numbering.xml"/><Relationship Id="rId51" Type="http://schemas.openxmlformats.org/officeDocument/2006/relationships/customXml" Target="../customXml/item1.xml"/><Relationship Id="rId50" Type="http://schemas.openxmlformats.org/officeDocument/2006/relationships/image" Target="media/image36.wmf"/><Relationship Id="rId5" Type="http://schemas.openxmlformats.org/officeDocument/2006/relationships/footer" Target="footer2.xml"/><Relationship Id="rId49" Type="http://schemas.openxmlformats.org/officeDocument/2006/relationships/oleObject" Target="embeddings/oleObject6.bin"/><Relationship Id="rId48" Type="http://schemas.openxmlformats.org/officeDocument/2006/relationships/image" Target="media/image35.wmf"/><Relationship Id="rId47" Type="http://schemas.openxmlformats.org/officeDocument/2006/relationships/oleObject" Target="embeddings/oleObject5.bin"/><Relationship Id="rId46" Type="http://schemas.openxmlformats.org/officeDocument/2006/relationships/image" Target="media/image34.wmf"/><Relationship Id="rId45" Type="http://schemas.openxmlformats.org/officeDocument/2006/relationships/oleObject" Target="embeddings/oleObject4.bin"/><Relationship Id="rId44" Type="http://schemas.openxmlformats.org/officeDocument/2006/relationships/image" Target="media/image33.png"/><Relationship Id="rId43" Type="http://schemas.openxmlformats.org/officeDocument/2006/relationships/image" Target="media/image32.wmf"/><Relationship Id="rId42" Type="http://schemas.openxmlformats.org/officeDocument/2006/relationships/oleObject" Target="embeddings/oleObject3.bin"/><Relationship Id="rId41" Type="http://schemas.openxmlformats.org/officeDocument/2006/relationships/image" Target="media/image31.png"/><Relationship Id="rId40" Type="http://schemas.openxmlformats.org/officeDocument/2006/relationships/image" Target="media/image30.wmf"/><Relationship Id="rId4" Type="http://schemas.openxmlformats.org/officeDocument/2006/relationships/header" Target="header1.xml"/><Relationship Id="rId39" Type="http://schemas.openxmlformats.org/officeDocument/2006/relationships/oleObject" Target="embeddings/oleObject2.bin"/><Relationship Id="rId38" Type="http://schemas.openxmlformats.org/officeDocument/2006/relationships/image" Target="media/image29.wmf"/><Relationship Id="rId37" Type="http://schemas.openxmlformats.org/officeDocument/2006/relationships/oleObject" Target="embeddings/oleObject1.bin"/><Relationship Id="rId36" Type="http://schemas.openxmlformats.org/officeDocument/2006/relationships/image" Target="media/image28.png"/><Relationship Id="rId35" Type="http://schemas.openxmlformats.org/officeDocument/2006/relationships/image" Target="media/image27.wmf"/><Relationship Id="rId34" Type="http://schemas.openxmlformats.org/officeDocument/2006/relationships/image" Target="media/image26.png"/><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footer" Target="foot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jpeg"/><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jpeg"/><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Info spid="_x0000_s1112"/>
    <customShpInfo spid="_x0000_s1113"/>
    <customShpInfo spid="_x0000_s1118"/>
    <customShpInfo spid="_x0000_s1119"/>
  </customShpExts>
  <extobjs>
    <extobj name="F360BE8B-6686-4F3D-AEAF-501FE73E4058-1">
      <extobjdata type="F360BE8B-6686-4F3D-AEAF-501FE73E4058" data="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"/>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97</Pages>
  <Words>5668</Words>
  <Characters>6717</Characters>
  <Lines>535</Lines>
  <Paragraphs>150</Paragraphs>
  <TotalTime>79</TotalTime>
  <ScaleCrop>false</ScaleCrop>
  <LinksUpToDate>false</LinksUpToDate>
  <CharactersWithSpaces>6859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2025-01-08T03:35:00Z</dcterms:created>
  <dc:creator>cfq</dc:creator>
  <cp:lastModifiedBy>等风</cp:lastModifiedBy>
  <cp:lastPrinted>2026-04-17T07:24:00Z</cp:lastPrinted>
  <dcterms:modified xsi:type="dcterms:W3CDTF">2026-05-07T02:24:13Z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B3A657DE5C10453C8B4F0FB6BE069560_13</vt:lpwstr>
  </property>
  <property fmtid="{D5CDD505-2E9C-101B-9397-08002B2CF9AE}" pid="4" name="KSOTemplateDocerSaveRecord">
    <vt:lpwstr>eyJoZGlkIjoiNDE1YjM3OTVhNDdiNDkzZDkyYTdiMjQzNmVhMGI4OWIiLCJ1c2VySWQiOiI1MTQ5MTEwMzUifQ==</vt:lpwstr>
  </property>
</Properties>
</file>