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2D6AF">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default" w:ascii="Times New Roman" w:hAnsi="Times New Roman" w:eastAsia="方正小标宋简体" w:cs="Times New Roman"/>
          <w:color w:val="0C0C0C"/>
          <w:sz w:val="32"/>
          <w:szCs w:val="32"/>
          <w:highlight w:val="none"/>
          <w:u w:val="none" w:color="000000"/>
        </w:rPr>
      </w:pPr>
      <w:bookmarkStart w:id="13" w:name="_GoBack"/>
      <w:bookmarkEnd w:id="13"/>
      <w:bookmarkStart w:id="0" w:name="_Toc42981887"/>
      <w:bookmarkStart w:id="1" w:name="_Toc1682189205"/>
      <w:bookmarkStart w:id="2" w:name="_Toc989442674"/>
      <w:bookmarkStart w:id="3" w:name="_Toc51820290"/>
      <w:bookmarkStart w:id="4" w:name="_Toc303834967"/>
      <w:bookmarkStart w:id="5" w:name="_Toc1728908978"/>
      <w:bookmarkStart w:id="6" w:name="_Toc2013987015"/>
      <w:bookmarkStart w:id="7" w:name="_Toc197769102"/>
      <w:bookmarkStart w:id="8" w:name="_Toc983949643_WPSOffice_Level1"/>
      <w:bookmarkStart w:id="9" w:name="_Toc48258533"/>
      <w:bookmarkStart w:id="10" w:name="_Toc1928623293"/>
      <w:bookmarkStart w:id="11" w:name="_Toc1714029215"/>
      <w:bookmarkStart w:id="12" w:name="_Toc27984273"/>
      <w:r>
        <w:rPr>
          <w:rFonts w:hint="default" w:ascii="Times New Roman" w:hAnsi="Times New Roman" w:eastAsia="方正小标宋简体" w:cs="Times New Roman"/>
          <w:color w:val="0C0C0C"/>
          <w:sz w:val="32"/>
          <w:szCs w:val="32"/>
          <w:highlight w:val="none"/>
          <w:u w:val="none" w:color="000000"/>
        </w:rPr>
        <w:t>中央生态环境保护督察群众信访举报转办和边督边改公开情况一览表</w:t>
      </w:r>
    </w:p>
    <w:p w14:paraId="1AE711E5">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default" w:ascii="Times New Roman" w:hAnsi="Times New Roman" w:eastAsia="楷体_GB2312" w:cs="Times New Roman"/>
          <w:b/>
          <w:bCs/>
          <w:sz w:val="24"/>
          <w:highlight w:val="none"/>
        </w:rPr>
      </w:pPr>
    </w:p>
    <w:p w14:paraId="725EFDCF">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ind w:firstLine="482" w:firstLineChars="200"/>
        <w:jc w:val="center"/>
        <w:textAlignment w:val="auto"/>
        <w:rPr>
          <w:rFonts w:hint="default" w:ascii="Times New Roman" w:hAnsi="Times New Roman" w:eastAsia="黑体" w:cs="Times New Roman"/>
          <w:b w:val="0"/>
          <w:bCs w:val="0"/>
          <w:sz w:val="24"/>
          <w:highlight w:val="none"/>
        </w:rPr>
      </w:pPr>
      <w:r>
        <w:rPr>
          <w:rFonts w:hint="default" w:ascii="Times New Roman" w:hAnsi="Times New Roman" w:eastAsia="楷体_GB2312" w:cs="Times New Roman"/>
          <w:b/>
          <w:bCs/>
          <w:sz w:val="24"/>
          <w:highlight w:val="none"/>
        </w:rPr>
        <w:t>（第</w:t>
      </w:r>
      <w:r>
        <w:rPr>
          <w:rFonts w:hint="default" w:ascii="Times New Roman" w:hAnsi="Times New Roman" w:eastAsia="楷体_GB2312" w:cs="Times New Roman"/>
          <w:b/>
          <w:bCs/>
          <w:sz w:val="24"/>
          <w:highlight w:val="none"/>
          <w:u w:val="single"/>
        </w:rPr>
        <w:t xml:space="preserve"> </w:t>
      </w:r>
      <w:r>
        <w:rPr>
          <w:rFonts w:hint="eastAsia" w:ascii="Times New Roman" w:hAnsi="Times New Roman" w:eastAsia="楷体_GB2312" w:cs="Times New Roman"/>
          <w:b/>
          <w:bCs/>
          <w:sz w:val="24"/>
          <w:highlight w:val="none"/>
          <w:u w:val="single"/>
          <w:lang w:val="en-US" w:eastAsia="zh-CN"/>
        </w:rPr>
        <w:t>二十八</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批    </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2024</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年</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11</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月 </w:t>
      </w:r>
      <w:r>
        <w:rPr>
          <w:rFonts w:hint="default" w:ascii="Times New Roman" w:hAnsi="Times New Roman" w:eastAsia="楷体_GB2312" w:cs="Times New Roman"/>
          <w:b/>
          <w:bCs/>
          <w:sz w:val="24"/>
          <w:highlight w:val="none"/>
          <w:u w:val="single"/>
        </w:rPr>
        <w:t xml:space="preserve"> </w:t>
      </w:r>
      <w:r>
        <w:rPr>
          <w:rFonts w:hint="eastAsia" w:ascii="Times New Roman" w:hAnsi="Times New Roman" w:eastAsia="楷体_GB2312" w:cs="Times New Roman"/>
          <w:b/>
          <w:bCs/>
          <w:sz w:val="24"/>
          <w:highlight w:val="none"/>
          <w:u w:val="single"/>
          <w:lang w:val="en-US" w:eastAsia="zh-CN"/>
        </w:rPr>
        <w:t>24</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日）</w:t>
      </w:r>
    </w:p>
    <w:tbl>
      <w:tblPr>
        <w:tblStyle w:val="3"/>
        <w:tblW w:w="228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
        <w:gridCol w:w="527"/>
        <w:gridCol w:w="2323"/>
        <w:gridCol w:w="717"/>
        <w:gridCol w:w="530"/>
        <w:gridCol w:w="9951"/>
        <w:gridCol w:w="524"/>
        <w:gridCol w:w="1884"/>
        <w:gridCol w:w="3460"/>
        <w:gridCol w:w="738"/>
        <w:gridCol w:w="1715"/>
      </w:tblGrid>
      <w:tr w14:paraId="1F8FE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tblHeader/>
          <w:jc w:val="center"/>
        </w:trPr>
        <w:tc>
          <w:tcPr>
            <w:tcW w:w="524" w:type="dxa"/>
            <w:vAlign w:val="center"/>
          </w:tcPr>
          <w:p w14:paraId="1C9D505C">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序号</w:t>
            </w:r>
          </w:p>
        </w:tc>
        <w:tc>
          <w:tcPr>
            <w:tcW w:w="527" w:type="dxa"/>
            <w:vAlign w:val="center"/>
          </w:tcPr>
          <w:p w14:paraId="5806B94D">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受理编号</w:t>
            </w:r>
          </w:p>
        </w:tc>
        <w:tc>
          <w:tcPr>
            <w:tcW w:w="2323" w:type="dxa"/>
            <w:vAlign w:val="center"/>
          </w:tcPr>
          <w:p w14:paraId="59B0887B">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交办问题</w:t>
            </w:r>
          </w:p>
          <w:p w14:paraId="6FF93706">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基本情况</w:t>
            </w:r>
          </w:p>
        </w:tc>
        <w:tc>
          <w:tcPr>
            <w:tcW w:w="717" w:type="dxa"/>
            <w:vAlign w:val="center"/>
          </w:tcPr>
          <w:p w14:paraId="27AF153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行政</w:t>
            </w:r>
          </w:p>
          <w:p w14:paraId="124AE0BF">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区域</w:t>
            </w:r>
          </w:p>
        </w:tc>
        <w:tc>
          <w:tcPr>
            <w:tcW w:w="530" w:type="dxa"/>
            <w:vAlign w:val="center"/>
          </w:tcPr>
          <w:p w14:paraId="5BD64340">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问</w:t>
            </w:r>
          </w:p>
          <w:p w14:paraId="028395D4">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题</w:t>
            </w:r>
          </w:p>
          <w:p w14:paraId="2F91DE61">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类</w:t>
            </w:r>
          </w:p>
          <w:p w14:paraId="17FFE1AF">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型</w:t>
            </w:r>
          </w:p>
        </w:tc>
        <w:tc>
          <w:tcPr>
            <w:tcW w:w="9951" w:type="dxa"/>
            <w:vAlign w:val="center"/>
          </w:tcPr>
          <w:p w14:paraId="4556C761">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调查核实情况</w:t>
            </w:r>
          </w:p>
        </w:tc>
        <w:tc>
          <w:tcPr>
            <w:tcW w:w="524" w:type="dxa"/>
            <w:vAlign w:val="center"/>
          </w:tcPr>
          <w:p w14:paraId="35B2E032">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是否</w:t>
            </w:r>
          </w:p>
          <w:p w14:paraId="02403BFB">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属实</w:t>
            </w:r>
          </w:p>
        </w:tc>
        <w:tc>
          <w:tcPr>
            <w:tcW w:w="1884" w:type="dxa"/>
            <w:vAlign w:val="center"/>
          </w:tcPr>
          <w:p w14:paraId="6DA2A70D">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办结</w:t>
            </w:r>
          </w:p>
          <w:p w14:paraId="743895B9">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目标</w:t>
            </w:r>
          </w:p>
        </w:tc>
        <w:tc>
          <w:tcPr>
            <w:tcW w:w="3460" w:type="dxa"/>
            <w:vAlign w:val="center"/>
          </w:tcPr>
          <w:p w14:paraId="3C8FE79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处理和整改</w:t>
            </w:r>
          </w:p>
          <w:p w14:paraId="5841F0A9">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情况</w:t>
            </w:r>
          </w:p>
        </w:tc>
        <w:tc>
          <w:tcPr>
            <w:tcW w:w="738" w:type="dxa"/>
            <w:vAlign w:val="center"/>
          </w:tcPr>
          <w:p w14:paraId="2859C61D">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是否</w:t>
            </w:r>
          </w:p>
          <w:p w14:paraId="03B22273">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办结</w:t>
            </w:r>
          </w:p>
        </w:tc>
        <w:tc>
          <w:tcPr>
            <w:tcW w:w="1715" w:type="dxa"/>
            <w:vAlign w:val="center"/>
          </w:tcPr>
          <w:p w14:paraId="6184A740">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责任人被处理情况</w:t>
            </w:r>
          </w:p>
        </w:tc>
      </w:tr>
      <w:tr w14:paraId="2606C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2" w:hRule="atLeast"/>
          <w:jc w:val="center"/>
        </w:trPr>
        <w:tc>
          <w:tcPr>
            <w:tcW w:w="524" w:type="dxa"/>
            <w:vAlign w:val="center"/>
          </w:tcPr>
          <w:p w14:paraId="2C56F75D">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default" w:ascii="Times New Roman" w:hAnsi="Times New Roman" w:eastAsia="仿宋_GB2312" w:cs="Times New Roman"/>
                <w:spacing w:val="-11"/>
                <w:w w:val="95"/>
                <w:sz w:val="18"/>
                <w:szCs w:val="18"/>
                <w:highlight w:val="none"/>
                <w:lang w:val="en-US" w:eastAsia="zh-CN"/>
              </w:rPr>
              <w:t>1</w:t>
            </w:r>
          </w:p>
        </w:tc>
        <w:tc>
          <w:tcPr>
            <w:tcW w:w="527" w:type="dxa"/>
            <w:vAlign w:val="center"/>
          </w:tcPr>
          <w:p w14:paraId="35C38A3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pacing w:val="-11"/>
                <w:w w:val="95"/>
                <w:sz w:val="18"/>
                <w:szCs w:val="18"/>
                <w:highlight w:val="none"/>
              </w:rPr>
            </w:pPr>
            <w:r>
              <w:rPr>
                <w:rFonts w:hint="default" w:ascii="Times New Roman" w:hAnsi="Times New Roman" w:eastAsia="仿宋_GB2312" w:cs="Times New Roman"/>
                <w:spacing w:val="-11"/>
                <w:w w:val="95"/>
                <w:sz w:val="18"/>
                <w:szCs w:val="18"/>
                <w:highlight w:val="none"/>
              </w:rPr>
              <w:t>D3SC202411140061</w:t>
            </w:r>
          </w:p>
        </w:tc>
        <w:tc>
          <w:tcPr>
            <w:tcW w:w="2323" w:type="dxa"/>
            <w:shd w:val="clear" w:color="auto" w:fill="auto"/>
            <w:vAlign w:val="center"/>
          </w:tcPr>
          <w:p w14:paraId="08296D61">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泥溪镇的污水处理厂将未经处理的污水直排到河道里，长胜镇的生活污水也是直接排放到河道里面。</w:t>
            </w:r>
          </w:p>
        </w:tc>
        <w:tc>
          <w:tcPr>
            <w:tcW w:w="717" w:type="dxa"/>
            <w:vAlign w:val="center"/>
          </w:tcPr>
          <w:p w14:paraId="304BABEE">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t>通江县</w:t>
            </w:r>
          </w:p>
        </w:tc>
        <w:tc>
          <w:tcPr>
            <w:tcW w:w="530" w:type="dxa"/>
            <w:shd w:val="clear" w:color="auto" w:fill="auto"/>
            <w:vAlign w:val="center"/>
          </w:tcPr>
          <w:p w14:paraId="5E8AEEA2">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群众身边的生态环境问题</w:t>
            </w:r>
          </w:p>
        </w:tc>
        <w:tc>
          <w:tcPr>
            <w:tcW w:w="9951" w:type="dxa"/>
            <w:shd w:val="clear" w:color="auto" w:fill="auto"/>
            <w:vAlign w:val="center"/>
          </w:tcPr>
          <w:p w14:paraId="6CB2D052">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p>
          <w:p w14:paraId="61FD895F">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2024年11月15日，通江县委常委、副县长王健安率工作专班，深入现场开展调查处理工作，相关情况如下：</w:t>
            </w:r>
          </w:p>
          <w:p w14:paraId="44276B65">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被投诉对象基本情况：泥溪镇场镇面积1.8平方公里，常住人口约3100人。群众反映的污水处理厂位于泥溪镇马家沟村一社大河坝处，设计处理规模400吨/日，采用生物转盘工艺，出水水质执行《城镇污水处理厂污染物排放标准》（GB18918-2002）一级B标，总投资约902.6万元。该污水处理厂于2014年通过招商引资模式由北京桑德公司实施建设（BOT），2016年11月动工，2020年12月底竣工并投运。</w:t>
            </w:r>
          </w:p>
          <w:p w14:paraId="0CEFEA4C">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群众反映的“长胜镇的生活污水也是直接排放到河道里面”。经核实，通江县无“长胜镇”，泥溪镇相邻乡镇为长坪镇（距离约9公里），群众反映的“长胜镇”实为“长坪镇”。</w:t>
            </w:r>
          </w:p>
          <w:p w14:paraId="7276777E">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长坪镇场镇面积1.1平方公里，常住人口约1100人。群众反映的污水处理厂位于长坪镇云雾山村五社（关溪坝），设计处理规模200吨/日，采用A²O处理工艺，出水水质执行《城镇污水处理厂污染物排放标准》（GB18918-2002）一级A标，总投资约1080万元。该污水处理厂于2021年6月开工，2022年12月底竣工并投运。</w:t>
            </w:r>
          </w:p>
          <w:p w14:paraId="537F8D3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近年来工作开展情况：近年来，通江县人民政府相继出台《通江县乡镇生活污水处理设施维护运营管理工作的实施方案》，行业主管部门相继制定《乡镇污水处理设施排查工作方案》《住建领域生态环保攻坚工作方案》等文件，成立生态环境保护工作领导小组，组建生态环境保护督查工作专班，常态开展督查检查，全面规范污水处理厂运行和维护。2024年以来，通江县对全县所有生活污水处理厂开展全覆盖排查，对排查的问题建立问题台账，制定整改方案，落实专业企业开展问题整治，确保城镇生活污水处理设施正常运行。泥溪镇、长坪镇生活污水处理厂分别由通江桑德水务有限公司、长坪镇人民政府作为运维单位，具体负责技术保障、日常管护、人员管理等正常运行要素保障，乡镇人民政府负责污水处理厂日常监管及支管网排查整治。</w:t>
            </w:r>
          </w:p>
          <w:p w14:paraId="463654FE">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三、现场调查情况：</w:t>
            </w:r>
          </w:p>
          <w:p w14:paraId="3A28A377">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1.关于“通江县泥溪镇的污水处理厂将未经处理的污水直排到河道里”问题。</w:t>
            </w:r>
          </w:p>
          <w:p w14:paraId="2D59789D">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经核实，泥溪镇污水处理厂运行正常，实际日处理污水约300吨/日，已建设主管网4.66公里，支管网3.05公里，场镇所有居民生活污水收集后均接入主管网，污水收集率达100%。11月15日通江生态环境局对排放口水样进行现场采样监测，化学需氧量、氨氮、总磷等3项指标均达到《城镇污水处理厂污染物排放标准》（GB18918-2002）一级B标排放。经对场镇管网全面检查，未发现场镇生活污水直接排放到河道的现象，但发现一处场镇临河提升泵站因垃圾堵塞抽水不畅，污水回流检查井外溢至大通江河,该问题部分属实。</w:t>
            </w:r>
          </w:p>
          <w:p w14:paraId="7A15D8F6">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2.关于“长胜镇的生活污水也是直接排放到河道里面”问题。</w:t>
            </w:r>
          </w:p>
          <w:p w14:paraId="15A192E6">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经核实，长坪镇污水处理厂运行正常，实际日处理污水约100吨/日，已建设主管网4.87公里，支管网2.37公里，场镇所有居民生活污水收集后均接入主管网，污水收集率达100%。11月15日通江生态环境局对排放口水样进行现场采样监测，化学需氧量、氨氮、总磷等3项指标均达到《城镇污水处理厂污染物排放标准》（GB18918-2002）一级A标排放，经对场镇管网全面检查，未发现有管网破损、生活废水直排等现象，不存在场镇生活污水直接排放到河道的情况，该问题不属实。</w:t>
            </w:r>
          </w:p>
        </w:tc>
        <w:tc>
          <w:tcPr>
            <w:tcW w:w="524" w:type="dxa"/>
            <w:vAlign w:val="center"/>
          </w:tcPr>
          <w:p w14:paraId="0B68DD4D">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t>部分属实</w:t>
            </w:r>
          </w:p>
        </w:tc>
        <w:tc>
          <w:tcPr>
            <w:tcW w:w="1884" w:type="dxa"/>
            <w:shd w:val="clear" w:color="auto" w:fill="auto"/>
            <w:vAlign w:val="center"/>
          </w:tcPr>
          <w:p w14:paraId="283A240F">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进一步加大项目资金争取力度，不断完善城镇污水处理基础设施，全面提升城镇污水处理效率。压实运营企业主体责任，加强生活污水处理监督管理，确保运维企业科学规范运维；压实辖区人民政府属地责任，常态开展污水管网排查，确保问题立行立改；压实主管部门监管责任，进一步加强业务培训，严格督查检查，确保城镇污水处理工作规范高效运行。</w:t>
            </w:r>
          </w:p>
        </w:tc>
        <w:tc>
          <w:tcPr>
            <w:tcW w:w="3460" w:type="dxa"/>
            <w:shd w:val="clear" w:color="auto" w:fill="auto"/>
            <w:vAlign w:val="center"/>
          </w:tcPr>
          <w:p w14:paraId="101ADF96">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关于“通江县泥溪镇的污水处理厂将未经处理的污水直排到河道里”问题</w:t>
            </w:r>
          </w:p>
          <w:p w14:paraId="42E90549">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1.行政处罚情况。无</w:t>
            </w:r>
          </w:p>
          <w:p w14:paraId="0F5B6501">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责成被投诉单位整改情况。现场责成泥溪镇人民政府、通江生态环境局、通江县住房和城乡建设局立即组织工作力量，对河边提升泵站抽水泵堵塞的垃圾进行清理，并建立常态化机制，定期对漂浮物进行清理；对存在溢流现象的污水检查井扩容加高，防止污水外溢；加强污水处理排放情况和周边水体的日常监管、监测；责成运维单位通江桑德水务有限公司加强对生活污水处理厂运营人员培训，提升运维人员综合能力，确保污水处理运维各项工作规范运行；定期对污水处理设施进行维护保养，确保设施设备持续正常运行。目前，该问题已整改完成。</w:t>
            </w:r>
          </w:p>
        </w:tc>
        <w:tc>
          <w:tcPr>
            <w:tcW w:w="738" w:type="dxa"/>
            <w:shd w:val="clear" w:color="auto" w:fill="auto"/>
            <w:vAlign w:val="center"/>
          </w:tcPr>
          <w:p w14:paraId="29D66E41">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已办结</w:t>
            </w:r>
          </w:p>
        </w:tc>
        <w:tc>
          <w:tcPr>
            <w:tcW w:w="1715" w:type="dxa"/>
            <w:shd w:val="clear" w:color="auto" w:fill="auto"/>
            <w:vAlign w:val="center"/>
          </w:tcPr>
          <w:p w14:paraId="2150FC23">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eastAsia" w:ascii="Times New Roman" w:hAnsi="Times New Roman" w:eastAsia="仿宋_GB2312" w:cs="Times New Roman"/>
                <w:spacing w:val="-11"/>
                <w:w w:val="95"/>
                <w:kern w:val="0"/>
                <w:sz w:val="18"/>
                <w:szCs w:val="18"/>
                <w:highlight w:val="none"/>
                <w:lang w:val="en-US" w:eastAsia="zh-CN" w:bidi="ar"/>
              </w:rPr>
            </w:pPr>
            <w:r>
              <w:rPr>
                <w:rFonts w:hint="eastAsia" w:ascii="Times New Roman" w:hAnsi="Times New Roman" w:eastAsia="仿宋_GB2312" w:cs="Times New Roman"/>
                <w:spacing w:val="-11"/>
                <w:w w:val="95"/>
                <w:kern w:val="0"/>
                <w:sz w:val="18"/>
                <w:szCs w:val="18"/>
                <w:highlight w:val="none"/>
                <w:lang w:eastAsia="zh-CN" w:bidi="ar"/>
              </w:rPr>
              <w:t>无</w:t>
            </w:r>
          </w:p>
        </w:tc>
      </w:tr>
    </w:tbl>
    <w:p w14:paraId="6B8AEC69">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eastAsia"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br w:type="page"/>
      </w:r>
    </w:p>
    <w:tbl>
      <w:tblPr>
        <w:tblStyle w:val="3"/>
        <w:tblW w:w="228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
        <w:gridCol w:w="527"/>
        <w:gridCol w:w="2323"/>
        <w:gridCol w:w="717"/>
        <w:gridCol w:w="530"/>
        <w:gridCol w:w="9951"/>
        <w:gridCol w:w="524"/>
        <w:gridCol w:w="1884"/>
        <w:gridCol w:w="3460"/>
        <w:gridCol w:w="738"/>
        <w:gridCol w:w="1715"/>
      </w:tblGrid>
      <w:tr w14:paraId="51E64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3" w:hRule="atLeast"/>
          <w:jc w:val="center"/>
        </w:trPr>
        <w:tc>
          <w:tcPr>
            <w:tcW w:w="524" w:type="dxa"/>
            <w:vAlign w:val="center"/>
          </w:tcPr>
          <w:p w14:paraId="49532F4E">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t>2</w:t>
            </w:r>
          </w:p>
        </w:tc>
        <w:tc>
          <w:tcPr>
            <w:tcW w:w="527" w:type="dxa"/>
            <w:vAlign w:val="center"/>
          </w:tcPr>
          <w:p w14:paraId="7A43537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pacing w:val="-11"/>
                <w:w w:val="95"/>
                <w:sz w:val="18"/>
                <w:szCs w:val="18"/>
                <w:highlight w:val="none"/>
              </w:rPr>
            </w:pPr>
            <w:r>
              <w:rPr>
                <w:rFonts w:hint="default" w:ascii="Times New Roman" w:hAnsi="Times New Roman" w:eastAsia="仿宋_GB2312" w:cs="Times New Roman"/>
                <w:spacing w:val="-11"/>
                <w:w w:val="95"/>
                <w:sz w:val="18"/>
                <w:szCs w:val="18"/>
                <w:highlight w:val="none"/>
              </w:rPr>
              <w:t>D3SC202411140044</w:t>
            </w:r>
          </w:p>
        </w:tc>
        <w:tc>
          <w:tcPr>
            <w:tcW w:w="2323" w:type="dxa"/>
            <w:shd w:val="clear" w:color="auto" w:fill="auto"/>
            <w:vAlign w:val="center"/>
          </w:tcPr>
          <w:p w14:paraId="18C8A37D">
            <w:pPr>
              <w:keepNext w:val="0"/>
              <w:keepLines w:val="0"/>
              <w:pageBreakBefore w:val="0"/>
              <w:widowControl w:val="0"/>
              <w:numPr>
                <w:ilvl w:val="0"/>
                <w:numId w:val="0"/>
              </w:numPr>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村民蔡某占用耕地修建牛圈，污水直排污染了地下水。并且牛圈靠近村民家，异味扰民。</w:t>
            </w:r>
          </w:p>
        </w:tc>
        <w:tc>
          <w:tcPr>
            <w:tcW w:w="717" w:type="dxa"/>
            <w:vAlign w:val="center"/>
          </w:tcPr>
          <w:p w14:paraId="53903E9F">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t>南江县</w:t>
            </w:r>
          </w:p>
        </w:tc>
        <w:tc>
          <w:tcPr>
            <w:tcW w:w="530" w:type="dxa"/>
            <w:shd w:val="clear" w:color="auto" w:fill="auto"/>
            <w:vAlign w:val="center"/>
          </w:tcPr>
          <w:p w14:paraId="51532810">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群众身边的生态环境问题</w:t>
            </w:r>
          </w:p>
        </w:tc>
        <w:tc>
          <w:tcPr>
            <w:tcW w:w="9951" w:type="dxa"/>
            <w:shd w:val="clear" w:color="auto" w:fill="auto"/>
            <w:vAlign w:val="center"/>
          </w:tcPr>
          <w:p w14:paraId="570416D4">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p>
          <w:p w14:paraId="7383CC39">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2024年11月15日，由南江县农业农村局副局长严斌率工作专班开展现场调查处理工作。经调查，情况如下：</w:t>
            </w:r>
          </w:p>
          <w:p w14:paraId="7BD234FD">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（一）被投诉对象基本情况</w:t>
            </w:r>
          </w:p>
          <w:p w14:paraId="4ECBDA6B">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蔡某与杨某某于2024年10月21日至29日在关门镇白果树村3社自家承包的基本农田上采用树木、竹子、彩条布搭建简易牛棚，用于临时饲养从河北省张家口市张北县抵债运回的36头肉牛。该简易牛棚占地面积135平方米，未建化粪池等粪污处理设施；该牛棚不在饮用水水源保护区范围内，周围无饮用水取水点、无河流，不在禁养区范围。</w:t>
            </w:r>
          </w:p>
          <w:p w14:paraId="12BFF01B">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（二）近年来工作开展情况</w:t>
            </w:r>
          </w:p>
          <w:p w14:paraId="299A7838">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1.行政审批情况。该牛棚未办理设施农用地备案等相关行政审批手续。</w:t>
            </w:r>
          </w:p>
          <w:p w14:paraId="15D575B7">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工作开展情况。2024年11月5日关门镇农业综合服务中心工作人员到白果树村开展常规畜牧巡查时发现此事，要求蔡某：一是提供该批肉牛的动物检疫合格证明，以便开展检疫监管。二是及时拆除未办理相关手续占用基本农田搭建的简易牛棚并将占用的基本农田复耕。2024年11月14日镇村干部再次到蔡某处督促其拆除简易牛棚，并出售肉牛或将其转运至规范的肉牛养殖场内饲养。2024年11月15日，蔡某已拆除部分简易牛棚。</w:t>
            </w:r>
          </w:p>
          <w:p w14:paraId="5B95A4B2">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（三）现场调查情况</w:t>
            </w:r>
          </w:p>
          <w:p w14:paraId="2E0301D5">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经现场核实，一是蔡某于2024年10月21日至10月29日在基本农田上采用树木、竹子、彩条布搭建简易牛棚，占地面积135平方米；2024年11月3日杨某某从河北省张家口市运回36头肉牛（抵债所得），信访人反映“占用耕地”属实。二是该牛棚不在饮用水水源保护区范围内，周围无饮用水取水点、无河流；该批肉牛进场时间短，其中26头饲养于牛棚内，10头分散饲养在周边农田，加之该牛棚周围均为农田，暂未出现污染地下水现象，信访人反映“污水直排污染了地下水”不属实。三是现场测量该牛棚距离白果树村3社最近村民住宅69米，牛棚上风方向100米内有常住村民3户5人、下风方向有常住村民1户1人，调查组现场未闻到明显异味，信访人反映“牛圈靠近村民家，异味扰民”不属实。综上，群众信访举报问题部分属实。</w:t>
            </w:r>
          </w:p>
        </w:tc>
        <w:tc>
          <w:tcPr>
            <w:tcW w:w="524" w:type="dxa"/>
            <w:vAlign w:val="center"/>
          </w:tcPr>
          <w:p w14:paraId="6F1186D2">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pacing w:val="-11"/>
                <w:w w:val="95"/>
                <w:sz w:val="18"/>
                <w:szCs w:val="18"/>
                <w:highlight w:val="none"/>
                <w:lang w:val="en-US" w:eastAsia="zh-CN"/>
              </w:rPr>
            </w:pPr>
            <w:r>
              <w:rPr>
                <w:rFonts w:hint="eastAsia" w:ascii="Times New Roman" w:hAnsi="Times New Roman" w:eastAsia="仿宋_GB2312" w:cs="Times New Roman"/>
                <w:spacing w:val="-11"/>
                <w:w w:val="95"/>
                <w:sz w:val="18"/>
                <w:szCs w:val="18"/>
                <w:highlight w:val="none"/>
                <w:lang w:val="en-US" w:eastAsia="zh-CN"/>
              </w:rPr>
              <w:t>部分属实</w:t>
            </w:r>
          </w:p>
        </w:tc>
        <w:tc>
          <w:tcPr>
            <w:tcW w:w="1884" w:type="dxa"/>
            <w:shd w:val="clear" w:color="auto" w:fill="auto"/>
            <w:vAlign w:val="center"/>
          </w:tcPr>
          <w:p w14:paraId="0F6EC4F6">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严格执行现行土地政策和环保相关规定，全面完成整改，确保不对周边群众日常生活造成影响。</w:t>
            </w:r>
          </w:p>
        </w:tc>
        <w:tc>
          <w:tcPr>
            <w:tcW w:w="3460" w:type="dxa"/>
            <w:shd w:val="clear" w:color="auto" w:fill="auto"/>
            <w:vAlign w:val="center"/>
          </w:tcPr>
          <w:p w14:paraId="672FFF67">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（一）行政处罚情况：无。</w:t>
            </w:r>
          </w:p>
          <w:p w14:paraId="3CB02C87">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责成被投诉单位整改情况。一是积极与蔡某协商，将36头肉牛转运到关门镇石庙村正强农业有限公司肉牛养殖场暂存饲养，但蔡某、杨某某表示，该批肉牛属于抵债所得，自己无养殖技术，不愿继续养殖，希望能够出售。二是根据蔡某意愿，督促其将饲养的36头肉牛尽快全部出售，蔡某已于2024年11月17日将35头（应激反应死亡1头）肉牛全部出售到巴中市能辉农业发展有限公司（巴中市恩阳区玉山镇凤凰梁村4组）。三是责成蔡某立即拆除搭建的简易牛棚，蔡某已于2024年11月17日将搭建的简易牛棚全部拆除。四是责成蔡某对搭建牛棚的基本农田进行复耕，蔡某已于2024年11月17日对该基本农田进行复耕。五是对蔡某未经批准乱占基本农田搭建牛棚的行为进行了批评教育，确保不再发生此类问题。该信访问题已于2024年11月17日全面整改到位。</w:t>
            </w:r>
          </w:p>
        </w:tc>
        <w:tc>
          <w:tcPr>
            <w:tcW w:w="738" w:type="dxa"/>
            <w:shd w:val="clear" w:color="auto" w:fill="auto"/>
            <w:vAlign w:val="center"/>
          </w:tcPr>
          <w:p w14:paraId="243C91FC">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spacing w:val="-11"/>
                <w:w w:val="95"/>
                <w:kern w:val="0"/>
                <w:sz w:val="18"/>
                <w:szCs w:val="18"/>
                <w:highlight w:val="none"/>
                <w:lang w:val="en-US" w:eastAsia="zh-CN" w:bidi="ar"/>
              </w:rPr>
            </w:pPr>
          </w:p>
          <w:p w14:paraId="169327B9">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已办结</w:t>
            </w:r>
          </w:p>
        </w:tc>
        <w:tc>
          <w:tcPr>
            <w:tcW w:w="1715" w:type="dxa"/>
            <w:shd w:val="clear" w:color="auto" w:fill="auto"/>
            <w:vAlign w:val="center"/>
          </w:tcPr>
          <w:p w14:paraId="213B6144">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eastAsia" w:ascii="Times New Roman" w:hAnsi="Times New Roman" w:eastAsia="仿宋_GB2312" w:cs="Times New Roman"/>
                <w:spacing w:val="-11"/>
                <w:w w:val="95"/>
                <w:kern w:val="0"/>
                <w:sz w:val="18"/>
                <w:szCs w:val="18"/>
                <w:highlight w:val="none"/>
                <w:lang w:val="en-US" w:eastAsia="zh-CN" w:bidi="ar"/>
              </w:rPr>
            </w:pPr>
            <w:r>
              <w:rPr>
                <w:rFonts w:hint="eastAsia" w:ascii="Times New Roman" w:hAnsi="Times New Roman" w:eastAsia="仿宋_GB2312" w:cs="Times New Roman"/>
                <w:spacing w:val="-11"/>
                <w:w w:val="95"/>
                <w:kern w:val="0"/>
                <w:sz w:val="18"/>
                <w:szCs w:val="18"/>
                <w:highlight w:val="none"/>
                <w:lang w:eastAsia="zh-CN" w:bidi="ar"/>
              </w:rPr>
              <w:t>无</w:t>
            </w:r>
          </w:p>
        </w:tc>
      </w:tr>
    </w:tbl>
    <w:p w14:paraId="7DDCC085"/>
    <w:p w14:paraId="7920C1B9"/>
    <w:p w14:paraId="49A31AF4"/>
    <w:p w14:paraId="5B911C33">
      <w:pPr>
        <w:rPr>
          <w:rFonts w:hint="eastAsia"/>
        </w:rPr>
      </w:pPr>
    </w:p>
    <w:bookmarkEnd w:id="0"/>
    <w:bookmarkEnd w:id="1"/>
    <w:bookmarkEnd w:id="2"/>
    <w:bookmarkEnd w:id="3"/>
    <w:bookmarkEnd w:id="4"/>
    <w:bookmarkEnd w:id="5"/>
    <w:bookmarkEnd w:id="6"/>
    <w:bookmarkEnd w:id="7"/>
    <w:bookmarkEnd w:id="8"/>
    <w:bookmarkEnd w:id="9"/>
    <w:bookmarkEnd w:id="10"/>
    <w:bookmarkEnd w:id="11"/>
    <w:bookmarkEnd w:id="12"/>
    <w:p w14:paraId="6CDE67BA">
      <w:pPr>
        <w:rPr>
          <w:rFonts w:hint="eastAsia"/>
          <w:lang w:val="en-US" w:eastAsia="zh-CN"/>
        </w:rPr>
        <w:sectPr>
          <w:pgSz w:w="23757" w:h="16783" w:orient="landscape"/>
          <w:pgMar w:top="567" w:right="567" w:bottom="567" w:left="567" w:header="851" w:footer="992" w:gutter="0"/>
          <w:cols w:space="0" w:num="1"/>
          <w:rtlGutter w:val="0"/>
          <w:docGrid w:type="lines" w:linePitch="312" w:charSpace="0"/>
        </w:sectPr>
      </w:pPr>
    </w:p>
    <w:p w14:paraId="68F0741A">
      <w:pPr>
        <w:rPr>
          <w:rFonts w:hint="eastAsia"/>
          <w:lang w:val="en-US" w:eastAsia="zh-CN"/>
        </w:rPr>
      </w:pPr>
    </w:p>
    <w:p w14:paraId="642AB5E8">
      <w:pPr>
        <w:pStyle w:val="2"/>
        <w:ind w:left="1598" w:leftChars="304" w:hanging="960" w:hangingChars="300"/>
        <w:rPr>
          <w:rFonts w:hint="eastAsia" w:ascii="Times New Roman" w:hAnsi="Times New Roman" w:eastAsia="仿宋_GB2312"/>
          <w:sz w:val="32"/>
          <w:szCs w:val="32"/>
          <w:lang w:val="en-US" w:eastAsia="zh-CN"/>
        </w:rPr>
      </w:pPr>
    </w:p>
    <w:p w14:paraId="3A5E2181">
      <w:pPr>
        <w:pStyle w:val="2"/>
        <w:ind w:left="1598" w:leftChars="304" w:hanging="960" w:hangingChars="300"/>
        <w:rPr>
          <w:rFonts w:hint="eastAsia" w:ascii="Times New Roman" w:hAnsi="Times New Roman" w:eastAsia="仿宋_GB2312"/>
          <w:sz w:val="32"/>
          <w:szCs w:val="32"/>
          <w:lang w:val="en-US" w:eastAsia="zh-CN"/>
        </w:rPr>
      </w:pPr>
    </w:p>
    <w:p w14:paraId="2E0ECE1D">
      <w:pPr>
        <w:pStyle w:val="2"/>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AC726F8"/>
    <w:rsid w:val="10143528"/>
    <w:rsid w:val="136E1C99"/>
    <w:rsid w:val="13C33BEE"/>
    <w:rsid w:val="14057C72"/>
    <w:rsid w:val="1802417F"/>
    <w:rsid w:val="1C300CEB"/>
    <w:rsid w:val="23493166"/>
    <w:rsid w:val="24544D26"/>
    <w:rsid w:val="26A04986"/>
    <w:rsid w:val="30522E25"/>
    <w:rsid w:val="36867ED5"/>
    <w:rsid w:val="37AD5457"/>
    <w:rsid w:val="47507358"/>
    <w:rsid w:val="4AB03562"/>
    <w:rsid w:val="4C3F4F72"/>
    <w:rsid w:val="4EA321DE"/>
    <w:rsid w:val="5E1251BB"/>
    <w:rsid w:val="648740CE"/>
    <w:rsid w:val="79EB61DF"/>
    <w:rsid w:val="7F7F3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2205</Words>
  <Characters>2356</Characters>
  <Lines>0</Lines>
  <Paragraphs>0</Paragraphs>
  <TotalTime>38</TotalTime>
  <ScaleCrop>false</ScaleCrop>
  <LinksUpToDate>false</LinksUpToDate>
  <CharactersWithSpaces>2369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2024-10-31T01:27:00Z</dcterms:created>
  <dc:creator>JGSW</dc:creator>
  <cp:lastModifiedBy>Administrator</cp:lastModifiedBy>
  <cp:lastPrinted>2024-10-31T01:40:00Z</cp:lastPrinted>
  <dcterms:modified xsi:type="dcterms:W3CDTF">2024-11-25T09:10:13Z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9712475C9D464AC2B93CB81E84242B94_13</vt:lpwstr>
  </property>
</Properties>
</file>