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1F146">
      <w:pPr>
        <w:keepNext w:val="0"/>
        <w:keepLines w:val="0"/>
        <w:pageBreakBefore w:val="0"/>
        <w:widowControl w:val="0"/>
        <w:suppressAutoHyphens/>
        <w:kinsoku/>
        <w:wordWrap/>
        <w:overflowPunct/>
        <w:topLinePunct w:val="0"/>
        <w:autoSpaceDE/>
        <w:autoSpaceDN/>
        <w:bidi w:val="0"/>
        <w:adjustRightInd/>
        <w:snapToGrid w:val="0"/>
        <w:spacing w:before="157" w:beforeLines="50" w:after="157" w:afterLines="50" w:line="576" w:lineRule="exact"/>
        <w:jc w:val="center"/>
        <w:textAlignment w:val="auto"/>
        <w:rPr>
          <w:rFonts w:hint="default" w:ascii="Times New Roman" w:hAnsi="Times New Roman" w:eastAsia="方正小标宋简体" w:cs="Times New Roman"/>
          <w:color w:val="0C0C0C"/>
          <w:sz w:val="44"/>
          <w:szCs w:val="44"/>
          <w:highlight w:val="none"/>
          <w:u w:val="none" w:color="000000"/>
        </w:rPr>
      </w:pPr>
      <w:bookmarkStart w:id="13" w:name="_GoBack"/>
      <w:bookmarkEnd w:id="13"/>
      <w:bookmarkStart w:id="0" w:name="_Toc1728908978"/>
      <w:bookmarkStart w:id="1" w:name="_Toc42981887"/>
      <w:bookmarkStart w:id="2" w:name="_Toc27984273"/>
      <w:bookmarkStart w:id="3" w:name="_Toc303834967"/>
      <w:bookmarkStart w:id="4" w:name="_Toc1682189205"/>
      <w:bookmarkStart w:id="5" w:name="_Toc48258533"/>
      <w:bookmarkStart w:id="6" w:name="_Toc1928623293"/>
      <w:bookmarkStart w:id="7" w:name="_Toc983949643_WPSOffice_Level1"/>
      <w:bookmarkStart w:id="8" w:name="_Toc51820290"/>
      <w:bookmarkStart w:id="9" w:name="_Toc989442674"/>
      <w:bookmarkStart w:id="10" w:name="_Toc2013987015"/>
      <w:bookmarkStart w:id="11" w:name="_Toc1714029215"/>
      <w:bookmarkStart w:id="12" w:name="_Toc197769102"/>
      <w:r>
        <w:rPr>
          <w:rFonts w:hint="default" w:ascii="Times New Roman" w:hAnsi="Times New Roman" w:eastAsia="方正小标宋简体" w:cs="Times New Roman"/>
          <w:color w:val="0C0C0C"/>
          <w:sz w:val="44"/>
          <w:szCs w:val="44"/>
          <w:highlight w:val="none"/>
          <w:u w:val="none" w:color="000000"/>
        </w:rPr>
        <w:t>中央生态环境保护督察群众信访举报转办和边督边改公开情况一览表</w:t>
      </w:r>
    </w:p>
    <w:p w14:paraId="3D86BB0E">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ind w:firstLine="1205" w:firstLineChars="500"/>
        <w:jc w:val="center"/>
        <w:textAlignment w:val="auto"/>
        <w:rPr>
          <w:rFonts w:hint="default" w:ascii="Times New Roman" w:hAnsi="Times New Roman" w:eastAsia="黑体" w:cs="Times New Roman"/>
          <w:b w:val="0"/>
          <w:bCs w:val="0"/>
          <w:sz w:val="24"/>
          <w:highlight w:val="none"/>
        </w:rPr>
      </w:pPr>
      <w:r>
        <w:rPr>
          <w:rFonts w:hint="default" w:ascii="Times New Roman" w:hAnsi="Times New Roman" w:eastAsia="楷体_GB2312" w:cs="Times New Roman"/>
          <w:b/>
          <w:bCs/>
          <w:sz w:val="24"/>
          <w:highlight w:val="none"/>
        </w:rPr>
        <w:t>（第</w:t>
      </w:r>
      <w:r>
        <w:rPr>
          <w:rFonts w:hint="default" w:ascii="Times New Roman" w:hAnsi="Times New Roman" w:eastAsia="楷体_GB2312" w:cs="Times New Roman"/>
          <w:b/>
          <w:bCs/>
          <w:sz w:val="24"/>
          <w:highlight w:val="none"/>
          <w:u w:val="single"/>
        </w:rPr>
        <w:t xml:space="preserve"> </w:t>
      </w:r>
      <w:r>
        <w:rPr>
          <w:rFonts w:hint="eastAsia" w:ascii="楷体" w:hAnsi="楷体" w:eastAsia="楷体" w:cs="楷体"/>
          <w:b/>
          <w:bCs/>
          <w:sz w:val="24"/>
          <w:highlight w:val="none"/>
          <w:u w:val="single"/>
          <w:lang w:val="en-US" w:eastAsia="zh-CN"/>
        </w:rPr>
        <w:t>二十四</w:t>
      </w:r>
      <w:r>
        <w:rPr>
          <w:rFonts w:hint="default" w:ascii="Times New Roman" w:hAnsi="Times New Roman" w:eastAsia="楷体_GB2312" w:cs="Times New Roman"/>
          <w:b/>
          <w:bCs/>
          <w:sz w:val="24"/>
          <w:highlight w:val="none"/>
        </w:rPr>
        <w:t xml:space="preserve">批    </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2024</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年</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11</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月 </w:t>
      </w:r>
      <w:r>
        <w:rPr>
          <w:rFonts w:hint="default" w:ascii="Times New Roman" w:hAnsi="Times New Roman" w:eastAsia="楷体_GB2312" w:cs="Times New Roman"/>
          <w:b/>
          <w:bCs/>
          <w:sz w:val="24"/>
          <w:highlight w:val="none"/>
          <w:u w:val="single"/>
        </w:rPr>
        <w:t xml:space="preserve"> </w:t>
      </w:r>
      <w:r>
        <w:rPr>
          <w:rFonts w:hint="eastAsia" w:ascii="Times New Roman" w:hAnsi="Times New Roman" w:eastAsia="楷体_GB2312" w:cs="Times New Roman"/>
          <w:b/>
          <w:bCs/>
          <w:sz w:val="24"/>
          <w:highlight w:val="none"/>
          <w:u w:val="single"/>
          <w:lang w:val="en-US" w:eastAsia="zh-CN"/>
        </w:rPr>
        <w:t>20</w:t>
      </w:r>
      <w:r>
        <w:rPr>
          <w:rFonts w:hint="default" w:ascii="Times New Roman" w:hAnsi="Times New Roman" w:eastAsia="楷体_GB2312" w:cs="Times New Roman"/>
          <w:b/>
          <w:bCs/>
          <w:sz w:val="24"/>
          <w:highlight w:val="none"/>
        </w:rPr>
        <w:t>日）</w:t>
      </w:r>
    </w:p>
    <w:tbl>
      <w:tblPr>
        <w:tblStyle w:val="4"/>
        <w:tblW w:w="20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
        <w:gridCol w:w="527"/>
        <w:gridCol w:w="2323"/>
        <w:gridCol w:w="717"/>
        <w:gridCol w:w="530"/>
        <w:gridCol w:w="8009"/>
        <w:gridCol w:w="524"/>
        <w:gridCol w:w="1884"/>
        <w:gridCol w:w="2821"/>
        <w:gridCol w:w="1183"/>
        <w:gridCol w:w="1534"/>
      </w:tblGrid>
      <w:tr w14:paraId="6A59A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tblHeader/>
          <w:jc w:val="center"/>
        </w:trPr>
        <w:tc>
          <w:tcPr>
            <w:tcW w:w="524" w:type="dxa"/>
            <w:vAlign w:val="center"/>
          </w:tcPr>
          <w:p w14:paraId="44049A48">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序号</w:t>
            </w:r>
          </w:p>
        </w:tc>
        <w:tc>
          <w:tcPr>
            <w:tcW w:w="527" w:type="dxa"/>
            <w:vAlign w:val="center"/>
          </w:tcPr>
          <w:p w14:paraId="4FAC7D63">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受理编号</w:t>
            </w:r>
          </w:p>
        </w:tc>
        <w:tc>
          <w:tcPr>
            <w:tcW w:w="2323" w:type="dxa"/>
            <w:vAlign w:val="center"/>
          </w:tcPr>
          <w:p w14:paraId="2494DBC4">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交办问题</w:t>
            </w:r>
          </w:p>
          <w:p w14:paraId="14553AC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基本情况</w:t>
            </w:r>
          </w:p>
        </w:tc>
        <w:tc>
          <w:tcPr>
            <w:tcW w:w="717" w:type="dxa"/>
            <w:vAlign w:val="center"/>
          </w:tcPr>
          <w:p w14:paraId="23354B9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行政</w:t>
            </w:r>
          </w:p>
          <w:p w14:paraId="58DA453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区域</w:t>
            </w:r>
          </w:p>
        </w:tc>
        <w:tc>
          <w:tcPr>
            <w:tcW w:w="530" w:type="dxa"/>
            <w:vAlign w:val="center"/>
          </w:tcPr>
          <w:p w14:paraId="3C2F3F00">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问</w:t>
            </w:r>
          </w:p>
          <w:p w14:paraId="5E711D94">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题</w:t>
            </w:r>
          </w:p>
          <w:p w14:paraId="3A8DD1CB">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类</w:t>
            </w:r>
          </w:p>
          <w:p w14:paraId="0D65527F">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型</w:t>
            </w:r>
          </w:p>
        </w:tc>
        <w:tc>
          <w:tcPr>
            <w:tcW w:w="8009" w:type="dxa"/>
            <w:vAlign w:val="center"/>
          </w:tcPr>
          <w:p w14:paraId="65FA2736">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调查核实情况</w:t>
            </w:r>
          </w:p>
        </w:tc>
        <w:tc>
          <w:tcPr>
            <w:tcW w:w="524" w:type="dxa"/>
            <w:vAlign w:val="center"/>
          </w:tcPr>
          <w:p w14:paraId="67A45A8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46667046">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属实</w:t>
            </w:r>
          </w:p>
        </w:tc>
        <w:tc>
          <w:tcPr>
            <w:tcW w:w="1884" w:type="dxa"/>
            <w:vAlign w:val="center"/>
          </w:tcPr>
          <w:p w14:paraId="02EDF15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p w14:paraId="5424D766">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目标</w:t>
            </w:r>
          </w:p>
        </w:tc>
        <w:tc>
          <w:tcPr>
            <w:tcW w:w="2821" w:type="dxa"/>
            <w:vAlign w:val="center"/>
          </w:tcPr>
          <w:p w14:paraId="676D587A">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处理和整改</w:t>
            </w:r>
          </w:p>
          <w:p w14:paraId="7F3CE56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情况</w:t>
            </w:r>
          </w:p>
        </w:tc>
        <w:tc>
          <w:tcPr>
            <w:tcW w:w="1183" w:type="dxa"/>
            <w:vAlign w:val="center"/>
          </w:tcPr>
          <w:p w14:paraId="38A84F7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是否</w:t>
            </w:r>
          </w:p>
          <w:p w14:paraId="6A1B8488">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办结</w:t>
            </w:r>
          </w:p>
        </w:tc>
        <w:tc>
          <w:tcPr>
            <w:tcW w:w="1534" w:type="dxa"/>
            <w:vAlign w:val="center"/>
          </w:tcPr>
          <w:p w14:paraId="0A626A3E">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pPr>
            <w:r>
              <w:rPr>
                <w:rFonts w:hint="default" w:ascii="Times New Roman" w:hAnsi="Times New Roman" w:eastAsia="楷体_GB2312" w:cs="Times New Roman"/>
                <w:b/>
                <w:bCs/>
                <w:color w:val="000000" w:themeColor="text1"/>
                <w:spacing w:val="-11"/>
                <w:w w:val="95"/>
                <w:sz w:val="18"/>
                <w:szCs w:val="18"/>
                <w:highlight w:val="none"/>
                <w14:textFill>
                  <w14:solidFill>
                    <w14:schemeClr w14:val="tx1"/>
                  </w14:solidFill>
                </w14:textFill>
              </w:rPr>
              <w:t>责任人被处理情况</w:t>
            </w:r>
          </w:p>
        </w:tc>
      </w:tr>
      <w:tr w14:paraId="7682C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5" w:hRule="atLeast"/>
          <w:jc w:val="center"/>
        </w:trPr>
        <w:tc>
          <w:tcPr>
            <w:tcW w:w="524" w:type="dxa"/>
            <w:vAlign w:val="center"/>
          </w:tcPr>
          <w:p w14:paraId="735BC64E">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1</w:t>
            </w:r>
          </w:p>
        </w:tc>
        <w:tc>
          <w:tcPr>
            <w:tcW w:w="527" w:type="dxa"/>
            <w:vAlign w:val="center"/>
          </w:tcPr>
          <w:p w14:paraId="71BE0D77">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D3SC202411100031</w:t>
            </w:r>
          </w:p>
        </w:tc>
        <w:tc>
          <w:tcPr>
            <w:tcW w:w="2323" w:type="dxa"/>
            <w:shd w:val="clear" w:color="auto" w:fill="auto"/>
            <w:vAlign w:val="center"/>
          </w:tcPr>
          <w:p w14:paraId="50A976C4">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枇杷村3组的养猪场将未经处理的污水直排到附近的水井、树林、耕地、坟地中。</w:t>
            </w:r>
          </w:p>
        </w:tc>
        <w:tc>
          <w:tcPr>
            <w:tcW w:w="717" w:type="dxa"/>
            <w:vAlign w:val="center"/>
          </w:tcPr>
          <w:p w14:paraId="79F4490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巴州区</w:t>
            </w:r>
          </w:p>
        </w:tc>
        <w:tc>
          <w:tcPr>
            <w:tcW w:w="530" w:type="dxa"/>
            <w:shd w:val="clear" w:color="auto" w:fill="auto"/>
            <w:vAlign w:val="center"/>
          </w:tcPr>
          <w:p w14:paraId="1D12146C">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8009" w:type="dxa"/>
            <w:shd w:val="clear" w:color="auto" w:fill="auto"/>
            <w:vAlign w:val="center"/>
          </w:tcPr>
          <w:p w14:paraId="69B595F3">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2024年11月11日，由包案领导巴州区人民政府副区长周永红率巴州区农业农村局、巴州生态环境局、水宁寺镇人民政府等相关人员开展现场调查处理工作。经调查，情况如下：</w:t>
            </w:r>
          </w:p>
          <w:p w14:paraId="2D19E4BC">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2AE465E1">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反映问题责任主体为巴中市巴州区巴山云牧家庭农场（以下简称“巴山云牧家庭农场”），位于巴州区水宁寺镇枇杷村3组。巴山云牧家庭农场（法定代表人曾某华,统一社会信用代码：92511902MA65AY8HX2）建设于2015年12月，2016年12月底竣工投产，占地面积0.8842公顷，建设有2栋育肥舍及配套的生活管理用房，设计存栏生猪1600头，现存栏1339头，猪场周边居住9户9人（常住人口），未在集中式饮用水水源地、自然保护区、风景名胜区、禁养区范围内。</w:t>
            </w:r>
          </w:p>
          <w:p w14:paraId="152CC4A6">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4CA30084">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行政审批办理情况。2015年1月，巴山云牧家庭农场取得营业执照。2016年12月，巴山农牧家庭农场完成建设项目环境影响登记（备案号:511902〔2016〕099）。2020年8月，因行政村整合，地址发生变更，巴山云牧家庭农场取得重新登记变更的营业执照。2021年1月，企业因改建，在四川省政务服务平台“建设项目环境影响登记表备案系统”完成备案（备案号:202151190200000068）。2024年9月，养殖场完成《设施农用地备案表》登记。</w:t>
            </w:r>
          </w:p>
          <w:p w14:paraId="24AE3BA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两年工作开展情况。2024年3月8日，巴州区农业农村局组织开展巴州区徐家河流域畜禽养殖污染防治专题培训会，曾某华等110余名养殖业主参加。2024年4月17日，巴中市农业农村局总畜牧师冯钰带队对该养殖场进行养殖污染防治现场督导。2024年5月20日，巴州区农业农村局工作人员对该养殖场进行养殖污染防治技术指导。</w:t>
            </w:r>
          </w:p>
          <w:p w14:paraId="2A252AE9">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0CB34C7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关于群众反映“枇杷村3组的养猪场将未经处理的污水直排到附近的水井、树林、耕地、坟地中”问题。该养殖场粪污处理区配套建设有1个化粪池（约250m³）、1个储液池（约2000m³）、1个干粪棚（约250m³），同时配有干湿分离机1台、匀浆机1台、污水泵2台、田间管网2000m、消纳土地面积292亩，场内干湿分离系统和化粪池等各类功能池符合《农业农村部办公厅 生态环境部办公厅关于印发〈畜禽规模场（户）粪污处理设施建设技术指南〉的通知》（农办牧〔2022〕19号）文件规定。养殖场粪污经干湿分离后，干粪堆码发酵后作为农家有机肥使用，粪水通过化粪池、储液池暴氧和厌氧处理后使用污水泵经田间管网灌溉至消纳土地，处理过程中雨污分流、无偷排暗管，不存在遗漏和渗漏情况。经相关工作人员现场核查走访，猪场下游1km范围内摸排情况如下：有废弃水井1口，水井周围未发现粪污痕迹；范围内树林未发现粪污痕迹；有坟墓5座，周围坟地未发现粪污痕迹；粪污消纳土地中存在翻耕不彻底、有两块耕地（约3亩）残留粪污的情况，巴州区农业农村局已现场向巴山云牧家庭农场出具《巴中市巴州区农业农村局畜禽养殖废弃物综合利用指导意见书》，要求养殖业主清理粪污痕迹并翻耕。信访反映问题部分属实。</w:t>
            </w:r>
          </w:p>
        </w:tc>
        <w:tc>
          <w:tcPr>
            <w:tcW w:w="524" w:type="dxa"/>
            <w:vAlign w:val="center"/>
          </w:tcPr>
          <w:p w14:paraId="2E0036A7">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884" w:type="dxa"/>
            <w:shd w:val="clear" w:color="auto" w:fill="auto"/>
            <w:vAlign w:val="center"/>
          </w:tcPr>
          <w:p w14:paraId="3C903C72">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1.养殖场完成消纳土地的翻耕利用和周边环境整理工作。</w:t>
            </w:r>
          </w:p>
          <w:p w14:paraId="165816B3">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2.养殖业主落实粪污消纳台账记录，建立畜禽养殖污染防治长效管理机制。</w:t>
            </w:r>
          </w:p>
          <w:p w14:paraId="4F0A184E">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3.回访周围群众，群众认可满意。</w:t>
            </w:r>
          </w:p>
        </w:tc>
        <w:tc>
          <w:tcPr>
            <w:tcW w:w="2821" w:type="dxa"/>
            <w:shd w:val="clear" w:color="auto" w:fill="auto"/>
            <w:vAlign w:val="center"/>
          </w:tcPr>
          <w:p w14:paraId="7B307384">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1.2024年11月13日，巴中市巴州区巴山云牧家庭农场已完成消纳土地粪污清理并重新翻耕利用、猪场周围环境卫生整治和消毒等工作。不涉及行政处罚情况。</w:t>
            </w:r>
          </w:p>
          <w:p w14:paraId="1CE0953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2.加强对企业生猪养殖污染防治工作监督，做好技术指导和服务。</w:t>
            </w:r>
          </w:p>
        </w:tc>
        <w:tc>
          <w:tcPr>
            <w:tcW w:w="1183" w:type="dxa"/>
            <w:shd w:val="clear" w:color="auto" w:fill="auto"/>
            <w:vAlign w:val="center"/>
          </w:tcPr>
          <w:p w14:paraId="0660CCB9">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已办结</w:t>
            </w:r>
          </w:p>
        </w:tc>
        <w:tc>
          <w:tcPr>
            <w:tcW w:w="1534" w:type="dxa"/>
            <w:shd w:val="clear" w:color="auto" w:fill="auto"/>
            <w:vAlign w:val="center"/>
          </w:tcPr>
          <w:p w14:paraId="6FE6DED6">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r w14:paraId="435F9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2" w:hRule="atLeast"/>
          <w:jc w:val="center"/>
        </w:trPr>
        <w:tc>
          <w:tcPr>
            <w:tcW w:w="524" w:type="dxa"/>
            <w:vAlign w:val="center"/>
          </w:tcPr>
          <w:p w14:paraId="2A0D3EB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2</w:t>
            </w:r>
          </w:p>
        </w:tc>
        <w:tc>
          <w:tcPr>
            <w:tcW w:w="527" w:type="dxa"/>
            <w:vAlign w:val="center"/>
          </w:tcPr>
          <w:p w14:paraId="57EE9347">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D3SC202411100028</w:t>
            </w:r>
          </w:p>
        </w:tc>
        <w:tc>
          <w:tcPr>
            <w:tcW w:w="2323" w:type="dxa"/>
            <w:shd w:val="clear" w:color="auto" w:fill="auto"/>
            <w:vAlign w:val="center"/>
          </w:tcPr>
          <w:p w14:paraId="67E1CFC5">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傲盘寨村8组村支书张某6年前破坏了村上几十亩的树林。</w:t>
            </w:r>
          </w:p>
        </w:tc>
        <w:tc>
          <w:tcPr>
            <w:tcW w:w="717" w:type="dxa"/>
            <w:vAlign w:val="center"/>
          </w:tcPr>
          <w:p w14:paraId="386EDE2F">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通江县</w:t>
            </w:r>
          </w:p>
        </w:tc>
        <w:tc>
          <w:tcPr>
            <w:tcW w:w="530" w:type="dxa"/>
            <w:shd w:val="clear" w:color="auto" w:fill="auto"/>
            <w:vAlign w:val="center"/>
          </w:tcPr>
          <w:p w14:paraId="0B883C87">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p>
          <w:p w14:paraId="0080D6FB">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8009" w:type="dxa"/>
            <w:shd w:val="clear" w:color="auto" w:fill="auto"/>
            <w:vAlign w:val="center"/>
          </w:tcPr>
          <w:p w14:paraId="3FBC0289">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2024年11月11日，县人民政府副县长熊纯俊率工作专班深入现场开展调查处理工作，相关情况如下：</w:t>
            </w:r>
          </w:p>
          <w:p w14:paraId="29143A48">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2C295441">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张忠朝，男，汉族，61岁，中共党员，身份证号码：513025196302287359，联系方式：13350478188，1998年1月至2020年12月任原三溪乡张家山村支部书记，2021年1月至今任通江县三溪镇傲盘寨村党总支部副书记（2017年10月乡镇行政区划改革，三溪乡更名为三溪镇。2020年6月三溪镇张家山村与爱国村合并为傲盘寨村，2020年12月完成村支部换届选举）。</w:t>
            </w:r>
          </w:p>
          <w:p w14:paraId="6E1FD84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3A9AE36B">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近年来，我县为加强森林资源管理，成立了林长制工作领导小组，压紧压实三级林长责任，建立“三长三员”（“林长+警长+执法队长”“护林员+网格员+监管员”）工作新机制，严格落实林地分级管理、林木采伐审批相关规定，全面、准确、及时建立使用林地管理台账和监管图库，及时跟踪，常态督导，严厉打击违法使用林地、毁坏林木等破坏森林资源违法行为。</w:t>
            </w:r>
          </w:p>
          <w:p w14:paraId="314C8903">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29A939CE">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经核实，2017年6月，原三溪乡人民政府决定举办“四川·通江第二届青花椒采摘季”活动，为保证活动顺利进行，让原三溪乡张家山村书记张忠朝协调会议场地，经过多处踏勘，原三溪乡人民政府最终选定原通江县三溪乡张家山村3社家庭农场大户张某某承包林地（用材林）花椒集中地（小地名：牛圈塝）作为活动现场。按照原三溪乡人民政府工作部署，在未向县林业主管部门申请的情况下，随即让张忠朝组织村民对张某某1998年集体山林拍买所得林地（没有申请办理林权证）0.6148公顷（9.22亩）进行平整，并给予林权所有人张某某一次性林木补偿费2000元。活动结束后，林权所有人张某某之子张某勇在平整的会议场地上栽植青花椒，后因青花椒行情疲软，效益不佳，张某勇对该片青花椒地疏于管理，该片林地现已自然生长柏树、马尾松、灌木等，已达到幼林地标准。综上，信访人反映的问题部分属实。</w:t>
            </w:r>
          </w:p>
        </w:tc>
        <w:tc>
          <w:tcPr>
            <w:tcW w:w="524" w:type="dxa"/>
            <w:vAlign w:val="center"/>
          </w:tcPr>
          <w:p w14:paraId="44027951">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p>
          <w:p w14:paraId="4B2AC347">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884" w:type="dxa"/>
            <w:shd w:val="clear" w:color="auto" w:fill="auto"/>
            <w:vAlign w:val="center"/>
          </w:tcPr>
          <w:p w14:paraId="16E080E5">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一是建立长效机制，加强对林地林木资源保护和管理；二是加强宣传教育，提升群众保护森林资源意识；三是加大监管力度，严厉打击破坏森林资源违法行为，确保森林资源安全。</w:t>
            </w:r>
          </w:p>
        </w:tc>
        <w:tc>
          <w:tcPr>
            <w:tcW w:w="2821" w:type="dxa"/>
            <w:shd w:val="clear" w:color="auto" w:fill="auto"/>
            <w:vAlign w:val="center"/>
          </w:tcPr>
          <w:p w14:paraId="05706E63">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关于“通江县傲盘寨村8组村支书张某6年前破坏了村上几十亩的树林”问题。</w:t>
            </w:r>
          </w:p>
          <w:p w14:paraId="4C280B57">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行政处罚情况。依据《中华人民共和国行政处罚法》第三十六条“违法行为在二年内未被发现的，不再给予行政处罚；涉及公民生命健康安全、金融安全且有危害后果的，上述期限延长至五年；法律另有规定的除外”之规定，该案已过追诉期限，因此不予行政处罚。</w:t>
            </w:r>
          </w:p>
          <w:p w14:paraId="112DB571">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2.责成被投诉单位整改情况。经栽植青花椒和人工促进天然更新，该地块已符合幼林地（已达到植被恢复）标准，林权所属性质无变更。责成三溪镇人民政府加强对该地块落实监管责任，使其达到成林成材标准。</w:t>
            </w:r>
          </w:p>
        </w:tc>
        <w:tc>
          <w:tcPr>
            <w:tcW w:w="1183" w:type="dxa"/>
            <w:shd w:val="clear" w:color="auto" w:fill="auto"/>
            <w:vAlign w:val="center"/>
          </w:tcPr>
          <w:p w14:paraId="08436722">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已办结</w:t>
            </w:r>
          </w:p>
        </w:tc>
        <w:tc>
          <w:tcPr>
            <w:tcW w:w="1534" w:type="dxa"/>
            <w:shd w:val="clear" w:color="auto" w:fill="auto"/>
            <w:vAlign w:val="center"/>
          </w:tcPr>
          <w:p w14:paraId="36E0ABD3">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r w14:paraId="75BBE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72" w:hRule="atLeast"/>
          <w:jc w:val="center"/>
        </w:trPr>
        <w:tc>
          <w:tcPr>
            <w:tcW w:w="524" w:type="dxa"/>
            <w:vAlign w:val="center"/>
          </w:tcPr>
          <w:p w14:paraId="4C61D3A5">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3</w:t>
            </w:r>
          </w:p>
        </w:tc>
        <w:tc>
          <w:tcPr>
            <w:tcW w:w="527" w:type="dxa"/>
            <w:vAlign w:val="center"/>
          </w:tcPr>
          <w:p w14:paraId="41AFE27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p>
          <w:p w14:paraId="54F1DD40">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X3SC202411100051</w:t>
            </w:r>
          </w:p>
        </w:tc>
        <w:tc>
          <w:tcPr>
            <w:tcW w:w="2323" w:type="dxa"/>
            <w:shd w:val="clear" w:color="auto" w:fill="auto"/>
            <w:vAlign w:val="center"/>
          </w:tcPr>
          <w:p w14:paraId="09616AD8">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巴中市鼎立建材有限公司，生产期间窑内所用原材料为石油井队钻出的油脂化学品，严重影响村民的正常生活。</w:t>
            </w:r>
          </w:p>
        </w:tc>
        <w:tc>
          <w:tcPr>
            <w:tcW w:w="717" w:type="dxa"/>
            <w:vAlign w:val="center"/>
          </w:tcPr>
          <w:p w14:paraId="5C9D539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巴州区</w:t>
            </w:r>
          </w:p>
          <w:p w14:paraId="3FA7827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p>
        </w:tc>
        <w:tc>
          <w:tcPr>
            <w:tcW w:w="530" w:type="dxa"/>
            <w:shd w:val="clear" w:color="auto" w:fill="auto"/>
            <w:vAlign w:val="center"/>
          </w:tcPr>
          <w:p w14:paraId="3DA34B9C">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群众身边的生态环境问题</w:t>
            </w:r>
          </w:p>
        </w:tc>
        <w:tc>
          <w:tcPr>
            <w:tcW w:w="8009" w:type="dxa"/>
            <w:shd w:val="clear" w:color="auto" w:fill="auto"/>
            <w:vAlign w:val="center"/>
          </w:tcPr>
          <w:p w14:paraId="3C057EAF">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 xml:space="preserve"> 该投诉件与中央第三生态环境保护督察组交办的第X3SC202411090025内容基本相同，属重复信访。巴中市巴州区人民政府落实区委常委、副区长王春明为包案领导，巴中市巴州生态环境局为牵头单位。2024年11月10日—12日，包案领导王春明率队到现场调查处理。经调查，情况如下：</w:t>
            </w:r>
          </w:p>
          <w:p w14:paraId="5307F55F">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27CF7298">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群众反映信访责任主体为巴中市鼎立建材有限公司，法定代表人王仕刚，统一社会信用代码91511900054130054J，位于巴州区水宁寺镇香炉村四社，成立于2012年9月，主要从事页岩砖的生产和销售。矿区0.0227平方公里，采矿证2023年到期，2024年8月公告注销。该公司周边500米范围内居住有村民30户102人。该公司不在饮用水水源保护区、自然保护区、风景名胜区等区域，未发现非法占用林地、耕地等问题。</w:t>
            </w:r>
          </w:p>
          <w:p w14:paraId="61CEFFC7">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44FDF8BA">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行政审批办理情况。2012年9月28日，巴中市鼎立建材有限公司取得工商营业执照。2016年3月31日，该公司取得“页岩砖厂项目”环评批复文件（巴区环审批〔2016〕31号）；2016年8月11日，取得建设项目竣工环境保护验收的批复（巴区环审验〔2016〕28号）。2024年3月5日该公司取得“水基岩屑一般工业固体废物综合利用项目”环评批复（巴环境巴州审〔2024〕2号）。</w:t>
            </w:r>
          </w:p>
          <w:p w14:paraId="13C5A679">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近两年工作开展情况。巴中市鼎立建材有限公司2015年4月通过挂牌出让取得“巴中市巴州区水宁寺镇香炉村四社香炉山页岩矿”采矿权，矿权证书号：C5119022015047130137816，有效期自2015年4月至2020年4月。期满后，经矿权人申请，2020年办理了采矿延续权，有效期自2020年7月至2023年12月。第二次期满后，该采矿权未申请延续，于2024年8月进行公告注销。2023年7月8日，巴州生态环境局组织全区砖瓦窑企业召开了重污染天气应急响应专题培训会；2024年5月21日，巴州生态环境局组织全区涉水基岩屑收集利用的4家砖厂召开规范管理专题培训会。</w:t>
            </w:r>
          </w:p>
          <w:p w14:paraId="3DD62039">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57A369F9">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生产期间窑内所用原材料为石油井队钻出的油脂化学品”问题。经现场核查，信访反映的油脂化学品为水基岩屑，主要成分为硅酸盐和硫酸盐等稳定的化合物，不具有腐蚀性、浸出毒性等危险特性，属一般工业固废。根据巴环境巴州审〔2024〕2号文件批复，该公司具备水基岩屑处置能力，可将钻井水基岩屑部分替代页岩作为制砖原料，年利用水基岩屑2.5万吨。该公司按照环评要求规范建设了水基岩屑暂存场所，采取了“三防措施”。2024年5月至今，该公司累计收集水基岩屑1.1万吨，处置4060吨，收集的水基岩屑来自通江县、达州市页岩气井。2024年11月10日，巴中市环境监测中心站对该公司暂存的水基岩屑渗滤液进行了取样检测，检测结果显示“石油类”含量为29.2mg/L,略高于《污水综合排放标准》三级标准（20mg/L）,但废水未外排。问题不属实。</w:t>
            </w:r>
          </w:p>
          <w:p w14:paraId="2EC71A3A">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2.关于“严重影响村民的正常生活”的问题。经现场核查，该公司厂区内能闻到二氧化硫气味，原因是旋转窑顶部废气收集烟道漏风严重，废气存在逸散现象。问题属实。</w:t>
            </w:r>
          </w:p>
        </w:tc>
        <w:tc>
          <w:tcPr>
            <w:tcW w:w="524" w:type="dxa"/>
            <w:vAlign w:val="center"/>
          </w:tcPr>
          <w:p w14:paraId="5B2D46B1">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884" w:type="dxa"/>
            <w:shd w:val="clear" w:color="auto" w:fill="auto"/>
            <w:vAlign w:val="center"/>
          </w:tcPr>
          <w:p w14:paraId="0E75916E">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一是巴中市鼎立建材有限公司的废气收集处置问题得到有效解决。</w:t>
            </w:r>
          </w:p>
          <w:p w14:paraId="2CAF3533">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二是完成脱硫塔等污染防治设施的升级改造，确保生产过程中产生的大气污染物达标排放。</w:t>
            </w:r>
          </w:p>
          <w:p w14:paraId="34BCB3D3">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三是回访周围群众，群众认可满意。</w:t>
            </w:r>
          </w:p>
        </w:tc>
        <w:tc>
          <w:tcPr>
            <w:tcW w:w="2821" w:type="dxa"/>
            <w:shd w:val="clear" w:color="auto" w:fill="auto"/>
            <w:vAlign w:val="center"/>
          </w:tcPr>
          <w:p w14:paraId="224EA071">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1.责令该公司立即整改，对废气收集系统进行维修改造。</w:t>
            </w:r>
          </w:p>
          <w:p w14:paraId="158E19E9">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2.该公司已于2024年11月10日主动停止生产进行整改，并于12日委托专业机构编制了《窑炉废气收集治理整改方案》，计划2025年2月10日前完成整改。</w:t>
            </w:r>
          </w:p>
        </w:tc>
        <w:tc>
          <w:tcPr>
            <w:tcW w:w="1183" w:type="dxa"/>
            <w:shd w:val="clear" w:color="auto" w:fill="auto"/>
            <w:vAlign w:val="center"/>
          </w:tcPr>
          <w:p w14:paraId="1FABEE0F">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阶段性办结</w:t>
            </w:r>
          </w:p>
        </w:tc>
        <w:tc>
          <w:tcPr>
            <w:tcW w:w="1534" w:type="dxa"/>
            <w:shd w:val="clear" w:color="auto" w:fill="auto"/>
            <w:vAlign w:val="center"/>
          </w:tcPr>
          <w:p w14:paraId="4BEEA83C">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r w14:paraId="2CF7B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3" w:hRule="atLeast"/>
          <w:jc w:val="center"/>
        </w:trPr>
        <w:tc>
          <w:tcPr>
            <w:tcW w:w="524" w:type="dxa"/>
            <w:vAlign w:val="center"/>
          </w:tcPr>
          <w:p w14:paraId="3CAE1296">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4</w:t>
            </w:r>
          </w:p>
        </w:tc>
        <w:tc>
          <w:tcPr>
            <w:tcW w:w="527" w:type="dxa"/>
            <w:vAlign w:val="center"/>
          </w:tcPr>
          <w:p w14:paraId="6ECB1A83">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14:textFill>
                  <w14:solidFill>
                    <w14:schemeClr w14:val="tx1"/>
                  </w14:solidFill>
                </w14:textFill>
              </w:rPr>
              <w:t>X3SC202411100046</w:t>
            </w:r>
          </w:p>
        </w:tc>
        <w:tc>
          <w:tcPr>
            <w:tcW w:w="2323" w:type="dxa"/>
            <w:shd w:val="clear" w:color="auto" w:fill="auto"/>
            <w:vAlign w:val="center"/>
          </w:tcPr>
          <w:p w14:paraId="038801D4">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通江县境内的“四川五台山猕猴省级自然保护区”和“四川诺水河省级自然保护区”内，大量人员、企业长期从事开采开挖和采伐采收等生产开发建设活动。使用猎套、兽夹、电网等方式进行非法捕猎的行为频发，保护区内动物的栖息地被严重破坏，生存受到严重威胁。</w:t>
            </w:r>
          </w:p>
        </w:tc>
        <w:tc>
          <w:tcPr>
            <w:tcW w:w="717" w:type="dxa"/>
            <w:vAlign w:val="center"/>
          </w:tcPr>
          <w:p w14:paraId="0E76D42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通江县</w:t>
            </w:r>
          </w:p>
        </w:tc>
        <w:tc>
          <w:tcPr>
            <w:tcW w:w="530" w:type="dxa"/>
            <w:shd w:val="clear" w:color="auto" w:fill="auto"/>
            <w:vAlign w:val="center"/>
          </w:tcPr>
          <w:p w14:paraId="6A078CFC">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涉及公共利益的生态环境问题</w:t>
            </w:r>
          </w:p>
        </w:tc>
        <w:tc>
          <w:tcPr>
            <w:tcW w:w="8009" w:type="dxa"/>
            <w:shd w:val="clear" w:color="auto" w:fill="auto"/>
            <w:vAlign w:val="center"/>
          </w:tcPr>
          <w:p w14:paraId="78CF9C4F">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2024年11月11日—11月13日，巴中市林业局局长李旭、副局长潘子健、通江县人民政府副县长熊纯俊率工作专班深入现场调查处理，调查情况如下：</w:t>
            </w:r>
          </w:p>
          <w:p w14:paraId="0DB2E217">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（一）被投诉对象基本情况</w:t>
            </w:r>
          </w:p>
          <w:p w14:paraId="5AE2786E">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四川五台山猕猴省级自然保护区。四川五台山猕猴省级自然保护区位于四川省通江县东北部，2011年3月，经四川省人民政府批复同意为省级自然保护区。其主要保护对象为国家重点保护动物—猕猴，同时兼有保护山地森林生态系统及多种野生珍稀濒危物种种质资源等多种功能的“野生动物类型”自然保护区，自然保护区面积279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，其中：核心区89.825km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，缓冲区52.16km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，实验区137.015km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。根据《中共通江县委机构编制委员会关于县林业系统机构编制事项的批复》（通编委发〔2017〕67号）文件精神，由通江五台山猕猴自然保护区管理处对保护区开展日常巡查工作。</w:t>
            </w:r>
          </w:p>
          <w:p w14:paraId="4FE4462C">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四川诺水河省级自然保护区。四川诺水河省级自然保护区于1997年12月建立，2018年经省人民政府批准，自然保护区区域及功能区划进行调整，将板桥口镇、青峪镇、永安镇部分区域纳入自然保护区，现自然保护区总面积570.43km2，其中：核心区218.21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、缓冲区108.9km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、实验区243.32km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2</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该自然保护区原由通江生态环境局管理，2020年10月，根据《中共通江县委机构编制委员会办公室关于调整县林业局职责机构编制事项的函》（通委编办函〔2019〕26号）划归通江县林业局管理，由通江五台山猕猴自然保护区管理处对保护区开展日常监管工作。</w:t>
            </w:r>
          </w:p>
          <w:p w14:paraId="56B89F36">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（二）近年来工作开展情况</w:t>
            </w:r>
          </w:p>
          <w:p w14:paraId="078ED4E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1.行政审批情况。近年来，四川五台山猕猴省级自然保护区内无行政审批事项；四川诺水河省级自然保护区内存在米仓大道、中石化普光气田勘探等建设项目，均已办理保护地准入、林地使用、林木采伐等许可。</w:t>
            </w:r>
          </w:p>
          <w:p w14:paraId="7ACA6EAB">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工作开展情况。近两年来，市县高度重视自然保护区管理，将其纳入林长制考核重要内容。一是强化日常监管，全方位落实巡护巡查制度，常态开展遥感监测点位核查和生态环境问题整改。二是深入开展自然保护地整合优化，有效化解自然保护区与原住居民生产生活矛盾。三是加强自然生态保护宣传，增强人民群众对自然保护区的认识。四是充分利用省级财政自然保护区资金，完善四川五台山猕猴省级自然保护区管护站建设、数字化监测、智能化界桩等基础设施建设，完成总体规划修编、资源调查与监测等多项工作。</w:t>
            </w:r>
          </w:p>
          <w:p w14:paraId="71900BD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（三）现场调查情况</w:t>
            </w:r>
          </w:p>
          <w:p w14:paraId="559147E5">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1.关于投诉“大量人员、企业长期从事开采开挖和采伐采收等生产开发建设活动”问题：</w:t>
            </w:r>
          </w:p>
          <w:p w14:paraId="3FFADF9A">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开采行为情况。经调查，部分属实。通过执法检查和查阅相关资料，四川五台山猕猴省级自然保护区内未设置矿权，未发现企业和人员在辖区内从事开采行为。四川诺水河省级自然保护区内有2处天然气勘探行为，系中石化西南油气分公司于2009年在青峪镇青水坝村开展天然气勘探，共设置2个井场，分别为马2井和九龙1井，常年工作人员约30人，当时该区域未处于自然保护区。2018年5月，因自然保护区功能区调整，该区域被调入自然保护区。2018年10月，中石化通过内部流转矿权，将马2井和九龙1井流转给中石化中原油田普光分公司通南巴项目部继续开展勘探作业，该项目只在原井场作业，未扩大作业区域。2022年5月，企业因需完善阀室等地面配套设施，由省林草局审批同意进入自然保护区实验区，批复永久占地0.01公顷、临时用地1.54公顷。故投诉的大量人员、企业长期从事开采行为问题部分属实。</w:t>
            </w:r>
          </w:p>
          <w:p w14:paraId="15B61F6A">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开挖行为情况。经调查，部分属实。综合日常执法巡查、森林督查反馈问题图斑比对及群众举报反映情况等，四川五台山猕猴省级自然保护区内近年内未发现违法开挖行为。诺水河至光雾山公路（米仓大道）于2019年开工建设，业主单位为四川米仓山建设工程有限公司，该项开挖行为的调查处理情况已于2024年11月9日以《巴中市人民政府关于巴中市第X3SC202410300083号投诉案件调查处理情况的报告》（巴府环督报〔2024〕5号）上报。故投诉的大量人员、企业长期从事开挖行为问题不属实，但为解决民生所需，新建基础设施等生产开发建设活动属实。</w:t>
            </w:r>
          </w:p>
          <w:p w14:paraId="327C1674">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3）关于采伐行为情况。经调查，部分属实。经查阅通江县林木采伐审批资料，四川五台山猕猴省级自然保护区内近三年未审批林木采伐。诺水河至光雾山公路（米仓大道）项目实施中，因建设需要并经批准，共计在四川诺水河省级自然保护区实验区办理林木采伐许可9批次，累计采伐蓄积1035.2m</w:t>
            </w:r>
            <w:r>
              <w:rPr>
                <w:rFonts w:hint="default" w:ascii="Times New Roman" w:hAnsi="Times New Roman" w:eastAsia="仿宋_GB2312" w:cs="Times New Roman"/>
                <w:color w:val="000000" w:themeColor="text1"/>
                <w:spacing w:val="-11"/>
                <w:w w:val="95"/>
                <w:kern w:val="0"/>
                <w:sz w:val="18"/>
                <w:szCs w:val="18"/>
                <w:highlight w:val="none"/>
                <w:vertAlign w:val="superscript"/>
                <w:lang w:val="en-US" w:eastAsia="zh-CN" w:bidi="ar"/>
                <w14:textFill>
                  <w14:solidFill>
                    <w14:schemeClr w14:val="tx1"/>
                  </w14:solidFill>
                </w14:textFill>
              </w:rPr>
              <w:t>3</w:t>
            </w: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四川诺水河省级自然保护区、四川五台山猕猴省级自然保护区内共有原住居民约3万人，因生产生活需要，零星采伐林木行为时有发生，不存在成片、大规模乱砍滥伐等行为。故投诉的大量人员、企业长期从事采伐行为问题部分属实。</w:t>
            </w:r>
          </w:p>
          <w:p w14:paraId="44B4F967">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4）关于采收行为情况。经调查，部分属实。四川五台山猕猴省级自然保护区、四川诺水河省级自然保护区共辖12个乡镇57个行政村，原住居民因其常年居住深山，条件艰苦，为增加自身收入，部分群众根据时令季节时有进山采集松子、板栗、竹笋等林产品行为，未发现有企业开展采收的行为。故投诉的大量人员长期从事采收行为问题部分属实，但大量企业长期从事采收行为不属实。</w:t>
            </w:r>
          </w:p>
          <w:p w14:paraId="3691DBD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综上，投诉“大量人员、企业长期从事开采开挖和采伐采收等生产开发建设活动”问题部分属实。</w:t>
            </w:r>
          </w:p>
          <w:p w14:paraId="05E0C9BE">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2.关于投诉“使用猎套、兽夹、电网等方式进行非法捕猎的行为频发，保护区内动物的栖息地被严重破坏，生存受到严重威胁”问题。</w:t>
            </w:r>
          </w:p>
          <w:p w14:paraId="557C14BF">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关于非法捕猎情况。经调查，部分属实。通过五台山猕猴省级自然保护区管理机构日常巡查，查阅通江县林业部门、公安部门案卷资料，四川五台山猕猴省级自然保护区内未发现非法狩猎行为。四川诺水河省级自然保护区内2022年查处非法狩猎刑事案件6件（猎套1起、兽夹4起、其他1件）、2023年无非法狩猎案件、2024年查处非法使用猎套行政案件1件。故投诉的“使用猎套、兽夹、电网等方式进行非法捕猎的行为频发”问题部分属实，仅存在少量使用猎套、兽夹非法捕猎行为，未发现电网捕猎行为。</w:t>
            </w:r>
          </w:p>
          <w:p w14:paraId="505F631C">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关于栖息地保护情况。经调查，不属实。自然保护区设立以来，市县高度重视野生动物保护工作，不断加强宣传教育，持续提升监管能力，及时查处、严厉打击违法行为，四川五台山猕猴省级自然保护区、四川诺水河省级自然保护区生态环境持续改善，种群数量大幅增加，保护区内动物的栖息地未被破坏，生存未受到威胁。近3年来，共受理黑熊、野猪、猕猴等野生动物损害农作物案1289起，累计理赔金额29.03万元。故投诉的“保护区内动物的栖息地被严重破坏，生存受到严重威胁”问题不属实。</w:t>
            </w:r>
          </w:p>
          <w:p w14:paraId="743C1C1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综上，投诉“使用猎套、兽夹、电网等方式进行非法捕猎的行为频发，保护区内动物的栖息地被严重破坏，生存受到严重威胁”问题部分属实。</w:t>
            </w:r>
          </w:p>
        </w:tc>
        <w:tc>
          <w:tcPr>
            <w:tcW w:w="524" w:type="dxa"/>
            <w:vAlign w:val="center"/>
          </w:tcPr>
          <w:p w14:paraId="2F532B73">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11"/>
                <w:w w:val="95"/>
                <w:sz w:val="18"/>
                <w:szCs w:val="18"/>
                <w:highlight w:val="none"/>
                <w:lang w:val="en-US" w:eastAsia="zh-CN"/>
                <w14:textFill>
                  <w14:solidFill>
                    <w14:schemeClr w14:val="tx1"/>
                  </w14:solidFill>
                </w14:textFill>
              </w:rPr>
              <w:t>部分属实</w:t>
            </w:r>
          </w:p>
        </w:tc>
        <w:tc>
          <w:tcPr>
            <w:tcW w:w="1884" w:type="dxa"/>
            <w:shd w:val="clear" w:color="auto" w:fill="auto"/>
            <w:vAlign w:val="center"/>
          </w:tcPr>
          <w:p w14:paraId="69CCEB10">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p>
          <w:p w14:paraId="2890FE43">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进一步压紧压实自然保护地监管和生态环境保护责任，标本兼治抓好各项工作。</w:t>
            </w:r>
          </w:p>
          <w:p w14:paraId="6FBF266F">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是健全自然保护地管理体系。严格落实生态红线管理，出台加强自然保护地监管若干措施，完善林业、自规、水利、公安、生态环境和自然保护地管理机构联动机制，建立起权责明晰、制度健全、边界准确、管理有序的自然保护地管理体系。二是多措并举维护生态环境稳定。减少影响自然保护地生物多样性、环境要素的干扰活动，严格审批和监管建设项目进入自然保护地。充分运用遥感影像、视频监控、红外相机等科技手段，加强日常巡查和执法检查力度，建立起“天空地人”一体化监测体系，维护保护区内生态环境稳定，确保野生动物栖息地生态环境不受到破坏。三是营造全民关心支持参与的良好氛围。建立健全涉自然保护地违法犯罪行为举报机制，广泛深入宣传自然保护地功能、效益和巨大作用，宣传国家自然保护区大政方针和政策法规，营造全社会共同关心、支持、参与生态保护的良好氛围。</w:t>
            </w:r>
          </w:p>
        </w:tc>
        <w:tc>
          <w:tcPr>
            <w:tcW w:w="2821" w:type="dxa"/>
            <w:shd w:val="clear" w:color="auto" w:fill="auto"/>
            <w:vAlign w:val="center"/>
          </w:tcPr>
          <w:p w14:paraId="24ABCA52">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（一）关于投诉“大量人员、企业长期从事开采开挖和采伐采收等生产开发建设活动”问题</w:t>
            </w:r>
          </w:p>
          <w:p w14:paraId="3FB7AD09">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责任领导：李  旭  巴中市林业局局长</w:t>
            </w:r>
          </w:p>
          <w:p w14:paraId="1C9C4AC2">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谭青松  通江县委副书记、县长</w:t>
            </w:r>
          </w:p>
          <w:p w14:paraId="0A591E0A">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责任单位：巴中市林业局、通江县人民政府</w:t>
            </w:r>
          </w:p>
          <w:p w14:paraId="31BB4016">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 任 人：潘子健  巴中市林业局副局长</w:t>
            </w:r>
          </w:p>
          <w:p w14:paraId="7E233702">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熊纯俊  通江县人民政府副县长</w:t>
            </w:r>
          </w:p>
          <w:p w14:paraId="077A3AA7">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赵海森  通江县林业局局长</w:t>
            </w:r>
          </w:p>
          <w:p w14:paraId="016246C6">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处罚情况。诺水河至光雾山公路（米仓大道）的处罚情况，已于2024年11月9日以《巴中市人民政府关于巴中市第X3SC202410300083号投诉案件调查处理情况的报告》（巴府环督报〔2024〕5号）上报。本次投诉无行政处罚。</w:t>
            </w:r>
          </w:p>
          <w:p w14:paraId="777BE5F9">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2.整改情况。诺水河至光雾山公路（米仓大道）的整改情况已于2024年11月9日以《巴中市人民政府关于巴中市第X3SC202410300083号投诉案件调查处理情况的报告》（巴府环督报〔2024〕5号）上报。</w:t>
            </w:r>
          </w:p>
          <w:p w14:paraId="292AA8DC">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（二）关于投诉“使用猎套、兽夹、电网等方式进行非法捕猎的行为频发，保护区内动物的栖息地被严重破坏，生存受到严重威胁”问题</w:t>
            </w:r>
          </w:p>
          <w:p w14:paraId="62DD2D9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责任领导：李  旭  巴中市林业局局长</w:t>
            </w:r>
          </w:p>
          <w:p w14:paraId="5D807B3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谭青松  通江县委副书记、县长</w:t>
            </w:r>
          </w:p>
          <w:p w14:paraId="0049976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责任单位：巴中市林业局、通江县人民政府</w:t>
            </w:r>
          </w:p>
          <w:p w14:paraId="3E11CD6B">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责 任 人：潘子健  巴中市林业局副局长</w:t>
            </w:r>
          </w:p>
          <w:p w14:paraId="65340083">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刘家峰  通江县人民政府副县长、公安局局长</w:t>
            </w:r>
          </w:p>
          <w:p w14:paraId="259AAED9">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赵海森  通江县林业局局长</w:t>
            </w:r>
          </w:p>
          <w:p w14:paraId="0F84062E">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1.处罚情况。2022年抓获犯罪嫌疑人16名，移送审查起诉6件16人；2024年处罚1人，处罚款11400元。本次投诉无行政处罚。</w:t>
            </w:r>
          </w:p>
          <w:p w14:paraId="358B26AD">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2.整改情况。一是责成通江县林业局加大自然保护地日常巡查检查力度，加大巡查频次，及时发现和整改存在问题；二是督促五台山猕猴省级自然保护区管理处和辖区乡镇，持续开展清山清套工作，清除原有套子、夹子、陷阱等捕猎工具；三是加强自然保护地及野生动物保护宣传力度，建立健全有奖举报机制，组建公安、林业联合执法队伍，不断强化案件查处，有效震慑犯罪行为。</w:t>
            </w:r>
          </w:p>
        </w:tc>
        <w:tc>
          <w:tcPr>
            <w:tcW w:w="1183" w:type="dxa"/>
            <w:shd w:val="clear" w:color="auto" w:fill="auto"/>
            <w:vAlign w:val="center"/>
          </w:tcPr>
          <w:p w14:paraId="6BEB0E62">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已办结</w:t>
            </w:r>
          </w:p>
        </w:tc>
        <w:tc>
          <w:tcPr>
            <w:tcW w:w="1534" w:type="dxa"/>
            <w:shd w:val="clear" w:color="auto" w:fill="auto"/>
            <w:vAlign w:val="center"/>
          </w:tcPr>
          <w:p w14:paraId="2C644207">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11"/>
                <w:w w:val="95"/>
                <w:kern w:val="0"/>
                <w:sz w:val="18"/>
                <w:szCs w:val="18"/>
                <w:highlight w:val="none"/>
                <w:lang w:val="en-US" w:eastAsia="zh-CN" w:bidi="ar"/>
                <w14:textFill>
                  <w14:solidFill>
                    <w14:schemeClr w14:val="tx1"/>
                  </w14:solidFill>
                </w14:textFill>
              </w:rPr>
              <w:t>无</w:t>
            </w:r>
          </w:p>
        </w:tc>
      </w:tr>
    </w:tbl>
    <w:p w14:paraId="30EBB6FC">
      <w:pPr>
        <w:keepNext w:val="0"/>
        <w:keepLines w:val="0"/>
        <w:pageBreakBefore w:val="0"/>
        <w:widowControl w:val="0"/>
        <w:suppressAutoHyphens/>
        <w:kinsoku/>
        <w:wordWrap/>
        <w:overflowPunct/>
        <w:topLinePunct w:val="0"/>
        <w:autoSpaceDE/>
        <w:autoSpaceDN/>
        <w:bidi w:val="0"/>
        <w:adjustRightInd/>
        <w:snapToGrid w:val="0"/>
        <w:spacing w:line="500" w:lineRule="exact"/>
        <w:jc w:val="both"/>
        <w:textAlignment w:val="auto"/>
        <w:rPr>
          <w:rFonts w:hint="eastAsia" w:ascii="方正小标宋简体" w:hAnsi="方正小标宋简体" w:eastAsia="方正小标宋简体" w:cs="方正小标宋简体"/>
          <w:color w:val="0C0C0C"/>
          <w:sz w:val="32"/>
          <w:szCs w:val="32"/>
          <w:u w:val="none" w:color="000000"/>
        </w:rPr>
      </w:pPr>
    </w:p>
    <w:p w14:paraId="7B56FBD3">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eastAsia" w:ascii="方正小标宋简体" w:hAnsi="方正小标宋简体" w:eastAsia="方正小标宋简体" w:cs="方正小标宋简体"/>
          <w:color w:val="0C0C0C"/>
          <w:sz w:val="32"/>
          <w:szCs w:val="32"/>
          <w:u w:val="none" w:color="000000"/>
        </w:rPr>
      </w:pPr>
    </w:p>
    <w:bookmarkEnd w:id="0"/>
    <w:bookmarkEnd w:id="1"/>
    <w:bookmarkEnd w:id="2"/>
    <w:bookmarkEnd w:id="3"/>
    <w:bookmarkEnd w:id="4"/>
    <w:bookmarkEnd w:id="5"/>
    <w:bookmarkEnd w:id="6"/>
    <w:bookmarkEnd w:id="7"/>
    <w:bookmarkEnd w:id="8"/>
    <w:bookmarkEnd w:id="9"/>
    <w:bookmarkEnd w:id="10"/>
    <w:bookmarkEnd w:id="11"/>
    <w:bookmarkEnd w:id="12"/>
    <w:p w14:paraId="0320B3B6">
      <w:pPr>
        <w:pStyle w:val="2"/>
        <w:rPr>
          <w:rFonts w:hint="eastAsia" w:ascii="Times New Roman" w:hAnsi="Times New Roman" w:eastAsia="仿宋_GB2312"/>
          <w:sz w:val="32"/>
          <w:szCs w:val="32"/>
          <w:lang w:val="en-US" w:eastAsia="zh-CN"/>
        </w:rPr>
        <w:sectPr>
          <w:pgSz w:w="23757" w:h="16783" w:orient="landscape"/>
          <w:pgMar w:top="567" w:right="567" w:bottom="567" w:left="567" w:header="851" w:footer="992" w:gutter="0"/>
          <w:cols w:space="0" w:num="1"/>
          <w:rtlGutter w:val="0"/>
          <w:docGrid w:type="lines" w:linePitch="312" w:charSpace="0"/>
        </w:sectPr>
      </w:pPr>
    </w:p>
    <w:p w14:paraId="35FB11CF">
      <w:pPr>
        <w:pStyle w:val="2"/>
        <w:ind w:left="1598" w:leftChars="304" w:hanging="960" w:hangingChars="300"/>
        <w:rPr>
          <w:rFonts w:hint="eastAsia" w:ascii="Times New Roman" w:hAnsi="Times New Roman" w:eastAsia="仿宋_GB2312"/>
          <w:sz w:val="32"/>
          <w:szCs w:val="32"/>
          <w:lang w:val="en-US" w:eastAsia="zh-CN"/>
        </w:rPr>
      </w:pPr>
    </w:p>
    <w:p w14:paraId="4C66D45B">
      <w:pPr>
        <w:pStyle w:val="2"/>
        <w:ind w:left="1598" w:leftChars="304" w:hanging="960" w:hangingChars="300"/>
        <w:rPr>
          <w:rFonts w:hint="eastAsia" w:ascii="Times New Roman" w:hAnsi="Times New Roman" w:eastAsia="仿宋_GB2312"/>
          <w:sz w:val="32"/>
          <w:szCs w:val="32"/>
          <w:lang w:val="en-US" w:eastAsia="zh-CN"/>
        </w:rPr>
      </w:pPr>
    </w:p>
    <w:p w14:paraId="540AE7F9">
      <w:pPr>
        <w:pStyle w:val="2"/>
        <w:ind w:left="1598" w:leftChars="304" w:hanging="960" w:hangingChars="300"/>
        <w:rPr>
          <w:rFonts w:hint="eastAsia" w:ascii="Times New Roman" w:hAnsi="Times New Roman" w:eastAsia="仿宋_GB2312"/>
          <w:sz w:val="32"/>
          <w:szCs w:val="32"/>
          <w:lang w:val="en-US" w:eastAsia="zh-CN"/>
        </w:rPr>
      </w:pPr>
    </w:p>
    <w:p w14:paraId="683CB7D5">
      <w:pPr>
        <w:pStyle w:val="2"/>
        <w:ind w:left="1598" w:leftChars="304" w:hanging="960" w:hangingChars="300"/>
        <w:rPr>
          <w:rFonts w:hint="eastAsia" w:ascii="Times New Roman" w:hAnsi="Times New Roman" w:eastAsia="仿宋_GB2312"/>
          <w:sz w:val="32"/>
          <w:szCs w:val="32"/>
          <w:lang w:val="en-US" w:eastAsia="zh-CN"/>
        </w:rPr>
      </w:pPr>
    </w:p>
    <w:p w14:paraId="66D5121D">
      <w:pPr>
        <w:pStyle w:val="2"/>
        <w:ind w:left="1598" w:leftChars="304" w:hanging="960" w:hangingChars="300"/>
        <w:rPr>
          <w:rFonts w:hint="eastAsia" w:ascii="Times New Roman" w:hAnsi="Times New Roman" w:eastAsia="仿宋_GB2312"/>
          <w:sz w:val="32"/>
          <w:szCs w:val="32"/>
          <w:lang w:val="en-US" w:eastAsia="zh-CN"/>
        </w:rPr>
      </w:pPr>
    </w:p>
    <w:p w14:paraId="1113BCF0">
      <w:pPr>
        <w:pStyle w:val="2"/>
        <w:ind w:left="1598" w:leftChars="304" w:hanging="960" w:hangingChars="300"/>
        <w:rPr>
          <w:rFonts w:hint="eastAsia" w:ascii="Times New Roman" w:hAnsi="Times New Roman" w:eastAsia="仿宋_GB2312"/>
          <w:sz w:val="32"/>
          <w:szCs w:val="32"/>
          <w:lang w:val="en-US" w:eastAsia="zh-CN"/>
        </w:rPr>
      </w:pPr>
    </w:p>
    <w:p w14:paraId="55D50406">
      <w:pPr>
        <w:pStyle w:val="2"/>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AC726F8"/>
    <w:rsid w:val="0B8541DF"/>
    <w:rsid w:val="0BD95ECE"/>
    <w:rsid w:val="0EDC28B7"/>
    <w:rsid w:val="10473C8F"/>
    <w:rsid w:val="120046DE"/>
    <w:rsid w:val="12312331"/>
    <w:rsid w:val="136E1C99"/>
    <w:rsid w:val="137A5E42"/>
    <w:rsid w:val="143551F7"/>
    <w:rsid w:val="1457556C"/>
    <w:rsid w:val="1EA111A6"/>
    <w:rsid w:val="205B51D9"/>
    <w:rsid w:val="243D14A7"/>
    <w:rsid w:val="24544D26"/>
    <w:rsid w:val="269D3D1B"/>
    <w:rsid w:val="26A04986"/>
    <w:rsid w:val="27DC3138"/>
    <w:rsid w:val="2A647CD5"/>
    <w:rsid w:val="2ADD7A56"/>
    <w:rsid w:val="2CEE7AEF"/>
    <w:rsid w:val="2DDC727C"/>
    <w:rsid w:val="2F8A5231"/>
    <w:rsid w:val="36867ED5"/>
    <w:rsid w:val="37AD5457"/>
    <w:rsid w:val="3965114C"/>
    <w:rsid w:val="39993C0F"/>
    <w:rsid w:val="3EB94281"/>
    <w:rsid w:val="47507358"/>
    <w:rsid w:val="4AB03562"/>
    <w:rsid w:val="4C1A729C"/>
    <w:rsid w:val="4C3F4F72"/>
    <w:rsid w:val="4E5E5A96"/>
    <w:rsid w:val="4E9E1FAD"/>
    <w:rsid w:val="4EA321DE"/>
    <w:rsid w:val="526B783A"/>
    <w:rsid w:val="586830FE"/>
    <w:rsid w:val="5DA24184"/>
    <w:rsid w:val="5E7140B3"/>
    <w:rsid w:val="60DB307B"/>
    <w:rsid w:val="648740CE"/>
    <w:rsid w:val="69BB4200"/>
    <w:rsid w:val="76B65720"/>
    <w:rsid w:val="79EB61DF"/>
    <w:rsid w:val="7F7F3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411</Words>
  <Characters>422</Characters>
  <Lines>0</Lines>
  <Paragraphs>0</Paragraphs>
  <TotalTime>3</TotalTime>
  <ScaleCrop>false</ScaleCrop>
  <LinksUpToDate>false</LinksUpToDate>
  <CharactersWithSpaces>433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2024-10-31T01:27:00Z</dcterms:created>
  <dc:creator>JGSW</dc:creator>
  <cp:lastModifiedBy>Administrator</cp:lastModifiedBy>
  <cp:lastPrinted>2024-10-31T01:40:00Z</cp:lastPrinted>
  <dcterms:modified xsi:type="dcterms:W3CDTF">2024-11-20T07:39:08Z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4C5CEA9D9FB5443092C96C4E6915FB6F_13</vt:lpwstr>
  </property>
</Properties>
</file>