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0166D">
      <w:pPr>
        <w:keepNext w:val="0"/>
        <w:keepLines w:val="0"/>
        <w:pageBreakBefore w:val="0"/>
        <w:widowControl w:val="0"/>
        <w:suppressAutoHyphens/>
        <w:kinsoku/>
        <w:wordWrap/>
        <w:overflowPunct/>
        <w:topLinePunct w:val="0"/>
        <w:autoSpaceDE/>
        <w:autoSpaceDN/>
        <w:bidi w:val="0"/>
        <w:adjustRightInd/>
        <w:snapToGrid w:val="0"/>
        <w:spacing w:after="157" w:afterLines="50" w:line="500" w:lineRule="exact"/>
        <w:jc w:val="center"/>
        <w:textAlignment w:val="auto"/>
        <w:rPr>
          <w:rFonts w:hint="default" w:ascii="Times New Roman" w:hAnsi="Times New Roman" w:eastAsia="方正小标宋简体" w:cs="Times New Roman"/>
          <w:color w:val="0C0C0C"/>
          <w:sz w:val="44"/>
          <w:szCs w:val="44"/>
          <w:highlight w:val="none"/>
          <w:u w:val="none" w:color="000000"/>
        </w:rPr>
      </w:pPr>
      <w:bookmarkStart w:id="13" w:name="_GoBack"/>
      <w:bookmarkEnd w:id="13"/>
      <w:bookmarkStart w:id="0" w:name="_Toc197769102"/>
      <w:bookmarkStart w:id="1" w:name="_Toc989442674"/>
      <w:bookmarkStart w:id="2" w:name="_Toc1728908978"/>
      <w:bookmarkStart w:id="3" w:name="_Toc303834967"/>
      <w:bookmarkStart w:id="4" w:name="_Toc983949643_WPSOffice_Level1"/>
      <w:bookmarkStart w:id="5" w:name="_Toc27984273"/>
      <w:bookmarkStart w:id="6" w:name="_Toc48258533"/>
      <w:bookmarkStart w:id="7" w:name="_Toc51820290"/>
      <w:bookmarkStart w:id="8" w:name="_Toc2013987015"/>
      <w:bookmarkStart w:id="9" w:name="_Toc1714029215"/>
      <w:bookmarkStart w:id="10" w:name="_Toc1682189205"/>
      <w:bookmarkStart w:id="11" w:name="_Toc42981887"/>
      <w:bookmarkStart w:id="12" w:name="_Toc1928623293"/>
      <w:r>
        <w:rPr>
          <w:rFonts w:hint="default" w:ascii="Times New Roman" w:hAnsi="Times New Roman" w:eastAsia="方正小标宋简体" w:cs="Times New Roman"/>
          <w:color w:val="0C0C0C"/>
          <w:sz w:val="44"/>
          <w:szCs w:val="44"/>
          <w:highlight w:val="none"/>
          <w:u w:val="none" w:color="000000"/>
        </w:rPr>
        <w:t>中央生态环境保护督察群众信访举报转办和边督边改公开情况一览表</w:t>
      </w:r>
    </w:p>
    <w:p w14:paraId="5A30BC0D">
      <w:pPr>
        <w:keepNext w:val="0"/>
        <w:keepLines w:val="0"/>
        <w:pageBreakBefore w:val="0"/>
        <w:widowControl w:val="0"/>
        <w:suppressAutoHyphens/>
        <w:kinsoku/>
        <w:wordWrap/>
        <w:overflowPunct/>
        <w:topLinePunct w:val="0"/>
        <w:autoSpaceDE/>
        <w:autoSpaceDN/>
        <w:bidi w:val="0"/>
        <w:adjustRightInd/>
        <w:snapToGrid w:val="0"/>
        <w:spacing w:after="157" w:afterLines="50" w:line="500" w:lineRule="exact"/>
        <w:ind w:firstLine="482" w:firstLineChars="200"/>
        <w:jc w:val="center"/>
        <w:textAlignment w:val="auto"/>
        <w:rPr>
          <w:rFonts w:hint="default" w:ascii="Times New Roman" w:hAnsi="Times New Roman" w:eastAsia="黑体" w:cs="Times New Roman"/>
          <w:b w:val="0"/>
          <w:bCs w:val="0"/>
          <w:sz w:val="24"/>
          <w:highlight w:val="none"/>
        </w:rPr>
      </w:pPr>
      <w:r>
        <w:rPr>
          <w:rFonts w:hint="default" w:ascii="Times New Roman" w:hAnsi="Times New Roman" w:eastAsia="楷体_GB2312" w:cs="Times New Roman"/>
          <w:b/>
          <w:bCs/>
          <w:sz w:val="24"/>
          <w:highlight w:val="none"/>
        </w:rPr>
        <w:t>（第</w:t>
      </w:r>
      <w:r>
        <w:rPr>
          <w:rFonts w:hint="default" w:ascii="Times New Roman" w:hAnsi="Times New Roman" w:eastAsia="楷体_GB2312" w:cs="Times New Roman"/>
          <w:b/>
          <w:bCs/>
          <w:sz w:val="24"/>
          <w:highlight w:val="none"/>
          <w:u w:val="single"/>
        </w:rPr>
        <w:t xml:space="preserve"> </w:t>
      </w:r>
      <w:r>
        <w:rPr>
          <w:rFonts w:hint="eastAsia" w:ascii="Times New Roman" w:hAnsi="Times New Roman" w:eastAsia="楷体_GB2312" w:cs="Times New Roman"/>
          <w:b/>
          <w:bCs/>
          <w:sz w:val="24"/>
          <w:highlight w:val="none"/>
          <w:u w:val="single"/>
          <w:lang w:val="en-US" w:eastAsia="zh-CN"/>
        </w:rPr>
        <w:t>二十</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 xml:space="preserve">批    </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u w:val="single"/>
          <w:lang w:val="en-US" w:eastAsia="zh-CN"/>
        </w:rPr>
        <w:t>2024</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年</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u w:val="single"/>
          <w:lang w:val="en-US" w:eastAsia="zh-CN"/>
        </w:rPr>
        <w:t>11</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 xml:space="preserve">月 </w:t>
      </w:r>
      <w:r>
        <w:rPr>
          <w:rFonts w:hint="default" w:ascii="Times New Roman" w:hAnsi="Times New Roman" w:eastAsia="楷体_GB2312" w:cs="Times New Roman"/>
          <w:b/>
          <w:bCs/>
          <w:sz w:val="24"/>
          <w:highlight w:val="none"/>
          <w:u w:val="single"/>
        </w:rPr>
        <w:t xml:space="preserve"> </w:t>
      </w:r>
      <w:r>
        <w:rPr>
          <w:rFonts w:hint="eastAsia" w:ascii="Times New Roman" w:hAnsi="Times New Roman" w:eastAsia="楷体_GB2312" w:cs="Times New Roman"/>
          <w:b/>
          <w:bCs/>
          <w:sz w:val="24"/>
          <w:highlight w:val="none"/>
          <w:u w:val="single"/>
          <w:lang w:val="en-US" w:eastAsia="zh-CN"/>
        </w:rPr>
        <w:t>16</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日）</w:t>
      </w:r>
    </w:p>
    <w:tbl>
      <w:tblPr>
        <w:tblStyle w:val="4"/>
        <w:tblW w:w="225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0"/>
        <w:gridCol w:w="601"/>
        <w:gridCol w:w="1134"/>
        <w:gridCol w:w="567"/>
        <w:gridCol w:w="605"/>
        <w:gridCol w:w="11339"/>
        <w:gridCol w:w="577"/>
        <w:gridCol w:w="1724"/>
        <w:gridCol w:w="4283"/>
        <w:gridCol w:w="517"/>
        <w:gridCol w:w="733"/>
      </w:tblGrid>
      <w:tr w14:paraId="08611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7" w:hRule="atLeast"/>
          <w:tblHeader/>
          <w:jc w:val="center"/>
        </w:trPr>
        <w:tc>
          <w:tcPr>
            <w:tcW w:w="440" w:type="dxa"/>
            <w:vAlign w:val="center"/>
          </w:tcPr>
          <w:p w14:paraId="68B2BA2E">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序号</w:t>
            </w:r>
          </w:p>
        </w:tc>
        <w:tc>
          <w:tcPr>
            <w:tcW w:w="601" w:type="dxa"/>
            <w:vAlign w:val="center"/>
          </w:tcPr>
          <w:p w14:paraId="6B64A6D5">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受理编号</w:t>
            </w:r>
          </w:p>
        </w:tc>
        <w:tc>
          <w:tcPr>
            <w:tcW w:w="1134" w:type="dxa"/>
            <w:vAlign w:val="center"/>
          </w:tcPr>
          <w:p w14:paraId="18E9154E">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交办问题</w:t>
            </w:r>
          </w:p>
          <w:p w14:paraId="17E7E409">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基本情况</w:t>
            </w:r>
          </w:p>
        </w:tc>
        <w:tc>
          <w:tcPr>
            <w:tcW w:w="567" w:type="dxa"/>
            <w:vAlign w:val="center"/>
          </w:tcPr>
          <w:p w14:paraId="63D1C1AF">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行政</w:t>
            </w:r>
          </w:p>
          <w:p w14:paraId="16BF1181">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区域</w:t>
            </w:r>
          </w:p>
        </w:tc>
        <w:tc>
          <w:tcPr>
            <w:tcW w:w="605" w:type="dxa"/>
            <w:vAlign w:val="center"/>
          </w:tcPr>
          <w:p w14:paraId="0B62B6CC">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问</w:t>
            </w:r>
          </w:p>
          <w:p w14:paraId="5738DD02">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题</w:t>
            </w:r>
          </w:p>
          <w:p w14:paraId="0B5A674C">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类</w:t>
            </w:r>
          </w:p>
          <w:p w14:paraId="7C16C2A6">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型</w:t>
            </w:r>
          </w:p>
        </w:tc>
        <w:tc>
          <w:tcPr>
            <w:tcW w:w="11339" w:type="dxa"/>
            <w:vAlign w:val="center"/>
          </w:tcPr>
          <w:p w14:paraId="7CBFE9F5">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调查核实情况</w:t>
            </w:r>
          </w:p>
        </w:tc>
        <w:tc>
          <w:tcPr>
            <w:tcW w:w="577" w:type="dxa"/>
            <w:vAlign w:val="center"/>
          </w:tcPr>
          <w:p w14:paraId="45B30347">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是否</w:t>
            </w:r>
          </w:p>
          <w:p w14:paraId="2FB27473">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属实</w:t>
            </w:r>
          </w:p>
        </w:tc>
        <w:tc>
          <w:tcPr>
            <w:tcW w:w="1724" w:type="dxa"/>
            <w:vAlign w:val="center"/>
          </w:tcPr>
          <w:p w14:paraId="6FE239D9">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办结</w:t>
            </w:r>
          </w:p>
          <w:p w14:paraId="37CE17D0">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目标</w:t>
            </w:r>
          </w:p>
        </w:tc>
        <w:tc>
          <w:tcPr>
            <w:tcW w:w="4283" w:type="dxa"/>
            <w:vAlign w:val="center"/>
          </w:tcPr>
          <w:p w14:paraId="565FA6E7">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处理和整改</w:t>
            </w:r>
          </w:p>
          <w:p w14:paraId="1D210B8C">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情况</w:t>
            </w:r>
          </w:p>
        </w:tc>
        <w:tc>
          <w:tcPr>
            <w:tcW w:w="517" w:type="dxa"/>
            <w:vAlign w:val="center"/>
          </w:tcPr>
          <w:p w14:paraId="1F2266F6">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是否</w:t>
            </w:r>
          </w:p>
          <w:p w14:paraId="2AC24AC0">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办结</w:t>
            </w:r>
          </w:p>
        </w:tc>
        <w:tc>
          <w:tcPr>
            <w:tcW w:w="733" w:type="dxa"/>
            <w:vAlign w:val="center"/>
          </w:tcPr>
          <w:p w14:paraId="19637FD3">
            <w:pPr>
              <w:keepNext w:val="0"/>
              <w:keepLines w:val="0"/>
              <w:pageBreakBefore w:val="0"/>
              <w:widowControl w:val="0"/>
              <w:suppressAutoHyphens/>
              <w:kinsoku/>
              <w:wordWrap/>
              <w:overflowPunct/>
              <w:topLinePunct w:val="0"/>
              <w:autoSpaceDE/>
              <w:autoSpaceDN/>
              <w:bidi w:val="0"/>
              <w:adjustRightInd/>
              <w:snapToGrid w:val="0"/>
              <w:spacing w:line="200" w:lineRule="exact"/>
              <w:ind w:left="0" w:leftChars="0" w:right="0" w:rightChars="0" w:firstLine="0" w:firstLineChars="0"/>
              <w:jc w:val="center"/>
              <w:textAlignment w:val="auto"/>
              <w:outlineLvl w:val="9"/>
              <w:rPr>
                <w:rFonts w:hint="default" w:ascii="Times New Roman" w:hAnsi="Times New Roman" w:eastAsia="楷体_GB2312" w:cs="Times New Roman"/>
                <w:b/>
                <w:bCs/>
                <w:sz w:val="18"/>
                <w:szCs w:val="18"/>
                <w:highlight w:val="none"/>
              </w:rPr>
            </w:pPr>
            <w:r>
              <w:rPr>
                <w:rFonts w:hint="default" w:ascii="Times New Roman" w:hAnsi="Times New Roman" w:eastAsia="楷体_GB2312" w:cs="Times New Roman"/>
                <w:b/>
                <w:bCs/>
                <w:sz w:val="18"/>
                <w:szCs w:val="18"/>
                <w:highlight w:val="none"/>
              </w:rPr>
              <w:t>责任人被处理情况</w:t>
            </w:r>
          </w:p>
        </w:tc>
      </w:tr>
      <w:tr w14:paraId="575FC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36" w:hRule="atLeast"/>
          <w:jc w:val="center"/>
        </w:trPr>
        <w:tc>
          <w:tcPr>
            <w:tcW w:w="440" w:type="dxa"/>
            <w:vAlign w:val="center"/>
          </w:tcPr>
          <w:p w14:paraId="30953B8C">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1</w:t>
            </w:r>
          </w:p>
        </w:tc>
        <w:tc>
          <w:tcPr>
            <w:tcW w:w="601" w:type="dxa"/>
            <w:vAlign w:val="center"/>
          </w:tcPr>
          <w:p w14:paraId="0989668C">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D3SC202411060075</w:t>
            </w:r>
          </w:p>
        </w:tc>
        <w:tc>
          <w:tcPr>
            <w:tcW w:w="1134" w:type="dxa"/>
            <w:vAlign w:val="center"/>
          </w:tcPr>
          <w:p w14:paraId="1E2854B4">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南江县磊鑫矿业、竹坝铁矿、平安矿业、咸丰铁矿、圣宝矿业、中凌矿业、四通矿业等20余家矿场毁坏林地，环保手续不齐全，环保设施不完善，夜间偷排废水至河道。目前，很多企业停产躲避检查。</w:t>
            </w:r>
          </w:p>
        </w:tc>
        <w:tc>
          <w:tcPr>
            <w:tcW w:w="567" w:type="dxa"/>
            <w:vAlign w:val="center"/>
          </w:tcPr>
          <w:p w14:paraId="7CE2F43B">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lang w:val="en-US" w:eastAsia="zh-CN"/>
              </w:rPr>
              <w:t>南江</w:t>
            </w:r>
            <w:r>
              <w:rPr>
                <w:rFonts w:hint="default" w:ascii="Times New Roman" w:hAnsi="Times New Roman" w:eastAsia="仿宋_GB2312" w:cs="Times New Roman"/>
                <w:sz w:val="18"/>
                <w:szCs w:val="18"/>
                <w:highlight w:val="none"/>
                <w:lang w:eastAsia="zh-CN"/>
              </w:rPr>
              <w:t>县</w:t>
            </w:r>
          </w:p>
        </w:tc>
        <w:tc>
          <w:tcPr>
            <w:tcW w:w="605" w:type="dxa"/>
            <w:vAlign w:val="center"/>
          </w:tcPr>
          <w:p w14:paraId="7F1195BD">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群众身边的生态环境问题</w:t>
            </w:r>
          </w:p>
        </w:tc>
        <w:tc>
          <w:tcPr>
            <w:tcW w:w="11339" w:type="dxa"/>
            <w:vAlign w:val="center"/>
          </w:tcPr>
          <w:p w14:paraId="379848CA">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2024年11月7日至11月11日，由市生态环境局党组成员、环境总监刘文和南江县县委副书记、县长韩君才牵头，市生态环境局副局长李斐、三级调研员冷发林、南江县副县长王才华及市生态环境局、市林业局、巴州生态环境局、恩阳生态环境局、南江生态环境局、南江县林业局、南江县自然资源和规划局、辖区相关乡镇（街道）等工作人员为成员，组成工作专班，开展调查处理工作。经调查，情况如下：</w:t>
            </w:r>
          </w:p>
          <w:p w14:paraId="3D626EAE">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（一）被投诉对象基本情况</w:t>
            </w:r>
          </w:p>
          <w:p w14:paraId="66904339">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南江县共设置矿业权62宗，其中采矿权47宗，探矿权15宗。因未取得安全生产许可证、矿业权注销、安全事故长期停产整改以及未开展探矿等32家矿业权未纳入调查范围，本次对剩下30宗矿业权（含磊鑫矿业、竹坝铁矿、平安矿业、咸丰铁矿、圣宝矿业、中凌矿业、四通矿业等27家矿企）开展了现场核查，其中四通矿业、平安矿业探矿权位于南江县金台水库集中式饮用水水源准保护区（四通矿业于2015年完成探矿工作）。</w:t>
            </w:r>
          </w:p>
          <w:p w14:paraId="0372A90A">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（二）近年来工作开展情况</w:t>
            </w:r>
          </w:p>
          <w:p w14:paraId="244353BA">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行政审批情况。市、县级主管部门按照“前期选址介入、中期指导办理、后期组卷上报”和“统一平台、并联审查、联网审批、限时办结”要求，先后对南江县矿山企业依法依规办理了矿业权审批、林地使用许可、环评批复等相关手续，本次排查发现除极个别情况外，有关矿山企业均办理了相关手续。</w:t>
            </w:r>
          </w:p>
          <w:p w14:paraId="4F45D235">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日常监管情况。近年来市、县自然资源和规划、生态环境、林业等主管部门对上述矿山企业开展了常态巡查监督，重点监督矿山是否按安全设施设计和开发利用方案进行开采、是否正常运行环保设施、是否超占林地耕地等，督促企业落实安全生产规定、规范处置废渣废水、矿山生态修复等工作。2022年10月以来，林业主管部门先后对矿山企业在生产经营中违法使用林地行为进行12批次行政处罚，共计处罚金181.568万元；自然资源主管部门对存在超层越界违法采矿行为的5个矿山进行了行政处罚，共计处罚金13.76万元，没收非法所得50.59万元，赔偿损失16.95万元。</w:t>
            </w:r>
          </w:p>
          <w:p w14:paraId="62C3CFF9">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（三）现场调查情况</w:t>
            </w:r>
          </w:p>
          <w:p w14:paraId="7E4DA840">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关于“矿场毁坏林地”问题。经调查，信访反映问题部分属实。在30宗矿业权中有海福矿业、峰磊建材、金砂建材、圣堡矿业、莲花石业、梅桂石材、埃立克矿业等7宗矿业权超审批范围违法占用林地共10.2266公顷、毁坏林木蓄积共52.93立方米、毁坏幼苗共1364株。南江县林业局已对上述企业进行查处，共计处罚金147.1408万元，其中金砂建材、莲花石业违法行为已移交南江县公安局调查。</w:t>
            </w:r>
          </w:p>
          <w:p w14:paraId="27D73536">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关于“矿场环保手续不齐全”问题。经调查，信访反映问题部分属实。在30宗矿业权中有2宗存在环保手续不齐全，其中南江莲花石业有限责任公司加工厂近期均扩建了铁精矿选矿设施，未办理环评审批手续。南江县海福矿业有限公司“南江县渔坝村李家湾建筑用石料开采及加工建设项目”中废水、废气方面未开展环保竣工验收。</w:t>
            </w:r>
          </w:p>
          <w:p w14:paraId="1C738E37">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3．关于“矿场环保设施不完善”问题。经调查，信访反映问题部分属实。南江水泥集团、南水建材、旺鹏建材、圣堡矿业、莲花石业、家贵矿业、安庆矿业、启德煤业、峰磊公司等9个企业分别存在采矿区未安装降尘设施，加工车间未密闭，场地未硬化，无废水收集设施，污泥、废油桶堆放不规范，危险废物暂存间标识标牌不规范，未按要求建设车辆冲洗和回用设施；现场管理不到位，废水沉淀池未及时清理，存在泥砂流入外环境的现象。</w:t>
            </w:r>
          </w:p>
          <w:p w14:paraId="5279366B">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4．关于“矿场夜间偷排废水至河道”问题。经调查，反映问题不属实。本次现场调查未发现27家矿山企业存在偷排现象；经梳理近年来群众投诉反映台账和日常巡查记录，也未发现上述企业在夜间偷排废水至河道的行为。</w:t>
            </w:r>
          </w:p>
          <w:p w14:paraId="044B8F05">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5．关于“目前，很多企业停产躲避检查”问题。经调查，信访反映问题不属实。在27家矿山企业中，旺鹏建材、交投建材处于建设期；咸丰铁矿因矿业权注销关闭；梅桂石材、天源矿业、赤坝石膏矿因安全许可证到期停产；埃立克矿业因企业经营困难自行停产；中凌矿业因矿业权注销停止探矿；磊鑫矿业、平安矿业属探矿企业，一直未开展生产经营活动；其余17家矿企均根据企业自身经营状况和生产计划正常生产经营。因此，企业不存在因躲避检查而停产的情况。</w:t>
            </w:r>
          </w:p>
        </w:tc>
        <w:tc>
          <w:tcPr>
            <w:tcW w:w="577" w:type="dxa"/>
            <w:vAlign w:val="center"/>
          </w:tcPr>
          <w:p w14:paraId="581324C1">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部分属实</w:t>
            </w:r>
          </w:p>
        </w:tc>
        <w:tc>
          <w:tcPr>
            <w:tcW w:w="1724" w:type="dxa"/>
            <w:vAlign w:val="center"/>
          </w:tcPr>
          <w:p w14:paraId="2C92B9C5">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全面压实地方党委政府对矿山监管和生态环境保护责任，坚决依法依规对违法行为进行调查处理，督促企业及时办理相关行政审批手续。强化矿山常态化监管，对违法使用林地行为及时发现、依法查处，督促企业恢复植被和林业生产条件。督促指导企业按照环评文件要求落实各项污染防治措施，依法查处生态环境违法行为，确保矿山企业依法依规经营。</w:t>
            </w:r>
          </w:p>
        </w:tc>
        <w:tc>
          <w:tcPr>
            <w:tcW w:w="4283" w:type="dxa"/>
            <w:vAlign w:val="center"/>
          </w:tcPr>
          <w:p w14:paraId="3C346A68">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针对群众反映的“南江县磊鑫矿业、竹坝铁矿、平安矿业、咸丰铁矿、圣宝矿业、中凌矿业、四通矿业等20余家矿场毁坏林地，环保手续不齐全，环保设施不完善，夜间偷排废水至河道。目前，很多企业停产躲避检查”问题，巴中市委、市政府高度重视，责成南江县委、县政府成立工作专班，负责问题整改，目前南江县已制定整改方案，具体整改情况如下。</w:t>
            </w:r>
          </w:p>
          <w:p w14:paraId="364B2C44">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1．行政处罚方面</w:t>
            </w:r>
          </w:p>
          <w:p w14:paraId="01BE856F">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下一步，由南江生态环境局按程序对莲花石业涉嫌未办理环评审批手续擅自扩建铁精矿选矿设施和南江县海福矿业有限公司的李家湾建筑用石料开采及加工建设项目涉嫌未对废水、废气污染防治方面开展环保竣工验收的违法行为进行立案调查处理。</w:t>
            </w:r>
          </w:p>
          <w:p w14:paraId="51921AD3">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2．责成被投诉单位整改情况</w:t>
            </w:r>
          </w:p>
          <w:p w14:paraId="0962A709">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（1）责成南江水泥集团在采矿区科学设置喷淋或雾炮机等降尘设施，对加工车间进行密闭，对原料堆放区和成品堆放区进行硬化，规范设置场地废水收集设施，2025年6月30日前完成整改工作。</w:t>
            </w:r>
          </w:p>
          <w:p w14:paraId="3D69A04B">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（2）责成南水建材对加工车间进行密闭，在采矿区科学设置喷淋或雾炮机等降尘设施，落实专人负责巡查管护，及时清掏沉淀池，2024年12月30日前完成整改工作。</w:t>
            </w:r>
          </w:p>
          <w:p w14:paraId="450B60E2">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（3）责成旺鹏建材规范堆存污泥，在采矿区科学设置喷淋或雾炮机等降尘设施，落实专人负责巡查管护，及时清掏沉淀池，2024年12月10日前完成整改工作。</w:t>
            </w:r>
          </w:p>
          <w:p w14:paraId="7BF3D5DA">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（4）责成海福矿业限期恢复林业生产条件和植被，开展环保竣工自主验收，对涉嫌“未验先投”环境违法行为依法调查处理，2025年6月30日前完成整改工作。</w:t>
            </w:r>
          </w:p>
          <w:p w14:paraId="7B6659A5">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（5）责成峰磊建材限期恢复林业生产条件和植被，规范储存危险废物，2025年6月30日前完成整改工作。</w:t>
            </w:r>
          </w:p>
          <w:p w14:paraId="53248975">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（6）责成金砂建材限期恢复林业生产条件和植被或申办林地使用手续，2025年5月30日前完成整改工作。</w:t>
            </w:r>
          </w:p>
          <w:p w14:paraId="69BF3FD5">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（7）责成圣堡矿业规范建设截排水沟及沉淀池，限期恢复林业生产条件和植被或申办林地使用手续，2025年6月30日前完成整改工作。</w:t>
            </w:r>
          </w:p>
          <w:p w14:paraId="23C776C4">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8）责成莲花石业一、二采矿区生产加工厂对新建铁精矿选矿设施办理环评手续，对加工厂场地进行硬化，规范建设截排水沟及沉淀池，对二采区生产车间进行密闭，落实专人负责巡查管护，及时清掏沉淀池，限期恢复林业生产条件和植被或申办林地使用手续，对涉嫌“未批先建”环境违法行为依法调查处理，2025年9月30日前完成整改工作。</w:t>
            </w:r>
          </w:p>
          <w:p w14:paraId="14719545">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（9）责成梅桂石材限期恢复林业生产条件和植被，2025年12月30日前完成整改工作。</w:t>
            </w:r>
          </w:p>
          <w:p w14:paraId="1F85978A">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（10）责成家贵矿业规范储存危险废物，规范建设截排水沟及沉淀池，加强矿山复垦管护，提高植物成活率，2025年3月30日前完成整改工作。</w:t>
            </w:r>
          </w:p>
          <w:p w14:paraId="52865AD9">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（11）责成埃立克矿业限期恢复林业生产条件和植被或申办林地使用手续，2025年3月30日前完成整改工作。</w:t>
            </w:r>
          </w:p>
          <w:p w14:paraId="75A32909">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（12）责成安庆矿业对加工车间进行密闭，完善降尘措施，规范设置危险废物暂存间标识标牌，建设完善厂区雨污分流设施，2024年12月30日前完成整改工作。</w:t>
            </w:r>
          </w:p>
          <w:p w14:paraId="5503D214">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（13）责成赤坝石膏修订《突发环境事件应急预案》并备案，2024年12月10日前完成整改工作。</w:t>
            </w:r>
          </w:p>
          <w:p w14:paraId="5C719976">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（14）责成启德煤业在煤炭上车区设置喷淋等降尘设施，按要求建设车辆冲洗回用设施，规范固废台账管理，2024年12月30日前完成整改工作。</w:t>
            </w:r>
          </w:p>
        </w:tc>
        <w:tc>
          <w:tcPr>
            <w:tcW w:w="517" w:type="dxa"/>
            <w:vAlign w:val="center"/>
          </w:tcPr>
          <w:p w14:paraId="41B6EA5D">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both"/>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阶段性办结</w:t>
            </w:r>
          </w:p>
        </w:tc>
        <w:tc>
          <w:tcPr>
            <w:tcW w:w="733" w:type="dxa"/>
            <w:vAlign w:val="center"/>
          </w:tcPr>
          <w:p w14:paraId="6D986B25">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无</w:t>
            </w:r>
          </w:p>
        </w:tc>
      </w:tr>
      <w:tr w14:paraId="734D6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7" w:hRule="atLeast"/>
          <w:jc w:val="center"/>
        </w:trPr>
        <w:tc>
          <w:tcPr>
            <w:tcW w:w="440" w:type="dxa"/>
            <w:vAlign w:val="center"/>
          </w:tcPr>
          <w:p w14:paraId="0C4C190E">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2</w:t>
            </w:r>
          </w:p>
        </w:tc>
        <w:tc>
          <w:tcPr>
            <w:tcW w:w="601" w:type="dxa"/>
            <w:vAlign w:val="center"/>
          </w:tcPr>
          <w:p w14:paraId="797E8AA1">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ab/>
            </w:r>
            <w:r>
              <w:rPr>
                <w:rFonts w:hint="default" w:ascii="Times New Roman" w:hAnsi="Times New Roman" w:eastAsia="仿宋_GB2312" w:cs="Times New Roman"/>
                <w:sz w:val="18"/>
                <w:szCs w:val="18"/>
                <w:highlight w:val="none"/>
              </w:rPr>
              <w:t>X3SC202411060042</w:t>
            </w:r>
          </w:p>
        </w:tc>
        <w:tc>
          <w:tcPr>
            <w:tcW w:w="1134" w:type="dxa"/>
            <w:vAlign w:val="center"/>
          </w:tcPr>
          <w:p w14:paraId="1DF7DB1B">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厂河沟村三组（屈家坪）的露天砂石加工厂破坏基本农田，未能有效治理噪音和扬尘，雨季存在塌方和泥石流等隐患。</w:t>
            </w:r>
          </w:p>
        </w:tc>
        <w:tc>
          <w:tcPr>
            <w:tcW w:w="567" w:type="dxa"/>
            <w:vAlign w:val="center"/>
          </w:tcPr>
          <w:p w14:paraId="01B1A34E">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lang w:eastAsia="zh-CN"/>
              </w:rPr>
              <w:t>通江县</w:t>
            </w:r>
          </w:p>
        </w:tc>
        <w:tc>
          <w:tcPr>
            <w:tcW w:w="605" w:type="dxa"/>
            <w:vAlign w:val="center"/>
          </w:tcPr>
          <w:p w14:paraId="6E06A7D2">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群众身边的生态环境问题</w:t>
            </w:r>
          </w:p>
        </w:tc>
        <w:tc>
          <w:tcPr>
            <w:tcW w:w="11339" w:type="dxa"/>
            <w:vAlign w:val="center"/>
          </w:tcPr>
          <w:p w14:paraId="24D7EADF">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2024年11月7日至11月8日，县委常委、统战部部长郑章军率工作专班深入现场开展调查处理工作，相关情况如下：</w:t>
            </w:r>
          </w:p>
          <w:p w14:paraId="28DBD1DE">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一、被投诉对象基本情况</w:t>
            </w:r>
          </w:p>
          <w:p w14:paraId="547B3E6A">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信访反映的屈家坪露天砂石加工厂为通江县鸿发建材有限责任公司，该公司法定代表人：张</w:t>
            </w:r>
            <w:r>
              <w:rPr>
                <w:rFonts w:hint="eastAsia" w:ascii="Times New Roman" w:hAnsi="Times New Roman" w:eastAsia="仿宋_GB2312" w:cs="Times New Roman"/>
                <w:sz w:val="18"/>
                <w:szCs w:val="18"/>
                <w:highlight w:val="none"/>
                <w:lang w:val="en-US" w:eastAsia="zh-CN"/>
              </w:rPr>
              <w:t>某</w:t>
            </w:r>
            <w:r>
              <w:rPr>
                <w:rFonts w:hint="default" w:ascii="Times New Roman" w:hAnsi="Times New Roman" w:eastAsia="仿宋_GB2312" w:cs="Times New Roman"/>
                <w:sz w:val="18"/>
                <w:szCs w:val="18"/>
                <w:highlight w:val="none"/>
              </w:rPr>
              <w:t>建，2015年6月取得营业执照，统一社会信用代码：91511921345868059Q，注册地址：四川省巴中市通江县铁厂河乡厂河沟村3社（现诺水河镇厂河沟村三社），经营范围：砂石加工（来料加工）与销售。该加工厂因资金回收不到位，加之销路不畅，在2024年9月下旬暂时停止生产，目前厂区堆存成品料1万余吨仍在正常销售。</w:t>
            </w:r>
          </w:p>
          <w:p w14:paraId="32D8DADA">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二、近年来工作开展情况</w:t>
            </w:r>
          </w:p>
          <w:p w14:paraId="1CBF6FDA">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2015年9月，通江县鸿发建材有限责任公司完成建设项目备案，备案号：川投资备[51192115090901]091号；2015年12月取得环境影响报告批复；2016年9月取得环境保护验收批复。县自然资源和规划局、县应急管理局、通江生态环境局等相关职能部门定期开展巡查监督，督导该砂石加工企业落实环保和安全生产主体责任，定期维护环保设施设备。</w:t>
            </w:r>
          </w:p>
          <w:p w14:paraId="53FDFC47">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三、现场调查情况</w:t>
            </w:r>
          </w:p>
          <w:p w14:paraId="720055A1">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关于“通江县厂河沟村三组（屈家坪）的露天砂石加工厂破坏基本农田”问题。经核实，通江县鸿发建材有限责任公司厂区占地4082平方米（办公房占地648平方米、加工厂及堆码区占地3434平方米），经与2023年度国土变更调查成果和2024年3月自然资源部下发的永久基本农田核实处置成果矢量数据比对，该地块属建设用地，不属于基本农田。</w:t>
            </w:r>
          </w:p>
          <w:p w14:paraId="09AFBCB3">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综上，信访人反映的“通江县厂河沟村三组（屈家坪）的露天砂石加工厂破坏基本农田”问题不属实。</w:t>
            </w:r>
          </w:p>
          <w:p w14:paraId="0660B5D2">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关于“未能有效治理噪音和扬尘”问题。一是“未能有效治理噪音”问题不属实。经核实，该厂区主要因箱破作业产生噪音，但加工厂破碎车间采用了密闭式降噪处理，经走访厂区周边6户居民（距离厂界最近约200米），生产期间产生的噪音不影响正常生活（因企业目前暂未生产，无法监测工况噪声数据）。二是“未能有效治理扬尘”问题属实。经现场核实，厂区边界、原料堆场、成品料堆场围挡不完善，厂区边界、生产车间建设了喷淋喷雾设施，厂区内及进场路面存在覆土，经走访了解周边群众，加工生产期间车辆进出厂时存在扬尘。</w:t>
            </w:r>
          </w:p>
          <w:p w14:paraId="134FEB18">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综上，信访人反映的“未能有效治理噪音和扬尘”问题部分属实。</w:t>
            </w:r>
          </w:p>
          <w:p w14:paraId="6C76F3EA">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3.关于“雨季存在塌方和泥石流”问题。经核实，该厂区所处位置较为平坦，周边地质构造较为稳定，经自规部门核实，该位置不属于地质灾害隐患点。经走访了解周边群众，均表示加工厂周边未发生过塌方和泥石流情况，该区域不存在塌方和泥石流隐患。</w:t>
            </w:r>
          </w:p>
          <w:p w14:paraId="71BA68C5">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综上，信访人反映的“雨季存在塌方和泥石流”问题不属实。</w:t>
            </w:r>
          </w:p>
        </w:tc>
        <w:tc>
          <w:tcPr>
            <w:tcW w:w="577" w:type="dxa"/>
            <w:vAlign w:val="center"/>
          </w:tcPr>
          <w:p w14:paraId="58CB419E">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sz w:val="18"/>
                <w:szCs w:val="18"/>
                <w:highlight w:val="none"/>
                <w:lang w:val="en-US" w:eastAsia="zh-CN"/>
              </w:rPr>
            </w:pPr>
          </w:p>
          <w:p w14:paraId="4F8057EC">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部分属实</w:t>
            </w:r>
          </w:p>
        </w:tc>
        <w:tc>
          <w:tcPr>
            <w:tcW w:w="1724" w:type="dxa"/>
            <w:vAlign w:val="center"/>
          </w:tcPr>
          <w:p w14:paraId="118C2611">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一是健全“县、乡（镇）、村三级田长+网络员”巡田工作机制，全覆盖压实耕地保护责任，尤其做好永久基本农田保护工作。二是逗硬督促企业落实环境保护责任，规范设置环保设施，定期检查设备运行，全面做好减噪、抑尘工作，确保周边群众生产生活不受影响。三是压实安全生产主体责任，责成相关职能部门定期前往企业开展安全检查，确保企业在安全前提下依法依规生产经营。</w:t>
            </w:r>
          </w:p>
        </w:tc>
        <w:tc>
          <w:tcPr>
            <w:tcW w:w="4283" w:type="dxa"/>
            <w:vAlign w:val="center"/>
          </w:tcPr>
          <w:p w14:paraId="0693BE76">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关于“未能有效治理扬尘”问题处理情况</w:t>
            </w:r>
          </w:p>
          <w:p w14:paraId="5F63AE8D">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1.行政处罚情况。无。</w:t>
            </w:r>
          </w:p>
          <w:p w14:paraId="5F7319DB">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责成被投诉单位整改情况。已督促企业完善厂区边界、原料堆场、成品料堆场围挡，对厂区内及进场道路覆土进行清理，严格落实扬尘防治措施，确保喷淋喷雾等环保设施正常运行。督促企业控制生产时段，严禁在居民休息时间生产。同时，由通江生态环境局、诺水河镇加强巡查监管，及时解决相关环保问题。已完成整改工作。</w:t>
            </w:r>
          </w:p>
        </w:tc>
        <w:tc>
          <w:tcPr>
            <w:tcW w:w="517" w:type="dxa"/>
            <w:vAlign w:val="center"/>
          </w:tcPr>
          <w:p w14:paraId="40F0B501">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both"/>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已办结</w:t>
            </w:r>
          </w:p>
        </w:tc>
        <w:tc>
          <w:tcPr>
            <w:tcW w:w="733" w:type="dxa"/>
            <w:vAlign w:val="center"/>
          </w:tcPr>
          <w:p w14:paraId="1D773A39">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无</w:t>
            </w:r>
          </w:p>
        </w:tc>
      </w:tr>
      <w:tr w14:paraId="587EB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67" w:hRule="atLeast"/>
          <w:jc w:val="center"/>
        </w:trPr>
        <w:tc>
          <w:tcPr>
            <w:tcW w:w="440" w:type="dxa"/>
            <w:vAlign w:val="center"/>
          </w:tcPr>
          <w:p w14:paraId="2FB99578">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3</w:t>
            </w:r>
          </w:p>
        </w:tc>
        <w:tc>
          <w:tcPr>
            <w:tcW w:w="601" w:type="dxa"/>
            <w:vAlign w:val="center"/>
          </w:tcPr>
          <w:p w14:paraId="091001FB">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X3SC202411060044</w:t>
            </w:r>
          </w:p>
        </w:tc>
        <w:tc>
          <w:tcPr>
            <w:tcW w:w="1134" w:type="dxa"/>
            <w:vAlign w:val="center"/>
          </w:tcPr>
          <w:p w14:paraId="2329859F">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铁佛镇观音岩大沟下原来是铁佛镇擅自确定的生活垃圾倾倒点，十几年来倾倒生活垃圾上万吨，虽经县里规划统一转运处理生活垃圾，该处仍然存在倾倒生活垃圾和建筑垃圾情况。每到雨水季节生活垃圾堵塞涵洞山沟，损毁乡道公路，白色生活垃圾遍布山林，散发恶臭，渗漏的污水影响下游铁佛镇饮用水源地。</w:t>
            </w:r>
          </w:p>
        </w:tc>
        <w:tc>
          <w:tcPr>
            <w:tcW w:w="567" w:type="dxa"/>
            <w:vAlign w:val="center"/>
          </w:tcPr>
          <w:p w14:paraId="17116E5A">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lang w:eastAsia="zh-CN"/>
              </w:rPr>
              <w:t>通江县</w:t>
            </w:r>
          </w:p>
        </w:tc>
        <w:tc>
          <w:tcPr>
            <w:tcW w:w="605" w:type="dxa"/>
            <w:vAlign w:val="center"/>
          </w:tcPr>
          <w:p w14:paraId="3B3EB545">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群众身边的生态环境问题</w:t>
            </w:r>
          </w:p>
        </w:tc>
        <w:tc>
          <w:tcPr>
            <w:tcW w:w="11339" w:type="dxa"/>
            <w:vAlign w:val="center"/>
          </w:tcPr>
          <w:p w14:paraId="299BC59A">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一、基本情况</w:t>
            </w:r>
          </w:p>
          <w:p w14:paraId="4034AE87">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群众向中央第三生态环境保护督察组反映“铁佛镇观音岩大沟下原来是铁佛镇擅自确定的生活垃圾倾倒点，十几年来倾倒生活垃圾上万吨，虽经县里规划统一转运处理生活垃圾，该处仍然存在倾倒生活垃圾和建筑垃圾情况。每到雨水季节生活垃圾堵塞涵洞山沟，损毁乡道公路，白色生活垃圾遍布山林，散发恶臭，渗漏的污水影响下游铁佛镇饮用水源地”问题。</w:t>
            </w:r>
          </w:p>
          <w:p w14:paraId="5F9DD3D0">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二、现场调查情况</w:t>
            </w:r>
          </w:p>
          <w:p w14:paraId="1645C8CC">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2024年11月7日，巴中市住房和城乡建设局成立工作专班，局党组成员、副局长喻和德同志率工作专班，深入现场开展调查处理和整改督查工作，相关情况如下。</w:t>
            </w:r>
          </w:p>
          <w:p w14:paraId="47D70C95">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（一）被投诉对象基本情况</w:t>
            </w:r>
          </w:p>
          <w:p w14:paraId="5A3C5F21">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被投诉区域系铁佛镇刘坪社区1组观音岩处，距饮用水源地流里河水库（小一型水库）约5.8公里，不属于饮用水水源保护地、自然保护区和风景名胜区，属自然山洪沟，呈V字型，长约260米，沟纵深约70米，山沟下段汇入米家河处。2010年前，铁佛镇未配套建有生活垃圾处理设施，铁佛镇永兴巷和猪市街约118户400余人自行将生活垃圾倾倒至观音岩大沟，该处久而久之自然形成生活垃圾堆放点。2010年后，铁佛镇采取转运处置、砖墙打围、设置警示标识、栽植树木复绿等方式对该垃圾堆放点逐年治理。铁佛镇组建生态环境保护办公室，建设生活垃圾压缩式中转站1座，配备压缩转运车1辆、勾臂车3辆、收集车1辆，勾臂垃圾箱60个，铁佛镇场镇和行政村（社区）配备四分类垃圾桶147组588个，建成生活垃圾“户分类投放、镇村收集转运、市县集中处理”一体化模式，全镇（含农村）日均处理生活垃圾约8吨。</w:t>
            </w:r>
          </w:p>
          <w:p w14:paraId="0FBC3E37">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（二）近年来工作开展情况</w:t>
            </w:r>
          </w:p>
          <w:p w14:paraId="479248AE">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市委市政府高度重视农村生活垃圾治理工作，先后出台《关于进一步加强农村生活垃圾治理工作的指导意见》《关于推进全市农村生活垃圾分类和处置工作的指导意见》，以规范乡村（涉农社区）生活垃圾和其他废弃物综合治理为重点，颁布实施《巴中市乡村清洁条例》。实施两轮城乡生活垃圾处理设施建设三年推进方案，全市共建成乡镇垃圾中转站（房）114个，配置农村垃圾转运车辆212台，在1316个行政村设置垃圾收集点（亭、房）1.1万余个，配备分类桶（箱）1.5万余组，镇村两级环卫保洁队伍总人数达8千余人。多措并举加强农村垃圾治理，全面完成425个农村非正规垃圾堆放点整治，实施农村生活垃圾收运处置体系问题整改整治集中攻坚行动、2024年“农村生活垃圾收运体系建设巩固提升”市自选民生实事，全市农村生活垃圾收运处置体系行政村覆盖率100%。</w:t>
            </w:r>
          </w:p>
          <w:p w14:paraId="333508D9">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通江县相继制定《通江县农村生活垃圾问题治理工作实施方案》《关于进一步做好农村生活垃圾治理工作的通知》《住建领域生态环保攻坚工作方案》等文件，常态开展督查检查，严格管理农村生活垃圾处理；铁佛镇采取镇领导包村、村干部包社、网格员包点位等方式，将生活垃圾治理责任压实到具体人员，不断强化全镇人居环境整治，持续完善垃圾收运处设施，全面提升人民群众幸福感、获得感。</w:t>
            </w:r>
          </w:p>
          <w:p w14:paraId="72EFEEB5">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（三）现场调查情况</w:t>
            </w:r>
          </w:p>
          <w:p w14:paraId="0FA0A273">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1.关于“通江县铁佛镇观音岩大沟下原来是铁佛镇擅自确定的生活垃圾倾倒点”问题。经调查不属实。</w:t>
            </w:r>
          </w:p>
          <w:p w14:paraId="2841C038">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2010年前，铁佛镇未建设生活垃圾处理设施，农村生活垃圾收运处机制未全面建立，生活垃圾收运处基础设施建设滞后，观音岩周边居民自行将生活垃圾倾倒至该处，久而久之自然形成生活垃圾堆放点，该处非铁佛镇人民政府擅自确定的垃圾堆放点。2010年以后，铁佛镇人民政府对观音岩大沟垃圾堆放点开展专项治理，主要采取转运处置、砖墙打围、设置警示标志、栽植树木复绿等方式整治。明确在铁佛镇设置垃圾中转站，将收集的生活垃圾运送至中转站压缩后，统一运送至巴中市兴泸环境科技有限公司（原为巴中威奥环保发电有限公司）集中处理，目前该处不存在倾倒垃圾的现象，反映“通江县铁佛镇观音岩大沟下原来是铁佛镇擅自确定的生活垃圾倾倒点”问题不属实。</w:t>
            </w:r>
          </w:p>
          <w:p w14:paraId="2A1264EA">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2.关于“十几年来倾倒生活垃圾上万吨，虽经县里规划统一转运处理生活垃圾，该处仍然存在倾倒生活垃圾和建筑垃圾情况”问题。经调查部分属实。</w:t>
            </w:r>
          </w:p>
          <w:p w14:paraId="68C7B5D6">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2010年前，群众自行将生活垃圾、建筑垃圾倾倒至观音岩大沟下，久而久之形成生活垃圾堆放点，因此“十几年来倾倒生活垃圾”属实，但经过十余年陆续治理，现存未降解垃圾量较小“上万吨”不属实。2010年后，铁佛镇对观音岩大沟下堆放垃圾开展了专项治理，对已倾倒的部分垃圾进行了清理并复绿，栽植树木约1.2亩280余株，目前栽植的乔木高10-20米，灌木高3-5米，对降解净化和水土涵养起到保护作用。为防止群众继续在观音岩大沟倾倒垃圾，铁佛镇在公路沿线进行砖墙打围，并在道路两侧设立禁止倾倒垃圾警示标志，现场核实未发现地面倾倒新鲜生活垃圾和建筑垃圾，树木丛林无悬挂垃圾等现象，反映“该处仍然存在倾倒生活垃圾和建筑垃圾情况”不属实。</w:t>
            </w:r>
          </w:p>
          <w:p w14:paraId="1132BF87">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3.关于“每到雨水季节生活垃圾堵塞涵洞山沟，损毁乡道公路，白色生活垃圾遍布山林，散发恶臭”问题。经调查部分属实。</w:t>
            </w:r>
          </w:p>
          <w:p w14:paraId="4E308A3E">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因观音岩大沟处地势陡峭、土质疏松，且已天然形成泄洪冲沟，每遇暴雨洪涝，部分覆土、石块及未降解垃圾常被冲出，致使道路涵洞堵塞，洪水漫桥而过，造成该段道路通行困难，反映“每到雨水季节生活垃圾堵塞涵洞山沟”属实。经现场核查并走访附近居民，暴雨洪涝后铁佛镇均及时组织人员、机械对覆土、石块及未降解垃圾进行了清理，确保道路畅通，环境干净，现场没有明显异味，反映“损毁乡道公路，白色生活垃圾遍布山林，散发恶臭”不属实。</w:t>
            </w:r>
          </w:p>
          <w:p w14:paraId="72BEB2BC">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4.关于“渗漏的污水影响下游铁佛镇饮用水源地”问题情况。经调查不属实。</w:t>
            </w:r>
          </w:p>
          <w:p w14:paraId="72BFD7B5">
            <w:pPr>
              <w:keepNext w:val="0"/>
              <w:keepLines w:val="0"/>
              <w:pageBreakBefore w:val="0"/>
              <w:widowControl w:val="0"/>
              <w:suppressAutoHyphens/>
              <w:kinsoku/>
              <w:wordWrap/>
              <w:overflowPunct/>
              <w:topLinePunct w:val="0"/>
              <w:autoSpaceDE/>
              <w:autoSpaceDN/>
              <w:bidi w:val="0"/>
              <w:adjustRightInd w:val="0"/>
              <w:snapToGrid w:val="0"/>
              <w:spacing w:line="200" w:lineRule="exact"/>
              <w:ind w:left="0" w:leftChars="0" w:right="0" w:rightChars="0" w:firstLine="0" w:firstLineChars="0"/>
              <w:jc w:val="left"/>
              <w:textAlignment w:val="auto"/>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经核实，铁佛镇场镇共有集中饮用水源二处，主水源取水口位于流里河水库（小一型水库），海拔640米，观音岩大沟海拔490米，主水源地海拔高于观音岩大沟处且直线距离约5.8公里，反映“渗漏的污水影响下游铁佛镇饮用水源地”不属实；备用水源取水口（米家河）位于观音岩大沟会水口上游约800米处，观音岩大沟垃圾堆放点不在饮用水水源保护区范围内，对备用水源无影响，反映“渗漏的污水影响下游铁佛镇饮用水源地”不属实。2024年11月7日，通江生态环境局现场对观音岩大沟地表水质、铁佛镇备用饮用水源取水口（米家河）进行了采样监测，化学需氧量、氨氮、总磷等14项指标均达到地表水Ⅲ类标准。</w:t>
            </w:r>
          </w:p>
        </w:tc>
        <w:tc>
          <w:tcPr>
            <w:tcW w:w="577" w:type="dxa"/>
            <w:vAlign w:val="center"/>
          </w:tcPr>
          <w:p w14:paraId="5FC1AAC8">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部分属实</w:t>
            </w:r>
          </w:p>
        </w:tc>
        <w:tc>
          <w:tcPr>
            <w:tcW w:w="1724" w:type="dxa"/>
            <w:vAlign w:val="center"/>
          </w:tcPr>
          <w:p w14:paraId="51ED09CB">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以此信访事项办理为契机，一是压紧压实城乡生活垃圾治理责任，紧盯垃圾收集点布置缺漏、收集设施不完善、设施破损等问题，统筹项目资金，全面补齐短板弱项；二是督促辖区政府加强监管，常态开展巡查检查，及时整改各类问题，确保城乡生活垃圾治理成效持续巩固提升；三是加大城乡生活垃圾治理政策宣传，提高广大基层群众对城乡生活垃圾分类及治理的知晓率和认同感，积极主动参与城乡生活垃圾治理，共同打造优良的人居环境，不断提高人民群众幸福生活指数。</w:t>
            </w:r>
          </w:p>
        </w:tc>
        <w:tc>
          <w:tcPr>
            <w:tcW w:w="4283" w:type="dxa"/>
            <w:vAlign w:val="center"/>
          </w:tcPr>
          <w:p w14:paraId="66E24103">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（一）关于“十几年来倾倒生活垃圾上万吨，虽经县里规划统一转运处理生活垃圾，该处仍然存在倾倒生活垃圾和建筑垃圾情况”问题</w:t>
            </w:r>
          </w:p>
          <w:p w14:paraId="62DF9DA2">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1.行政处罚情况。该问题形成系历史遗留问题，不予行政处罚。</w:t>
            </w:r>
          </w:p>
          <w:p w14:paraId="1658127F">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责成被投诉单位整改情况。现场责令铁佛镇人民政府立即组织工作力量，对既有垃圾进行清理，及时修复公路沿线损毁、倒塌的砖砌围挡，增设禁止倾倒垃圾警示标识，截至目前，垃圾清理已完成，损毁、倒塌的砖砌围挡已完成修复，已增设禁止倾倒垃圾警示标识4处。压实县、镇、村（社区）、网格四级监管责任，严格农村生活垃圾治理工作监管，常态开展巡查检查和指导，教育引导群众养成良好生活习惯，确保农村生活垃圾处理工作规范高效开展。</w:t>
            </w:r>
          </w:p>
          <w:p w14:paraId="4110385B">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（二）关于“每到雨水季节生活垃圾堵塞涵洞山沟，损毁乡道公路，白色生活垃圾遍布山林，散发恶臭”问题</w:t>
            </w:r>
          </w:p>
          <w:p w14:paraId="0924F29D">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1.行政处罚情况。该问题形成系历史遗留问题，不予行政处罚。</w:t>
            </w:r>
          </w:p>
          <w:p w14:paraId="71CA4FBD">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z w:val="18"/>
                <w:szCs w:val="18"/>
                <w:highlight w:val="none"/>
              </w:rPr>
            </w:pPr>
            <w:r>
              <w:rPr>
                <w:rFonts w:hint="default" w:ascii="Times New Roman" w:hAnsi="Times New Roman" w:eastAsia="仿宋_GB2312" w:cs="Times New Roman"/>
                <w:sz w:val="18"/>
                <w:szCs w:val="18"/>
                <w:highlight w:val="none"/>
              </w:rPr>
              <w:t>2.责成被投诉单位整改情况。责成铁佛镇人民政府赓即组织人力、机具，对堵塞涵洞进行疏通，对道路上泥土、石块和既有垃圾进行清理，目前已完成；立即聘请三方机构对该处进行生态环境综合评估，出具治理方案，并根据方案加快实施治理工程，计划11月20日前完成生态环境综合评估，11月25日，完成治理工程设计，2025年2月底前完成护脚挡防工程、排洪沟等工程整治内容。</w:t>
            </w:r>
          </w:p>
        </w:tc>
        <w:tc>
          <w:tcPr>
            <w:tcW w:w="517" w:type="dxa"/>
            <w:vAlign w:val="center"/>
          </w:tcPr>
          <w:p w14:paraId="33A33C23">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both"/>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阶段性办结</w:t>
            </w:r>
          </w:p>
        </w:tc>
        <w:tc>
          <w:tcPr>
            <w:tcW w:w="733" w:type="dxa"/>
            <w:vAlign w:val="center"/>
          </w:tcPr>
          <w:p w14:paraId="0D382734">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z w:val="18"/>
                <w:szCs w:val="18"/>
                <w:highlight w:val="none"/>
                <w:lang w:val="en-US" w:eastAsia="zh-CN"/>
              </w:rPr>
            </w:pPr>
            <w:r>
              <w:rPr>
                <w:rFonts w:hint="default" w:ascii="Times New Roman" w:hAnsi="Times New Roman" w:eastAsia="仿宋_GB2312" w:cs="Times New Roman"/>
                <w:sz w:val="18"/>
                <w:szCs w:val="18"/>
                <w:highlight w:val="none"/>
                <w:lang w:val="en-US" w:eastAsia="zh-CN"/>
              </w:rPr>
              <w:t>无</w:t>
            </w:r>
          </w:p>
        </w:tc>
      </w:tr>
    </w:tbl>
    <w:p w14:paraId="24583135">
      <w:pPr>
        <w:rPr>
          <w:rFonts w:hint="default" w:ascii="Times New Roman" w:hAnsi="Times New Roman" w:cs="Times New Roman"/>
          <w:highlight w:val="none"/>
        </w:rPr>
      </w:pPr>
    </w:p>
    <w:p w14:paraId="59BF983C">
      <w:pPr>
        <w:rPr>
          <w:rFonts w:hint="default" w:ascii="Times New Roman" w:hAnsi="Times New Roman" w:cs="Times New Roman"/>
          <w:highlight w:val="none"/>
        </w:rPr>
      </w:pPr>
    </w:p>
    <w:p w14:paraId="7C35A6BC">
      <w:pPr>
        <w:rPr>
          <w:rFonts w:hint="default" w:ascii="Times New Roman" w:hAnsi="Times New Roman" w:cs="Times New Roman"/>
          <w:highlight w:val="none"/>
        </w:rPr>
      </w:pPr>
    </w:p>
    <w:p w14:paraId="57995793">
      <w:pPr>
        <w:rPr>
          <w:rFonts w:hint="default" w:ascii="Times New Roman" w:hAnsi="Times New Roman" w:cs="Times New Roman"/>
          <w:highlight w:val="none"/>
        </w:rPr>
      </w:pPr>
    </w:p>
    <w:p w14:paraId="33B13B55">
      <w:pPr>
        <w:keepNext w:val="0"/>
        <w:keepLines w:val="0"/>
        <w:pageBreakBefore w:val="0"/>
        <w:widowControl w:val="0"/>
        <w:suppressAutoHyphens/>
        <w:kinsoku/>
        <w:wordWrap/>
        <w:overflowPunct/>
        <w:topLinePunct w:val="0"/>
        <w:autoSpaceDE/>
        <w:autoSpaceDN/>
        <w:bidi w:val="0"/>
        <w:adjustRightInd/>
        <w:snapToGrid w:val="0"/>
        <w:spacing w:line="500" w:lineRule="exact"/>
        <w:jc w:val="center"/>
        <w:textAlignment w:val="auto"/>
        <w:rPr>
          <w:rFonts w:hint="eastAsia" w:ascii="方正小标宋简体" w:hAnsi="方正小标宋简体" w:eastAsia="方正小标宋简体" w:cs="方正小标宋简体"/>
          <w:color w:val="0C0C0C"/>
          <w:sz w:val="32"/>
          <w:szCs w:val="32"/>
          <w:u w:val="none" w:color="000000"/>
        </w:rPr>
      </w:pPr>
    </w:p>
    <w:p w14:paraId="4B995A7D">
      <w:pPr>
        <w:keepNext w:val="0"/>
        <w:keepLines w:val="0"/>
        <w:pageBreakBefore w:val="0"/>
        <w:widowControl w:val="0"/>
        <w:suppressAutoHyphens/>
        <w:kinsoku/>
        <w:wordWrap/>
        <w:overflowPunct/>
        <w:topLinePunct w:val="0"/>
        <w:autoSpaceDE/>
        <w:autoSpaceDN/>
        <w:bidi w:val="0"/>
        <w:adjustRightInd/>
        <w:snapToGrid w:val="0"/>
        <w:spacing w:line="500" w:lineRule="exact"/>
        <w:jc w:val="center"/>
        <w:textAlignment w:val="auto"/>
        <w:rPr>
          <w:rFonts w:hint="eastAsia" w:ascii="方正小标宋简体" w:hAnsi="方正小标宋简体" w:eastAsia="方正小标宋简体" w:cs="方正小标宋简体"/>
          <w:color w:val="0C0C0C"/>
          <w:sz w:val="32"/>
          <w:szCs w:val="32"/>
          <w:u w:val="none" w:color="000000"/>
        </w:rPr>
      </w:pPr>
    </w:p>
    <w:bookmarkEnd w:id="0"/>
    <w:bookmarkEnd w:id="1"/>
    <w:bookmarkEnd w:id="2"/>
    <w:bookmarkEnd w:id="3"/>
    <w:bookmarkEnd w:id="4"/>
    <w:bookmarkEnd w:id="5"/>
    <w:bookmarkEnd w:id="6"/>
    <w:bookmarkEnd w:id="7"/>
    <w:bookmarkEnd w:id="8"/>
    <w:bookmarkEnd w:id="9"/>
    <w:bookmarkEnd w:id="10"/>
    <w:bookmarkEnd w:id="11"/>
    <w:bookmarkEnd w:id="12"/>
    <w:p w14:paraId="07127B8C">
      <w:pPr>
        <w:pStyle w:val="2"/>
        <w:rPr>
          <w:rFonts w:hint="eastAsia" w:ascii="Times New Roman" w:hAnsi="Times New Roman" w:eastAsia="仿宋_GB2312"/>
          <w:sz w:val="32"/>
          <w:szCs w:val="32"/>
          <w:lang w:val="en-US" w:eastAsia="zh-CN"/>
        </w:rPr>
        <w:sectPr>
          <w:pgSz w:w="23757" w:h="16783" w:orient="landscape"/>
          <w:pgMar w:top="567" w:right="567" w:bottom="567" w:left="567" w:header="851" w:footer="992" w:gutter="0"/>
          <w:cols w:space="0" w:num="1"/>
          <w:rtlGutter w:val="0"/>
          <w:docGrid w:type="lines" w:linePitch="312" w:charSpace="0"/>
        </w:sectPr>
      </w:pPr>
    </w:p>
    <w:p w14:paraId="68392A1F">
      <w:pPr>
        <w:pStyle w:val="2"/>
        <w:ind w:left="1598" w:leftChars="304" w:hanging="960" w:hangingChars="300"/>
        <w:rPr>
          <w:rFonts w:hint="eastAsia" w:ascii="Times New Roman" w:hAnsi="Times New Roman" w:eastAsia="仿宋_GB2312"/>
          <w:sz w:val="32"/>
          <w:szCs w:val="32"/>
          <w:lang w:val="en-US" w:eastAsia="zh-CN"/>
        </w:rPr>
      </w:pPr>
    </w:p>
    <w:p w14:paraId="326846B9">
      <w:pPr>
        <w:pStyle w:val="2"/>
        <w:ind w:left="1598" w:leftChars="304" w:hanging="960" w:hangingChars="300"/>
        <w:rPr>
          <w:rFonts w:hint="eastAsia" w:ascii="Times New Roman" w:hAnsi="Times New Roman" w:eastAsia="仿宋_GB2312"/>
          <w:sz w:val="32"/>
          <w:szCs w:val="32"/>
          <w:lang w:val="en-US" w:eastAsia="zh-CN"/>
        </w:rPr>
      </w:pPr>
    </w:p>
    <w:p w14:paraId="415CAA7B">
      <w:pPr>
        <w:pStyle w:val="2"/>
        <w:ind w:left="1598" w:leftChars="304" w:hanging="960" w:hangingChars="300"/>
        <w:rPr>
          <w:rFonts w:hint="eastAsia" w:ascii="Times New Roman" w:hAnsi="Times New Roman" w:eastAsia="仿宋_GB2312"/>
          <w:sz w:val="32"/>
          <w:szCs w:val="32"/>
          <w:lang w:val="en-US" w:eastAsia="zh-CN"/>
        </w:rPr>
      </w:pPr>
    </w:p>
    <w:p w14:paraId="4950611A">
      <w:pPr>
        <w:pStyle w:val="2"/>
        <w:ind w:left="1598" w:leftChars="304" w:hanging="960" w:hangingChars="300"/>
        <w:rPr>
          <w:rFonts w:hint="eastAsia" w:ascii="Times New Roman" w:hAnsi="Times New Roman" w:eastAsia="仿宋_GB2312"/>
          <w:sz w:val="32"/>
          <w:szCs w:val="32"/>
          <w:lang w:val="en-US" w:eastAsia="zh-CN"/>
        </w:rPr>
      </w:pPr>
    </w:p>
    <w:p w14:paraId="4A1C99C3">
      <w:pPr>
        <w:pStyle w:val="2"/>
        <w:ind w:left="1598" w:leftChars="304" w:hanging="960" w:hangingChars="300"/>
        <w:rPr>
          <w:rFonts w:hint="eastAsia" w:ascii="Times New Roman" w:hAnsi="Times New Roman" w:eastAsia="仿宋_GB2312"/>
          <w:sz w:val="32"/>
          <w:szCs w:val="32"/>
          <w:lang w:val="en-US" w:eastAsia="zh-CN"/>
        </w:rPr>
      </w:pPr>
    </w:p>
    <w:p w14:paraId="74F54362">
      <w:pPr>
        <w:pStyle w:val="2"/>
        <w:ind w:left="1598" w:leftChars="304" w:hanging="960" w:hangingChars="300"/>
        <w:rPr>
          <w:rFonts w:hint="eastAsia" w:ascii="Times New Roman" w:hAnsi="Times New Roman" w:eastAsia="仿宋_GB2312"/>
          <w:sz w:val="32"/>
          <w:szCs w:val="32"/>
          <w:lang w:val="en-US" w:eastAsia="zh-CN"/>
        </w:rPr>
      </w:pPr>
    </w:p>
    <w:p w14:paraId="491C0746">
      <w:pPr>
        <w:pStyle w:val="2"/>
        <w:ind w:left="0" w:leftChars="0" w:firstLine="0" w:firstLineChars="0"/>
        <w:rPr>
          <w:rFonts w:hint="eastAsia" w:ascii="Times New Roman" w:hAnsi="Times New Roman" w:eastAsia="仿宋_GB2312"/>
          <w:sz w:val="32"/>
          <w:szCs w:val="32"/>
          <w:lang w:val="en-US" w:eastAsia="zh-CN"/>
        </w:rPr>
      </w:pPr>
    </w:p>
    <w:sectPr>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C726F8"/>
    <w:rsid w:val="0AC726F8"/>
    <w:rsid w:val="0B8541DF"/>
    <w:rsid w:val="10473C8F"/>
    <w:rsid w:val="12312331"/>
    <w:rsid w:val="136E1C99"/>
    <w:rsid w:val="137A5E42"/>
    <w:rsid w:val="205B51D9"/>
    <w:rsid w:val="243D14A7"/>
    <w:rsid w:val="24544D26"/>
    <w:rsid w:val="269D3D1B"/>
    <w:rsid w:val="26A04986"/>
    <w:rsid w:val="27DC3138"/>
    <w:rsid w:val="2A647CD5"/>
    <w:rsid w:val="2ADD7A56"/>
    <w:rsid w:val="2CEE7AEF"/>
    <w:rsid w:val="2DDC727C"/>
    <w:rsid w:val="2F8A5231"/>
    <w:rsid w:val="36867ED5"/>
    <w:rsid w:val="37AD5457"/>
    <w:rsid w:val="39993C0F"/>
    <w:rsid w:val="456C0235"/>
    <w:rsid w:val="47507358"/>
    <w:rsid w:val="4AB03562"/>
    <w:rsid w:val="4C1A729C"/>
    <w:rsid w:val="4C3F4F72"/>
    <w:rsid w:val="4E5E5A96"/>
    <w:rsid w:val="4E9E1FAD"/>
    <w:rsid w:val="4EA321DE"/>
    <w:rsid w:val="526B783A"/>
    <w:rsid w:val="586830FE"/>
    <w:rsid w:val="5E7140B3"/>
    <w:rsid w:val="60DB307B"/>
    <w:rsid w:val="648740CE"/>
    <w:rsid w:val="69BB4200"/>
    <w:rsid w:val="79EB61DF"/>
    <w:rsid w:val="7F7F3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正文缩进1"/>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8261</Words>
  <Characters>8617</Characters>
  <Lines>0</Lines>
  <Paragraphs>0</Paragraphs>
  <TotalTime>7</TotalTime>
  <ScaleCrop>false</ScaleCrop>
  <LinksUpToDate>false</LinksUpToDate>
  <CharactersWithSpaces>8631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2024-10-31T01:27:00Z</dcterms:created>
  <dc:creator>JGSW</dc:creator>
  <cp:lastModifiedBy>Administrator</cp:lastModifiedBy>
  <cp:lastPrinted>2024-10-31T01:40:00Z</cp:lastPrinted>
  <dcterms:modified xsi:type="dcterms:W3CDTF">2024-11-16T07:09:34Z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279B907ED9D14DB18E854C0CCE02AF55_13</vt:lpwstr>
  </property>
</Properties>
</file>