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81FF7">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color w:val="0C0C0C"/>
          <w:sz w:val="32"/>
          <w:szCs w:val="32"/>
          <w:u w:val="none" w:color="000000"/>
        </w:rPr>
      </w:pPr>
      <w:bookmarkStart w:id="0" w:name="_Toc989442674"/>
      <w:bookmarkStart w:id="1" w:name="_Toc197769102"/>
      <w:bookmarkStart w:id="2" w:name="_Toc983949643_WPSOffice_Level1"/>
      <w:bookmarkStart w:id="3" w:name="_Toc1728908978"/>
      <w:bookmarkStart w:id="4" w:name="_Toc27984273"/>
      <w:bookmarkStart w:id="5" w:name="_Toc51820290"/>
      <w:bookmarkStart w:id="6" w:name="_Toc48258533"/>
      <w:bookmarkStart w:id="7" w:name="_Toc1928623293"/>
      <w:bookmarkStart w:id="8" w:name="_Toc1682189205"/>
      <w:bookmarkStart w:id="9" w:name="_Toc2013987015"/>
      <w:bookmarkStart w:id="10" w:name="_Toc1714029215"/>
      <w:bookmarkStart w:id="11" w:name="_Toc42981887"/>
      <w:bookmarkStart w:id="12" w:name="_Toc303834967"/>
      <w:r>
        <w:rPr>
          <w:rFonts w:hint="eastAsia" w:ascii="方正小标宋简体" w:hAnsi="方正小标宋简体" w:eastAsia="方正小标宋简体" w:cs="方正小标宋简体"/>
          <w:color w:val="0C0C0C"/>
          <w:sz w:val="32"/>
          <w:szCs w:val="32"/>
          <w:u w:val="none" w:color="000000"/>
        </w:rPr>
        <w:t>中央生态环境保护督察群众信访举报转办和边督边改公开情况一览表</w:t>
      </w:r>
      <w:bookmarkEnd w:id="0"/>
      <w:bookmarkEnd w:id="1"/>
      <w:bookmarkEnd w:id="2"/>
      <w:bookmarkEnd w:id="3"/>
      <w:bookmarkEnd w:id="4"/>
      <w:bookmarkEnd w:id="5"/>
      <w:bookmarkEnd w:id="6"/>
      <w:bookmarkEnd w:id="7"/>
      <w:bookmarkEnd w:id="8"/>
      <w:bookmarkEnd w:id="9"/>
      <w:bookmarkEnd w:id="10"/>
      <w:bookmarkEnd w:id="11"/>
      <w:bookmarkEnd w:id="12"/>
    </w:p>
    <w:p w14:paraId="66903CB8">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仿宋_GBK" w:cs="Times New Roman"/>
          <w:sz w:val="24"/>
        </w:rPr>
      </w:pPr>
      <w:r>
        <w:rPr>
          <w:rFonts w:hint="eastAsia" w:ascii="楷体_GB2312" w:hAnsi="楷体_GB2312" w:eastAsia="楷体_GB2312" w:cs="楷体_GB2312"/>
          <w:b/>
          <w:bCs/>
          <w:sz w:val="24"/>
        </w:rPr>
        <w:t>（第</w:t>
      </w:r>
      <w:r>
        <w:rPr>
          <w:rFonts w:hint="eastAsia" w:ascii="楷体_GB2312" w:hAnsi="楷体_GB2312" w:eastAsia="楷体_GB2312" w:cs="楷体_GB2312"/>
          <w:b/>
          <w:bCs/>
          <w:sz w:val="24"/>
          <w:u w:val="single"/>
        </w:rPr>
        <w:t xml:space="preserve"> </w:t>
      </w:r>
      <w:r>
        <w:rPr>
          <w:rFonts w:hint="eastAsia" w:ascii="楷体_GB2312" w:hAnsi="楷体_GB2312" w:eastAsia="楷体_GB2312" w:cs="楷体_GB2312"/>
          <w:b/>
          <w:bCs/>
          <w:sz w:val="24"/>
          <w:u w:val="single"/>
          <w:lang w:val="en-US" w:eastAsia="zh-CN"/>
        </w:rPr>
        <w:t>四</w:t>
      </w:r>
      <w:r>
        <w:rPr>
          <w:rFonts w:hint="eastAsia" w:ascii="楷体_GB2312" w:hAnsi="楷体_GB2312" w:eastAsia="楷体_GB2312" w:cs="楷体_GB2312"/>
          <w:b/>
          <w:bCs/>
          <w:sz w:val="24"/>
          <w:u w:val="single"/>
        </w:rPr>
        <w:t xml:space="preserve"> </w:t>
      </w:r>
      <w:r>
        <w:rPr>
          <w:rFonts w:hint="eastAsia" w:ascii="楷体_GB2312" w:hAnsi="楷体_GB2312" w:eastAsia="楷体_GB2312" w:cs="楷体_GB2312"/>
          <w:b/>
          <w:bCs/>
          <w:sz w:val="24"/>
        </w:rPr>
        <w:t xml:space="preserve">批    </w:t>
      </w:r>
      <w:r>
        <w:rPr>
          <w:rFonts w:hint="eastAsia" w:ascii="楷体_GB2312" w:hAnsi="楷体_GB2312" w:eastAsia="楷体_GB2312" w:cs="楷体_GB2312"/>
          <w:b/>
          <w:bCs/>
          <w:sz w:val="24"/>
          <w:u w:val="single"/>
        </w:rPr>
        <w:t xml:space="preserve"> </w:t>
      </w:r>
      <w:r>
        <w:rPr>
          <w:rFonts w:hint="eastAsia" w:ascii="楷体_GB2312" w:hAnsi="楷体_GB2312" w:eastAsia="楷体_GB2312" w:cs="楷体_GB2312"/>
          <w:b/>
          <w:bCs/>
          <w:sz w:val="24"/>
          <w:u w:val="single"/>
          <w:lang w:val="en-US" w:eastAsia="zh-CN"/>
        </w:rPr>
        <w:t>2024</w:t>
      </w:r>
      <w:r>
        <w:rPr>
          <w:rFonts w:hint="eastAsia" w:ascii="楷体_GB2312" w:hAnsi="楷体_GB2312" w:eastAsia="楷体_GB2312" w:cs="楷体_GB2312"/>
          <w:b/>
          <w:bCs/>
          <w:sz w:val="24"/>
          <w:u w:val="single"/>
        </w:rPr>
        <w:t xml:space="preserve"> </w:t>
      </w:r>
      <w:r>
        <w:rPr>
          <w:rFonts w:hint="eastAsia" w:ascii="楷体_GB2312" w:hAnsi="楷体_GB2312" w:eastAsia="楷体_GB2312" w:cs="楷体_GB2312"/>
          <w:b/>
          <w:bCs/>
          <w:sz w:val="24"/>
        </w:rPr>
        <w:t>年</w:t>
      </w:r>
      <w:r>
        <w:rPr>
          <w:rFonts w:hint="eastAsia" w:ascii="楷体_GB2312" w:hAnsi="楷体_GB2312" w:eastAsia="楷体_GB2312" w:cs="楷体_GB2312"/>
          <w:b/>
          <w:bCs/>
          <w:sz w:val="24"/>
          <w:u w:val="single"/>
        </w:rPr>
        <w:t xml:space="preserve"> </w:t>
      </w:r>
      <w:r>
        <w:rPr>
          <w:rFonts w:hint="eastAsia" w:ascii="楷体_GB2312" w:hAnsi="楷体_GB2312" w:eastAsia="楷体_GB2312" w:cs="楷体_GB2312"/>
          <w:b/>
          <w:bCs/>
          <w:sz w:val="24"/>
          <w:u w:val="single"/>
          <w:lang w:val="en-US" w:eastAsia="zh-CN"/>
        </w:rPr>
        <w:t>10</w:t>
      </w:r>
      <w:r>
        <w:rPr>
          <w:rFonts w:hint="eastAsia" w:ascii="楷体_GB2312" w:hAnsi="楷体_GB2312" w:eastAsia="楷体_GB2312" w:cs="楷体_GB2312"/>
          <w:b/>
          <w:bCs/>
          <w:sz w:val="24"/>
          <w:u w:val="single"/>
        </w:rPr>
        <w:t xml:space="preserve"> </w:t>
      </w:r>
      <w:r>
        <w:rPr>
          <w:rFonts w:hint="eastAsia" w:ascii="楷体_GB2312" w:hAnsi="楷体_GB2312" w:eastAsia="楷体_GB2312" w:cs="楷体_GB2312"/>
          <w:b/>
          <w:bCs/>
          <w:sz w:val="24"/>
        </w:rPr>
        <w:t xml:space="preserve">月 </w:t>
      </w:r>
      <w:r>
        <w:rPr>
          <w:rFonts w:hint="eastAsia" w:ascii="楷体_GB2312" w:hAnsi="楷体_GB2312" w:eastAsia="楷体_GB2312" w:cs="楷体_GB2312"/>
          <w:b/>
          <w:bCs/>
          <w:sz w:val="24"/>
          <w:u w:val="single"/>
        </w:rPr>
        <w:t xml:space="preserve"> </w:t>
      </w:r>
      <w:r>
        <w:rPr>
          <w:rFonts w:hint="eastAsia" w:ascii="楷体_GB2312" w:hAnsi="楷体_GB2312" w:eastAsia="楷体_GB2312" w:cs="楷体_GB2312"/>
          <w:b/>
          <w:bCs/>
          <w:sz w:val="24"/>
          <w:u w:val="single"/>
          <w:lang w:val="en-US" w:eastAsia="zh-CN"/>
        </w:rPr>
        <w:t>31</w:t>
      </w:r>
      <w:r>
        <w:rPr>
          <w:rFonts w:hint="eastAsia" w:ascii="楷体_GB2312" w:hAnsi="楷体_GB2312" w:eastAsia="楷体_GB2312" w:cs="楷体_GB2312"/>
          <w:b/>
          <w:bCs/>
          <w:sz w:val="24"/>
          <w:u w:val="single"/>
        </w:rPr>
        <w:t xml:space="preserve"> </w:t>
      </w:r>
      <w:r>
        <w:rPr>
          <w:rFonts w:hint="eastAsia" w:ascii="楷体_GB2312" w:hAnsi="楷体_GB2312" w:eastAsia="楷体_GB2312" w:cs="楷体_GB2312"/>
          <w:b/>
          <w:bCs/>
          <w:sz w:val="24"/>
        </w:rPr>
        <w:t>日）</w:t>
      </w:r>
    </w:p>
    <w:tbl>
      <w:tblPr>
        <w:tblStyle w:val="3"/>
        <w:tblW w:w="228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
        <w:gridCol w:w="414"/>
        <w:gridCol w:w="714"/>
        <w:gridCol w:w="472"/>
        <w:gridCol w:w="514"/>
        <w:gridCol w:w="13038"/>
        <w:gridCol w:w="400"/>
        <w:gridCol w:w="833"/>
        <w:gridCol w:w="4857"/>
        <w:gridCol w:w="528"/>
        <w:gridCol w:w="797"/>
      </w:tblGrid>
      <w:tr w14:paraId="7A48E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6" w:type="dxa"/>
            <w:vAlign w:val="center"/>
          </w:tcPr>
          <w:p w14:paraId="503FAE95">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序号</w:t>
            </w:r>
          </w:p>
        </w:tc>
        <w:tc>
          <w:tcPr>
            <w:tcW w:w="414" w:type="dxa"/>
            <w:vAlign w:val="center"/>
          </w:tcPr>
          <w:p w14:paraId="57FD1468">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受理编号</w:t>
            </w:r>
          </w:p>
        </w:tc>
        <w:tc>
          <w:tcPr>
            <w:tcW w:w="714" w:type="dxa"/>
            <w:vAlign w:val="center"/>
          </w:tcPr>
          <w:p w14:paraId="685C698E">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交办问题</w:t>
            </w:r>
          </w:p>
          <w:p w14:paraId="62E24508">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基本情况</w:t>
            </w:r>
          </w:p>
        </w:tc>
        <w:tc>
          <w:tcPr>
            <w:tcW w:w="472" w:type="dxa"/>
            <w:vAlign w:val="center"/>
          </w:tcPr>
          <w:p w14:paraId="291D533E">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行政</w:t>
            </w:r>
          </w:p>
          <w:p w14:paraId="099B80D7">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区域</w:t>
            </w:r>
          </w:p>
        </w:tc>
        <w:tc>
          <w:tcPr>
            <w:tcW w:w="514" w:type="dxa"/>
            <w:vAlign w:val="center"/>
          </w:tcPr>
          <w:p w14:paraId="5BBF9C85">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问</w:t>
            </w:r>
          </w:p>
          <w:p w14:paraId="624A9DEE">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题</w:t>
            </w:r>
          </w:p>
          <w:p w14:paraId="3FDDAB93">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类</w:t>
            </w:r>
          </w:p>
          <w:p w14:paraId="0158CB58">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型</w:t>
            </w:r>
          </w:p>
        </w:tc>
        <w:tc>
          <w:tcPr>
            <w:tcW w:w="13038" w:type="dxa"/>
            <w:vAlign w:val="center"/>
          </w:tcPr>
          <w:p w14:paraId="10AE614D">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调查核实情况</w:t>
            </w:r>
          </w:p>
        </w:tc>
        <w:tc>
          <w:tcPr>
            <w:tcW w:w="400" w:type="dxa"/>
            <w:vAlign w:val="center"/>
          </w:tcPr>
          <w:p w14:paraId="24ABB276">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是否</w:t>
            </w:r>
          </w:p>
          <w:p w14:paraId="68827FEF">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属实</w:t>
            </w:r>
          </w:p>
        </w:tc>
        <w:tc>
          <w:tcPr>
            <w:tcW w:w="833" w:type="dxa"/>
            <w:vAlign w:val="center"/>
          </w:tcPr>
          <w:p w14:paraId="14A5F4CE">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办结</w:t>
            </w:r>
          </w:p>
          <w:p w14:paraId="794E44F0">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目标</w:t>
            </w:r>
          </w:p>
        </w:tc>
        <w:tc>
          <w:tcPr>
            <w:tcW w:w="4857" w:type="dxa"/>
            <w:vAlign w:val="center"/>
          </w:tcPr>
          <w:p w14:paraId="6995DB56">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处理和整改</w:t>
            </w:r>
          </w:p>
          <w:p w14:paraId="56963BC1">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情况</w:t>
            </w:r>
          </w:p>
        </w:tc>
        <w:tc>
          <w:tcPr>
            <w:tcW w:w="528" w:type="dxa"/>
            <w:vAlign w:val="center"/>
          </w:tcPr>
          <w:p w14:paraId="2DEE16B6">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是否</w:t>
            </w:r>
          </w:p>
          <w:p w14:paraId="2BDCB482">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办结</w:t>
            </w:r>
          </w:p>
        </w:tc>
        <w:tc>
          <w:tcPr>
            <w:tcW w:w="797" w:type="dxa"/>
            <w:vAlign w:val="center"/>
          </w:tcPr>
          <w:p w14:paraId="6BA2A83A">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rPr>
            </w:pPr>
            <w:r>
              <w:rPr>
                <w:rFonts w:hint="default" w:ascii="Times New Roman" w:hAnsi="Times New Roman" w:eastAsia="楷体_GB2312" w:cs="Times New Roman"/>
                <w:b/>
                <w:bCs/>
                <w:sz w:val="18"/>
                <w:szCs w:val="18"/>
              </w:rPr>
              <w:t>责任人被处理情况</w:t>
            </w:r>
          </w:p>
        </w:tc>
      </w:tr>
      <w:tr w14:paraId="64704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326" w:type="dxa"/>
            <w:vAlign w:val="center"/>
          </w:tcPr>
          <w:p w14:paraId="1B00C179">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1</w:t>
            </w:r>
          </w:p>
        </w:tc>
        <w:tc>
          <w:tcPr>
            <w:tcW w:w="414" w:type="dxa"/>
            <w:vAlign w:val="center"/>
          </w:tcPr>
          <w:p w14:paraId="15C93EC7">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D3SC202410210004</w:t>
            </w:r>
          </w:p>
        </w:tc>
        <w:tc>
          <w:tcPr>
            <w:tcW w:w="714" w:type="dxa"/>
            <w:vAlign w:val="center"/>
          </w:tcPr>
          <w:p w14:paraId="794C8B9D">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柳林镇与渔溪镇等10个污水处理厂排放污水不达标，未按照环保标准进行验收。</w:t>
            </w:r>
          </w:p>
        </w:tc>
        <w:tc>
          <w:tcPr>
            <w:tcW w:w="472" w:type="dxa"/>
            <w:vAlign w:val="center"/>
          </w:tcPr>
          <w:p w14:paraId="54C17698">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恩</w:t>
            </w:r>
          </w:p>
          <w:p w14:paraId="2713178A">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阳</w:t>
            </w:r>
          </w:p>
          <w:p w14:paraId="682BDF7E">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区</w:t>
            </w:r>
          </w:p>
        </w:tc>
        <w:tc>
          <w:tcPr>
            <w:tcW w:w="514" w:type="dxa"/>
            <w:vAlign w:val="center"/>
          </w:tcPr>
          <w:p w14:paraId="30347AB9">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群众身边的生态环境问题</w:t>
            </w:r>
          </w:p>
        </w:tc>
        <w:tc>
          <w:tcPr>
            <w:tcW w:w="13038" w:type="dxa"/>
            <w:vAlign w:val="center"/>
          </w:tcPr>
          <w:p w14:paraId="1F2C9D83">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经调查核实，群众反映问题部分属实。</w:t>
            </w:r>
          </w:p>
          <w:p w14:paraId="545AD760">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2024年10月22日—23日，恩阳区人民政府组成专班对信访事项开展现场核查：</w:t>
            </w:r>
          </w:p>
          <w:p w14:paraId="06BD9E72">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一、基本情况</w:t>
            </w:r>
          </w:p>
          <w:p w14:paraId="0345F0A5">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经调查核实，群众反映柳林镇、渔溪镇等10个污水处理厂具体为柳林镇生活污水处理站、渔溪镇生活污水处理站、兴隆镇生活污水处理站、茶坝镇生活污水处理站、下八庙镇乐丰生活污水处理站、玉山镇1号生活污水处理站、花丛镇1号生活污水处理站、花丛镇5号生活污水处理站、雪山镇2号生活污水处理站、群乐镇生活污水处理站。</w:t>
            </w:r>
          </w:p>
          <w:p w14:paraId="71362262">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1.柳林镇生活污水处理站。设计日处理规模500吨，《城镇污水处理厂污染物排放标准》（GB18918-2002）一级B排放标准，处理工艺为生物转盘。2021年12月进行提标扩能改造，2022年7月建成投用，设计日处理规模1500吨，《城镇污水处理厂污染物排放标准》（GB18918-2002）一级A排放标准，处理工艺为A²O+MBR，由巴中市恩阳区鸿发公用事业投资有限公司（以下简称“区鸿发公司”）负责运维。</w:t>
            </w:r>
          </w:p>
          <w:p w14:paraId="3EF40D7C">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2.渔溪镇生活污水处理站。设计日处理规模500吨，《城镇污水处理厂污染物排放标准》（GB18918-2002）一级B排放标准，处理工艺为生物转盘。2021年12月进行提标扩能改造，2022年7月建成投用，设计日处理规模1300吨，《城镇污水处理厂污染物排放标准》（GB18918-2002）一级A排放标准，处理工艺为A²O+MBR，由区鸿发公司负责运维。</w:t>
            </w:r>
          </w:p>
          <w:p w14:paraId="55C678D0">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3.兴隆镇生活污水处理站。设计日处理规模200吨，《城镇污水处理厂污染物排放标准》（GB18918-2002）一级B排放标准。2021年12月进行提标扩能改造，2022年7月建成投用，设计日处理规模300吨，《城镇污水处理厂污染物排放标准》（GB18918-2002）一级A排放标准，处理工艺为A²O+MBR，由区鸿发公司负责运维。</w:t>
            </w:r>
          </w:p>
          <w:p w14:paraId="0373C51F">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4.茶坝镇生活污水处理站。设计日处理规模400吨，《城镇污水处理厂污染物排放标准》（GB18918-2002）一级B排放标准，处理工艺为生物转盘。2021年12月进行提标扩能改造，2022年7月建成投用，设计日处理规模900吨，《城镇污水处理厂污染物排放标准》（GB18918-2002）一级A排放标准，处理工艺为A²O+MBR，由区鸿发公司负责运维。</w:t>
            </w:r>
          </w:p>
          <w:p w14:paraId="53B0BF15">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5.下八庙镇乐丰生活污水处理站。设计日处理规模100吨，《城镇污水处理厂污染物排放标准》（GB18918-2002）一级B排放标准。2021年12月进行提标扩能改造，2022年7月建成投用，设计日处理规模250吨，《城镇污水处理厂污染物排放标准》（GB18918-2002）一级A排放标准，处理工艺为A²O+MBR，由区鸿发公司负责运维。</w:t>
            </w:r>
          </w:p>
          <w:p w14:paraId="28A9BE41">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6.玉山镇1号生活污水处理站。设计日处理规模400吨，《城镇污水处理厂污染物排放标准》（GB18918-2002）一级A排放标准，处理工艺为A²O+MBR，由区鸿发公司负责运维。</w:t>
            </w:r>
          </w:p>
          <w:p w14:paraId="45A3D139">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7.花丛镇1号生活污水处理站。设计日处理规模200吨，《城镇污水处理厂污染物排放标准》（GB18918-2002）一级A排放标准，处理工艺为A²O+MBR，由区鸿发公司负责运维。</w:t>
            </w:r>
          </w:p>
          <w:p w14:paraId="1673C2D0">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8. 花丛镇5号生活污水处理站。设计日处理规模200吨，《城镇污水处理厂污染物排放标准》（GB18918-2002）一级A排放标准，处理工艺为A²O+MBR，由区鸿发公司负责运维。</w:t>
            </w:r>
          </w:p>
          <w:p w14:paraId="23DBB90C">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9.雪山镇2号生活污水处理站。设计日处理规模200吨，《城镇污水处理厂污染物排放标准》（GB18918-2002）一级A排放标准，处理工艺为A²O+MBR，由区鸿发公司负责运维。</w:t>
            </w:r>
          </w:p>
          <w:p w14:paraId="0B8E64F4">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10.群乐镇生活污水处理站。设计日处理规模200吨，《城镇污水处理厂污染物排放标准》（GB18918-2002）一级A排放标准，处理工艺为A²O+MBR，由区鸿发公司负责运维。</w:t>
            </w:r>
          </w:p>
          <w:p w14:paraId="79735010">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二、调查核实情况</w:t>
            </w:r>
          </w:p>
          <w:p w14:paraId="265DC3FF">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（一）关于“柳林镇与渔溪镇等10个污水处理厂排放污水不达标”问题。经现场核查和取样检测，部分污水处理厂排放达标。</w:t>
            </w:r>
          </w:p>
          <w:p w14:paraId="51D4AE61">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1.柳林镇生活污水处理站设备系统运行正常，在线监测设备运行正常。检测结果显示，出水水质达到《城镇污水处理厂污染物排放标准》（GB18918-2002）一级A排放标准。</w:t>
            </w:r>
          </w:p>
          <w:p w14:paraId="278C16B3">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2.兴隆镇生活污水处理站设备系统运行正常，在线监测设备运行正常。检测结果显示，出水水质达到《城镇污水处理厂污染物排放标准》（GB18918-2002）一级A排放标准。</w:t>
            </w:r>
          </w:p>
          <w:p w14:paraId="2A913B43">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3.花丛镇1号生活污水处理站设备系统运行正常。检测结果显示，出水水质达到《城镇污水处理厂污染物排放标准》（GB18918-2002）一级A排放标准。</w:t>
            </w:r>
          </w:p>
          <w:p w14:paraId="25F7CF12">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4.花丛镇5号生活污水处理站设备系统运行正常。检测结果显示，出水水质达到《城镇污水处理厂污染物排放标准》（GB18918-2002）一级A排放标准。</w:t>
            </w:r>
          </w:p>
          <w:p w14:paraId="50E7DFE6">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5.群乐镇生活污水处理站设备系统运行正常，在线监测设备运行正常。检测结果显示，出水水质达到《城镇污水处理厂污染物排放标准》（GB18918-2002）一级A排放标准。</w:t>
            </w:r>
          </w:p>
          <w:p w14:paraId="6710F9A8">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6.渔溪镇生活污水处理站好氧池污泥浓度低，在线监测设备运行正常。在线监测出水总氮超标，检测结果显示，出水水质总氮超过《城镇污水处理厂污染物排放标准》（GB18918-2002）一级A排放标准。</w:t>
            </w:r>
          </w:p>
          <w:p w14:paraId="288ADF25">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7.茶坝镇生活污水处理站纤维膜老化，在线监测设备运行正常。在线监测出水总磷、总氮超标，污泥老化，检测结果显示，出水水质总磷、总氮超过《城镇污水处理厂污染物排放标准》（GB18918-2002）一级A排放标准。</w:t>
            </w:r>
          </w:p>
          <w:p w14:paraId="1C0143C7">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8.下八庙镇乐丰生活污水处理站MBR膜损坏，加药装置未正常运行，检测结果显示，出水水质总磷、总氮超过《城镇污水处理厂污染物排放标准》（GB18918-2002）一级A排放标准。</w:t>
            </w:r>
          </w:p>
          <w:p w14:paraId="297E79BD">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9.玉山镇1号生活污水处理站格栅机损坏，膜组件缺失，加药装置未运行，活性污泥浓度低，检测结果显示，出水水质总磷、总氮、COD超过《城镇污水处理厂污染物排放标准》（GB18918-2002）一级A排放标准。</w:t>
            </w:r>
          </w:p>
          <w:p w14:paraId="456473A6">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10.雪山镇2号生活污水处理站厂区内无自来水，新增加药装置未运行，检测结果显示，出水水质总磷超过《城镇污水处理厂污染物排放标准》（GB18918-2002）一级A排放标准。</w:t>
            </w:r>
          </w:p>
          <w:p w14:paraId="09617557">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二）关于“柳林镇与渔溪镇等10个污水处理厂未按照环保标准进行验收”问题。经核查，雪山镇2号、花丛镇1号、花丛镇5号、兴隆镇、群乐镇、玉山镇1号、下八庙镇乐丰7个生活污水处理站日处理规模500吨以下，属于登记管理范围，按照《建设项目环境影响评价分类管理名录》（2021年版），不需开展项目生态环境保护竣工验收。</w:t>
            </w:r>
          </w:p>
          <w:p w14:paraId="0785BFCB">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柳林镇、渔溪镇、茶坝镇3个生活污水处理站日处理规模达500吨以上，需要开展项目环境保护竣工验收。目前，业主已开展自主验收，正在按程序公示。</w:t>
            </w:r>
          </w:p>
        </w:tc>
        <w:tc>
          <w:tcPr>
            <w:tcW w:w="400" w:type="dxa"/>
            <w:vAlign w:val="center"/>
          </w:tcPr>
          <w:p w14:paraId="2E75053E">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部</w:t>
            </w:r>
          </w:p>
          <w:p w14:paraId="2BEC4300">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分</w:t>
            </w:r>
          </w:p>
          <w:p w14:paraId="3D2514E4">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属</w:t>
            </w:r>
          </w:p>
          <w:p w14:paraId="0C71EB93">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实</w:t>
            </w:r>
          </w:p>
        </w:tc>
        <w:tc>
          <w:tcPr>
            <w:tcW w:w="833" w:type="dxa"/>
            <w:vAlign w:val="center"/>
          </w:tcPr>
          <w:p w14:paraId="364E5E3C">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一）加强集镇生活污水处理站的运维管理，不断完善集镇生活污水处理站运营管理制度，严格落实管理人员月度培训、季度考核，提升技术人员工作经验和能力水平，确保污水处理站正常运行并稳定保持出水水质达标。</w:t>
            </w:r>
          </w:p>
          <w:p w14:paraId="245A2D38">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（二）完善各站运行公示标牌，公开监督管理机构联系人、联系方式，完善举报投诉、接诉即处流程和回访制度，确保群众反映问题及时整改、结果满意。</w:t>
            </w:r>
          </w:p>
        </w:tc>
        <w:tc>
          <w:tcPr>
            <w:tcW w:w="4857" w:type="dxa"/>
            <w:vAlign w:val="center"/>
          </w:tcPr>
          <w:p w14:paraId="6D90EEDE">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一）“柳林镇、渔溪镇等10个污水处理厂排放污水不达标”问题整改：由区住建局、区国投集团牵头，责成恩阳区鸿发公用事业投资有限公司针对存在问题的5个生活污水处理站，按照一站一策要求，扎实开展问题整改。</w:t>
            </w:r>
          </w:p>
          <w:p w14:paraId="0473E8EF">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（1）渔溪镇生活污水处理站于10月22日—26日完成活性污泥添加、消化液内回流比例调整、药量配比调整等工作；抽样检测显示，出水水质达到《城镇污水处理厂污染物排放标准》（GB18918-2002）一级A排放标准。</w:t>
            </w:r>
          </w:p>
          <w:p w14:paraId="693CA397">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（2）玉山镇1号生活污水处理站于10月22日—26日完成加药装置的维护、MBR膜组件的安装、活性污泥添加等工作；抽样检测显示，出水水质达到《城镇污水处理厂污染物排放标准》（GB18918-2002）一级A排放标准。</w:t>
            </w:r>
          </w:p>
          <w:p w14:paraId="1B8DA50B">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（3）茶坝镇生活污水处理站于10月22日—26日完成活性污泥添加、消化液内回流比例调整、药量配比调整等工作；</w:t>
            </w:r>
          </w:p>
          <w:p w14:paraId="150EF106">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抽样检测显示，出水水质总磷、总氮、COD指标超标；</w:t>
            </w:r>
          </w:p>
          <w:p w14:paraId="2A3C5762">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（4）下八庙镇乐丰生活污水处理站于10月22日—26日完成MBR膜更换、活性污泥添加、加药装置维修等工作；抽样检测显示，出水水质总磷、总氮指标超标；</w:t>
            </w:r>
          </w:p>
          <w:p w14:paraId="200A10D8">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（5）雪山镇2号生活污水处理站于10月22日—26日完成活性泥添加以及药量配比调整等工作；抽样检测显示，出水水质总氮指标超标。</w:t>
            </w:r>
          </w:p>
          <w:p w14:paraId="6B62D8C9">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截止10月26日，下八庙镇乐丰、雪山镇2号、茶坝镇3个生活污水处理站未实现达标排放，下一步跟进措施：</w:t>
            </w:r>
          </w:p>
          <w:p w14:paraId="277F5816">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（1）持续优化污水处置工艺，维修调试设施设备，确保污水处理设施正常高效运行；</w:t>
            </w:r>
          </w:p>
          <w:p w14:paraId="53E40AAF">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（2）健全管维规章制度，进一步强化员工业务技能培训和日常管理；</w:t>
            </w:r>
          </w:p>
          <w:p w14:paraId="381ECEA4">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（3）完善污水处理设施运维经费保障措施，运维保障资金纳入区财政年度预算。</w:t>
            </w:r>
          </w:p>
          <w:p w14:paraId="44C65E85">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（4）区级分管领导向荣副区长约谈区住建局、区国投集团、区鸿发公司、区鸿泰华瑞公司，分别扣减年度综合目标绩效考核0.1分。</w:t>
            </w:r>
          </w:p>
          <w:p w14:paraId="0E8D4D5B">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针对渔溪镇生活污水处理站、玉山镇1号生活污水处理站、茶坝镇生活污水处理站、下八庙镇乐丰生活污水处理站、雪山镇2号生活污水处理站涉嫌超标排放污染物的行为，对运营方“巴中市恩阳区鸿发公用事业投资有限公司”进行立案调查。</w:t>
            </w:r>
          </w:p>
          <w:p w14:paraId="43A2D548">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二）“柳林镇、渔溪镇等10个污水处理厂未按照环保标准进行验收”问题整改：由区住建局、区国投集团牵头，责成恩阳区鸿发公用事业投资有限公司针对存在问题的3个生活污水处理站，按照一站一策要求，扎实开展问题整改。</w:t>
            </w:r>
          </w:p>
          <w:p w14:paraId="083BDD22">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柳林镇生活污水处理站、渔溪镇生活污水处理站、茶坝镇生活污水处理站按照《建设项目竣工环境保护验收暂行办法》，于2024年10月24日，由巴中市恩阳区鸿发公用事业投资有限公司邀请相关专家开展建设项目竣工环境保护验收技术评估；专家组对上述3家污水处理站提出了评审意见；10月24日，环评验收报告文本在环评云助手网站上予以公示，公示期为20个工作日；公示期结束，业主方在全国建设项目竣工环境保护验收信息平台填报相关信息，完成自主验收。</w:t>
            </w:r>
          </w:p>
        </w:tc>
        <w:tc>
          <w:tcPr>
            <w:tcW w:w="528" w:type="dxa"/>
            <w:vAlign w:val="center"/>
          </w:tcPr>
          <w:p w14:paraId="281800F4">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阶段性办结</w:t>
            </w:r>
          </w:p>
        </w:tc>
        <w:tc>
          <w:tcPr>
            <w:tcW w:w="797" w:type="dxa"/>
            <w:vAlign w:val="center"/>
          </w:tcPr>
          <w:p w14:paraId="66FF4E36">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无</w:t>
            </w:r>
          </w:p>
        </w:tc>
      </w:tr>
    </w:tbl>
    <w:p w14:paraId="0A5B8401">
      <w:pPr>
        <w:pStyle w:val="2"/>
        <w:rPr>
          <w:rFonts w:hint="eastAsia" w:ascii="Times New Roman" w:hAnsi="Times New Roman" w:eastAsia="仿宋_GB2312"/>
          <w:sz w:val="32"/>
          <w:szCs w:val="32"/>
          <w:lang w:val="en-US" w:eastAsia="zh-CN"/>
        </w:rPr>
        <w:sectPr>
          <w:pgSz w:w="23757" w:h="16783" w:orient="landscape"/>
          <w:pgMar w:top="567" w:right="567" w:bottom="567" w:left="567" w:header="851" w:footer="992" w:gutter="0"/>
          <w:cols w:space="0" w:num="1"/>
          <w:rtlGutter w:val="0"/>
          <w:docGrid w:type="lines" w:linePitch="312" w:charSpace="0"/>
        </w:sectPr>
      </w:pPr>
    </w:p>
    <w:p w14:paraId="5EAC3790">
      <w:pPr>
        <w:pStyle w:val="2"/>
        <w:ind w:left="0" w:leftChars="0" w:firstLine="0" w:firstLineChars="0"/>
        <w:rPr>
          <w:rFonts w:hint="eastAsia" w:ascii="Times New Roman" w:hAnsi="Times New Roman" w:eastAsia="仿宋_GB2312"/>
          <w:sz w:val="32"/>
          <w:szCs w:val="32"/>
          <w:lang w:val="en-US" w:eastAsia="zh-CN"/>
        </w:rPr>
      </w:pPr>
      <w:bookmarkStart w:id="13" w:name="_GoBack"/>
      <w:bookmarkEnd w:id="13"/>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YjM3OTVhNDdiNDkzZDkyYTdiMjQzNmVhMGI4OWIifQ=="/>
  </w:docVars>
  <w:rsids>
    <w:rsidRoot w:val="0AC726F8"/>
    <w:rsid w:val="0AC726F8"/>
    <w:rsid w:val="136E1C99"/>
    <w:rsid w:val="24544D26"/>
    <w:rsid w:val="26A04986"/>
    <w:rsid w:val="318D3905"/>
    <w:rsid w:val="47507358"/>
    <w:rsid w:val="4AB03562"/>
    <w:rsid w:val="5B3FB11B"/>
    <w:rsid w:val="79EB6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3967</Words>
  <Characters>4497</Characters>
  <Lines>0</Lines>
  <Paragraphs>0</Paragraphs>
  <TotalTime>2</TotalTime>
  <ScaleCrop>false</ScaleCrop>
  <LinksUpToDate>false</LinksUpToDate>
  <CharactersWithSpaces>4619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2024-10-31T09:27:00Z</dcterms:created>
  <dc:creator>JGSW</dc:creator>
  <cp:lastModifiedBy>Administrator</cp:lastModifiedBy>
  <cp:lastPrinted>2024-10-31T09:40:00Z</cp:lastPrinted>
  <dcterms:modified xsi:type="dcterms:W3CDTF">2024-10-31T07:05:29Z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D0F9D764D4254ED18449737DFE76AE02_13</vt:lpwstr>
  </property>
</Properties>
</file>