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BB6AEA7">
      <w:pPr>
        <w:pStyle w:val="157"/>
      </w:pPr>
    </w:p>
    <w:p w14:paraId="023E54F4">
      <w:pPr>
        <w:ind w:firstLine="0" w:firstLineChars="0"/>
        <w:jc w:val="center"/>
        <w:rPr>
          <w:sz w:val="36"/>
          <w:szCs w:val="36"/>
        </w:rPr>
      </w:pPr>
    </w:p>
    <w:p w14:paraId="2C4DB563">
      <w:pPr>
        <w:ind w:firstLine="0" w:firstLineChars="0"/>
        <w:jc w:val="center"/>
        <w:rPr>
          <w:sz w:val="36"/>
          <w:szCs w:val="36"/>
        </w:rPr>
      </w:pPr>
    </w:p>
    <w:p w14:paraId="25A021B9">
      <w:pPr>
        <w:spacing w:line="240" w:lineRule="auto"/>
        <w:ind w:firstLine="0" w:firstLineChars="0"/>
        <w:jc w:val="center"/>
        <w:rPr>
          <w:rFonts w:ascii="方正小标宋简体" w:hAnsi="方正小标宋简体" w:eastAsia="方正小标宋简体"/>
          <w:bCs/>
          <w:sz w:val="72"/>
          <w:szCs w:val="72"/>
        </w:rPr>
      </w:pPr>
      <w:r>
        <w:rPr>
          <w:rFonts w:ascii="方正小标宋简体" w:hAnsi="方正小标宋简体" w:eastAsia="方正小标宋简体"/>
          <w:bCs/>
          <w:sz w:val="72"/>
          <w:szCs w:val="72"/>
        </w:rPr>
        <w:t>建设项目环境影响报告表</w:t>
      </w:r>
    </w:p>
    <w:p w14:paraId="0B3A6EC8">
      <w:pPr>
        <w:spacing w:line="240" w:lineRule="auto"/>
        <w:ind w:firstLine="0" w:firstLineChars="0"/>
        <w:jc w:val="center"/>
        <w:rPr>
          <w:rFonts w:ascii="楷体" w:hAnsi="楷体" w:eastAsia="楷体"/>
          <w:bCs/>
          <w:sz w:val="48"/>
          <w:szCs w:val="48"/>
        </w:rPr>
      </w:pPr>
      <w:r>
        <w:rPr>
          <w:rFonts w:ascii="楷体" w:hAnsi="楷体" w:eastAsia="楷体"/>
          <w:bCs/>
          <w:sz w:val="48"/>
          <w:szCs w:val="48"/>
        </w:rPr>
        <w:t>（污染影响类）</w:t>
      </w:r>
    </w:p>
    <w:p w14:paraId="2C817818">
      <w:pPr>
        <w:spacing w:line="240" w:lineRule="auto"/>
        <w:ind w:firstLine="0" w:firstLineChars="0"/>
        <w:jc w:val="center"/>
        <w:rPr>
          <w:bCs/>
          <w:sz w:val="48"/>
          <w:szCs w:val="48"/>
        </w:rPr>
      </w:pPr>
      <w:r>
        <w:rPr>
          <w:rFonts w:hint="eastAsia" w:ascii="楷体" w:hAnsi="楷体" w:eastAsia="楷体"/>
          <w:bCs/>
          <w:sz w:val="48"/>
          <w:szCs w:val="48"/>
        </w:rPr>
        <w:t>（</w:t>
      </w:r>
      <w:r>
        <w:rPr>
          <w:rFonts w:hint="eastAsia" w:ascii="楷体" w:hAnsi="楷体" w:eastAsia="楷体"/>
          <w:bCs/>
          <w:sz w:val="48"/>
          <w:szCs w:val="48"/>
          <w:lang w:val="en-US" w:eastAsia="zh-CN"/>
        </w:rPr>
        <w:t>公示</w:t>
      </w:r>
      <w:r>
        <w:rPr>
          <w:rFonts w:hint="eastAsia" w:ascii="楷体" w:hAnsi="楷体" w:eastAsia="楷体"/>
          <w:bCs/>
          <w:sz w:val="48"/>
          <w:szCs w:val="48"/>
        </w:rPr>
        <w:t>本）</w:t>
      </w:r>
    </w:p>
    <w:p w14:paraId="5BB8A773">
      <w:pPr>
        <w:ind w:firstLine="0" w:firstLineChars="0"/>
        <w:jc w:val="center"/>
        <w:rPr>
          <w:kern w:val="44"/>
          <w:sz w:val="44"/>
          <w:szCs w:val="44"/>
        </w:rPr>
      </w:pPr>
    </w:p>
    <w:p w14:paraId="55FCDAD7">
      <w:pPr>
        <w:ind w:firstLine="0" w:firstLineChars="0"/>
        <w:jc w:val="center"/>
        <w:rPr>
          <w:sz w:val="52"/>
          <w:szCs w:val="52"/>
        </w:rPr>
      </w:pPr>
    </w:p>
    <w:p w14:paraId="606451CE">
      <w:pPr>
        <w:ind w:firstLine="0" w:firstLineChars="0"/>
        <w:jc w:val="center"/>
        <w:rPr>
          <w:sz w:val="44"/>
          <w:szCs w:val="44"/>
        </w:rPr>
      </w:pPr>
    </w:p>
    <w:p w14:paraId="03A334AA">
      <w:pPr>
        <w:ind w:firstLine="0" w:firstLineChars="0"/>
        <w:jc w:val="center"/>
        <w:rPr>
          <w:sz w:val="44"/>
          <w:szCs w:val="44"/>
        </w:rPr>
      </w:pPr>
    </w:p>
    <w:p w14:paraId="47D394D7">
      <w:pPr>
        <w:ind w:firstLine="0" w:firstLineChars="0"/>
        <w:jc w:val="center"/>
        <w:rPr>
          <w:sz w:val="44"/>
          <w:szCs w:val="44"/>
        </w:rPr>
      </w:pPr>
    </w:p>
    <w:p w14:paraId="1B01C889">
      <w:pPr>
        <w:tabs>
          <w:tab w:val="left" w:pos="8222"/>
        </w:tabs>
        <w:ind w:left="1699" w:right="88" w:rightChars="42" w:hanging="1699" w:hangingChars="472"/>
        <w:rPr>
          <w:rFonts w:ascii="仿宋_GB2312" w:eastAsia="仿宋_GB2312"/>
          <w:sz w:val="36"/>
          <w:szCs w:val="36"/>
          <w:u w:val="single"/>
        </w:rPr>
      </w:pPr>
      <w:r>
        <w:rPr>
          <w:rFonts w:hint="eastAsia" w:ascii="仿宋_GB2312" w:eastAsia="仿宋_GB2312"/>
          <w:kern w:val="0"/>
          <w:sz w:val="36"/>
          <w:szCs w:val="36"/>
        </w:rPr>
        <w:t>项目名称</w:t>
      </w:r>
      <w:r>
        <w:rPr>
          <w:rFonts w:hint="eastAsia" w:ascii="仿宋_GB2312" w:eastAsia="仿宋_GB2312"/>
          <w:sz w:val="36"/>
          <w:szCs w:val="36"/>
        </w:rPr>
        <w:t>：</w:t>
      </w:r>
      <w:r>
        <w:rPr>
          <w:rFonts w:hint="eastAsia" w:ascii="仿宋_GB2312" w:eastAsia="仿宋_GB2312"/>
          <w:sz w:val="36"/>
          <w:szCs w:val="36"/>
          <w:u w:val="single"/>
        </w:rPr>
        <w:t xml:space="preserve">巴中市浙胜节能建材有限公司年产15万立方米加气混凝土生产线项目    </w:t>
      </w:r>
      <w:r>
        <w:rPr>
          <w:rFonts w:ascii="仿宋_GB2312" w:eastAsia="仿宋_GB2312"/>
          <w:sz w:val="36"/>
          <w:szCs w:val="36"/>
          <w:u w:val="single"/>
        </w:rPr>
        <w:t xml:space="preserve">      </w:t>
      </w:r>
    </w:p>
    <w:p w14:paraId="2E76EDBD">
      <w:pPr>
        <w:tabs>
          <w:tab w:val="left" w:pos="8222"/>
        </w:tabs>
        <w:ind w:left="1393" w:hanging="1393" w:hangingChars="387"/>
        <w:rPr>
          <w:rFonts w:ascii="仿宋_GB2312" w:eastAsia="仿宋_GB2312"/>
          <w:sz w:val="36"/>
          <w:szCs w:val="36"/>
          <w:u w:val="single"/>
        </w:rPr>
      </w:pPr>
      <w:r>
        <w:rPr>
          <w:rFonts w:hint="eastAsia" w:ascii="仿宋_GB2312" w:eastAsia="仿宋_GB2312"/>
          <w:kern w:val="0"/>
          <w:sz w:val="36"/>
          <w:szCs w:val="36"/>
        </w:rPr>
        <w:t>建设单位</w:t>
      </w:r>
      <w:r>
        <w:rPr>
          <w:rFonts w:hint="eastAsia" w:ascii="仿宋_GB2312" w:eastAsia="仿宋_GB2312"/>
          <w:sz w:val="36"/>
          <w:szCs w:val="36"/>
        </w:rPr>
        <w:t>：</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巴中市浙胜节能建材有限公司 </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14:paraId="238B2774">
      <w:pPr>
        <w:tabs>
          <w:tab w:val="left" w:pos="8222"/>
        </w:tabs>
        <w:ind w:left="1393" w:hanging="1393" w:hangingChars="387"/>
        <w:rPr>
          <w:rFonts w:ascii="仿宋_GB2312" w:eastAsia="仿宋_GB2312"/>
          <w:sz w:val="36"/>
          <w:szCs w:val="36"/>
          <w:u w:val="single"/>
        </w:rPr>
      </w:pPr>
      <w:r>
        <w:rPr>
          <w:rFonts w:hint="eastAsia" w:ascii="仿宋_GB2312" w:eastAsia="仿宋_GB2312"/>
          <w:kern w:val="0"/>
          <w:sz w:val="36"/>
          <w:szCs w:val="36"/>
        </w:rPr>
        <w:t>编制日期</w:t>
      </w:r>
      <w:r>
        <w:rPr>
          <w:rFonts w:hint="eastAsia" w:ascii="仿宋_GB2312" w:eastAsia="仿宋_GB2312"/>
          <w:sz w:val="36"/>
          <w:szCs w:val="36"/>
        </w:rPr>
        <w:t>：</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二</w:t>
      </w:r>
      <w:r>
        <w:rPr>
          <w:rFonts w:hint="eastAsia" w:ascii="微软雅黑" w:hAnsi="微软雅黑" w:eastAsia="微软雅黑" w:cs="微软雅黑"/>
          <w:sz w:val="36"/>
          <w:szCs w:val="36"/>
          <w:u w:val="single"/>
        </w:rPr>
        <w:t>〇</w:t>
      </w:r>
      <w:r>
        <w:rPr>
          <w:rFonts w:hint="eastAsia" w:ascii="仿宋_GB2312" w:hAnsi="仿宋_GB2312" w:eastAsia="仿宋_GB2312" w:cs="仿宋_GB2312"/>
          <w:sz w:val="36"/>
          <w:szCs w:val="36"/>
          <w:u w:val="single"/>
        </w:rPr>
        <w:t>二</w:t>
      </w:r>
      <w:r>
        <w:rPr>
          <w:rFonts w:hint="eastAsia" w:ascii="仿宋_GB2312" w:eastAsia="仿宋_GB2312"/>
          <w:sz w:val="36"/>
          <w:szCs w:val="36"/>
          <w:u w:val="single"/>
        </w:rPr>
        <w:t xml:space="preserve">四年七月 </w:t>
      </w:r>
      <w:r>
        <w:rPr>
          <w:rFonts w:ascii="仿宋_GB2312" w:eastAsia="仿宋_GB2312"/>
          <w:sz w:val="36"/>
          <w:szCs w:val="36"/>
          <w:u w:val="single"/>
        </w:rPr>
        <w:t xml:space="preserve">          </w:t>
      </w:r>
    </w:p>
    <w:p w14:paraId="2C756508">
      <w:pPr>
        <w:spacing w:line="288" w:lineRule="auto"/>
        <w:ind w:firstLine="0" w:firstLineChars="0"/>
        <w:jc w:val="center"/>
        <w:rPr>
          <w:sz w:val="36"/>
          <w:szCs w:val="36"/>
          <w:u w:val="single"/>
        </w:rPr>
      </w:pPr>
      <w:bookmarkStart w:id="0" w:name="_Hlk57884087"/>
    </w:p>
    <w:p w14:paraId="61267F2C">
      <w:pPr>
        <w:spacing w:line="288" w:lineRule="auto"/>
        <w:ind w:firstLine="0" w:firstLineChars="0"/>
        <w:jc w:val="center"/>
        <w:rPr>
          <w:sz w:val="36"/>
          <w:szCs w:val="36"/>
        </w:rPr>
      </w:pPr>
    </w:p>
    <w:p w14:paraId="1A515E4A">
      <w:pPr>
        <w:spacing w:line="288" w:lineRule="auto"/>
        <w:ind w:firstLine="0" w:firstLineChars="0"/>
        <w:jc w:val="center"/>
        <w:rPr>
          <w:sz w:val="36"/>
          <w:szCs w:val="36"/>
        </w:rPr>
      </w:pPr>
    </w:p>
    <w:bookmarkEnd w:id="0"/>
    <w:p w14:paraId="6636EB0F">
      <w:pPr>
        <w:spacing w:line="288" w:lineRule="auto"/>
        <w:ind w:firstLine="0" w:firstLineChars="0"/>
        <w:jc w:val="center"/>
        <w:rPr>
          <w:rFonts w:ascii="楷体" w:hAnsi="楷体" w:eastAsia="楷体"/>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58" w:gutter="0"/>
          <w:pgNumType w:start="1"/>
          <w:cols w:space="720" w:num="1"/>
          <w:docGrid w:linePitch="312" w:charSpace="0"/>
        </w:sectPr>
      </w:pPr>
      <w:r>
        <w:rPr>
          <w:rFonts w:ascii="楷体" w:hAnsi="楷体" w:eastAsia="楷体"/>
          <w:sz w:val="36"/>
          <w:szCs w:val="36"/>
        </w:rPr>
        <w:t>中华人民共和国生态环境部制</w:t>
      </w:r>
    </w:p>
    <w:p w14:paraId="5AF503AF">
      <w:pPr>
        <w:spacing w:line="288" w:lineRule="auto"/>
        <w:ind w:firstLine="0" w:firstLineChars="0"/>
        <w:jc w:val="center"/>
        <w:rPr>
          <w:b/>
          <w:bCs/>
          <w:sz w:val="28"/>
          <w:szCs w:val="28"/>
        </w:rPr>
      </w:pPr>
      <w:r>
        <w:rPr>
          <w:rFonts w:hint="eastAsia"/>
          <w:b/>
          <w:bCs/>
          <w:sz w:val="28"/>
          <w:szCs w:val="28"/>
        </w:rPr>
        <w:t>目录</w:t>
      </w:r>
    </w:p>
    <w:p w14:paraId="1EA95B50">
      <w:pPr>
        <w:pStyle w:val="22"/>
        <w:tabs>
          <w:tab w:val="right" w:leader="dot" w:pos="8302"/>
        </w:tabs>
        <w:ind w:firstLine="0" w:firstLineChars="0"/>
        <w:rPr>
          <w:rFonts w:asciiTheme="minorHAnsi" w:hAnsiTheme="minorHAnsi" w:eastAsiaTheme="minorEastAsia" w:cstheme="minorBidi"/>
          <w:szCs w:val="22"/>
        </w:rPr>
      </w:pPr>
      <w:r>
        <w:rPr>
          <w:sz w:val="36"/>
          <w:szCs w:val="36"/>
        </w:rPr>
        <w:fldChar w:fldCharType="begin"/>
      </w:r>
      <w:r>
        <w:rPr>
          <w:sz w:val="36"/>
          <w:szCs w:val="36"/>
        </w:rPr>
        <w:instrText xml:space="preserve"> </w:instrText>
      </w:r>
      <w:r>
        <w:rPr>
          <w:rFonts w:hint="eastAsia"/>
          <w:sz w:val="36"/>
          <w:szCs w:val="36"/>
        </w:rPr>
        <w:instrText xml:space="preserve">TOC \o "1-1" \h \z \u</w:instrText>
      </w:r>
      <w:r>
        <w:rPr>
          <w:sz w:val="36"/>
          <w:szCs w:val="36"/>
        </w:rPr>
        <w:instrText xml:space="preserve"> </w:instrText>
      </w:r>
      <w:r>
        <w:rPr>
          <w:sz w:val="36"/>
          <w:szCs w:val="36"/>
        </w:rPr>
        <w:fldChar w:fldCharType="separate"/>
      </w:r>
      <w:r>
        <w:fldChar w:fldCharType="begin"/>
      </w:r>
      <w:r>
        <w:instrText xml:space="preserve"> HYPERLINK \l "_Toc171001977" </w:instrText>
      </w:r>
      <w:r>
        <w:fldChar w:fldCharType="separate"/>
      </w:r>
      <w:r>
        <w:rPr>
          <w:rStyle w:val="41"/>
          <w:snapToGrid w:val="0"/>
        </w:rPr>
        <w:t>一、建设项目基本情况</w:t>
      </w:r>
      <w:r>
        <w:tab/>
      </w:r>
      <w:r>
        <w:fldChar w:fldCharType="begin"/>
      </w:r>
      <w:r>
        <w:instrText xml:space="preserve"> PAGEREF _Toc171001977 \h </w:instrText>
      </w:r>
      <w:r>
        <w:fldChar w:fldCharType="separate"/>
      </w:r>
      <w:r>
        <w:t>- 1 -</w:t>
      </w:r>
      <w:r>
        <w:fldChar w:fldCharType="end"/>
      </w:r>
      <w:r>
        <w:fldChar w:fldCharType="end"/>
      </w:r>
    </w:p>
    <w:p w14:paraId="6220C84E">
      <w:pPr>
        <w:pStyle w:val="22"/>
        <w:tabs>
          <w:tab w:val="right" w:leader="dot" w:pos="8302"/>
        </w:tabs>
        <w:ind w:firstLine="0" w:firstLineChars="0"/>
        <w:rPr>
          <w:rFonts w:asciiTheme="minorHAnsi" w:hAnsiTheme="minorHAnsi" w:eastAsiaTheme="minorEastAsia" w:cstheme="minorBidi"/>
          <w:szCs w:val="22"/>
        </w:rPr>
      </w:pPr>
      <w:r>
        <w:fldChar w:fldCharType="begin"/>
      </w:r>
      <w:r>
        <w:instrText xml:space="preserve"> HYPERLINK \l "_Toc171001978" </w:instrText>
      </w:r>
      <w:r>
        <w:fldChar w:fldCharType="separate"/>
      </w:r>
      <w:r>
        <w:rPr>
          <w:rStyle w:val="41"/>
          <w:rFonts w:cs="宋体"/>
          <w:snapToGrid w:val="0"/>
        </w:rPr>
        <w:t>二、建设项目工程分析</w:t>
      </w:r>
      <w:r>
        <w:tab/>
      </w:r>
      <w:r>
        <w:fldChar w:fldCharType="begin"/>
      </w:r>
      <w:r>
        <w:instrText xml:space="preserve"> PAGEREF _Toc171001978 \h </w:instrText>
      </w:r>
      <w:r>
        <w:fldChar w:fldCharType="separate"/>
      </w:r>
      <w:r>
        <w:t>- 26 -</w:t>
      </w:r>
      <w:r>
        <w:fldChar w:fldCharType="end"/>
      </w:r>
      <w:r>
        <w:fldChar w:fldCharType="end"/>
      </w:r>
    </w:p>
    <w:p w14:paraId="1EB133AD">
      <w:pPr>
        <w:pStyle w:val="22"/>
        <w:tabs>
          <w:tab w:val="right" w:leader="dot" w:pos="8302"/>
        </w:tabs>
        <w:ind w:firstLine="0" w:firstLineChars="0"/>
        <w:rPr>
          <w:rFonts w:asciiTheme="minorHAnsi" w:hAnsiTheme="minorHAnsi" w:eastAsiaTheme="minorEastAsia" w:cstheme="minorBidi"/>
          <w:szCs w:val="22"/>
        </w:rPr>
      </w:pPr>
      <w:r>
        <w:fldChar w:fldCharType="begin"/>
      </w:r>
      <w:r>
        <w:instrText xml:space="preserve"> HYPERLINK \l "_Toc171001979" </w:instrText>
      </w:r>
      <w:r>
        <w:fldChar w:fldCharType="separate"/>
      </w:r>
      <w:r>
        <w:rPr>
          <w:rStyle w:val="41"/>
          <w:rFonts w:cs="宋体"/>
          <w:snapToGrid w:val="0"/>
        </w:rPr>
        <w:t>三、区域环境质量现状、环境保护目标及评价标准</w:t>
      </w:r>
      <w:r>
        <w:tab/>
      </w:r>
      <w:r>
        <w:fldChar w:fldCharType="begin"/>
      </w:r>
      <w:r>
        <w:instrText xml:space="preserve"> PAGEREF _Toc171001979 \h </w:instrText>
      </w:r>
      <w:r>
        <w:fldChar w:fldCharType="separate"/>
      </w:r>
      <w:r>
        <w:t>- 36 -</w:t>
      </w:r>
      <w:r>
        <w:fldChar w:fldCharType="end"/>
      </w:r>
      <w:r>
        <w:fldChar w:fldCharType="end"/>
      </w:r>
    </w:p>
    <w:p w14:paraId="0F183770">
      <w:pPr>
        <w:pStyle w:val="22"/>
        <w:tabs>
          <w:tab w:val="right" w:leader="dot" w:pos="8302"/>
        </w:tabs>
        <w:ind w:firstLine="0" w:firstLineChars="0"/>
        <w:rPr>
          <w:rFonts w:asciiTheme="minorHAnsi" w:hAnsiTheme="minorHAnsi" w:eastAsiaTheme="minorEastAsia" w:cstheme="minorBidi"/>
          <w:szCs w:val="22"/>
        </w:rPr>
      </w:pPr>
      <w:r>
        <w:fldChar w:fldCharType="begin"/>
      </w:r>
      <w:r>
        <w:instrText xml:space="preserve"> HYPERLINK \l "_Toc171001980" </w:instrText>
      </w:r>
      <w:r>
        <w:fldChar w:fldCharType="separate"/>
      </w:r>
      <w:r>
        <w:rPr>
          <w:rStyle w:val="41"/>
          <w:rFonts w:cs="宋体"/>
          <w:snapToGrid w:val="0"/>
        </w:rPr>
        <w:t>四、主要环境影响和保护措施</w:t>
      </w:r>
      <w:r>
        <w:tab/>
      </w:r>
      <w:r>
        <w:fldChar w:fldCharType="begin"/>
      </w:r>
      <w:r>
        <w:instrText xml:space="preserve"> PAGEREF _Toc171001980 \h </w:instrText>
      </w:r>
      <w:r>
        <w:fldChar w:fldCharType="separate"/>
      </w:r>
      <w:r>
        <w:t>- 41 -</w:t>
      </w:r>
      <w:r>
        <w:fldChar w:fldCharType="end"/>
      </w:r>
      <w:r>
        <w:fldChar w:fldCharType="end"/>
      </w:r>
    </w:p>
    <w:p w14:paraId="2F137105">
      <w:pPr>
        <w:pStyle w:val="22"/>
        <w:tabs>
          <w:tab w:val="right" w:leader="dot" w:pos="8302"/>
        </w:tabs>
        <w:ind w:firstLine="0" w:firstLineChars="0"/>
        <w:rPr>
          <w:rFonts w:asciiTheme="minorHAnsi" w:hAnsiTheme="minorHAnsi" w:eastAsiaTheme="minorEastAsia" w:cstheme="minorBidi"/>
          <w:szCs w:val="22"/>
        </w:rPr>
      </w:pPr>
      <w:r>
        <w:fldChar w:fldCharType="begin"/>
      </w:r>
      <w:r>
        <w:instrText xml:space="preserve"> HYPERLINK \l "_Toc171001981" </w:instrText>
      </w:r>
      <w:r>
        <w:fldChar w:fldCharType="separate"/>
      </w:r>
      <w:r>
        <w:rPr>
          <w:rStyle w:val="41"/>
          <w:rFonts w:cs="宋体"/>
          <w:snapToGrid w:val="0"/>
        </w:rPr>
        <w:t>五、环境保护措施监督检查清单</w:t>
      </w:r>
      <w:r>
        <w:tab/>
      </w:r>
      <w:r>
        <w:fldChar w:fldCharType="begin"/>
      </w:r>
      <w:r>
        <w:instrText xml:space="preserve"> PAGEREF _Toc171001981 \h </w:instrText>
      </w:r>
      <w:r>
        <w:fldChar w:fldCharType="separate"/>
      </w:r>
      <w:r>
        <w:t>- 60 -</w:t>
      </w:r>
      <w:r>
        <w:fldChar w:fldCharType="end"/>
      </w:r>
      <w:r>
        <w:fldChar w:fldCharType="end"/>
      </w:r>
    </w:p>
    <w:p w14:paraId="17E3A28A">
      <w:pPr>
        <w:pStyle w:val="22"/>
        <w:tabs>
          <w:tab w:val="right" w:leader="dot" w:pos="8302"/>
        </w:tabs>
        <w:ind w:firstLine="0" w:firstLineChars="0"/>
        <w:rPr>
          <w:rFonts w:asciiTheme="minorHAnsi" w:hAnsiTheme="minorHAnsi" w:eastAsiaTheme="minorEastAsia" w:cstheme="minorBidi"/>
          <w:szCs w:val="22"/>
        </w:rPr>
      </w:pPr>
      <w:r>
        <w:fldChar w:fldCharType="begin"/>
      </w:r>
      <w:r>
        <w:instrText xml:space="preserve"> HYPERLINK \l "_Toc171001982" </w:instrText>
      </w:r>
      <w:r>
        <w:fldChar w:fldCharType="separate"/>
      </w:r>
      <w:r>
        <w:rPr>
          <w:rStyle w:val="41"/>
          <w:rFonts w:cs="宋体"/>
          <w:snapToGrid w:val="0"/>
        </w:rPr>
        <w:t>六、结论</w:t>
      </w:r>
      <w:r>
        <w:tab/>
      </w:r>
      <w:r>
        <w:fldChar w:fldCharType="begin"/>
      </w:r>
      <w:r>
        <w:instrText xml:space="preserve"> PAGEREF _Toc171001982 \h </w:instrText>
      </w:r>
      <w:r>
        <w:fldChar w:fldCharType="separate"/>
      </w:r>
      <w:r>
        <w:t>- 61 -</w:t>
      </w:r>
      <w:r>
        <w:fldChar w:fldCharType="end"/>
      </w:r>
      <w:r>
        <w:fldChar w:fldCharType="end"/>
      </w:r>
    </w:p>
    <w:p w14:paraId="12DF33D2">
      <w:pPr>
        <w:pStyle w:val="22"/>
        <w:tabs>
          <w:tab w:val="right" w:leader="dot" w:pos="8302"/>
        </w:tabs>
        <w:ind w:firstLine="0" w:firstLineChars="0"/>
        <w:rPr>
          <w:rFonts w:asciiTheme="minorHAnsi" w:hAnsiTheme="minorHAnsi" w:eastAsiaTheme="minorEastAsia" w:cstheme="minorBidi"/>
          <w:szCs w:val="22"/>
        </w:rPr>
      </w:pPr>
      <w:r>
        <w:fldChar w:fldCharType="begin"/>
      </w:r>
      <w:r>
        <w:instrText xml:space="preserve"> HYPERLINK \l "_Toc171001983" </w:instrText>
      </w:r>
      <w:r>
        <w:fldChar w:fldCharType="separate"/>
      </w:r>
      <w:r>
        <w:rPr>
          <w:rStyle w:val="41"/>
          <w:rFonts w:cs="宋体"/>
          <w:snapToGrid w:val="0"/>
        </w:rPr>
        <w:t>附表  建设项目污染物排放量汇总表</w:t>
      </w:r>
      <w:r>
        <w:tab/>
      </w:r>
      <w:r>
        <w:fldChar w:fldCharType="begin"/>
      </w:r>
      <w:r>
        <w:instrText xml:space="preserve"> PAGEREF _Toc171001983 \h </w:instrText>
      </w:r>
      <w:r>
        <w:fldChar w:fldCharType="separate"/>
      </w:r>
      <w:r>
        <w:t>- 62 -</w:t>
      </w:r>
      <w:r>
        <w:fldChar w:fldCharType="end"/>
      </w:r>
      <w:r>
        <w:fldChar w:fldCharType="end"/>
      </w:r>
    </w:p>
    <w:p w14:paraId="1EB60DCC">
      <w:pPr>
        <w:ind w:firstLine="0" w:firstLineChars="0"/>
        <w:jc w:val="left"/>
        <w:rPr>
          <w:sz w:val="36"/>
          <w:szCs w:val="36"/>
        </w:rPr>
      </w:pPr>
      <w:r>
        <w:rPr>
          <w:sz w:val="36"/>
          <w:szCs w:val="36"/>
        </w:rPr>
        <w:fldChar w:fldCharType="end"/>
      </w:r>
    </w:p>
    <w:p w14:paraId="603D6A0D">
      <w:pPr>
        <w:spacing w:line="288" w:lineRule="auto"/>
        <w:ind w:firstLine="0" w:firstLineChars="0"/>
        <w:jc w:val="center"/>
        <w:rPr>
          <w:sz w:val="36"/>
          <w:szCs w:val="36"/>
        </w:rPr>
        <w:sectPr>
          <w:pgSz w:w="11906" w:h="16838"/>
          <w:pgMar w:top="1440" w:right="1797" w:bottom="1440" w:left="1797" w:header="851" w:footer="958" w:gutter="0"/>
          <w:pgNumType w:start="1"/>
          <w:cols w:space="720" w:num="1"/>
          <w:docGrid w:linePitch="312" w:charSpace="0"/>
        </w:sectPr>
      </w:pPr>
      <w:bookmarkStart w:id="10" w:name="_GoBack"/>
      <w:bookmarkEnd w:id="10"/>
    </w:p>
    <w:p w14:paraId="6C7FCB2C">
      <w:pPr>
        <w:pStyle w:val="2"/>
        <w:rPr>
          <w:snapToGrid w:val="0"/>
        </w:rPr>
      </w:pPr>
      <w:bookmarkStart w:id="1" w:name="_Toc171001977"/>
      <w:r>
        <w:rPr>
          <w:snapToGrid w:val="0"/>
        </w:rPr>
        <w:t>一、建设项目基本情况</w:t>
      </w:r>
      <w:bookmarkEnd w:id="1"/>
    </w:p>
    <w:tbl>
      <w:tblPr>
        <w:tblStyle w:val="33"/>
        <w:tblW w:w="90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532"/>
        <w:gridCol w:w="2661"/>
        <w:gridCol w:w="1821"/>
        <w:gridCol w:w="3048"/>
      </w:tblGrid>
      <w:tr w14:paraId="717A77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532" w:type="dxa"/>
            <w:tcMar>
              <w:top w:w="16" w:type="dxa"/>
              <w:left w:w="16" w:type="dxa"/>
              <w:right w:w="16" w:type="dxa"/>
            </w:tcMar>
            <w:vAlign w:val="center"/>
          </w:tcPr>
          <w:p w14:paraId="7D6279FC">
            <w:pPr>
              <w:spacing w:line="480" w:lineRule="exact"/>
              <w:ind w:firstLine="0" w:firstLineChars="0"/>
              <w:jc w:val="center"/>
              <w:rPr>
                <w:szCs w:val="21"/>
              </w:rPr>
            </w:pPr>
            <w:r>
              <w:rPr>
                <w:szCs w:val="21"/>
              </w:rPr>
              <w:t>建设项目名称</w:t>
            </w:r>
          </w:p>
        </w:tc>
        <w:tc>
          <w:tcPr>
            <w:tcW w:w="7530" w:type="dxa"/>
            <w:gridSpan w:val="3"/>
            <w:vAlign w:val="center"/>
          </w:tcPr>
          <w:p w14:paraId="45EEB3F4">
            <w:pPr>
              <w:spacing w:line="480" w:lineRule="exact"/>
              <w:ind w:firstLine="0" w:firstLineChars="0"/>
              <w:jc w:val="center"/>
              <w:rPr>
                <w:szCs w:val="21"/>
              </w:rPr>
            </w:pPr>
            <w:r>
              <w:rPr>
                <w:rFonts w:hint="eastAsia"/>
                <w:szCs w:val="21"/>
              </w:rPr>
              <w:t>巴中市浙胜节能建材有限公司年产15万立方米加气混凝土生产线项目</w:t>
            </w:r>
          </w:p>
        </w:tc>
      </w:tr>
      <w:tr w14:paraId="17A4DC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532" w:type="dxa"/>
            <w:tcMar>
              <w:top w:w="16" w:type="dxa"/>
              <w:left w:w="16" w:type="dxa"/>
              <w:right w:w="16" w:type="dxa"/>
            </w:tcMar>
            <w:vAlign w:val="center"/>
          </w:tcPr>
          <w:p w14:paraId="0251C27F">
            <w:pPr>
              <w:spacing w:line="480" w:lineRule="exact"/>
              <w:ind w:firstLine="0" w:firstLineChars="0"/>
              <w:jc w:val="center"/>
              <w:rPr>
                <w:szCs w:val="21"/>
              </w:rPr>
            </w:pPr>
            <w:r>
              <w:rPr>
                <w:szCs w:val="21"/>
              </w:rPr>
              <w:t>项目代码</w:t>
            </w:r>
          </w:p>
        </w:tc>
        <w:tc>
          <w:tcPr>
            <w:tcW w:w="7530" w:type="dxa"/>
            <w:gridSpan w:val="3"/>
            <w:vAlign w:val="center"/>
          </w:tcPr>
          <w:p w14:paraId="159F3444">
            <w:pPr>
              <w:spacing w:line="480" w:lineRule="exact"/>
              <w:ind w:firstLine="0" w:firstLineChars="0"/>
              <w:jc w:val="center"/>
              <w:rPr>
                <w:szCs w:val="21"/>
              </w:rPr>
            </w:pPr>
            <w:r>
              <w:rPr>
                <w:rFonts w:hint="eastAsia"/>
                <w:szCs w:val="21"/>
              </w:rPr>
              <w:t>2406-511924-04-01-260939</w:t>
            </w:r>
          </w:p>
        </w:tc>
      </w:tr>
      <w:tr w14:paraId="65EC98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532" w:type="dxa"/>
            <w:tcMar>
              <w:top w:w="16" w:type="dxa"/>
              <w:left w:w="16" w:type="dxa"/>
              <w:right w:w="16" w:type="dxa"/>
            </w:tcMar>
            <w:vAlign w:val="center"/>
          </w:tcPr>
          <w:p w14:paraId="2A9A331E">
            <w:pPr>
              <w:spacing w:line="480" w:lineRule="exact"/>
              <w:ind w:firstLine="0" w:firstLineChars="0"/>
              <w:jc w:val="center"/>
              <w:rPr>
                <w:szCs w:val="21"/>
              </w:rPr>
            </w:pPr>
            <w:r>
              <w:rPr>
                <w:szCs w:val="21"/>
              </w:rPr>
              <w:t>建设单位联系人</w:t>
            </w:r>
          </w:p>
        </w:tc>
        <w:tc>
          <w:tcPr>
            <w:tcW w:w="2661" w:type="dxa"/>
          </w:tcPr>
          <w:p w14:paraId="78A7C450">
            <w:pPr>
              <w:spacing w:line="480" w:lineRule="exact"/>
              <w:ind w:firstLine="0" w:firstLineChars="0"/>
              <w:jc w:val="center"/>
              <w:rPr>
                <w:rFonts w:hint="default" w:eastAsia="宋体"/>
                <w:szCs w:val="21"/>
                <w:lang w:val="en-US" w:eastAsia="zh-CN"/>
              </w:rPr>
            </w:pPr>
            <w:r>
              <w:rPr>
                <w:rFonts w:hint="eastAsia"/>
                <w:szCs w:val="21"/>
                <w:lang w:val="en-US" w:eastAsia="zh-CN"/>
              </w:rPr>
              <w:t>*****</w:t>
            </w:r>
          </w:p>
        </w:tc>
        <w:tc>
          <w:tcPr>
            <w:tcW w:w="1821" w:type="dxa"/>
          </w:tcPr>
          <w:p w14:paraId="572316AA">
            <w:pPr>
              <w:spacing w:line="480" w:lineRule="exact"/>
              <w:ind w:firstLine="0" w:firstLineChars="0"/>
              <w:jc w:val="center"/>
              <w:rPr>
                <w:szCs w:val="21"/>
              </w:rPr>
            </w:pPr>
            <w:r>
              <w:rPr>
                <w:rFonts w:hint="eastAsia"/>
              </w:rPr>
              <w:t>联系方式</w:t>
            </w:r>
          </w:p>
        </w:tc>
        <w:tc>
          <w:tcPr>
            <w:tcW w:w="3048" w:type="dxa"/>
          </w:tcPr>
          <w:p w14:paraId="78295D48">
            <w:pPr>
              <w:spacing w:line="480" w:lineRule="exact"/>
              <w:ind w:firstLine="0" w:firstLineChars="0"/>
              <w:jc w:val="center"/>
              <w:rPr>
                <w:szCs w:val="21"/>
              </w:rPr>
            </w:pPr>
            <w:r>
              <w:rPr>
                <w:rFonts w:hint="eastAsia"/>
                <w:szCs w:val="21"/>
                <w:lang w:val="en-US" w:eastAsia="zh-CN"/>
              </w:rPr>
              <w:t>*****</w:t>
            </w:r>
          </w:p>
        </w:tc>
      </w:tr>
      <w:tr w14:paraId="3B87B9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532" w:type="dxa"/>
            <w:tcMar>
              <w:top w:w="16" w:type="dxa"/>
              <w:left w:w="16" w:type="dxa"/>
              <w:right w:w="16" w:type="dxa"/>
            </w:tcMar>
            <w:vAlign w:val="center"/>
          </w:tcPr>
          <w:p w14:paraId="409319F2">
            <w:pPr>
              <w:spacing w:line="480" w:lineRule="exact"/>
              <w:ind w:firstLine="0" w:firstLineChars="0"/>
              <w:jc w:val="center"/>
              <w:rPr>
                <w:szCs w:val="21"/>
              </w:rPr>
            </w:pPr>
            <w:r>
              <w:rPr>
                <w:szCs w:val="21"/>
              </w:rPr>
              <w:t>建设地点</w:t>
            </w:r>
          </w:p>
        </w:tc>
        <w:tc>
          <w:tcPr>
            <w:tcW w:w="7530" w:type="dxa"/>
            <w:gridSpan w:val="3"/>
            <w:vAlign w:val="center"/>
          </w:tcPr>
          <w:p w14:paraId="66573B38">
            <w:pPr>
              <w:spacing w:line="480" w:lineRule="exact"/>
              <w:ind w:firstLine="0" w:firstLineChars="0"/>
              <w:jc w:val="center"/>
              <w:rPr>
                <w:kern w:val="0"/>
                <w:szCs w:val="21"/>
              </w:rPr>
            </w:pPr>
            <w:r>
              <w:rPr>
                <w:rFonts w:hint="eastAsia"/>
                <w:kern w:val="0"/>
                <w:szCs w:val="21"/>
              </w:rPr>
              <w:t>四川省巴中市经济开发区兴文街道</w:t>
            </w:r>
          </w:p>
        </w:tc>
      </w:tr>
      <w:tr w14:paraId="008F75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532" w:type="dxa"/>
            <w:tcMar>
              <w:top w:w="16" w:type="dxa"/>
              <w:left w:w="16" w:type="dxa"/>
              <w:right w:w="16" w:type="dxa"/>
            </w:tcMar>
            <w:vAlign w:val="center"/>
          </w:tcPr>
          <w:p w14:paraId="60D7A10D">
            <w:pPr>
              <w:spacing w:line="480" w:lineRule="exact"/>
              <w:ind w:firstLine="0" w:firstLineChars="0"/>
              <w:jc w:val="center"/>
              <w:rPr>
                <w:szCs w:val="21"/>
              </w:rPr>
            </w:pPr>
            <w:r>
              <w:rPr>
                <w:szCs w:val="21"/>
              </w:rPr>
              <w:t>地理坐标</w:t>
            </w:r>
          </w:p>
        </w:tc>
        <w:tc>
          <w:tcPr>
            <w:tcW w:w="7530" w:type="dxa"/>
            <w:gridSpan w:val="3"/>
            <w:vAlign w:val="center"/>
          </w:tcPr>
          <w:p w14:paraId="4B4A6848">
            <w:pPr>
              <w:spacing w:line="480" w:lineRule="exact"/>
              <w:ind w:firstLine="0" w:firstLineChars="0"/>
              <w:jc w:val="center"/>
              <w:rPr>
                <w:szCs w:val="21"/>
              </w:rPr>
            </w:pPr>
            <w:r>
              <w:rPr>
                <w:rFonts w:hint="eastAsia"/>
                <w:szCs w:val="21"/>
              </w:rPr>
              <w:t>（E</w:t>
            </w:r>
            <w:r>
              <w:rPr>
                <w:szCs w:val="21"/>
                <w:u w:val="single"/>
              </w:rPr>
              <w:t xml:space="preserve"> 106 </w:t>
            </w:r>
            <w:r>
              <w:rPr>
                <w:rFonts w:hint="eastAsia"/>
                <w:szCs w:val="21"/>
              </w:rPr>
              <w:t>度</w:t>
            </w:r>
            <w:r>
              <w:rPr>
                <w:szCs w:val="21"/>
                <w:u w:val="single"/>
              </w:rPr>
              <w:t xml:space="preserve"> 54 </w:t>
            </w:r>
            <w:r>
              <w:rPr>
                <w:rFonts w:hint="eastAsia"/>
                <w:szCs w:val="21"/>
              </w:rPr>
              <w:t>分</w:t>
            </w:r>
            <w:r>
              <w:rPr>
                <w:szCs w:val="21"/>
                <w:u w:val="single"/>
              </w:rPr>
              <w:t xml:space="preserve"> 1.407 </w:t>
            </w:r>
            <w:r>
              <w:rPr>
                <w:rFonts w:hint="eastAsia"/>
                <w:szCs w:val="21"/>
              </w:rPr>
              <w:t>秒，N</w:t>
            </w:r>
            <w:r>
              <w:rPr>
                <w:szCs w:val="21"/>
                <w:u w:val="single"/>
              </w:rPr>
              <w:t xml:space="preserve"> 31 </w:t>
            </w:r>
            <w:r>
              <w:rPr>
                <w:rFonts w:hint="eastAsia"/>
                <w:szCs w:val="21"/>
              </w:rPr>
              <w:t>度</w:t>
            </w:r>
            <w:r>
              <w:rPr>
                <w:szCs w:val="21"/>
                <w:u w:val="single"/>
              </w:rPr>
              <w:t xml:space="preserve"> 51 </w:t>
            </w:r>
            <w:r>
              <w:rPr>
                <w:rFonts w:hint="eastAsia"/>
                <w:szCs w:val="21"/>
              </w:rPr>
              <w:t>分</w:t>
            </w:r>
            <w:r>
              <w:rPr>
                <w:szCs w:val="21"/>
                <w:u w:val="single"/>
              </w:rPr>
              <w:t xml:space="preserve"> 12.915 </w:t>
            </w:r>
            <w:r>
              <w:rPr>
                <w:rFonts w:hint="eastAsia"/>
                <w:szCs w:val="21"/>
              </w:rPr>
              <w:t>秒）</w:t>
            </w:r>
            <w:r>
              <w:rPr>
                <w:szCs w:val="21"/>
              </w:rPr>
              <w:t>）</w:t>
            </w:r>
          </w:p>
        </w:tc>
      </w:tr>
      <w:tr w14:paraId="3E1C87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532" w:type="dxa"/>
            <w:tcMar>
              <w:top w:w="16" w:type="dxa"/>
              <w:left w:w="16" w:type="dxa"/>
              <w:right w:w="16" w:type="dxa"/>
            </w:tcMar>
            <w:vAlign w:val="center"/>
          </w:tcPr>
          <w:p w14:paraId="1F05BFC7">
            <w:pPr>
              <w:spacing w:line="480" w:lineRule="exact"/>
              <w:ind w:firstLine="0" w:firstLineChars="0"/>
              <w:jc w:val="center"/>
              <w:rPr>
                <w:szCs w:val="21"/>
              </w:rPr>
            </w:pPr>
            <w:r>
              <w:rPr>
                <w:szCs w:val="21"/>
              </w:rPr>
              <w:t>国民经济</w:t>
            </w:r>
          </w:p>
          <w:p w14:paraId="02019E8D">
            <w:pPr>
              <w:spacing w:line="480" w:lineRule="exact"/>
              <w:ind w:firstLine="0" w:firstLineChars="0"/>
              <w:jc w:val="center"/>
              <w:rPr>
                <w:szCs w:val="21"/>
              </w:rPr>
            </w:pPr>
            <w:r>
              <w:rPr>
                <w:szCs w:val="21"/>
              </w:rPr>
              <w:t>行业类别</w:t>
            </w:r>
          </w:p>
        </w:tc>
        <w:tc>
          <w:tcPr>
            <w:tcW w:w="2661" w:type="dxa"/>
            <w:vAlign w:val="center"/>
          </w:tcPr>
          <w:p w14:paraId="132C460E">
            <w:pPr>
              <w:spacing w:line="480" w:lineRule="exact"/>
              <w:ind w:firstLine="0" w:firstLineChars="0"/>
              <w:rPr>
                <w:szCs w:val="21"/>
              </w:rPr>
            </w:pPr>
            <w:r>
              <w:rPr>
                <w:rFonts w:hint="eastAsia"/>
                <w:kern w:val="21"/>
                <w:szCs w:val="24"/>
              </w:rPr>
              <w:t>C</w:t>
            </w:r>
            <w:r>
              <w:rPr>
                <w:kern w:val="21"/>
                <w:szCs w:val="24"/>
              </w:rPr>
              <w:t>3031</w:t>
            </w:r>
            <w:r>
              <w:rPr>
                <w:rFonts w:hint="eastAsia"/>
                <w:kern w:val="21"/>
                <w:szCs w:val="24"/>
              </w:rPr>
              <w:t>黏土砖瓦及建筑砌块制造</w:t>
            </w:r>
          </w:p>
        </w:tc>
        <w:tc>
          <w:tcPr>
            <w:tcW w:w="1821" w:type="dxa"/>
            <w:vAlign w:val="center"/>
          </w:tcPr>
          <w:p w14:paraId="792B28DC">
            <w:pPr>
              <w:spacing w:line="480" w:lineRule="exact"/>
              <w:ind w:firstLine="0" w:firstLineChars="0"/>
              <w:jc w:val="center"/>
              <w:rPr>
                <w:szCs w:val="21"/>
              </w:rPr>
            </w:pPr>
            <w:bookmarkStart w:id="2" w:name="_Hlk49843745"/>
            <w:r>
              <w:rPr>
                <w:szCs w:val="21"/>
              </w:rPr>
              <w:t>建设项目</w:t>
            </w:r>
          </w:p>
          <w:p w14:paraId="181D8BDC">
            <w:pPr>
              <w:spacing w:line="480" w:lineRule="exact"/>
              <w:ind w:firstLine="0" w:firstLineChars="0"/>
              <w:jc w:val="center"/>
              <w:rPr>
                <w:szCs w:val="21"/>
              </w:rPr>
            </w:pPr>
            <w:r>
              <w:rPr>
                <w:szCs w:val="21"/>
              </w:rPr>
              <w:t>行业类别</w:t>
            </w:r>
            <w:bookmarkEnd w:id="2"/>
          </w:p>
        </w:tc>
        <w:tc>
          <w:tcPr>
            <w:tcW w:w="3048" w:type="dxa"/>
            <w:vAlign w:val="center"/>
          </w:tcPr>
          <w:p w14:paraId="09FA442E">
            <w:pPr>
              <w:spacing w:line="480" w:lineRule="exact"/>
              <w:ind w:firstLine="0" w:firstLineChars="0"/>
              <w:rPr>
                <w:szCs w:val="21"/>
              </w:rPr>
            </w:pPr>
            <w:r>
              <w:rPr>
                <w:rFonts w:hint="eastAsia"/>
                <w:szCs w:val="21"/>
              </w:rPr>
              <w:t>二十七、非金属矿物制品业</w:t>
            </w:r>
          </w:p>
          <w:p w14:paraId="358EB0AC">
            <w:pPr>
              <w:spacing w:line="480" w:lineRule="exact"/>
              <w:ind w:firstLine="0" w:firstLineChars="0"/>
              <w:rPr>
                <w:szCs w:val="21"/>
              </w:rPr>
            </w:pPr>
            <w:r>
              <w:rPr>
                <w:rFonts w:hint="eastAsia"/>
                <w:szCs w:val="21"/>
              </w:rPr>
              <w:t>5</w:t>
            </w:r>
            <w:r>
              <w:rPr>
                <w:szCs w:val="21"/>
              </w:rPr>
              <w:t>6</w:t>
            </w:r>
            <w:r>
              <w:rPr>
                <w:rFonts w:hint="eastAsia"/>
                <w:szCs w:val="21"/>
              </w:rPr>
              <w:t>砖瓦、石材等建筑材料制造3</w:t>
            </w:r>
            <w:r>
              <w:rPr>
                <w:szCs w:val="21"/>
              </w:rPr>
              <w:t>03</w:t>
            </w:r>
            <w:r>
              <w:rPr>
                <w:rFonts w:hint="eastAsia"/>
                <w:szCs w:val="21"/>
              </w:rPr>
              <w:t>粘土砖瓦及建筑砌块制造</w:t>
            </w:r>
          </w:p>
        </w:tc>
      </w:tr>
      <w:tr w14:paraId="689384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532" w:type="dxa"/>
            <w:tcMar>
              <w:top w:w="16" w:type="dxa"/>
              <w:left w:w="16" w:type="dxa"/>
              <w:right w:w="16" w:type="dxa"/>
            </w:tcMar>
            <w:vAlign w:val="center"/>
          </w:tcPr>
          <w:p w14:paraId="6780A157">
            <w:pPr>
              <w:spacing w:line="480" w:lineRule="exact"/>
              <w:ind w:firstLine="0" w:firstLineChars="0"/>
              <w:jc w:val="center"/>
              <w:rPr>
                <w:szCs w:val="21"/>
              </w:rPr>
            </w:pPr>
            <w:r>
              <w:rPr>
                <w:szCs w:val="21"/>
              </w:rPr>
              <w:t>建设性质</w:t>
            </w:r>
          </w:p>
        </w:tc>
        <w:tc>
          <w:tcPr>
            <w:tcW w:w="2661" w:type="dxa"/>
            <w:vAlign w:val="center"/>
          </w:tcPr>
          <w:p w14:paraId="24C283E0">
            <w:pPr>
              <w:spacing w:line="480" w:lineRule="exact"/>
              <w:ind w:firstLine="0" w:firstLineChars="0"/>
              <w:rPr>
                <w:szCs w:val="21"/>
              </w:rPr>
            </w:pPr>
            <w:r>
              <w:rPr>
                <w:rFonts w:ascii="Segoe UI Symbol" w:hAnsi="Segoe UI Symbol" w:cs="Segoe UI Symbol"/>
                <w:sz w:val="28"/>
                <w:szCs w:val="21"/>
              </w:rPr>
              <w:t>☑</w:t>
            </w:r>
            <w:r>
              <w:rPr>
                <w:szCs w:val="21"/>
              </w:rPr>
              <w:t>新建（迁建）</w:t>
            </w:r>
          </w:p>
          <w:p w14:paraId="5549E6B7">
            <w:pPr>
              <w:spacing w:line="480" w:lineRule="exact"/>
              <w:ind w:firstLine="0" w:firstLineChars="0"/>
              <w:rPr>
                <w:szCs w:val="21"/>
              </w:rPr>
            </w:pPr>
            <w:r>
              <w:rPr>
                <w:rFonts w:ascii="宋体" w:hAnsi="宋体"/>
                <w:szCs w:val="21"/>
              </w:rPr>
              <w:t>□</w:t>
            </w:r>
            <w:r>
              <w:rPr>
                <w:szCs w:val="21"/>
              </w:rPr>
              <w:t>改建</w:t>
            </w:r>
          </w:p>
          <w:p w14:paraId="0F24D91E">
            <w:pPr>
              <w:spacing w:line="480" w:lineRule="exact"/>
              <w:ind w:firstLine="0" w:firstLineChars="0"/>
              <w:rPr>
                <w:szCs w:val="21"/>
              </w:rPr>
            </w:pPr>
            <w:r>
              <w:rPr>
                <w:rFonts w:ascii="宋体" w:hAnsi="宋体"/>
                <w:szCs w:val="21"/>
              </w:rPr>
              <w:t>□</w:t>
            </w:r>
            <w:r>
              <w:rPr>
                <w:szCs w:val="21"/>
              </w:rPr>
              <w:t>扩建</w:t>
            </w:r>
          </w:p>
          <w:p w14:paraId="13452913">
            <w:pPr>
              <w:spacing w:line="480" w:lineRule="exact"/>
              <w:ind w:firstLine="0" w:firstLineChars="0"/>
              <w:rPr>
                <w:szCs w:val="21"/>
              </w:rPr>
            </w:pPr>
            <w:r>
              <w:rPr>
                <w:rFonts w:ascii="宋体" w:hAnsi="宋体"/>
                <w:szCs w:val="21"/>
              </w:rPr>
              <w:t>□</w:t>
            </w:r>
            <w:r>
              <w:rPr>
                <w:szCs w:val="21"/>
              </w:rPr>
              <w:t>技术改造</w:t>
            </w:r>
          </w:p>
        </w:tc>
        <w:tc>
          <w:tcPr>
            <w:tcW w:w="1821" w:type="dxa"/>
            <w:vAlign w:val="center"/>
          </w:tcPr>
          <w:p w14:paraId="126F7E2F">
            <w:pPr>
              <w:spacing w:line="480" w:lineRule="exact"/>
              <w:ind w:firstLine="0" w:firstLineChars="0"/>
              <w:jc w:val="center"/>
              <w:rPr>
                <w:szCs w:val="21"/>
              </w:rPr>
            </w:pPr>
            <w:r>
              <w:rPr>
                <w:szCs w:val="21"/>
              </w:rPr>
              <w:t>建设项目</w:t>
            </w:r>
          </w:p>
          <w:p w14:paraId="07F89272">
            <w:pPr>
              <w:spacing w:line="480" w:lineRule="exact"/>
              <w:ind w:firstLine="0" w:firstLineChars="0"/>
              <w:jc w:val="center"/>
              <w:rPr>
                <w:szCs w:val="21"/>
              </w:rPr>
            </w:pPr>
            <w:r>
              <w:rPr>
                <w:szCs w:val="21"/>
              </w:rPr>
              <w:t>申报情形</w:t>
            </w:r>
          </w:p>
        </w:tc>
        <w:tc>
          <w:tcPr>
            <w:tcW w:w="3048" w:type="dxa"/>
            <w:vAlign w:val="center"/>
          </w:tcPr>
          <w:p w14:paraId="7EB86E23">
            <w:pPr>
              <w:spacing w:line="480" w:lineRule="exact"/>
              <w:ind w:firstLine="0" w:firstLineChars="0"/>
              <w:rPr>
                <w:szCs w:val="21"/>
              </w:rPr>
            </w:pPr>
            <w:r>
              <w:rPr>
                <w:rFonts w:ascii="Segoe UI Symbol" w:hAnsi="Segoe UI Symbol" w:cs="Segoe UI Symbol"/>
                <w:sz w:val="28"/>
                <w:szCs w:val="21"/>
              </w:rPr>
              <w:t>☑</w:t>
            </w:r>
            <w:r>
              <w:rPr>
                <w:szCs w:val="21"/>
              </w:rPr>
              <w:t>首次申报项目</w:t>
            </w:r>
          </w:p>
          <w:p w14:paraId="04662137">
            <w:pPr>
              <w:spacing w:line="480" w:lineRule="exact"/>
              <w:ind w:firstLine="0" w:firstLineChars="0"/>
              <w:rPr>
                <w:szCs w:val="21"/>
              </w:rPr>
            </w:pPr>
            <w:r>
              <w:rPr>
                <w:rFonts w:ascii="宋体" w:hAnsi="宋体"/>
                <w:szCs w:val="21"/>
              </w:rPr>
              <w:t>□</w:t>
            </w:r>
            <w:r>
              <w:rPr>
                <w:szCs w:val="21"/>
              </w:rPr>
              <w:t>不予批准后再次申报项目</w:t>
            </w:r>
          </w:p>
          <w:p w14:paraId="5D14EF0E">
            <w:pPr>
              <w:spacing w:line="480" w:lineRule="exact"/>
              <w:ind w:firstLine="0" w:firstLineChars="0"/>
              <w:rPr>
                <w:szCs w:val="21"/>
              </w:rPr>
            </w:pPr>
            <w:r>
              <w:rPr>
                <w:rFonts w:ascii="宋体" w:hAnsi="宋体"/>
                <w:szCs w:val="21"/>
              </w:rPr>
              <w:t>□</w:t>
            </w:r>
            <w:r>
              <w:rPr>
                <w:szCs w:val="21"/>
              </w:rPr>
              <w:t>超五年重新审核项目</w:t>
            </w:r>
          </w:p>
          <w:p w14:paraId="33268A47">
            <w:pPr>
              <w:spacing w:line="480" w:lineRule="exact"/>
              <w:ind w:firstLine="0" w:firstLineChars="0"/>
              <w:rPr>
                <w:szCs w:val="21"/>
              </w:rPr>
            </w:pPr>
            <w:r>
              <w:rPr>
                <w:rFonts w:ascii="宋体" w:hAnsi="宋体"/>
                <w:szCs w:val="21"/>
              </w:rPr>
              <w:t>□</w:t>
            </w:r>
            <w:r>
              <w:rPr>
                <w:szCs w:val="21"/>
              </w:rPr>
              <w:t>重大变动重新报批项目</w:t>
            </w:r>
          </w:p>
        </w:tc>
      </w:tr>
      <w:tr w14:paraId="363CFD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532" w:type="dxa"/>
            <w:tcMar>
              <w:top w:w="16" w:type="dxa"/>
              <w:left w:w="16" w:type="dxa"/>
              <w:right w:w="16" w:type="dxa"/>
            </w:tcMar>
            <w:vAlign w:val="center"/>
          </w:tcPr>
          <w:p w14:paraId="7E498A98">
            <w:pPr>
              <w:spacing w:line="480" w:lineRule="exact"/>
              <w:ind w:firstLine="0" w:firstLineChars="0"/>
              <w:jc w:val="center"/>
              <w:rPr>
                <w:szCs w:val="21"/>
              </w:rPr>
            </w:pPr>
            <w:r>
              <w:rPr>
                <w:szCs w:val="21"/>
              </w:rPr>
              <w:t>项目审批（核准/备案）部门</w:t>
            </w:r>
          </w:p>
        </w:tc>
        <w:tc>
          <w:tcPr>
            <w:tcW w:w="2661" w:type="dxa"/>
            <w:vAlign w:val="center"/>
          </w:tcPr>
          <w:p w14:paraId="6656ECDE">
            <w:pPr>
              <w:spacing w:line="480" w:lineRule="exact"/>
              <w:ind w:firstLine="0" w:firstLineChars="0"/>
              <w:jc w:val="center"/>
              <w:rPr>
                <w:szCs w:val="21"/>
              </w:rPr>
            </w:pPr>
            <w:r>
              <w:rPr>
                <w:rFonts w:hint="eastAsia"/>
                <w:szCs w:val="21"/>
              </w:rPr>
              <w:t>四川巴中经济开发区科技创新和经济发展局</w:t>
            </w:r>
          </w:p>
        </w:tc>
        <w:tc>
          <w:tcPr>
            <w:tcW w:w="1821" w:type="dxa"/>
            <w:vAlign w:val="center"/>
          </w:tcPr>
          <w:p w14:paraId="2FC9E009">
            <w:pPr>
              <w:spacing w:line="480" w:lineRule="exact"/>
              <w:ind w:firstLine="0" w:firstLineChars="0"/>
              <w:jc w:val="center"/>
              <w:rPr>
                <w:szCs w:val="21"/>
              </w:rPr>
            </w:pPr>
            <w:r>
              <w:rPr>
                <w:szCs w:val="21"/>
              </w:rPr>
              <w:t>项目审批（核准/备案）文号（选填）</w:t>
            </w:r>
          </w:p>
        </w:tc>
        <w:tc>
          <w:tcPr>
            <w:tcW w:w="3048" w:type="dxa"/>
            <w:vAlign w:val="center"/>
          </w:tcPr>
          <w:p w14:paraId="6EA47582">
            <w:pPr>
              <w:spacing w:line="480" w:lineRule="exact"/>
              <w:ind w:firstLine="0" w:firstLineChars="0"/>
              <w:jc w:val="center"/>
              <w:rPr>
                <w:szCs w:val="21"/>
                <w:highlight w:val="yellow"/>
              </w:rPr>
            </w:pPr>
            <w:r>
              <w:rPr>
                <w:rFonts w:hint="eastAsia"/>
                <w:szCs w:val="21"/>
              </w:rPr>
              <w:t>川投资备【2406-511924-04-01-260939】FGQB-0047 号</w:t>
            </w:r>
          </w:p>
        </w:tc>
      </w:tr>
      <w:tr w14:paraId="0C9480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532" w:type="dxa"/>
            <w:tcMar>
              <w:top w:w="16" w:type="dxa"/>
              <w:left w:w="16" w:type="dxa"/>
              <w:right w:w="16" w:type="dxa"/>
            </w:tcMar>
            <w:vAlign w:val="center"/>
          </w:tcPr>
          <w:p w14:paraId="5CE6571F">
            <w:pPr>
              <w:spacing w:line="480" w:lineRule="exact"/>
              <w:ind w:firstLine="0" w:firstLineChars="0"/>
              <w:jc w:val="center"/>
              <w:rPr>
                <w:szCs w:val="21"/>
              </w:rPr>
            </w:pPr>
            <w:r>
              <w:rPr>
                <w:szCs w:val="21"/>
              </w:rPr>
              <w:t>总投资（万元）</w:t>
            </w:r>
          </w:p>
        </w:tc>
        <w:tc>
          <w:tcPr>
            <w:tcW w:w="2661" w:type="dxa"/>
            <w:vAlign w:val="center"/>
          </w:tcPr>
          <w:p w14:paraId="0BA91AEE">
            <w:pPr>
              <w:spacing w:line="480" w:lineRule="exact"/>
              <w:ind w:firstLine="0" w:firstLineChars="0"/>
              <w:jc w:val="center"/>
              <w:rPr>
                <w:szCs w:val="21"/>
              </w:rPr>
            </w:pPr>
            <w:r>
              <w:rPr>
                <w:rFonts w:hint="eastAsia"/>
                <w:szCs w:val="21"/>
              </w:rPr>
              <w:t>8</w:t>
            </w:r>
            <w:r>
              <w:rPr>
                <w:szCs w:val="21"/>
              </w:rPr>
              <w:t>00.00</w:t>
            </w:r>
          </w:p>
        </w:tc>
        <w:tc>
          <w:tcPr>
            <w:tcW w:w="1821" w:type="dxa"/>
            <w:tcMar>
              <w:top w:w="16" w:type="dxa"/>
              <w:left w:w="16" w:type="dxa"/>
              <w:right w:w="16" w:type="dxa"/>
            </w:tcMar>
            <w:vAlign w:val="center"/>
          </w:tcPr>
          <w:p w14:paraId="717AC7B1">
            <w:pPr>
              <w:spacing w:line="480" w:lineRule="exact"/>
              <w:ind w:firstLine="0" w:firstLineChars="0"/>
              <w:rPr>
                <w:szCs w:val="21"/>
              </w:rPr>
            </w:pPr>
            <w:r>
              <w:rPr>
                <w:szCs w:val="21"/>
              </w:rPr>
              <w:t>环保投资（万元）</w:t>
            </w:r>
          </w:p>
        </w:tc>
        <w:tc>
          <w:tcPr>
            <w:tcW w:w="3048" w:type="dxa"/>
            <w:vAlign w:val="center"/>
          </w:tcPr>
          <w:p w14:paraId="0E4BCA17">
            <w:pPr>
              <w:spacing w:line="480" w:lineRule="exact"/>
              <w:ind w:firstLine="0" w:firstLineChars="0"/>
              <w:jc w:val="center"/>
              <w:rPr>
                <w:szCs w:val="21"/>
              </w:rPr>
            </w:pPr>
            <w:r>
              <w:rPr>
                <w:szCs w:val="21"/>
              </w:rPr>
              <w:t>28.00</w:t>
            </w:r>
          </w:p>
        </w:tc>
      </w:tr>
      <w:tr w14:paraId="3671FE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532" w:type="dxa"/>
            <w:tcMar>
              <w:top w:w="16" w:type="dxa"/>
              <w:left w:w="16" w:type="dxa"/>
              <w:right w:w="16" w:type="dxa"/>
            </w:tcMar>
            <w:vAlign w:val="center"/>
          </w:tcPr>
          <w:p w14:paraId="380C54FC">
            <w:pPr>
              <w:spacing w:line="480" w:lineRule="exact"/>
              <w:ind w:firstLine="0" w:firstLineChars="0"/>
              <w:jc w:val="center"/>
              <w:rPr>
                <w:szCs w:val="21"/>
              </w:rPr>
            </w:pPr>
            <w:r>
              <w:rPr>
                <w:szCs w:val="21"/>
              </w:rPr>
              <w:t>环保投资占比（%）</w:t>
            </w:r>
          </w:p>
        </w:tc>
        <w:tc>
          <w:tcPr>
            <w:tcW w:w="2661" w:type="dxa"/>
            <w:vAlign w:val="center"/>
          </w:tcPr>
          <w:p w14:paraId="4C25170C">
            <w:pPr>
              <w:spacing w:line="480" w:lineRule="exact"/>
              <w:ind w:firstLine="0" w:firstLineChars="0"/>
              <w:jc w:val="center"/>
              <w:rPr>
                <w:szCs w:val="21"/>
              </w:rPr>
            </w:pPr>
            <w:r>
              <w:rPr>
                <w:rFonts w:hint="eastAsia"/>
                <w:szCs w:val="21"/>
              </w:rPr>
              <w:t>3</w:t>
            </w:r>
            <w:r>
              <w:rPr>
                <w:szCs w:val="21"/>
              </w:rPr>
              <w:t>.5</w:t>
            </w:r>
          </w:p>
        </w:tc>
        <w:tc>
          <w:tcPr>
            <w:tcW w:w="1821" w:type="dxa"/>
            <w:tcMar>
              <w:top w:w="16" w:type="dxa"/>
              <w:left w:w="16" w:type="dxa"/>
              <w:right w:w="16" w:type="dxa"/>
            </w:tcMar>
            <w:vAlign w:val="center"/>
          </w:tcPr>
          <w:p w14:paraId="45F1F67C">
            <w:pPr>
              <w:spacing w:line="480" w:lineRule="exact"/>
              <w:ind w:firstLine="0" w:firstLineChars="0"/>
              <w:jc w:val="center"/>
              <w:rPr>
                <w:szCs w:val="21"/>
              </w:rPr>
            </w:pPr>
            <w:r>
              <w:rPr>
                <w:szCs w:val="21"/>
              </w:rPr>
              <w:t>施工工期</w:t>
            </w:r>
          </w:p>
        </w:tc>
        <w:tc>
          <w:tcPr>
            <w:tcW w:w="3048" w:type="dxa"/>
            <w:vAlign w:val="center"/>
          </w:tcPr>
          <w:p w14:paraId="6E89C5B1">
            <w:pPr>
              <w:spacing w:line="480" w:lineRule="exact"/>
              <w:ind w:firstLine="0" w:firstLineChars="0"/>
              <w:jc w:val="center"/>
              <w:rPr>
                <w:szCs w:val="21"/>
              </w:rPr>
            </w:pPr>
            <w:r>
              <w:rPr>
                <w:szCs w:val="21"/>
              </w:rPr>
              <w:t>2</w:t>
            </w:r>
            <w:r>
              <w:rPr>
                <w:rFonts w:hint="eastAsia"/>
                <w:szCs w:val="21"/>
              </w:rPr>
              <w:t>个月</w:t>
            </w:r>
          </w:p>
        </w:tc>
      </w:tr>
      <w:tr w14:paraId="065D9A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532" w:type="dxa"/>
            <w:tcMar>
              <w:top w:w="16" w:type="dxa"/>
              <w:left w:w="16" w:type="dxa"/>
              <w:right w:w="16" w:type="dxa"/>
            </w:tcMar>
            <w:vAlign w:val="center"/>
          </w:tcPr>
          <w:p w14:paraId="4E3F4C9A">
            <w:pPr>
              <w:spacing w:line="480" w:lineRule="exact"/>
              <w:ind w:firstLine="0" w:firstLineChars="0"/>
              <w:jc w:val="center"/>
              <w:rPr>
                <w:szCs w:val="21"/>
              </w:rPr>
            </w:pPr>
            <w:r>
              <w:rPr>
                <w:szCs w:val="21"/>
              </w:rPr>
              <w:t>是否开工建设</w:t>
            </w:r>
          </w:p>
        </w:tc>
        <w:tc>
          <w:tcPr>
            <w:tcW w:w="2661" w:type="dxa"/>
            <w:vAlign w:val="center"/>
          </w:tcPr>
          <w:p w14:paraId="6D6A8091">
            <w:pPr>
              <w:spacing w:line="480" w:lineRule="exact"/>
              <w:ind w:firstLine="0" w:firstLineChars="0"/>
              <w:rPr>
                <w:szCs w:val="21"/>
              </w:rPr>
            </w:pPr>
            <w:r>
              <w:rPr>
                <w:rFonts w:ascii="Segoe UI Symbol" w:hAnsi="Segoe UI Symbol" w:cs="Segoe UI Symbol"/>
                <w:sz w:val="28"/>
                <w:szCs w:val="21"/>
              </w:rPr>
              <w:t>☑</w:t>
            </w:r>
            <w:r>
              <w:rPr>
                <w:szCs w:val="21"/>
              </w:rPr>
              <w:t>否</w:t>
            </w:r>
          </w:p>
          <w:p w14:paraId="29D3259A">
            <w:pPr>
              <w:spacing w:line="480" w:lineRule="exact"/>
              <w:ind w:firstLine="0" w:firstLineChars="0"/>
              <w:rPr>
                <w:szCs w:val="21"/>
              </w:rPr>
            </w:pPr>
            <w:r>
              <w:rPr>
                <w:rFonts w:ascii="宋体" w:hAnsi="宋体"/>
                <w:szCs w:val="21"/>
              </w:rPr>
              <w:t>□</w:t>
            </w:r>
            <w:r>
              <w:rPr>
                <w:szCs w:val="21"/>
              </w:rPr>
              <w:t>是：</w:t>
            </w:r>
            <w:r>
              <w:rPr>
                <w:szCs w:val="21"/>
                <w:u w:val="single"/>
              </w:rPr>
              <w:t xml:space="preserve"> </w:t>
            </w:r>
          </w:p>
        </w:tc>
        <w:tc>
          <w:tcPr>
            <w:tcW w:w="1821" w:type="dxa"/>
            <w:tcMar>
              <w:top w:w="16" w:type="dxa"/>
              <w:left w:w="16" w:type="dxa"/>
              <w:right w:w="16" w:type="dxa"/>
            </w:tcMar>
            <w:vAlign w:val="center"/>
          </w:tcPr>
          <w:p w14:paraId="24564037">
            <w:pPr>
              <w:spacing w:line="480" w:lineRule="exact"/>
              <w:ind w:firstLine="0" w:firstLineChars="0"/>
              <w:jc w:val="center"/>
              <w:rPr>
                <w:szCs w:val="21"/>
              </w:rPr>
            </w:pPr>
            <w:r>
              <w:rPr>
                <w:spacing w:val="-6"/>
                <w:szCs w:val="21"/>
              </w:rPr>
              <w:t>用地（用海）面积（m</w:t>
            </w:r>
            <w:r>
              <w:rPr>
                <w:spacing w:val="-6"/>
                <w:szCs w:val="21"/>
                <w:vertAlign w:val="superscript"/>
              </w:rPr>
              <w:t>2</w:t>
            </w:r>
            <w:r>
              <w:rPr>
                <w:spacing w:val="-6"/>
                <w:szCs w:val="21"/>
              </w:rPr>
              <w:t>）</w:t>
            </w:r>
          </w:p>
        </w:tc>
        <w:tc>
          <w:tcPr>
            <w:tcW w:w="3048" w:type="dxa"/>
            <w:vAlign w:val="center"/>
          </w:tcPr>
          <w:p w14:paraId="1BEA4B75">
            <w:pPr>
              <w:spacing w:line="480" w:lineRule="exact"/>
              <w:ind w:firstLine="0" w:firstLineChars="0"/>
              <w:jc w:val="center"/>
              <w:rPr>
                <w:szCs w:val="21"/>
              </w:rPr>
            </w:pPr>
            <w:r>
              <w:rPr>
                <w:szCs w:val="21"/>
              </w:rPr>
              <w:t>28993</w:t>
            </w:r>
            <w:r>
              <w:rPr>
                <w:rFonts w:hint="eastAsia"/>
                <w:szCs w:val="21"/>
              </w:rPr>
              <w:t>m</w:t>
            </w:r>
            <w:r>
              <w:rPr>
                <w:szCs w:val="21"/>
                <w:vertAlign w:val="superscript"/>
              </w:rPr>
              <w:t>2</w:t>
            </w:r>
            <w:r>
              <w:rPr>
                <w:rFonts w:hint="eastAsia"/>
                <w:szCs w:val="21"/>
              </w:rPr>
              <w:t>（购置现有厂房建设，不新增用地）</w:t>
            </w:r>
          </w:p>
        </w:tc>
      </w:tr>
      <w:tr w14:paraId="0190AF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532" w:type="dxa"/>
            <w:vAlign w:val="center"/>
          </w:tcPr>
          <w:p w14:paraId="4FF54ACC">
            <w:pPr>
              <w:autoSpaceDE w:val="0"/>
              <w:autoSpaceDN w:val="0"/>
              <w:spacing w:line="480" w:lineRule="exact"/>
              <w:ind w:firstLine="0" w:firstLineChars="0"/>
              <w:jc w:val="center"/>
              <w:rPr>
                <w:kern w:val="0"/>
                <w:szCs w:val="21"/>
              </w:rPr>
            </w:pPr>
            <w:r>
              <w:rPr>
                <w:kern w:val="0"/>
                <w:szCs w:val="21"/>
              </w:rPr>
              <w:t>专项评价设置情况</w:t>
            </w:r>
          </w:p>
        </w:tc>
        <w:tc>
          <w:tcPr>
            <w:tcW w:w="7530" w:type="dxa"/>
            <w:gridSpan w:val="3"/>
            <w:vAlign w:val="center"/>
          </w:tcPr>
          <w:p w14:paraId="0EB9203E">
            <w:pPr>
              <w:autoSpaceDE w:val="0"/>
              <w:autoSpaceDN w:val="0"/>
              <w:spacing w:line="480" w:lineRule="exact"/>
              <w:ind w:firstLine="0" w:firstLineChars="0"/>
              <w:rPr>
                <w:kern w:val="0"/>
                <w:szCs w:val="21"/>
              </w:rPr>
            </w:pPr>
            <w:r>
              <w:rPr>
                <w:rFonts w:hint="eastAsia"/>
                <w:kern w:val="0"/>
                <w:szCs w:val="21"/>
              </w:rPr>
              <w:t>无，具体情况见下表。</w:t>
            </w:r>
          </w:p>
          <w:p w14:paraId="6F16A50A">
            <w:pPr>
              <w:pStyle w:val="156"/>
            </w:pPr>
            <w:r>
              <w:rPr>
                <w:rFonts w:hint="eastAsia"/>
              </w:rPr>
              <w:t>表1-</w:t>
            </w:r>
            <w:r>
              <w:t xml:space="preserve">1  </w:t>
            </w:r>
            <w:r>
              <w:rPr>
                <w:rFonts w:hint="eastAsia"/>
              </w:rPr>
              <w:t>专项设置情况一览表</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36"/>
              <w:gridCol w:w="3402"/>
              <w:gridCol w:w="3236"/>
            </w:tblGrid>
            <w:tr w14:paraId="1A6C6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 w:hRule="atLeast"/>
              </w:trPr>
              <w:tc>
                <w:tcPr>
                  <w:tcW w:w="559" w:type="pct"/>
                  <w:vAlign w:val="center"/>
                </w:tcPr>
                <w:p w14:paraId="52C66B84">
                  <w:pPr>
                    <w:pStyle w:val="135"/>
                    <w:adjustRightInd w:val="0"/>
                    <w:snapToGrid w:val="0"/>
                    <w:rPr>
                      <w:b/>
                      <w:bCs/>
                    </w:rPr>
                  </w:pPr>
                  <w:r>
                    <w:rPr>
                      <w:b/>
                      <w:bCs/>
                    </w:rPr>
                    <w:t>专项评价的类别</w:t>
                  </w:r>
                </w:p>
              </w:tc>
              <w:tc>
                <w:tcPr>
                  <w:tcW w:w="2276" w:type="pct"/>
                  <w:vAlign w:val="center"/>
                </w:tcPr>
                <w:p w14:paraId="21177C99">
                  <w:pPr>
                    <w:pStyle w:val="135"/>
                    <w:adjustRightInd w:val="0"/>
                    <w:snapToGrid w:val="0"/>
                    <w:rPr>
                      <w:b/>
                      <w:bCs/>
                    </w:rPr>
                  </w:pPr>
                  <w:r>
                    <w:rPr>
                      <w:b/>
                      <w:bCs/>
                    </w:rPr>
                    <w:t>设置原则</w:t>
                  </w:r>
                </w:p>
              </w:tc>
              <w:tc>
                <w:tcPr>
                  <w:tcW w:w="2166" w:type="pct"/>
                  <w:vAlign w:val="center"/>
                </w:tcPr>
                <w:p w14:paraId="1D13C4AA">
                  <w:pPr>
                    <w:pStyle w:val="135"/>
                    <w:adjustRightInd w:val="0"/>
                    <w:snapToGrid w:val="0"/>
                    <w:rPr>
                      <w:b/>
                      <w:bCs/>
                    </w:rPr>
                  </w:pPr>
                  <w:r>
                    <w:rPr>
                      <w:rFonts w:hint="eastAsia"/>
                      <w:b/>
                      <w:bCs/>
                    </w:rPr>
                    <w:t>本项目情况</w:t>
                  </w:r>
                </w:p>
              </w:tc>
            </w:tr>
            <w:tr w14:paraId="40B083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 w:hRule="atLeast"/>
              </w:trPr>
              <w:tc>
                <w:tcPr>
                  <w:tcW w:w="559" w:type="pct"/>
                  <w:vAlign w:val="center"/>
                </w:tcPr>
                <w:p w14:paraId="4AE0CC36">
                  <w:pPr>
                    <w:pStyle w:val="135"/>
                    <w:adjustRightInd w:val="0"/>
                    <w:snapToGrid w:val="0"/>
                  </w:pPr>
                  <w:r>
                    <w:t>大气</w:t>
                  </w:r>
                </w:p>
              </w:tc>
              <w:tc>
                <w:tcPr>
                  <w:tcW w:w="2276" w:type="pct"/>
                  <w:vAlign w:val="center"/>
                </w:tcPr>
                <w:p w14:paraId="2D0704C4">
                  <w:pPr>
                    <w:pStyle w:val="135"/>
                    <w:adjustRightInd w:val="0"/>
                    <w:snapToGrid w:val="0"/>
                    <w:jc w:val="both"/>
                  </w:pPr>
                  <w:r>
                    <w:t>排放废气含有毒有害污染物、二噁英、苯并[a]芘、氰化物、氯气且厂界外500 米范围内有环境空气保护目标的建设项目</w:t>
                  </w:r>
                  <w:r>
                    <w:rPr>
                      <w:rFonts w:hint="eastAsia"/>
                    </w:rPr>
                    <w:t>。</w:t>
                  </w:r>
                </w:p>
              </w:tc>
              <w:tc>
                <w:tcPr>
                  <w:tcW w:w="2166" w:type="pct"/>
                  <w:vAlign w:val="center"/>
                </w:tcPr>
                <w:p w14:paraId="014EA22F">
                  <w:pPr>
                    <w:pStyle w:val="135"/>
                    <w:adjustRightInd w:val="0"/>
                    <w:snapToGrid w:val="0"/>
                    <w:jc w:val="both"/>
                  </w:pPr>
                  <w:r>
                    <w:rPr>
                      <w:rFonts w:hint="eastAsia"/>
                    </w:rPr>
                    <w:t>本项目不涉及有毒有害大气污染物排放，故</w:t>
                  </w:r>
                  <w:r>
                    <w:rPr>
                      <w:rFonts w:hint="eastAsia"/>
                      <w:b/>
                      <w:bCs/>
                    </w:rPr>
                    <w:t>不设置大气专项评价</w:t>
                  </w:r>
                  <w:r>
                    <w:rPr>
                      <w:rFonts w:hint="eastAsia"/>
                    </w:rPr>
                    <w:t>。</w:t>
                  </w:r>
                </w:p>
              </w:tc>
            </w:tr>
            <w:tr w14:paraId="28E9A0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 w:hRule="atLeast"/>
              </w:trPr>
              <w:tc>
                <w:tcPr>
                  <w:tcW w:w="559" w:type="pct"/>
                  <w:vAlign w:val="center"/>
                </w:tcPr>
                <w:p w14:paraId="4EAE8F5D">
                  <w:pPr>
                    <w:pStyle w:val="135"/>
                    <w:adjustRightInd w:val="0"/>
                    <w:snapToGrid w:val="0"/>
                  </w:pPr>
                  <w:r>
                    <w:t>地表水</w:t>
                  </w:r>
                </w:p>
              </w:tc>
              <w:tc>
                <w:tcPr>
                  <w:tcW w:w="2276" w:type="pct"/>
                  <w:vAlign w:val="center"/>
                </w:tcPr>
                <w:p w14:paraId="19BED2E1">
                  <w:pPr>
                    <w:pStyle w:val="135"/>
                    <w:adjustRightInd w:val="0"/>
                    <w:snapToGrid w:val="0"/>
                    <w:jc w:val="both"/>
                  </w:pPr>
                  <w:r>
                    <w:t>新增工业废水直排建设项目（槽罐车外送污水处理厂的除外）； 新增废水直排的污水集中处理厂</w:t>
                  </w:r>
                  <w:r>
                    <w:rPr>
                      <w:rFonts w:hint="eastAsia"/>
                    </w:rPr>
                    <w:t>。</w:t>
                  </w:r>
                </w:p>
              </w:tc>
              <w:tc>
                <w:tcPr>
                  <w:tcW w:w="2166" w:type="pct"/>
                  <w:vAlign w:val="center"/>
                </w:tcPr>
                <w:p w14:paraId="48ACD163">
                  <w:pPr>
                    <w:pStyle w:val="135"/>
                    <w:adjustRightInd w:val="0"/>
                    <w:snapToGrid w:val="0"/>
                    <w:jc w:val="both"/>
                  </w:pPr>
                  <w:r>
                    <w:rPr>
                      <w:rFonts w:hint="eastAsia"/>
                    </w:rPr>
                    <w:t>本项目生产废水全部回用，生活污水委托第三方单位清运处理，不涉及废水直排，故</w:t>
                  </w:r>
                  <w:r>
                    <w:rPr>
                      <w:rFonts w:hint="eastAsia"/>
                      <w:b/>
                      <w:bCs/>
                    </w:rPr>
                    <w:t>不设置地表水专项评价</w:t>
                  </w:r>
                  <w:r>
                    <w:rPr>
                      <w:rFonts w:hint="eastAsia"/>
                    </w:rPr>
                    <w:t>。</w:t>
                  </w:r>
                </w:p>
              </w:tc>
            </w:tr>
            <w:tr w14:paraId="72E861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 w:hRule="atLeast"/>
              </w:trPr>
              <w:tc>
                <w:tcPr>
                  <w:tcW w:w="559" w:type="pct"/>
                  <w:vAlign w:val="center"/>
                </w:tcPr>
                <w:p w14:paraId="25ACF6F3">
                  <w:pPr>
                    <w:pStyle w:val="135"/>
                    <w:adjustRightInd w:val="0"/>
                    <w:snapToGrid w:val="0"/>
                  </w:pPr>
                  <w:r>
                    <w:t>环境风险</w:t>
                  </w:r>
                </w:p>
              </w:tc>
              <w:tc>
                <w:tcPr>
                  <w:tcW w:w="2276" w:type="pct"/>
                  <w:vAlign w:val="center"/>
                </w:tcPr>
                <w:p w14:paraId="778A89E9">
                  <w:pPr>
                    <w:pStyle w:val="135"/>
                    <w:adjustRightInd w:val="0"/>
                    <w:snapToGrid w:val="0"/>
                    <w:jc w:val="both"/>
                  </w:pPr>
                  <w:r>
                    <w:t>有毒有害和易燃易爆危险物质存储量超过临界量的建设项目</w:t>
                  </w:r>
                  <w:r>
                    <w:rPr>
                      <w:rFonts w:hint="eastAsia"/>
                    </w:rPr>
                    <w:t>。</w:t>
                  </w:r>
                </w:p>
              </w:tc>
              <w:tc>
                <w:tcPr>
                  <w:tcW w:w="2166" w:type="pct"/>
                  <w:vAlign w:val="center"/>
                </w:tcPr>
                <w:p w14:paraId="18D9B458">
                  <w:pPr>
                    <w:pStyle w:val="135"/>
                    <w:adjustRightInd w:val="0"/>
                    <w:snapToGrid w:val="0"/>
                    <w:jc w:val="both"/>
                  </w:pPr>
                  <w:r>
                    <w:rPr>
                      <w:rFonts w:hint="eastAsia"/>
                    </w:rPr>
                    <w:t>本项目危险物质未超出临界量Q=</w:t>
                  </w:r>
                  <w:r>
                    <w:t>0.00004</w:t>
                  </w:r>
                  <w:r>
                    <w:rPr>
                      <w:rFonts w:hint="eastAsia"/>
                    </w:rPr>
                    <w:t>，故</w:t>
                  </w:r>
                  <w:r>
                    <w:rPr>
                      <w:rFonts w:hint="eastAsia"/>
                      <w:b/>
                      <w:bCs/>
                    </w:rPr>
                    <w:t>不设置环境风险专项评价。</w:t>
                  </w:r>
                </w:p>
              </w:tc>
            </w:tr>
            <w:tr w14:paraId="35AA76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 w:hRule="atLeast"/>
              </w:trPr>
              <w:tc>
                <w:tcPr>
                  <w:tcW w:w="559" w:type="pct"/>
                  <w:vAlign w:val="center"/>
                </w:tcPr>
                <w:p w14:paraId="57FD8490">
                  <w:pPr>
                    <w:pStyle w:val="135"/>
                    <w:adjustRightInd w:val="0"/>
                    <w:snapToGrid w:val="0"/>
                  </w:pPr>
                  <w:r>
                    <w:t>生态</w:t>
                  </w:r>
                </w:p>
              </w:tc>
              <w:tc>
                <w:tcPr>
                  <w:tcW w:w="2276" w:type="pct"/>
                  <w:vAlign w:val="center"/>
                </w:tcPr>
                <w:p w14:paraId="33D3690C">
                  <w:pPr>
                    <w:pStyle w:val="135"/>
                    <w:adjustRightInd w:val="0"/>
                    <w:snapToGrid w:val="0"/>
                    <w:jc w:val="both"/>
                  </w:pPr>
                  <w:r>
                    <w:t>取水口下游 500 米范围内有重要水生生物的自然产卵场、索饵场、越冬场和洄游通道的新增河道取水的污染类建设项目</w:t>
                  </w:r>
                  <w:r>
                    <w:rPr>
                      <w:rFonts w:hint="eastAsia"/>
                    </w:rPr>
                    <w:t>。</w:t>
                  </w:r>
                </w:p>
              </w:tc>
              <w:tc>
                <w:tcPr>
                  <w:tcW w:w="2166" w:type="pct"/>
                  <w:vAlign w:val="center"/>
                </w:tcPr>
                <w:p w14:paraId="5071B7F1">
                  <w:pPr>
                    <w:pStyle w:val="135"/>
                    <w:adjustRightInd w:val="0"/>
                    <w:snapToGrid w:val="0"/>
                    <w:jc w:val="both"/>
                  </w:pPr>
                  <w:r>
                    <w:rPr>
                      <w:rFonts w:hint="eastAsia"/>
                    </w:rPr>
                    <w:t>本项目选址位于巴中经济开发区内，使用市政自来水管网供水，不涉及河道取水，故</w:t>
                  </w:r>
                  <w:r>
                    <w:rPr>
                      <w:rFonts w:hint="eastAsia"/>
                      <w:b/>
                      <w:bCs/>
                    </w:rPr>
                    <w:t>不设置生态专项评价</w:t>
                  </w:r>
                  <w:r>
                    <w:rPr>
                      <w:rFonts w:hint="eastAsia"/>
                    </w:rPr>
                    <w:t>。</w:t>
                  </w:r>
                </w:p>
              </w:tc>
            </w:tr>
            <w:tr w14:paraId="48EF5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 w:hRule="atLeast"/>
              </w:trPr>
              <w:tc>
                <w:tcPr>
                  <w:tcW w:w="559" w:type="pct"/>
                  <w:vAlign w:val="center"/>
                </w:tcPr>
                <w:p w14:paraId="678E7104">
                  <w:pPr>
                    <w:pStyle w:val="135"/>
                    <w:adjustRightInd w:val="0"/>
                    <w:snapToGrid w:val="0"/>
                  </w:pPr>
                  <w:r>
                    <w:t>海洋</w:t>
                  </w:r>
                </w:p>
              </w:tc>
              <w:tc>
                <w:tcPr>
                  <w:tcW w:w="2276" w:type="pct"/>
                  <w:vAlign w:val="center"/>
                </w:tcPr>
                <w:p w14:paraId="5E92877C">
                  <w:pPr>
                    <w:pStyle w:val="135"/>
                    <w:adjustRightInd w:val="0"/>
                    <w:snapToGrid w:val="0"/>
                    <w:jc w:val="both"/>
                  </w:pPr>
                  <w:r>
                    <w:t>直接向海排放污染物的海洋工程建设项目</w:t>
                  </w:r>
                  <w:r>
                    <w:rPr>
                      <w:rFonts w:hint="eastAsia"/>
                    </w:rPr>
                    <w:t>。</w:t>
                  </w:r>
                </w:p>
              </w:tc>
              <w:tc>
                <w:tcPr>
                  <w:tcW w:w="2166" w:type="pct"/>
                  <w:vAlign w:val="center"/>
                </w:tcPr>
                <w:p w14:paraId="36648281">
                  <w:pPr>
                    <w:pStyle w:val="135"/>
                    <w:adjustRightInd w:val="0"/>
                    <w:snapToGrid w:val="0"/>
                    <w:rPr>
                      <w:b/>
                      <w:bCs/>
                    </w:rPr>
                  </w:pPr>
                  <w:r>
                    <w:rPr>
                      <w:rFonts w:hint="eastAsia"/>
                      <w:b/>
                      <w:bCs/>
                    </w:rPr>
                    <w:t>不涉及</w:t>
                  </w:r>
                </w:p>
              </w:tc>
            </w:tr>
          </w:tbl>
          <w:p w14:paraId="10435140">
            <w:pPr>
              <w:autoSpaceDE w:val="0"/>
              <w:autoSpaceDN w:val="0"/>
              <w:spacing w:line="480" w:lineRule="exact"/>
              <w:ind w:firstLine="0" w:firstLineChars="0"/>
              <w:jc w:val="center"/>
              <w:rPr>
                <w:kern w:val="0"/>
                <w:szCs w:val="21"/>
              </w:rPr>
            </w:pPr>
          </w:p>
        </w:tc>
      </w:tr>
      <w:tr w14:paraId="02E8CE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532" w:type="dxa"/>
            <w:vAlign w:val="center"/>
          </w:tcPr>
          <w:p w14:paraId="43DC17D3">
            <w:pPr>
              <w:autoSpaceDE w:val="0"/>
              <w:autoSpaceDN w:val="0"/>
              <w:spacing w:line="480" w:lineRule="exact"/>
              <w:ind w:firstLine="0" w:firstLineChars="0"/>
              <w:jc w:val="center"/>
              <w:rPr>
                <w:kern w:val="0"/>
                <w:szCs w:val="21"/>
              </w:rPr>
            </w:pPr>
            <w:r>
              <w:rPr>
                <w:szCs w:val="21"/>
              </w:rPr>
              <w:t>规划情况</w:t>
            </w:r>
          </w:p>
        </w:tc>
        <w:tc>
          <w:tcPr>
            <w:tcW w:w="7530" w:type="dxa"/>
            <w:gridSpan w:val="3"/>
            <w:vAlign w:val="center"/>
          </w:tcPr>
          <w:p w14:paraId="6D8ADA62">
            <w:pPr>
              <w:autoSpaceDE w:val="0"/>
              <w:autoSpaceDN w:val="0"/>
              <w:spacing w:line="480" w:lineRule="exact"/>
              <w:ind w:firstLine="0" w:firstLineChars="0"/>
              <w:rPr>
                <w:kern w:val="0"/>
                <w:szCs w:val="21"/>
              </w:rPr>
            </w:pPr>
            <w:r>
              <w:rPr>
                <w:kern w:val="0"/>
                <w:szCs w:val="21"/>
              </w:rPr>
              <w:t>《四川巴中经济开发区规划修编</w:t>
            </w:r>
            <w:r>
              <w:rPr>
                <w:rFonts w:hint="eastAsia"/>
                <w:kern w:val="0"/>
                <w:szCs w:val="21"/>
              </w:rPr>
              <w:t>（2</w:t>
            </w:r>
            <w:r>
              <w:rPr>
                <w:kern w:val="0"/>
                <w:szCs w:val="21"/>
              </w:rPr>
              <w:t>022</w:t>
            </w:r>
            <w:r>
              <w:rPr>
                <w:rFonts w:hint="eastAsia"/>
                <w:kern w:val="0"/>
                <w:szCs w:val="21"/>
              </w:rPr>
              <w:t>年版）</w:t>
            </w:r>
            <w:r>
              <w:rPr>
                <w:kern w:val="0"/>
                <w:szCs w:val="21"/>
              </w:rPr>
              <w:t>》</w:t>
            </w:r>
            <w:r>
              <w:rPr>
                <w:rFonts w:hint="eastAsia"/>
                <w:kern w:val="0"/>
                <w:szCs w:val="21"/>
              </w:rPr>
              <w:t>，巴中市人民政府，《巴中市城乡规划和土地利用管理委员会2</w:t>
            </w:r>
            <w:r>
              <w:rPr>
                <w:kern w:val="0"/>
                <w:szCs w:val="21"/>
              </w:rPr>
              <w:t>018</w:t>
            </w:r>
            <w:r>
              <w:rPr>
                <w:rFonts w:hint="eastAsia"/>
                <w:kern w:val="0"/>
                <w:szCs w:val="21"/>
              </w:rPr>
              <w:t>年第二次会议纪要》（巴府阅</w:t>
            </w:r>
            <w:r>
              <w:rPr>
                <w:kern w:val="0"/>
                <w:szCs w:val="21"/>
              </w:rPr>
              <w:t>﹝2018﹞6号</w:t>
            </w:r>
            <w:r>
              <w:rPr>
                <w:rFonts w:hint="eastAsia"/>
                <w:kern w:val="0"/>
                <w:szCs w:val="21"/>
              </w:rPr>
              <w:t>）</w:t>
            </w:r>
          </w:p>
        </w:tc>
      </w:tr>
      <w:tr w14:paraId="79D5C8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532" w:type="dxa"/>
            <w:vAlign w:val="center"/>
          </w:tcPr>
          <w:p w14:paraId="26DCFB4C">
            <w:pPr>
              <w:autoSpaceDE w:val="0"/>
              <w:autoSpaceDN w:val="0"/>
              <w:spacing w:line="480" w:lineRule="exact"/>
              <w:ind w:firstLine="0" w:firstLineChars="0"/>
              <w:jc w:val="center"/>
              <w:rPr>
                <w:kern w:val="0"/>
                <w:szCs w:val="21"/>
              </w:rPr>
            </w:pPr>
            <w:r>
              <w:rPr>
                <w:szCs w:val="21"/>
              </w:rPr>
              <w:t>规划环境影响评价情况</w:t>
            </w:r>
          </w:p>
        </w:tc>
        <w:tc>
          <w:tcPr>
            <w:tcW w:w="7530" w:type="dxa"/>
            <w:gridSpan w:val="3"/>
            <w:vAlign w:val="center"/>
          </w:tcPr>
          <w:p w14:paraId="308BA670">
            <w:pPr>
              <w:autoSpaceDE w:val="0"/>
              <w:autoSpaceDN w:val="0"/>
              <w:spacing w:line="480" w:lineRule="exact"/>
              <w:ind w:firstLine="0" w:firstLineChars="0"/>
              <w:rPr>
                <w:kern w:val="0"/>
                <w:szCs w:val="21"/>
              </w:rPr>
            </w:pPr>
            <w:r>
              <w:rPr>
                <w:b/>
                <w:bCs/>
                <w:kern w:val="0"/>
                <w:szCs w:val="21"/>
              </w:rPr>
              <w:t>规划环境影响评价文件名称</w:t>
            </w:r>
            <w:r>
              <w:rPr>
                <w:kern w:val="0"/>
                <w:szCs w:val="21"/>
              </w:rPr>
              <w:t>：《四川巴中经济开发区规划修编环境影响报告书》</w:t>
            </w:r>
          </w:p>
          <w:p w14:paraId="787CD493">
            <w:pPr>
              <w:autoSpaceDE w:val="0"/>
              <w:autoSpaceDN w:val="0"/>
              <w:spacing w:line="480" w:lineRule="exact"/>
              <w:ind w:firstLine="0" w:firstLineChars="0"/>
              <w:rPr>
                <w:kern w:val="0"/>
                <w:szCs w:val="21"/>
              </w:rPr>
            </w:pPr>
            <w:r>
              <w:rPr>
                <w:b/>
                <w:bCs/>
                <w:kern w:val="0"/>
                <w:szCs w:val="21"/>
              </w:rPr>
              <w:t>召集审查机关</w:t>
            </w:r>
            <w:r>
              <w:rPr>
                <w:kern w:val="0"/>
                <w:szCs w:val="21"/>
              </w:rPr>
              <w:t>：四川省生态环境厅</w:t>
            </w:r>
          </w:p>
          <w:p w14:paraId="06A16CC0">
            <w:pPr>
              <w:autoSpaceDE w:val="0"/>
              <w:autoSpaceDN w:val="0"/>
              <w:spacing w:line="480" w:lineRule="exact"/>
              <w:ind w:firstLine="0" w:firstLineChars="0"/>
              <w:rPr>
                <w:kern w:val="0"/>
                <w:szCs w:val="21"/>
              </w:rPr>
            </w:pPr>
            <w:r>
              <w:rPr>
                <w:b/>
                <w:bCs/>
                <w:kern w:val="0"/>
                <w:szCs w:val="21"/>
              </w:rPr>
              <w:t>审查文件名称及文号</w:t>
            </w:r>
            <w:r>
              <w:rPr>
                <w:kern w:val="0"/>
                <w:szCs w:val="21"/>
              </w:rPr>
              <w:t>：关于印发《四川巴中经济开发区规划修编环境影响报告书》审查意见的函（川环建函﹝2023﹞29号）</w:t>
            </w:r>
          </w:p>
        </w:tc>
      </w:tr>
      <w:tr w14:paraId="651260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532" w:type="dxa"/>
            <w:vAlign w:val="center"/>
          </w:tcPr>
          <w:p w14:paraId="27265AEF">
            <w:pPr>
              <w:autoSpaceDE w:val="0"/>
              <w:autoSpaceDN w:val="0"/>
              <w:spacing w:line="480" w:lineRule="exact"/>
              <w:ind w:firstLine="0" w:firstLineChars="0"/>
              <w:jc w:val="center"/>
              <w:rPr>
                <w:kern w:val="0"/>
                <w:szCs w:val="21"/>
              </w:rPr>
            </w:pPr>
            <w:r>
              <w:rPr>
                <w:kern w:val="0"/>
                <w:szCs w:val="21"/>
              </w:rPr>
              <w:t>规划及规划环境影响评价符合性分析</w:t>
            </w:r>
          </w:p>
        </w:tc>
        <w:tc>
          <w:tcPr>
            <w:tcW w:w="7530" w:type="dxa"/>
            <w:gridSpan w:val="3"/>
            <w:vAlign w:val="center"/>
          </w:tcPr>
          <w:p w14:paraId="7D0C2359">
            <w:pPr>
              <w:pStyle w:val="157"/>
            </w:pPr>
            <w:r>
              <w:rPr>
                <w:rFonts w:hint="eastAsia"/>
              </w:rPr>
              <w:t>1、与</w:t>
            </w:r>
            <w:r>
              <w:t>《四川巴中经济开发区规划修编》</w:t>
            </w:r>
            <w:r>
              <w:rPr>
                <w:rFonts w:hint="eastAsia"/>
              </w:rPr>
              <w:t>的符合性分析</w:t>
            </w:r>
          </w:p>
          <w:p w14:paraId="09E9642C">
            <w:pPr>
              <w:ind w:firstLine="420"/>
            </w:pPr>
            <w:r>
              <w:t>2022年11月四川巴中经济开发区管理委员会组织编制了《四川巴中经济开发区规划修编》，规划面积1677.3513hm</w:t>
            </w:r>
            <w:r>
              <w:rPr>
                <w:vertAlign w:val="superscript"/>
              </w:rPr>
              <w:t>2</w:t>
            </w:r>
            <w:r>
              <w:t>(包括核心区规划面积约1389.9942hm</w:t>
            </w:r>
            <w:r>
              <w:rPr>
                <w:vertAlign w:val="superscript"/>
              </w:rPr>
              <w:t>2</w:t>
            </w:r>
            <w:r>
              <w:t>、曾口区块规划面积约191.8105hm</w:t>
            </w:r>
            <w:r>
              <w:rPr>
                <w:vertAlign w:val="superscript"/>
              </w:rPr>
              <w:t>2</w:t>
            </w:r>
            <w:r>
              <w:t>及金堂区块规划面积约95.5466hm</w:t>
            </w:r>
            <w:r>
              <w:rPr>
                <w:vertAlign w:val="superscript"/>
              </w:rPr>
              <w:t>2</w:t>
            </w:r>
            <w:r>
              <w:t>)，以机械、电子、服装为主导产业，辅助发展生物医药、新能源新材料及天然气化工。项目位于核心区</w:t>
            </w:r>
            <w:r>
              <w:rPr>
                <w:rFonts w:hint="eastAsia"/>
              </w:rPr>
              <w:t>（兴文街道）</w:t>
            </w:r>
            <w:r>
              <w:t>，用地为工业用地，与四川巴中经济开发区规划修编的符合性如下：</w:t>
            </w:r>
          </w:p>
          <w:p w14:paraId="5D8B1B97">
            <w:pPr>
              <w:pStyle w:val="156"/>
            </w:pPr>
            <w:r>
              <w:rPr>
                <w:rFonts w:hint="eastAsia"/>
              </w:rPr>
              <w:t>表1</w:t>
            </w:r>
            <w:r>
              <w:t xml:space="preserve">-2  </w:t>
            </w:r>
            <w:r>
              <w:rPr>
                <w:rFonts w:hint="eastAsia"/>
              </w:rPr>
              <w:t>项目与四川巴中经济开发区规划修编符合性分析</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552"/>
              <w:gridCol w:w="3543"/>
              <w:gridCol w:w="2694"/>
              <w:gridCol w:w="685"/>
            </w:tblGrid>
            <w:tr w14:paraId="69EAB6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69" w:type="pct"/>
                  <w:vAlign w:val="center"/>
                </w:tcPr>
                <w:p w14:paraId="341C792C">
                  <w:pPr>
                    <w:spacing w:line="360" w:lineRule="exact"/>
                    <w:ind w:firstLine="0" w:firstLineChars="0"/>
                    <w:jc w:val="center"/>
                    <w:outlineLvl w:val="1"/>
                    <w:rPr>
                      <w:b/>
                      <w:bCs/>
                      <w:snapToGrid w:val="0"/>
                      <w:sz w:val="18"/>
                      <w:szCs w:val="18"/>
                    </w:rPr>
                  </w:pPr>
                  <w:r>
                    <w:rPr>
                      <w:b/>
                      <w:bCs/>
                      <w:snapToGrid w:val="0"/>
                      <w:sz w:val="18"/>
                      <w:szCs w:val="18"/>
                    </w:rPr>
                    <w:t>类别</w:t>
                  </w:r>
                </w:p>
              </w:tc>
              <w:tc>
                <w:tcPr>
                  <w:tcW w:w="2370" w:type="pct"/>
                  <w:vAlign w:val="center"/>
                </w:tcPr>
                <w:p w14:paraId="436166F9">
                  <w:pPr>
                    <w:spacing w:line="360" w:lineRule="exact"/>
                    <w:ind w:firstLine="0" w:firstLineChars="0"/>
                    <w:jc w:val="center"/>
                    <w:outlineLvl w:val="1"/>
                    <w:rPr>
                      <w:b/>
                      <w:bCs/>
                      <w:snapToGrid w:val="0"/>
                      <w:sz w:val="18"/>
                      <w:szCs w:val="18"/>
                    </w:rPr>
                  </w:pPr>
                  <w:r>
                    <w:rPr>
                      <w:b/>
                      <w:bCs/>
                      <w:snapToGrid w:val="0"/>
                      <w:sz w:val="18"/>
                      <w:szCs w:val="18"/>
                    </w:rPr>
                    <w:t>四川巴中经济开发区规划修编要求</w:t>
                  </w:r>
                </w:p>
              </w:tc>
              <w:tc>
                <w:tcPr>
                  <w:tcW w:w="1802" w:type="pct"/>
                  <w:vAlign w:val="center"/>
                </w:tcPr>
                <w:p w14:paraId="0AB83E12">
                  <w:pPr>
                    <w:spacing w:line="360" w:lineRule="exact"/>
                    <w:ind w:firstLine="0" w:firstLineChars="0"/>
                    <w:jc w:val="center"/>
                    <w:outlineLvl w:val="1"/>
                    <w:rPr>
                      <w:b/>
                      <w:bCs/>
                      <w:snapToGrid w:val="0"/>
                      <w:sz w:val="18"/>
                      <w:szCs w:val="18"/>
                    </w:rPr>
                  </w:pPr>
                  <w:r>
                    <w:rPr>
                      <w:b/>
                      <w:bCs/>
                      <w:snapToGrid w:val="0"/>
                      <w:sz w:val="18"/>
                      <w:szCs w:val="18"/>
                    </w:rPr>
                    <w:t>项目情况</w:t>
                  </w:r>
                </w:p>
              </w:tc>
              <w:tc>
                <w:tcPr>
                  <w:tcW w:w="458" w:type="pct"/>
                  <w:vAlign w:val="center"/>
                </w:tcPr>
                <w:p w14:paraId="5931E352">
                  <w:pPr>
                    <w:spacing w:line="360" w:lineRule="exact"/>
                    <w:ind w:firstLine="0" w:firstLineChars="0"/>
                    <w:jc w:val="center"/>
                    <w:outlineLvl w:val="1"/>
                    <w:rPr>
                      <w:b/>
                      <w:bCs/>
                      <w:snapToGrid w:val="0"/>
                      <w:sz w:val="18"/>
                      <w:szCs w:val="18"/>
                    </w:rPr>
                  </w:pPr>
                  <w:r>
                    <w:rPr>
                      <w:b/>
                      <w:bCs/>
                      <w:snapToGrid w:val="0"/>
                      <w:sz w:val="18"/>
                      <w:szCs w:val="18"/>
                    </w:rPr>
                    <w:t>符合性</w:t>
                  </w:r>
                </w:p>
              </w:tc>
            </w:tr>
            <w:tr w14:paraId="7A2342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69" w:type="pct"/>
                  <w:vAlign w:val="center"/>
                </w:tcPr>
                <w:p w14:paraId="6C59D4B2">
                  <w:pPr>
                    <w:spacing w:line="360" w:lineRule="exact"/>
                    <w:ind w:firstLine="0" w:firstLineChars="0"/>
                    <w:jc w:val="center"/>
                    <w:outlineLvl w:val="1"/>
                    <w:rPr>
                      <w:snapToGrid w:val="0"/>
                      <w:sz w:val="18"/>
                      <w:szCs w:val="18"/>
                    </w:rPr>
                  </w:pPr>
                  <w:r>
                    <w:rPr>
                      <w:snapToGrid w:val="0"/>
                      <w:sz w:val="18"/>
                      <w:szCs w:val="18"/>
                    </w:rPr>
                    <w:t>产业布局规划</w:t>
                  </w:r>
                </w:p>
              </w:tc>
              <w:tc>
                <w:tcPr>
                  <w:tcW w:w="2370" w:type="pct"/>
                  <w:vAlign w:val="center"/>
                </w:tcPr>
                <w:p w14:paraId="4D41A028">
                  <w:pPr>
                    <w:spacing w:line="360" w:lineRule="exact"/>
                    <w:ind w:firstLine="0" w:firstLineChars="0"/>
                    <w:outlineLvl w:val="1"/>
                    <w:rPr>
                      <w:snapToGrid w:val="0"/>
                      <w:sz w:val="18"/>
                      <w:szCs w:val="18"/>
                    </w:rPr>
                  </w:pPr>
                  <w:r>
                    <w:rPr>
                      <w:snapToGrid w:val="0"/>
                      <w:sz w:val="18"/>
                      <w:szCs w:val="18"/>
                    </w:rPr>
                    <w:t>规划区以机械、电子、服装为主导产业，辅助发展生物医药、新能源新材料及天然气化工。其中核心区以机械、电子、服装为主导产业，辅助发展生物医药、新能源新材料。</w:t>
                  </w:r>
                </w:p>
              </w:tc>
              <w:tc>
                <w:tcPr>
                  <w:tcW w:w="1802" w:type="pct"/>
                  <w:vAlign w:val="center"/>
                </w:tcPr>
                <w:p w14:paraId="69AA0328">
                  <w:pPr>
                    <w:spacing w:line="360" w:lineRule="exact"/>
                    <w:ind w:firstLine="0" w:firstLineChars="0"/>
                    <w:outlineLvl w:val="1"/>
                    <w:rPr>
                      <w:snapToGrid w:val="0"/>
                      <w:sz w:val="18"/>
                      <w:szCs w:val="18"/>
                    </w:rPr>
                  </w:pPr>
                  <w:r>
                    <w:rPr>
                      <w:snapToGrid w:val="0"/>
                      <w:sz w:val="18"/>
                      <w:szCs w:val="18"/>
                    </w:rPr>
                    <w:t>项目</w:t>
                  </w:r>
                  <w:r>
                    <w:rPr>
                      <w:rFonts w:hint="eastAsia"/>
                      <w:snapToGrid w:val="0"/>
                      <w:sz w:val="18"/>
                      <w:szCs w:val="18"/>
                    </w:rPr>
                    <w:t>主要生产建筑砌块</w:t>
                  </w:r>
                  <w:r>
                    <w:rPr>
                      <w:snapToGrid w:val="0"/>
                      <w:sz w:val="18"/>
                      <w:szCs w:val="18"/>
                    </w:rPr>
                    <w:t>，与主导产业不冲突</w:t>
                  </w:r>
                  <w:r>
                    <w:rPr>
                      <w:rFonts w:hint="eastAsia"/>
                      <w:snapToGrid w:val="0"/>
                      <w:sz w:val="18"/>
                      <w:szCs w:val="18"/>
                    </w:rPr>
                    <w:t>。</w:t>
                  </w:r>
                </w:p>
              </w:tc>
              <w:tc>
                <w:tcPr>
                  <w:tcW w:w="458" w:type="pct"/>
                  <w:vAlign w:val="center"/>
                </w:tcPr>
                <w:p w14:paraId="3A481390">
                  <w:pPr>
                    <w:spacing w:line="360" w:lineRule="exact"/>
                    <w:ind w:firstLine="0" w:firstLineChars="0"/>
                    <w:jc w:val="center"/>
                    <w:outlineLvl w:val="1"/>
                    <w:rPr>
                      <w:snapToGrid w:val="0"/>
                      <w:sz w:val="18"/>
                      <w:szCs w:val="18"/>
                    </w:rPr>
                  </w:pPr>
                  <w:r>
                    <w:rPr>
                      <w:snapToGrid w:val="0"/>
                      <w:sz w:val="18"/>
                      <w:szCs w:val="18"/>
                    </w:rPr>
                    <w:t>符合</w:t>
                  </w:r>
                </w:p>
              </w:tc>
            </w:tr>
            <w:tr w14:paraId="17D823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69" w:type="pct"/>
                  <w:vAlign w:val="center"/>
                </w:tcPr>
                <w:p w14:paraId="35C36AA8">
                  <w:pPr>
                    <w:spacing w:line="360" w:lineRule="exact"/>
                    <w:ind w:firstLine="0" w:firstLineChars="0"/>
                    <w:jc w:val="center"/>
                    <w:outlineLvl w:val="1"/>
                    <w:rPr>
                      <w:snapToGrid w:val="0"/>
                      <w:sz w:val="18"/>
                      <w:szCs w:val="18"/>
                    </w:rPr>
                  </w:pPr>
                  <w:r>
                    <w:rPr>
                      <w:snapToGrid w:val="0"/>
                      <w:sz w:val="18"/>
                      <w:szCs w:val="18"/>
                    </w:rPr>
                    <w:t>用地布局规划</w:t>
                  </w:r>
                </w:p>
              </w:tc>
              <w:tc>
                <w:tcPr>
                  <w:tcW w:w="2370" w:type="pct"/>
                  <w:vAlign w:val="center"/>
                </w:tcPr>
                <w:p w14:paraId="24DF7265">
                  <w:pPr>
                    <w:spacing w:line="360" w:lineRule="exact"/>
                    <w:ind w:firstLine="0" w:firstLineChars="0"/>
                    <w:outlineLvl w:val="1"/>
                    <w:rPr>
                      <w:snapToGrid w:val="0"/>
                      <w:sz w:val="18"/>
                      <w:szCs w:val="18"/>
                    </w:rPr>
                  </w:pPr>
                  <w:r>
                    <w:rPr>
                      <w:snapToGrid w:val="0"/>
                      <w:sz w:val="18"/>
                      <w:szCs w:val="18"/>
                    </w:rPr>
                    <w:t>规划区规划总面积1677.3513hm</w:t>
                  </w:r>
                  <w:r>
                    <w:rPr>
                      <w:snapToGrid w:val="0"/>
                      <w:sz w:val="18"/>
                      <w:szCs w:val="18"/>
                      <w:vertAlign w:val="superscript"/>
                    </w:rPr>
                    <w:t>2</w:t>
                  </w:r>
                  <w:r>
                    <w:rPr>
                      <w:snapToGrid w:val="0"/>
                      <w:sz w:val="18"/>
                      <w:szCs w:val="18"/>
                    </w:rPr>
                    <w:t>，包含核心区1389.9942hm，曾口区块191.8105hm²，金堂区块95.5466hm</w:t>
                  </w:r>
                  <w:r>
                    <w:rPr>
                      <w:snapToGrid w:val="0"/>
                      <w:sz w:val="18"/>
                      <w:szCs w:val="18"/>
                      <w:vertAlign w:val="superscript"/>
                    </w:rPr>
                    <w:t>2</w:t>
                  </w:r>
                  <w:r>
                    <w:rPr>
                      <w:snapToGrid w:val="0"/>
                      <w:sz w:val="18"/>
                      <w:szCs w:val="18"/>
                    </w:rPr>
                    <w:t>。其中规划城市建设用地1660.5188公顷，占规划总面积的99.00%。</w:t>
                  </w:r>
                </w:p>
              </w:tc>
              <w:tc>
                <w:tcPr>
                  <w:tcW w:w="1802" w:type="pct"/>
                  <w:vAlign w:val="center"/>
                </w:tcPr>
                <w:p w14:paraId="2B344B7C">
                  <w:pPr>
                    <w:spacing w:line="360" w:lineRule="exact"/>
                    <w:ind w:firstLine="0" w:firstLineChars="0"/>
                    <w:outlineLvl w:val="1"/>
                    <w:rPr>
                      <w:snapToGrid w:val="0"/>
                      <w:sz w:val="18"/>
                      <w:szCs w:val="18"/>
                    </w:rPr>
                  </w:pPr>
                  <w:r>
                    <w:rPr>
                      <w:snapToGrid w:val="0"/>
                      <w:sz w:val="18"/>
                      <w:szCs w:val="18"/>
                    </w:rPr>
                    <w:t>项目位于四川巴中经济开发区兴文街道，为核心区，用地类型为工业用地</w:t>
                  </w:r>
                  <w:r>
                    <w:rPr>
                      <w:rFonts w:hint="eastAsia"/>
                      <w:snapToGrid w:val="0"/>
                      <w:sz w:val="18"/>
                      <w:szCs w:val="18"/>
                    </w:rPr>
                    <w:t>。</w:t>
                  </w:r>
                </w:p>
              </w:tc>
              <w:tc>
                <w:tcPr>
                  <w:tcW w:w="458" w:type="pct"/>
                  <w:vAlign w:val="center"/>
                </w:tcPr>
                <w:p w14:paraId="10408FC5">
                  <w:pPr>
                    <w:spacing w:line="360" w:lineRule="exact"/>
                    <w:ind w:firstLine="0" w:firstLineChars="0"/>
                    <w:jc w:val="center"/>
                    <w:outlineLvl w:val="1"/>
                    <w:rPr>
                      <w:snapToGrid w:val="0"/>
                      <w:sz w:val="18"/>
                      <w:szCs w:val="18"/>
                    </w:rPr>
                  </w:pPr>
                  <w:r>
                    <w:rPr>
                      <w:snapToGrid w:val="0"/>
                      <w:sz w:val="18"/>
                      <w:szCs w:val="18"/>
                    </w:rPr>
                    <w:t>符合</w:t>
                  </w:r>
                </w:p>
              </w:tc>
            </w:tr>
            <w:tr w14:paraId="43C895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69" w:type="pct"/>
                  <w:vAlign w:val="center"/>
                </w:tcPr>
                <w:p w14:paraId="59C8630E">
                  <w:pPr>
                    <w:spacing w:line="360" w:lineRule="exact"/>
                    <w:ind w:firstLine="0" w:firstLineChars="0"/>
                    <w:jc w:val="center"/>
                    <w:outlineLvl w:val="1"/>
                    <w:rPr>
                      <w:snapToGrid w:val="0"/>
                      <w:sz w:val="18"/>
                      <w:szCs w:val="18"/>
                    </w:rPr>
                  </w:pPr>
                  <w:r>
                    <w:rPr>
                      <w:snapToGrid w:val="0"/>
                      <w:sz w:val="18"/>
                      <w:szCs w:val="18"/>
                    </w:rPr>
                    <w:t>排水规划</w:t>
                  </w:r>
                </w:p>
              </w:tc>
              <w:tc>
                <w:tcPr>
                  <w:tcW w:w="2370" w:type="pct"/>
                  <w:vAlign w:val="center"/>
                </w:tcPr>
                <w:p w14:paraId="778D0785">
                  <w:pPr>
                    <w:pStyle w:val="64"/>
                    <w:spacing w:line="360" w:lineRule="exact"/>
                    <w:ind w:firstLine="0" w:firstLineChars="0"/>
                    <w:jc w:val="both"/>
                    <w:rPr>
                      <w:snapToGrid w:val="0"/>
                      <w:sz w:val="18"/>
                      <w:szCs w:val="18"/>
                    </w:rPr>
                  </w:pPr>
                  <w:r>
                    <w:rPr>
                      <w:snapToGrid w:val="0"/>
                      <w:sz w:val="18"/>
                      <w:szCs w:val="18"/>
                    </w:rPr>
                    <w:t>经济开发区核心区污水由在经开区南侧、河流下游的K10-04地块内的污水处理厂进行处理。规划污水处理厂出水标准不得低于一级标准的A标准。</w:t>
                  </w:r>
                </w:p>
              </w:tc>
              <w:tc>
                <w:tcPr>
                  <w:tcW w:w="1802" w:type="pct"/>
                  <w:vAlign w:val="center"/>
                </w:tcPr>
                <w:p w14:paraId="786667AF">
                  <w:pPr>
                    <w:spacing w:line="360" w:lineRule="exact"/>
                    <w:ind w:firstLine="0" w:firstLineChars="0"/>
                    <w:outlineLvl w:val="1"/>
                    <w:rPr>
                      <w:snapToGrid w:val="0"/>
                      <w:sz w:val="18"/>
                      <w:szCs w:val="18"/>
                    </w:rPr>
                  </w:pPr>
                  <w:r>
                    <w:rPr>
                      <w:snapToGrid w:val="0"/>
                      <w:sz w:val="18"/>
                      <w:szCs w:val="18"/>
                    </w:rPr>
                    <w:t>项目雨污分流，生产废水经厂区沉淀池处理后回用不外排，生活污水经预处理后</w:t>
                  </w:r>
                  <w:r>
                    <w:rPr>
                      <w:rFonts w:hint="eastAsia"/>
                      <w:bCs/>
                      <w:kern w:val="0"/>
                      <w:sz w:val="18"/>
                      <w:szCs w:val="18"/>
                    </w:rPr>
                    <w:t>生活污水委托第三方单位清运处理。</w:t>
                  </w:r>
                </w:p>
              </w:tc>
              <w:tc>
                <w:tcPr>
                  <w:tcW w:w="458" w:type="pct"/>
                  <w:vAlign w:val="center"/>
                </w:tcPr>
                <w:p w14:paraId="0BA493D9">
                  <w:pPr>
                    <w:spacing w:line="360" w:lineRule="exact"/>
                    <w:ind w:firstLine="0" w:firstLineChars="0"/>
                    <w:jc w:val="center"/>
                    <w:outlineLvl w:val="1"/>
                    <w:rPr>
                      <w:snapToGrid w:val="0"/>
                      <w:sz w:val="18"/>
                      <w:szCs w:val="18"/>
                    </w:rPr>
                  </w:pPr>
                  <w:r>
                    <w:rPr>
                      <w:snapToGrid w:val="0"/>
                      <w:sz w:val="18"/>
                      <w:szCs w:val="18"/>
                    </w:rPr>
                    <w:t>符合</w:t>
                  </w:r>
                </w:p>
              </w:tc>
            </w:tr>
            <w:tr w14:paraId="65F83B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369" w:type="pct"/>
                  <w:vAlign w:val="center"/>
                </w:tcPr>
                <w:p w14:paraId="01133CB4">
                  <w:pPr>
                    <w:spacing w:line="360" w:lineRule="exact"/>
                    <w:ind w:firstLine="0" w:firstLineChars="0"/>
                    <w:jc w:val="center"/>
                    <w:outlineLvl w:val="1"/>
                    <w:rPr>
                      <w:kern w:val="0"/>
                      <w:sz w:val="18"/>
                      <w:szCs w:val="18"/>
                    </w:rPr>
                  </w:pPr>
                  <w:r>
                    <w:rPr>
                      <w:kern w:val="0"/>
                      <w:sz w:val="18"/>
                      <w:szCs w:val="18"/>
                    </w:rPr>
                    <w:t>能源规划</w:t>
                  </w:r>
                </w:p>
              </w:tc>
              <w:tc>
                <w:tcPr>
                  <w:tcW w:w="2370" w:type="pct"/>
                  <w:vAlign w:val="center"/>
                </w:tcPr>
                <w:p w14:paraId="5A0C878D">
                  <w:pPr>
                    <w:pStyle w:val="64"/>
                    <w:spacing w:line="360" w:lineRule="exact"/>
                    <w:ind w:firstLine="0" w:firstLineChars="0"/>
                    <w:jc w:val="left"/>
                    <w:rPr>
                      <w:bCs/>
                      <w:kern w:val="0"/>
                      <w:sz w:val="18"/>
                      <w:szCs w:val="18"/>
                    </w:rPr>
                  </w:pPr>
                  <w:r>
                    <w:rPr>
                      <w:snapToGrid w:val="0"/>
                      <w:sz w:val="18"/>
                      <w:szCs w:val="18"/>
                    </w:rPr>
                    <w:t>规划以清洁能源天然气和电为主，禁止使用燃煤。鼓励企业新建或改建燃气锅炉安装低氮燃烧器。</w:t>
                  </w:r>
                </w:p>
              </w:tc>
              <w:tc>
                <w:tcPr>
                  <w:tcW w:w="1802" w:type="pct"/>
                  <w:vAlign w:val="center"/>
                </w:tcPr>
                <w:p w14:paraId="2DB914FA">
                  <w:pPr>
                    <w:spacing w:line="360" w:lineRule="exact"/>
                    <w:ind w:firstLine="0" w:firstLineChars="0"/>
                    <w:outlineLvl w:val="1"/>
                    <w:rPr>
                      <w:snapToGrid w:val="0"/>
                      <w:sz w:val="18"/>
                      <w:szCs w:val="18"/>
                    </w:rPr>
                  </w:pPr>
                  <w:r>
                    <w:rPr>
                      <w:rFonts w:hint="eastAsia"/>
                      <w:snapToGrid w:val="0"/>
                      <w:sz w:val="18"/>
                      <w:szCs w:val="18"/>
                    </w:rPr>
                    <w:t>本项目设置一台1</w:t>
                  </w:r>
                  <w:r>
                    <w:rPr>
                      <w:snapToGrid w:val="0"/>
                      <w:sz w:val="18"/>
                      <w:szCs w:val="18"/>
                    </w:rPr>
                    <w:t>0</w:t>
                  </w:r>
                  <w:r>
                    <w:rPr>
                      <w:rFonts w:hint="eastAsia"/>
                      <w:snapToGrid w:val="0"/>
                      <w:sz w:val="18"/>
                      <w:szCs w:val="18"/>
                    </w:rPr>
                    <w:t>t</w:t>
                  </w:r>
                  <w:r>
                    <w:rPr>
                      <w:snapToGrid w:val="0"/>
                      <w:sz w:val="18"/>
                      <w:szCs w:val="18"/>
                    </w:rPr>
                    <w:t>/</w:t>
                  </w:r>
                  <w:r>
                    <w:rPr>
                      <w:rFonts w:hint="eastAsia"/>
                      <w:snapToGrid w:val="0"/>
                      <w:sz w:val="18"/>
                      <w:szCs w:val="18"/>
                    </w:rPr>
                    <w:t>h生物质专用锅炉，配备低氮燃烧器和“水膜除尘+静电除尘”高效除尘装置。</w:t>
                  </w:r>
                </w:p>
              </w:tc>
              <w:tc>
                <w:tcPr>
                  <w:tcW w:w="458" w:type="pct"/>
                  <w:vAlign w:val="center"/>
                </w:tcPr>
                <w:p w14:paraId="30667737">
                  <w:pPr>
                    <w:spacing w:line="360" w:lineRule="exact"/>
                    <w:ind w:firstLine="0" w:firstLineChars="0"/>
                    <w:jc w:val="center"/>
                    <w:outlineLvl w:val="1"/>
                    <w:rPr>
                      <w:snapToGrid w:val="0"/>
                      <w:sz w:val="18"/>
                      <w:szCs w:val="18"/>
                    </w:rPr>
                  </w:pPr>
                  <w:r>
                    <w:rPr>
                      <w:snapToGrid w:val="0"/>
                      <w:sz w:val="18"/>
                      <w:szCs w:val="18"/>
                    </w:rPr>
                    <w:t>符合</w:t>
                  </w:r>
                </w:p>
              </w:tc>
            </w:tr>
          </w:tbl>
          <w:p w14:paraId="70FEBAAE">
            <w:pPr>
              <w:ind w:firstLine="420"/>
            </w:pPr>
            <w:r>
              <w:t>综上，项目符合四川巴中经济开发区规划修编的要求。</w:t>
            </w:r>
          </w:p>
          <w:p w14:paraId="3ECB48D4">
            <w:pPr>
              <w:pStyle w:val="157"/>
            </w:pPr>
            <w:r>
              <w:rPr>
                <w:rFonts w:hint="eastAsia"/>
              </w:rPr>
              <w:t>2、与</w:t>
            </w:r>
            <w:r>
              <w:t>《四川巴中经济开发区规划修编环境影响报告书》</w:t>
            </w:r>
            <w:r>
              <w:rPr>
                <w:rFonts w:hint="eastAsia"/>
              </w:rPr>
              <w:t>及其审查意见的符合性分析</w:t>
            </w:r>
          </w:p>
          <w:p w14:paraId="33D5580F">
            <w:pPr>
              <w:pStyle w:val="156"/>
            </w:pPr>
            <w:r>
              <w:rPr>
                <w:rFonts w:hint="eastAsia"/>
              </w:rPr>
              <w:t>表1</w:t>
            </w:r>
            <w:r>
              <w:t xml:space="preserve">-3  </w:t>
            </w:r>
            <w:r>
              <w:rPr>
                <w:rFonts w:hint="eastAsia"/>
              </w:rPr>
              <w:t>项目与规划环评及审查意见的符合性分析</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699"/>
              <w:gridCol w:w="3680"/>
              <w:gridCol w:w="2416"/>
              <w:gridCol w:w="679"/>
            </w:tblGrid>
            <w:tr w14:paraId="56CFAB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468" w:type="pct"/>
                  <w:vAlign w:val="center"/>
                </w:tcPr>
                <w:p w14:paraId="44E5E5A6">
                  <w:pPr>
                    <w:spacing w:line="360" w:lineRule="exact"/>
                    <w:ind w:firstLine="0" w:firstLineChars="0"/>
                    <w:jc w:val="center"/>
                    <w:outlineLvl w:val="1"/>
                    <w:rPr>
                      <w:b/>
                      <w:bCs/>
                      <w:snapToGrid w:val="0"/>
                      <w:sz w:val="18"/>
                      <w:szCs w:val="18"/>
                    </w:rPr>
                  </w:pPr>
                  <w:r>
                    <w:rPr>
                      <w:b/>
                      <w:bCs/>
                      <w:snapToGrid w:val="0"/>
                      <w:sz w:val="18"/>
                      <w:szCs w:val="18"/>
                    </w:rPr>
                    <w:t>类别</w:t>
                  </w:r>
                </w:p>
              </w:tc>
              <w:tc>
                <w:tcPr>
                  <w:tcW w:w="2462" w:type="pct"/>
                  <w:vAlign w:val="center"/>
                </w:tcPr>
                <w:p w14:paraId="42A7E526">
                  <w:pPr>
                    <w:spacing w:line="360" w:lineRule="exact"/>
                    <w:ind w:firstLine="0" w:firstLineChars="0"/>
                    <w:jc w:val="center"/>
                    <w:outlineLvl w:val="1"/>
                    <w:rPr>
                      <w:b/>
                      <w:bCs/>
                      <w:snapToGrid w:val="0"/>
                      <w:sz w:val="18"/>
                      <w:szCs w:val="18"/>
                    </w:rPr>
                  </w:pPr>
                  <w:r>
                    <w:rPr>
                      <w:b/>
                      <w:bCs/>
                      <w:snapToGrid w:val="0"/>
                      <w:sz w:val="18"/>
                      <w:szCs w:val="18"/>
                    </w:rPr>
                    <w:t>规划环境影响报告书及审查意见要求</w:t>
                  </w:r>
                </w:p>
              </w:tc>
              <w:tc>
                <w:tcPr>
                  <w:tcW w:w="1616" w:type="pct"/>
                  <w:vAlign w:val="center"/>
                </w:tcPr>
                <w:p w14:paraId="3E0EC676">
                  <w:pPr>
                    <w:spacing w:line="360" w:lineRule="exact"/>
                    <w:ind w:firstLine="0" w:firstLineChars="0"/>
                    <w:jc w:val="center"/>
                    <w:outlineLvl w:val="1"/>
                    <w:rPr>
                      <w:b/>
                      <w:bCs/>
                      <w:snapToGrid w:val="0"/>
                      <w:sz w:val="18"/>
                      <w:szCs w:val="18"/>
                    </w:rPr>
                  </w:pPr>
                  <w:r>
                    <w:rPr>
                      <w:b/>
                      <w:bCs/>
                      <w:snapToGrid w:val="0"/>
                      <w:sz w:val="18"/>
                      <w:szCs w:val="18"/>
                    </w:rPr>
                    <w:t>项目情况</w:t>
                  </w:r>
                </w:p>
              </w:tc>
              <w:tc>
                <w:tcPr>
                  <w:tcW w:w="454" w:type="pct"/>
                  <w:vAlign w:val="center"/>
                </w:tcPr>
                <w:p w14:paraId="57E066AC">
                  <w:pPr>
                    <w:spacing w:line="360" w:lineRule="exact"/>
                    <w:ind w:firstLine="0" w:firstLineChars="0"/>
                    <w:jc w:val="center"/>
                    <w:outlineLvl w:val="1"/>
                    <w:rPr>
                      <w:b/>
                      <w:bCs/>
                      <w:snapToGrid w:val="0"/>
                      <w:sz w:val="18"/>
                      <w:szCs w:val="18"/>
                    </w:rPr>
                  </w:pPr>
                  <w:r>
                    <w:rPr>
                      <w:b/>
                      <w:bCs/>
                      <w:snapToGrid w:val="0"/>
                      <w:sz w:val="18"/>
                      <w:szCs w:val="18"/>
                    </w:rPr>
                    <w:t>符合性</w:t>
                  </w:r>
                </w:p>
              </w:tc>
            </w:tr>
            <w:tr w14:paraId="0271C2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468" w:type="pct"/>
                  <w:vAlign w:val="center"/>
                </w:tcPr>
                <w:p w14:paraId="77E3DD62">
                  <w:pPr>
                    <w:spacing w:line="360" w:lineRule="exact"/>
                    <w:ind w:firstLine="0" w:firstLineChars="0"/>
                    <w:jc w:val="center"/>
                    <w:outlineLvl w:val="1"/>
                    <w:rPr>
                      <w:snapToGrid w:val="0"/>
                      <w:sz w:val="18"/>
                      <w:szCs w:val="18"/>
                    </w:rPr>
                  </w:pPr>
                  <w:r>
                    <w:rPr>
                      <w:snapToGrid w:val="0"/>
                      <w:sz w:val="18"/>
                      <w:szCs w:val="18"/>
                    </w:rPr>
                    <w:t>产业定位</w:t>
                  </w:r>
                </w:p>
              </w:tc>
              <w:tc>
                <w:tcPr>
                  <w:tcW w:w="2462" w:type="pct"/>
                  <w:vAlign w:val="center"/>
                </w:tcPr>
                <w:p w14:paraId="7BB0E9BD">
                  <w:pPr>
                    <w:spacing w:line="360" w:lineRule="exact"/>
                    <w:ind w:firstLine="0" w:firstLineChars="0"/>
                    <w:outlineLvl w:val="1"/>
                    <w:rPr>
                      <w:sz w:val="18"/>
                      <w:szCs w:val="18"/>
                    </w:rPr>
                  </w:pPr>
                  <w:r>
                    <w:rPr>
                      <w:sz w:val="18"/>
                      <w:szCs w:val="18"/>
                    </w:rPr>
                    <w:t>核心区：以机械、电子、服装为主导产业，辅助发展生物医药、新能源新材料</w:t>
                  </w:r>
                  <w:r>
                    <w:rPr>
                      <w:rFonts w:hint="eastAsia"/>
                      <w:sz w:val="18"/>
                      <w:szCs w:val="18"/>
                    </w:rPr>
                    <w:t>。</w:t>
                  </w:r>
                </w:p>
              </w:tc>
              <w:tc>
                <w:tcPr>
                  <w:tcW w:w="1616" w:type="pct"/>
                  <w:vAlign w:val="center"/>
                </w:tcPr>
                <w:p w14:paraId="4D0402A7">
                  <w:pPr>
                    <w:spacing w:line="360" w:lineRule="exact"/>
                    <w:ind w:firstLine="0" w:firstLineChars="0"/>
                    <w:outlineLvl w:val="1"/>
                    <w:rPr>
                      <w:snapToGrid w:val="0"/>
                      <w:sz w:val="18"/>
                      <w:szCs w:val="18"/>
                    </w:rPr>
                  </w:pPr>
                  <w:r>
                    <w:rPr>
                      <w:rFonts w:hint="eastAsia"/>
                      <w:snapToGrid w:val="0"/>
                      <w:sz w:val="18"/>
                      <w:szCs w:val="18"/>
                    </w:rPr>
                    <w:t>本项目为建筑砌块生产项目，与园区主导产业不冲突。</w:t>
                  </w:r>
                </w:p>
              </w:tc>
              <w:tc>
                <w:tcPr>
                  <w:tcW w:w="454" w:type="pct"/>
                  <w:vAlign w:val="center"/>
                </w:tcPr>
                <w:p w14:paraId="2DE69869">
                  <w:pPr>
                    <w:spacing w:line="360" w:lineRule="exact"/>
                    <w:ind w:firstLine="0" w:firstLineChars="0"/>
                    <w:jc w:val="center"/>
                    <w:outlineLvl w:val="1"/>
                    <w:rPr>
                      <w:snapToGrid w:val="0"/>
                      <w:sz w:val="18"/>
                      <w:szCs w:val="18"/>
                    </w:rPr>
                  </w:pPr>
                  <w:r>
                    <w:rPr>
                      <w:snapToGrid w:val="0"/>
                      <w:sz w:val="18"/>
                      <w:szCs w:val="18"/>
                    </w:rPr>
                    <w:t>符合</w:t>
                  </w:r>
                </w:p>
              </w:tc>
            </w:tr>
            <w:tr w14:paraId="61BCA9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468" w:type="pct"/>
                  <w:vAlign w:val="center"/>
                </w:tcPr>
                <w:p w14:paraId="61404201">
                  <w:pPr>
                    <w:spacing w:line="360" w:lineRule="exact"/>
                    <w:ind w:firstLine="0" w:firstLineChars="0"/>
                    <w:jc w:val="center"/>
                    <w:outlineLvl w:val="1"/>
                    <w:rPr>
                      <w:snapToGrid w:val="0"/>
                      <w:sz w:val="18"/>
                      <w:szCs w:val="18"/>
                    </w:rPr>
                  </w:pPr>
                  <w:r>
                    <w:rPr>
                      <w:snapToGrid w:val="0"/>
                      <w:sz w:val="18"/>
                      <w:szCs w:val="18"/>
                    </w:rPr>
                    <w:t>负面准入清单</w:t>
                  </w:r>
                </w:p>
              </w:tc>
              <w:tc>
                <w:tcPr>
                  <w:tcW w:w="2462" w:type="pct"/>
                  <w:vAlign w:val="center"/>
                </w:tcPr>
                <w:p w14:paraId="79310A76">
                  <w:pPr>
                    <w:spacing w:line="360" w:lineRule="exact"/>
                    <w:ind w:firstLine="0" w:firstLineChars="0"/>
                    <w:outlineLvl w:val="1"/>
                    <w:rPr>
                      <w:sz w:val="18"/>
                      <w:szCs w:val="18"/>
                    </w:rPr>
                  </w:pPr>
                  <w:r>
                    <w:rPr>
                      <w:sz w:val="18"/>
                      <w:szCs w:val="18"/>
                    </w:rPr>
                    <w:t>（1）禁止新建、扩建法律法规和相关政策明令禁止的落后产能项目。禁止新建《产业结构调整指导目录》中淘汰、限制类项目，对属于限制类的现有生产能力允许企业在一定期限内采取措施改造升级。</w:t>
                  </w:r>
                </w:p>
                <w:p w14:paraId="696B4980">
                  <w:pPr>
                    <w:spacing w:line="360" w:lineRule="exact"/>
                    <w:ind w:firstLine="0" w:firstLineChars="0"/>
                    <w:outlineLvl w:val="1"/>
                    <w:rPr>
                      <w:sz w:val="18"/>
                      <w:szCs w:val="18"/>
                    </w:rPr>
                  </w:pPr>
                  <w:r>
                    <w:rPr>
                      <w:sz w:val="18"/>
                      <w:szCs w:val="18"/>
                    </w:rPr>
                    <w:t>（2）禁止新建、扩建不符合国家产能置换要求的严重过剩产能行业的项目，禁止新建、扩建不符合要求的高耗能高排放项目。</w:t>
                  </w:r>
                </w:p>
                <w:p w14:paraId="53EF9E6C">
                  <w:pPr>
                    <w:spacing w:line="360" w:lineRule="exact"/>
                    <w:ind w:firstLine="0" w:firstLineChars="0"/>
                    <w:outlineLvl w:val="1"/>
                    <w:rPr>
                      <w:sz w:val="18"/>
                      <w:szCs w:val="18"/>
                    </w:rPr>
                  </w:pPr>
                  <w:r>
                    <w:rPr>
                      <w:sz w:val="18"/>
                      <w:szCs w:val="18"/>
                    </w:rPr>
                    <w:t>（3）禁止引入不符合国家、地方重金属污染防治规范的项目。</w:t>
                  </w:r>
                </w:p>
                <w:p w14:paraId="2A9D76CB">
                  <w:pPr>
                    <w:spacing w:line="360" w:lineRule="exact"/>
                    <w:ind w:firstLine="0" w:firstLineChars="0"/>
                    <w:outlineLvl w:val="1"/>
                    <w:rPr>
                      <w:sz w:val="18"/>
                      <w:szCs w:val="18"/>
                    </w:rPr>
                  </w:pPr>
                  <w:r>
                    <w:rPr>
                      <w:sz w:val="18"/>
                      <w:szCs w:val="18"/>
                    </w:rPr>
                    <w:t>（4）禁止引入清洁生产水平不能达二级或国内先进水平的项目。</w:t>
                  </w:r>
                </w:p>
                <w:p w14:paraId="75E31040">
                  <w:pPr>
                    <w:spacing w:line="360" w:lineRule="exact"/>
                    <w:ind w:firstLine="0" w:firstLineChars="0"/>
                    <w:outlineLvl w:val="1"/>
                    <w:rPr>
                      <w:sz w:val="18"/>
                      <w:szCs w:val="18"/>
                    </w:rPr>
                  </w:pPr>
                  <w:r>
                    <w:rPr>
                      <w:sz w:val="18"/>
                      <w:szCs w:val="18"/>
                    </w:rPr>
                    <w:t>（5）禁止新建制浆造纸(含废纸制浆)、印染染整、制革、水泥、冶炼及与主导产业不相容的项目。</w:t>
                  </w:r>
                </w:p>
                <w:p w14:paraId="22F36488">
                  <w:pPr>
                    <w:spacing w:line="360" w:lineRule="exact"/>
                    <w:ind w:firstLine="0" w:firstLineChars="0"/>
                    <w:outlineLvl w:val="1"/>
                    <w:rPr>
                      <w:sz w:val="18"/>
                      <w:szCs w:val="18"/>
                    </w:rPr>
                  </w:pPr>
                  <w:r>
                    <w:rPr>
                      <w:sz w:val="18"/>
                      <w:szCs w:val="18"/>
                    </w:rPr>
                    <w:t>（6）禁止高污染燃料。</w:t>
                  </w:r>
                </w:p>
              </w:tc>
              <w:tc>
                <w:tcPr>
                  <w:tcW w:w="1616" w:type="pct"/>
                  <w:vAlign w:val="center"/>
                </w:tcPr>
                <w:p w14:paraId="32FD23D6">
                  <w:pPr>
                    <w:spacing w:line="360" w:lineRule="exact"/>
                    <w:ind w:firstLine="0" w:firstLineChars="0"/>
                    <w:outlineLvl w:val="1"/>
                    <w:rPr>
                      <w:sz w:val="18"/>
                      <w:szCs w:val="18"/>
                    </w:rPr>
                  </w:pPr>
                  <w:r>
                    <w:rPr>
                      <w:rFonts w:hint="eastAsia"/>
                      <w:snapToGrid w:val="0"/>
                      <w:sz w:val="18"/>
                      <w:szCs w:val="18"/>
                    </w:rPr>
                    <w:t>（1）本项目为建筑砌块生产项目，不属于</w:t>
                  </w:r>
                  <w:r>
                    <w:rPr>
                      <w:sz w:val="18"/>
                      <w:szCs w:val="18"/>
                    </w:rPr>
                    <w:t>《产业结构调整指导目录</w:t>
                  </w:r>
                  <w:r>
                    <w:rPr>
                      <w:rFonts w:hint="eastAsia"/>
                      <w:sz w:val="18"/>
                      <w:szCs w:val="18"/>
                    </w:rPr>
                    <w:t>（2</w:t>
                  </w:r>
                  <w:r>
                    <w:rPr>
                      <w:sz w:val="18"/>
                      <w:szCs w:val="18"/>
                    </w:rPr>
                    <w:t>024</w:t>
                  </w:r>
                  <w:r>
                    <w:rPr>
                      <w:rFonts w:hint="eastAsia"/>
                      <w:sz w:val="18"/>
                      <w:szCs w:val="18"/>
                    </w:rPr>
                    <w:t>年本）</w:t>
                  </w:r>
                  <w:r>
                    <w:rPr>
                      <w:sz w:val="18"/>
                      <w:szCs w:val="18"/>
                    </w:rPr>
                    <w:t>》</w:t>
                  </w:r>
                  <w:r>
                    <w:rPr>
                      <w:rFonts w:hint="eastAsia"/>
                      <w:sz w:val="18"/>
                      <w:szCs w:val="18"/>
                    </w:rPr>
                    <w:t>中限制类、淘汰类项目；</w:t>
                  </w:r>
                </w:p>
                <w:p w14:paraId="5563E4BB">
                  <w:pPr>
                    <w:spacing w:line="360" w:lineRule="exact"/>
                    <w:ind w:firstLine="0" w:firstLineChars="0"/>
                    <w:outlineLvl w:val="1"/>
                    <w:rPr>
                      <w:snapToGrid w:val="0"/>
                      <w:sz w:val="18"/>
                      <w:szCs w:val="18"/>
                    </w:rPr>
                  </w:pPr>
                  <w:r>
                    <w:rPr>
                      <w:rFonts w:hint="eastAsia"/>
                      <w:sz w:val="18"/>
                      <w:szCs w:val="18"/>
                    </w:rPr>
                    <w:t>（2）</w:t>
                  </w:r>
                  <w:r>
                    <w:rPr>
                      <w:rFonts w:hint="eastAsia"/>
                      <w:snapToGrid w:val="0"/>
                      <w:sz w:val="18"/>
                      <w:szCs w:val="18"/>
                    </w:rPr>
                    <w:t>本项目为建筑砌块生产项目，不属于严重过剩产能行业的项目，对照《四川省“两高”项目管理目录（试行）》，本项目不属于其中规定的高耗能、高排放项目；</w:t>
                  </w:r>
                </w:p>
                <w:p w14:paraId="72687225">
                  <w:pPr>
                    <w:spacing w:line="360" w:lineRule="exact"/>
                    <w:ind w:firstLine="0" w:firstLineChars="0"/>
                    <w:outlineLvl w:val="1"/>
                    <w:rPr>
                      <w:snapToGrid w:val="0"/>
                      <w:sz w:val="18"/>
                      <w:szCs w:val="18"/>
                    </w:rPr>
                  </w:pPr>
                  <w:r>
                    <w:rPr>
                      <w:rFonts w:hint="eastAsia"/>
                      <w:snapToGrid w:val="0"/>
                      <w:sz w:val="18"/>
                      <w:szCs w:val="18"/>
                    </w:rPr>
                    <w:t>（3）不涉及；</w:t>
                  </w:r>
                </w:p>
                <w:p w14:paraId="689A6BC7">
                  <w:pPr>
                    <w:spacing w:line="360" w:lineRule="exact"/>
                    <w:ind w:firstLine="0" w:firstLineChars="0"/>
                    <w:outlineLvl w:val="1"/>
                    <w:rPr>
                      <w:snapToGrid w:val="0"/>
                      <w:sz w:val="18"/>
                      <w:szCs w:val="18"/>
                    </w:rPr>
                  </w:pPr>
                  <w:r>
                    <w:rPr>
                      <w:rFonts w:hint="eastAsia"/>
                      <w:snapToGrid w:val="0"/>
                      <w:sz w:val="18"/>
                      <w:szCs w:val="18"/>
                    </w:rPr>
                    <w:t>（4）本项目满足清洁生产要求；</w:t>
                  </w:r>
                </w:p>
                <w:p w14:paraId="69DBBADB">
                  <w:pPr>
                    <w:spacing w:line="360" w:lineRule="exact"/>
                    <w:ind w:firstLine="0" w:firstLineChars="0"/>
                    <w:outlineLvl w:val="1"/>
                    <w:rPr>
                      <w:snapToGrid w:val="0"/>
                      <w:sz w:val="18"/>
                      <w:szCs w:val="18"/>
                    </w:rPr>
                  </w:pPr>
                  <w:r>
                    <w:rPr>
                      <w:rFonts w:hint="eastAsia"/>
                      <w:snapToGrid w:val="0"/>
                      <w:sz w:val="18"/>
                      <w:szCs w:val="18"/>
                    </w:rPr>
                    <w:t>（5）不涉及；</w:t>
                  </w:r>
                </w:p>
                <w:p w14:paraId="6E6483DB">
                  <w:pPr>
                    <w:spacing w:line="360" w:lineRule="exact"/>
                    <w:ind w:firstLine="0" w:firstLineChars="0"/>
                    <w:outlineLvl w:val="1"/>
                    <w:rPr>
                      <w:snapToGrid w:val="0"/>
                      <w:sz w:val="18"/>
                      <w:szCs w:val="18"/>
                    </w:rPr>
                  </w:pPr>
                  <w:r>
                    <w:rPr>
                      <w:rFonts w:hint="eastAsia"/>
                      <w:snapToGrid w:val="0"/>
                      <w:sz w:val="18"/>
                      <w:szCs w:val="18"/>
                    </w:rPr>
                    <w:t>（6）本项目位于巴中经开区兴文街道，对照《巴中市人民政府关于调整划定巴中市中心城区高污染燃料禁燃区的通告》（〔2021〕第1号），本项目不在禁燃区范围内。</w:t>
                  </w:r>
                </w:p>
              </w:tc>
              <w:tc>
                <w:tcPr>
                  <w:tcW w:w="454" w:type="pct"/>
                  <w:vAlign w:val="center"/>
                </w:tcPr>
                <w:p w14:paraId="21234938">
                  <w:pPr>
                    <w:spacing w:line="360" w:lineRule="exact"/>
                    <w:ind w:firstLine="0" w:firstLineChars="0"/>
                    <w:jc w:val="center"/>
                    <w:outlineLvl w:val="1"/>
                    <w:rPr>
                      <w:snapToGrid w:val="0"/>
                      <w:sz w:val="18"/>
                      <w:szCs w:val="18"/>
                    </w:rPr>
                  </w:pPr>
                  <w:r>
                    <w:rPr>
                      <w:snapToGrid w:val="0"/>
                      <w:sz w:val="18"/>
                      <w:szCs w:val="18"/>
                    </w:rPr>
                    <w:t>符合</w:t>
                  </w:r>
                </w:p>
              </w:tc>
            </w:tr>
            <w:tr w14:paraId="187FCB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468" w:type="pct"/>
                  <w:vAlign w:val="center"/>
                </w:tcPr>
                <w:p w14:paraId="1DB060C1">
                  <w:pPr>
                    <w:spacing w:line="360" w:lineRule="exact"/>
                    <w:ind w:firstLine="0" w:firstLineChars="0"/>
                    <w:jc w:val="center"/>
                    <w:outlineLvl w:val="1"/>
                    <w:rPr>
                      <w:snapToGrid w:val="0"/>
                      <w:sz w:val="18"/>
                      <w:szCs w:val="18"/>
                    </w:rPr>
                  </w:pPr>
                  <w:r>
                    <w:rPr>
                      <w:snapToGrid w:val="0"/>
                      <w:sz w:val="18"/>
                      <w:szCs w:val="18"/>
                    </w:rPr>
                    <w:t>分区管控要求</w:t>
                  </w:r>
                </w:p>
              </w:tc>
              <w:tc>
                <w:tcPr>
                  <w:tcW w:w="2462" w:type="pct"/>
                  <w:vAlign w:val="center"/>
                </w:tcPr>
                <w:p w14:paraId="127C8DD4">
                  <w:pPr>
                    <w:spacing w:line="360" w:lineRule="exact"/>
                    <w:ind w:firstLine="0" w:firstLineChars="0"/>
                    <w:outlineLvl w:val="1"/>
                    <w:rPr>
                      <w:sz w:val="18"/>
                      <w:szCs w:val="18"/>
                    </w:rPr>
                  </w:pPr>
                  <w:r>
                    <w:rPr>
                      <w:sz w:val="18"/>
                      <w:szCs w:val="18"/>
                    </w:rPr>
                    <w:t>（1）阳台河岸线1km范围内禁止新建、改扩建化工项目(节能、安全环保改造除外)；</w:t>
                  </w:r>
                </w:p>
                <w:p w14:paraId="4F59BCF4">
                  <w:pPr>
                    <w:spacing w:line="360" w:lineRule="exact"/>
                    <w:ind w:firstLine="0" w:firstLineChars="0"/>
                    <w:outlineLvl w:val="1"/>
                    <w:rPr>
                      <w:sz w:val="18"/>
                      <w:szCs w:val="18"/>
                    </w:rPr>
                  </w:pPr>
                  <w:r>
                    <w:rPr>
                      <w:sz w:val="18"/>
                      <w:szCs w:val="18"/>
                    </w:rPr>
                    <w:t>（2）禁止引入化学原料药、发酵类抗生素项目；</w:t>
                  </w:r>
                </w:p>
                <w:p w14:paraId="40B2CCA9">
                  <w:pPr>
                    <w:spacing w:line="360" w:lineRule="exact"/>
                    <w:ind w:firstLine="0" w:firstLineChars="0"/>
                    <w:outlineLvl w:val="1"/>
                    <w:rPr>
                      <w:sz w:val="18"/>
                      <w:szCs w:val="18"/>
                    </w:rPr>
                  </w:pPr>
                  <w:r>
                    <w:rPr>
                      <w:sz w:val="18"/>
                      <w:szCs w:val="18"/>
                    </w:rPr>
                    <w:t>（3）禁止引入专业电镀，排放含铅、汞、镉、铬、砷废水的项目；</w:t>
                  </w:r>
                </w:p>
                <w:p w14:paraId="26623814">
                  <w:pPr>
                    <w:spacing w:line="360" w:lineRule="exact"/>
                    <w:ind w:firstLine="0" w:firstLineChars="0"/>
                    <w:outlineLvl w:val="1"/>
                    <w:rPr>
                      <w:sz w:val="18"/>
                      <w:szCs w:val="18"/>
                    </w:rPr>
                  </w:pPr>
                  <w:r>
                    <w:rPr>
                      <w:sz w:val="18"/>
                      <w:szCs w:val="18"/>
                    </w:rPr>
                    <w:t>（4）禁止引入危化品仓储项目。</w:t>
                  </w:r>
                </w:p>
              </w:tc>
              <w:tc>
                <w:tcPr>
                  <w:tcW w:w="1616" w:type="pct"/>
                  <w:vAlign w:val="center"/>
                </w:tcPr>
                <w:p w14:paraId="062A8B8E">
                  <w:pPr>
                    <w:spacing w:line="360" w:lineRule="exact"/>
                    <w:ind w:firstLine="0" w:firstLineChars="0"/>
                    <w:outlineLvl w:val="1"/>
                    <w:rPr>
                      <w:snapToGrid w:val="0"/>
                      <w:sz w:val="18"/>
                      <w:szCs w:val="18"/>
                    </w:rPr>
                  </w:pPr>
                  <w:r>
                    <w:rPr>
                      <w:rFonts w:hint="eastAsia"/>
                      <w:snapToGrid w:val="0"/>
                      <w:sz w:val="18"/>
                      <w:szCs w:val="18"/>
                    </w:rPr>
                    <w:t>（1）不涉及；</w:t>
                  </w:r>
                </w:p>
                <w:p w14:paraId="18C6FBEE">
                  <w:pPr>
                    <w:spacing w:line="360" w:lineRule="exact"/>
                    <w:ind w:firstLine="0" w:firstLineChars="0"/>
                    <w:outlineLvl w:val="1"/>
                    <w:rPr>
                      <w:snapToGrid w:val="0"/>
                      <w:sz w:val="18"/>
                      <w:szCs w:val="18"/>
                    </w:rPr>
                  </w:pPr>
                  <w:r>
                    <w:rPr>
                      <w:rFonts w:hint="eastAsia"/>
                      <w:snapToGrid w:val="0"/>
                      <w:sz w:val="18"/>
                      <w:szCs w:val="18"/>
                    </w:rPr>
                    <w:t>（2）不涉及；</w:t>
                  </w:r>
                </w:p>
                <w:p w14:paraId="7C6944FC">
                  <w:pPr>
                    <w:spacing w:line="360" w:lineRule="exact"/>
                    <w:ind w:firstLine="0" w:firstLineChars="0"/>
                    <w:outlineLvl w:val="1"/>
                    <w:rPr>
                      <w:snapToGrid w:val="0"/>
                      <w:sz w:val="18"/>
                      <w:szCs w:val="18"/>
                    </w:rPr>
                  </w:pPr>
                  <w:r>
                    <w:rPr>
                      <w:rFonts w:hint="eastAsia"/>
                      <w:snapToGrid w:val="0"/>
                      <w:sz w:val="18"/>
                      <w:szCs w:val="18"/>
                    </w:rPr>
                    <w:t>（3）不涉及；</w:t>
                  </w:r>
                </w:p>
                <w:p w14:paraId="210E1216">
                  <w:pPr>
                    <w:spacing w:line="360" w:lineRule="exact"/>
                    <w:ind w:firstLine="0" w:firstLineChars="0"/>
                    <w:outlineLvl w:val="1"/>
                    <w:rPr>
                      <w:snapToGrid w:val="0"/>
                      <w:sz w:val="18"/>
                      <w:szCs w:val="18"/>
                    </w:rPr>
                  </w:pPr>
                  <w:r>
                    <w:rPr>
                      <w:rFonts w:hint="eastAsia"/>
                      <w:snapToGrid w:val="0"/>
                      <w:sz w:val="18"/>
                      <w:szCs w:val="18"/>
                    </w:rPr>
                    <w:t>（4）不涉及。</w:t>
                  </w:r>
                </w:p>
              </w:tc>
              <w:tc>
                <w:tcPr>
                  <w:tcW w:w="454" w:type="pct"/>
                  <w:vAlign w:val="center"/>
                </w:tcPr>
                <w:p w14:paraId="33D8A006">
                  <w:pPr>
                    <w:spacing w:line="360" w:lineRule="exact"/>
                    <w:ind w:firstLine="0" w:firstLineChars="0"/>
                    <w:jc w:val="center"/>
                    <w:outlineLvl w:val="1"/>
                    <w:rPr>
                      <w:snapToGrid w:val="0"/>
                      <w:sz w:val="18"/>
                      <w:szCs w:val="18"/>
                    </w:rPr>
                  </w:pPr>
                  <w:r>
                    <w:rPr>
                      <w:snapToGrid w:val="0"/>
                      <w:sz w:val="18"/>
                      <w:szCs w:val="18"/>
                    </w:rPr>
                    <w:t>符合</w:t>
                  </w:r>
                </w:p>
              </w:tc>
            </w:tr>
            <w:tr w14:paraId="5CAE4D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468" w:type="pct"/>
                  <w:vAlign w:val="center"/>
                </w:tcPr>
                <w:p w14:paraId="79A8952E">
                  <w:pPr>
                    <w:spacing w:line="360" w:lineRule="exact"/>
                    <w:ind w:firstLine="0" w:firstLineChars="0"/>
                    <w:jc w:val="center"/>
                    <w:outlineLvl w:val="1"/>
                    <w:rPr>
                      <w:snapToGrid w:val="0"/>
                      <w:sz w:val="18"/>
                      <w:szCs w:val="18"/>
                    </w:rPr>
                  </w:pPr>
                  <w:r>
                    <w:rPr>
                      <w:snapToGrid w:val="0"/>
                      <w:sz w:val="18"/>
                      <w:szCs w:val="18"/>
                    </w:rPr>
                    <w:t>能源规划</w:t>
                  </w:r>
                </w:p>
              </w:tc>
              <w:tc>
                <w:tcPr>
                  <w:tcW w:w="2462" w:type="pct"/>
                  <w:vAlign w:val="center"/>
                </w:tcPr>
                <w:p w14:paraId="536FF7FA">
                  <w:pPr>
                    <w:spacing w:line="360" w:lineRule="exact"/>
                    <w:ind w:firstLine="0" w:firstLineChars="0"/>
                    <w:outlineLvl w:val="1"/>
                    <w:rPr>
                      <w:sz w:val="18"/>
                      <w:szCs w:val="18"/>
                    </w:rPr>
                  </w:pPr>
                  <w:r>
                    <w:rPr>
                      <w:sz w:val="18"/>
                      <w:szCs w:val="18"/>
                    </w:rPr>
                    <w:t>规划以清洁能源天然气和电为主，禁止使用燃煤。鼓励企业新建或改建燃气锅炉安装低氮燃烧器。</w:t>
                  </w:r>
                </w:p>
              </w:tc>
              <w:tc>
                <w:tcPr>
                  <w:tcW w:w="1616" w:type="pct"/>
                  <w:vAlign w:val="center"/>
                </w:tcPr>
                <w:p w14:paraId="09890BD0">
                  <w:pPr>
                    <w:spacing w:line="360" w:lineRule="exact"/>
                    <w:ind w:firstLine="0" w:firstLineChars="0"/>
                    <w:outlineLvl w:val="1"/>
                    <w:rPr>
                      <w:snapToGrid w:val="0"/>
                      <w:sz w:val="18"/>
                      <w:szCs w:val="18"/>
                    </w:rPr>
                  </w:pPr>
                  <w:r>
                    <w:rPr>
                      <w:rFonts w:hint="eastAsia"/>
                      <w:snapToGrid w:val="0"/>
                      <w:sz w:val="18"/>
                      <w:szCs w:val="18"/>
                    </w:rPr>
                    <w:t>本项目设置一台1</w:t>
                  </w:r>
                  <w:r>
                    <w:rPr>
                      <w:snapToGrid w:val="0"/>
                      <w:sz w:val="18"/>
                      <w:szCs w:val="18"/>
                    </w:rPr>
                    <w:t>0</w:t>
                  </w:r>
                  <w:r>
                    <w:rPr>
                      <w:rFonts w:hint="eastAsia"/>
                      <w:snapToGrid w:val="0"/>
                      <w:sz w:val="18"/>
                      <w:szCs w:val="18"/>
                    </w:rPr>
                    <w:t>t</w:t>
                  </w:r>
                  <w:r>
                    <w:rPr>
                      <w:snapToGrid w:val="0"/>
                      <w:sz w:val="18"/>
                      <w:szCs w:val="18"/>
                    </w:rPr>
                    <w:t>/</w:t>
                  </w:r>
                  <w:r>
                    <w:rPr>
                      <w:rFonts w:hint="eastAsia"/>
                      <w:snapToGrid w:val="0"/>
                      <w:sz w:val="18"/>
                      <w:szCs w:val="18"/>
                    </w:rPr>
                    <w:t>h生物质专用锅炉，配备低氮燃烧器和“水膜除尘+静电除尘”高效除尘装置。</w:t>
                  </w:r>
                </w:p>
              </w:tc>
              <w:tc>
                <w:tcPr>
                  <w:tcW w:w="454" w:type="pct"/>
                  <w:vAlign w:val="center"/>
                </w:tcPr>
                <w:p w14:paraId="6996E3CE">
                  <w:pPr>
                    <w:spacing w:line="360" w:lineRule="exact"/>
                    <w:ind w:firstLine="0" w:firstLineChars="0"/>
                    <w:jc w:val="center"/>
                    <w:outlineLvl w:val="1"/>
                    <w:rPr>
                      <w:snapToGrid w:val="0"/>
                      <w:sz w:val="18"/>
                      <w:szCs w:val="18"/>
                    </w:rPr>
                  </w:pPr>
                  <w:r>
                    <w:rPr>
                      <w:rFonts w:hint="eastAsia"/>
                      <w:snapToGrid w:val="0"/>
                      <w:sz w:val="18"/>
                      <w:szCs w:val="18"/>
                    </w:rPr>
                    <w:t>符合</w:t>
                  </w:r>
                </w:p>
              </w:tc>
            </w:tr>
            <w:tr w14:paraId="6866A3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468" w:type="pct"/>
                  <w:vMerge w:val="restart"/>
                  <w:vAlign w:val="center"/>
                </w:tcPr>
                <w:p w14:paraId="25DA1E4F">
                  <w:pPr>
                    <w:spacing w:line="360" w:lineRule="exact"/>
                    <w:ind w:firstLine="0" w:firstLineChars="0"/>
                    <w:jc w:val="center"/>
                    <w:outlineLvl w:val="1"/>
                    <w:rPr>
                      <w:snapToGrid w:val="0"/>
                      <w:sz w:val="18"/>
                      <w:szCs w:val="18"/>
                    </w:rPr>
                  </w:pPr>
                  <w:r>
                    <w:rPr>
                      <w:snapToGrid w:val="0"/>
                      <w:sz w:val="18"/>
                      <w:szCs w:val="18"/>
                    </w:rPr>
                    <w:t>环境保护规划</w:t>
                  </w:r>
                </w:p>
              </w:tc>
              <w:tc>
                <w:tcPr>
                  <w:tcW w:w="2462" w:type="pct"/>
                  <w:vAlign w:val="center"/>
                </w:tcPr>
                <w:p w14:paraId="3BC98169">
                  <w:pPr>
                    <w:spacing w:line="360" w:lineRule="exact"/>
                    <w:ind w:firstLine="0" w:firstLineChars="0"/>
                    <w:outlineLvl w:val="1"/>
                    <w:rPr>
                      <w:bCs/>
                      <w:sz w:val="18"/>
                      <w:szCs w:val="18"/>
                    </w:rPr>
                  </w:pPr>
                  <w:r>
                    <w:rPr>
                      <w:bCs/>
                      <w:sz w:val="18"/>
                      <w:szCs w:val="18"/>
                    </w:rPr>
                    <w:t>水污染防治：通过治理污染，系统组织排放，提高污水处理比率，河流水质达到《地表水环境质量标准》(GB3838-2002)Ⅲ类标准。</w:t>
                  </w:r>
                </w:p>
              </w:tc>
              <w:tc>
                <w:tcPr>
                  <w:tcW w:w="1616" w:type="pct"/>
                  <w:vAlign w:val="center"/>
                </w:tcPr>
                <w:p w14:paraId="3C766246">
                  <w:pPr>
                    <w:spacing w:line="360" w:lineRule="exact"/>
                    <w:ind w:firstLine="0" w:firstLineChars="0"/>
                    <w:outlineLvl w:val="1"/>
                    <w:rPr>
                      <w:snapToGrid w:val="0"/>
                      <w:sz w:val="18"/>
                      <w:szCs w:val="18"/>
                    </w:rPr>
                  </w:pPr>
                  <w:r>
                    <w:rPr>
                      <w:snapToGrid w:val="0"/>
                      <w:sz w:val="18"/>
                      <w:szCs w:val="18"/>
                    </w:rPr>
                    <w:t>项目生产废水经厂区沉淀池处理后回用不外排，生活污水经预处理后</w:t>
                  </w:r>
                  <w:r>
                    <w:rPr>
                      <w:rFonts w:hint="eastAsia"/>
                      <w:bCs/>
                      <w:kern w:val="0"/>
                      <w:sz w:val="18"/>
                      <w:szCs w:val="18"/>
                    </w:rPr>
                    <w:t>采用吸污车清运至污水处理厂，后期管网接通后，通过管网排入污水处理厂处理。</w:t>
                  </w:r>
                </w:p>
              </w:tc>
              <w:tc>
                <w:tcPr>
                  <w:tcW w:w="454" w:type="pct"/>
                  <w:vAlign w:val="center"/>
                </w:tcPr>
                <w:p w14:paraId="24A4FC0F">
                  <w:pPr>
                    <w:spacing w:line="360" w:lineRule="exact"/>
                    <w:ind w:firstLine="0" w:firstLineChars="0"/>
                    <w:jc w:val="center"/>
                    <w:outlineLvl w:val="1"/>
                    <w:rPr>
                      <w:snapToGrid w:val="0"/>
                      <w:sz w:val="18"/>
                      <w:szCs w:val="18"/>
                    </w:rPr>
                  </w:pPr>
                  <w:r>
                    <w:rPr>
                      <w:snapToGrid w:val="0"/>
                      <w:sz w:val="18"/>
                      <w:szCs w:val="18"/>
                    </w:rPr>
                    <w:t>符合</w:t>
                  </w:r>
                </w:p>
              </w:tc>
            </w:tr>
            <w:tr w14:paraId="1596FB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468" w:type="pct"/>
                  <w:vMerge w:val="continue"/>
                  <w:vAlign w:val="center"/>
                </w:tcPr>
                <w:p w14:paraId="448C7D4E">
                  <w:pPr>
                    <w:spacing w:line="360" w:lineRule="exact"/>
                    <w:ind w:firstLine="0" w:firstLineChars="0"/>
                    <w:jc w:val="center"/>
                    <w:outlineLvl w:val="1"/>
                    <w:rPr>
                      <w:snapToGrid w:val="0"/>
                      <w:sz w:val="18"/>
                      <w:szCs w:val="18"/>
                    </w:rPr>
                  </w:pPr>
                </w:p>
              </w:tc>
              <w:tc>
                <w:tcPr>
                  <w:tcW w:w="2462" w:type="pct"/>
                  <w:vAlign w:val="center"/>
                </w:tcPr>
                <w:p w14:paraId="5CAFF725">
                  <w:pPr>
                    <w:spacing w:line="360" w:lineRule="exact"/>
                    <w:ind w:firstLine="0" w:firstLineChars="0"/>
                    <w:outlineLvl w:val="1"/>
                    <w:rPr>
                      <w:bCs/>
                      <w:sz w:val="18"/>
                      <w:szCs w:val="18"/>
                    </w:rPr>
                  </w:pPr>
                  <w:r>
                    <w:rPr>
                      <w:bCs/>
                      <w:sz w:val="18"/>
                      <w:szCs w:val="18"/>
                    </w:rPr>
                    <w:t>大气污染防治：建设烟尘控制区，且覆盖率达90%以上。在产业结构政策上，严格限制大气污染严重的项目，项目必须科学选址。</w:t>
                  </w:r>
                </w:p>
                <w:p w14:paraId="65A9302A">
                  <w:pPr>
                    <w:spacing w:line="360" w:lineRule="exact"/>
                    <w:ind w:firstLine="0" w:firstLineChars="0"/>
                    <w:outlineLvl w:val="1"/>
                    <w:rPr>
                      <w:bCs/>
                      <w:sz w:val="18"/>
                      <w:szCs w:val="18"/>
                    </w:rPr>
                  </w:pPr>
                  <w:r>
                    <w:rPr>
                      <w:bCs/>
                      <w:sz w:val="18"/>
                      <w:szCs w:val="18"/>
                    </w:rPr>
                    <w:t>改善道路和交通状况，减少汽车尾气污染。</w:t>
                  </w:r>
                </w:p>
                <w:p w14:paraId="26A9A06A">
                  <w:pPr>
                    <w:spacing w:line="360" w:lineRule="exact"/>
                    <w:ind w:firstLine="0" w:firstLineChars="0"/>
                    <w:outlineLvl w:val="1"/>
                    <w:rPr>
                      <w:bCs/>
                      <w:sz w:val="18"/>
                      <w:szCs w:val="18"/>
                    </w:rPr>
                  </w:pPr>
                  <w:r>
                    <w:rPr>
                      <w:bCs/>
                      <w:sz w:val="18"/>
                      <w:szCs w:val="18"/>
                    </w:rPr>
                    <w:t>加强管理和监督，限时施工等措施减少建筑工地扬尘污染，搞好道路和城市区域绿化，减轻大气环境污染影响。</w:t>
                  </w:r>
                </w:p>
              </w:tc>
              <w:tc>
                <w:tcPr>
                  <w:tcW w:w="1616" w:type="pct"/>
                  <w:vAlign w:val="center"/>
                </w:tcPr>
                <w:p w14:paraId="547BBE3A">
                  <w:pPr>
                    <w:spacing w:line="360" w:lineRule="exact"/>
                    <w:ind w:firstLine="0" w:firstLineChars="0"/>
                    <w:outlineLvl w:val="1"/>
                    <w:rPr>
                      <w:snapToGrid w:val="0"/>
                      <w:sz w:val="18"/>
                      <w:szCs w:val="18"/>
                    </w:rPr>
                  </w:pPr>
                  <w:r>
                    <w:rPr>
                      <w:snapToGrid w:val="0"/>
                      <w:sz w:val="18"/>
                      <w:szCs w:val="18"/>
                    </w:rPr>
                    <w:t>项目废气在落实本报告提出的措施，经处理后满足</w:t>
                  </w:r>
                  <w:r>
                    <w:rPr>
                      <w:rFonts w:hint="eastAsia"/>
                      <w:bCs/>
                      <w:sz w:val="18"/>
                      <w:szCs w:val="18"/>
                    </w:rPr>
                    <w:t>《砖瓦工业大气污染物排放标准》（GB 29620-2013）《锅炉大气污染物排放标准》（GB13271-2014）相关</w:t>
                  </w:r>
                  <w:r>
                    <w:rPr>
                      <w:bCs/>
                      <w:sz w:val="18"/>
                      <w:szCs w:val="18"/>
                    </w:rPr>
                    <w:t>标准要求后排放</w:t>
                  </w:r>
                  <w:r>
                    <w:rPr>
                      <w:rFonts w:hint="eastAsia"/>
                      <w:bCs/>
                      <w:sz w:val="18"/>
                      <w:szCs w:val="18"/>
                    </w:rPr>
                    <w:t>。</w:t>
                  </w:r>
                </w:p>
              </w:tc>
              <w:tc>
                <w:tcPr>
                  <w:tcW w:w="454" w:type="pct"/>
                  <w:vAlign w:val="center"/>
                </w:tcPr>
                <w:p w14:paraId="2A3D87FF">
                  <w:pPr>
                    <w:spacing w:line="360" w:lineRule="exact"/>
                    <w:ind w:firstLine="0" w:firstLineChars="0"/>
                    <w:jc w:val="center"/>
                    <w:outlineLvl w:val="1"/>
                    <w:rPr>
                      <w:snapToGrid w:val="0"/>
                      <w:sz w:val="18"/>
                      <w:szCs w:val="18"/>
                    </w:rPr>
                  </w:pPr>
                  <w:r>
                    <w:rPr>
                      <w:snapToGrid w:val="0"/>
                      <w:sz w:val="18"/>
                      <w:szCs w:val="18"/>
                    </w:rPr>
                    <w:t>符合</w:t>
                  </w:r>
                </w:p>
              </w:tc>
            </w:tr>
            <w:tr w14:paraId="0FFB2C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468" w:type="pct"/>
                  <w:vMerge w:val="continue"/>
                  <w:vAlign w:val="center"/>
                </w:tcPr>
                <w:p w14:paraId="5C431FD3">
                  <w:pPr>
                    <w:spacing w:line="360" w:lineRule="exact"/>
                    <w:ind w:firstLine="0" w:firstLineChars="0"/>
                    <w:jc w:val="center"/>
                    <w:outlineLvl w:val="1"/>
                    <w:rPr>
                      <w:snapToGrid w:val="0"/>
                      <w:sz w:val="18"/>
                      <w:szCs w:val="18"/>
                    </w:rPr>
                  </w:pPr>
                </w:p>
              </w:tc>
              <w:tc>
                <w:tcPr>
                  <w:tcW w:w="2462" w:type="pct"/>
                  <w:vAlign w:val="center"/>
                </w:tcPr>
                <w:p w14:paraId="1628D006">
                  <w:pPr>
                    <w:spacing w:line="360" w:lineRule="exact"/>
                    <w:ind w:firstLine="0" w:firstLineChars="0"/>
                    <w:outlineLvl w:val="1"/>
                    <w:rPr>
                      <w:bCs/>
                      <w:sz w:val="18"/>
                      <w:szCs w:val="18"/>
                    </w:rPr>
                  </w:pPr>
                  <w:r>
                    <w:rPr>
                      <w:bCs/>
                      <w:sz w:val="18"/>
                      <w:szCs w:val="18"/>
                    </w:rPr>
                    <w:t>噪声污染防治：（1）控制噪声源，合理布局各功能区；（2）交通干道两侧建立绿化林带，其余各级道路两侧设置绿化带。</w:t>
                  </w:r>
                </w:p>
              </w:tc>
              <w:tc>
                <w:tcPr>
                  <w:tcW w:w="1616" w:type="pct"/>
                  <w:vAlign w:val="center"/>
                </w:tcPr>
                <w:p w14:paraId="36C13F03">
                  <w:pPr>
                    <w:spacing w:line="360" w:lineRule="exact"/>
                    <w:ind w:firstLine="0" w:firstLineChars="0"/>
                    <w:outlineLvl w:val="1"/>
                    <w:rPr>
                      <w:snapToGrid w:val="0"/>
                      <w:sz w:val="18"/>
                      <w:szCs w:val="18"/>
                    </w:rPr>
                  </w:pPr>
                  <w:r>
                    <w:rPr>
                      <w:snapToGrid w:val="0"/>
                      <w:sz w:val="18"/>
                      <w:szCs w:val="18"/>
                    </w:rPr>
                    <w:t>项目噪声经基础减震、合理布局、选用低噪设备等措施处理后满足</w:t>
                  </w:r>
                  <w:r>
                    <w:rPr>
                      <w:bCs/>
                      <w:sz w:val="18"/>
                      <w:szCs w:val="18"/>
                    </w:rPr>
                    <w:t>厂界噪声执行《工业企业厂界</w:t>
                  </w:r>
                  <w:r>
                    <w:rPr>
                      <w:rFonts w:hint="eastAsia"/>
                      <w:bCs/>
                      <w:sz w:val="18"/>
                      <w:szCs w:val="18"/>
                    </w:rPr>
                    <w:t>环境</w:t>
                  </w:r>
                  <w:r>
                    <w:rPr>
                      <w:bCs/>
                      <w:sz w:val="18"/>
                      <w:szCs w:val="18"/>
                    </w:rPr>
                    <w:t>噪声</w:t>
                  </w:r>
                  <w:r>
                    <w:rPr>
                      <w:rFonts w:hint="eastAsia"/>
                      <w:bCs/>
                      <w:sz w:val="18"/>
                      <w:szCs w:val="18"/>
                    </w:rPr>
                    <w:t>排放</w:t>
                  </w:r>
                  <w:r>
                    <w:rPr>
                      <w:bCs/>
                      <w:sz w:val="18"/>
                      <w:szCs w:val="18"/>
                    </w:rPr>
                    <w:t>标准》（GB12348-2008）3类标准</w:t>
                  </w:r>
                  <w:r>
                    <w:rPr>
                      <w:rFonts w:hint="eastAsia"/>
                      <w:bCs/>
                      <w:sz w:val="18"/>
                      <w:szCs w:val="18"/>
                    </w:rPr>
                    <w:t>。</w:t>
                  </w:r>
                </w:p>
              </w:tc>
              <w:tc>
                <w:tcPr>
                  <w:tcW w:w="454" w:type="pct"/>
                  <w:vAlign w:val="center"/>
                </w:tcPr>
                <w:p w14:paraId="2E9B1ED9">
                  <w:pPr>
                    <w:spacing w:line="360" w:lineRule="exact"/>
                    <w:ind w:firstLine="0" w:firstLineChars="0"/>
                    <w:jc w:val="center"/>
                    <w:outlineLvl w:val="1"/>
                    <w:rPr>
                      <w:snapToGrid w:val="0"/>
                      <w:sz w:val="18"/>
                      <w:szCs w:val="18"/>
                    </w:rPr>
                  </w:pPr>
                  <w:r>
                    <w:rPr>
                      <w:snapToGrid w:val="0"/>
                      <w:sz w:val="18"/>
                      <w:szCs w:val="18"/>
                    </w:rPr>
                    <w:t>符合</w:t>
                  </w:r>
                </w:p>
              </w:tc>
            </w:tr>
            <w:tr w14:paraId="53A2EE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468" w:type="pct"/>
                  <w:vMerge w:val="continue"/>
                  <w:vAlign w:val="center"/>
                </w:tcPr>
                <w:p w14:paraId="31EB95AC">
                  <w:pPr>
                    <w:spacing w:line="360" w:lineRule="exact"/>
                    <w:ind w:firstLine="0" w:firstLineChars="0"/>
                    <w:jc w:val="center"/>
                    <w:outlineLvl w:val="1"/>
                    <w:rPr>
                      <w:snapToGrid w:val="0"/>
                      <w:sz w:val="18"/>
                      <w:szCs w:val="18"/>
                    </w:rPr>
                  </w:pPr>
                </w:p>
              </w:tc>
              <w:tc>
                <w:tcPr>
                  <w:tcW w:w="2462" w:type="pct"/>
                  <w:vAlign w:val="center"/>
                </w:tcPr>
                <w:p w14:paraId="7ACF61DE">
                  <w:pPr>
                    <w:spacing w:line="360" w:lineRule="exact"/>
                    <w:ind w:firstLine="0" w:firstLineChars="0"/>
                    <w:outlineLvl w:val="1"/>
                    <w:rPr>
                      <w:bCs/>
                      <w:sz w:val="18"/>
                      <w:szCs w:val="18"/>
                    </w:rPr>
                  </w:pPr>
                  <w:r>
                    <w:rPr>
                      <w:bCs/>
                      <w:sz w:val="18"/>
                      <w:szCs w:val="18"/>
                    </w:rPr>
                    <w:t>固体废物防治：经开区的生活垃圾无害化处理率达到100%，由设置垃圾转运站统一运至巴中市垃圾处理厂处理；危险废物无害化处置率达到100%，规划区各企业自建危险废物暂存间，分类收集暂存各类危险废物，并委托资质单位进行处理。工业固体废弃物综合利用率达到85%以上，统一由企业自身处理后，统一运至巴中市垃圾处理厂处理。</w:t>
                  </w:r>
                </w:p>
              </w:tc>
              <w:tc>
                <w:tcPr>
                  <w:tcW w:w="1616" w:type="pct"/>
                  <w:vAlign w:val="center"/>
                </w:tcPr>
                <w:p w14:paraId="00EA85AD">
                  <w:pPr>
                    <w:spacing w:line="360" w:lineRule="exact"/>
                    <w:ind w:firstLine="0" w:firstLineChars="0"/>
                    <w:rPr>
                      <w:snapToGrid w:val="0"/>
                      <w:sz w:val="18"/>
                      <w:szCs w:val="18"/>
                    </w:rPr>
                  </w:pPr>
                  <w:r>
                    <w:rPr>
                      <w:snapToGrid w:val="0"/>
                      <w:sz w:val="18"/>
                      <w:szCs w:val="18"/>
                    </w:rPr>
                    <w:t>项目一般固废</w:t>
                  </w:r>
                  <w:r>
                    <w:rPr>
                      <w:rFonts w:hint="eastAsia"/>
                      <w:snapToGrid w:val="0"/>
                      <w:sz w:val="18"/>
                      <w:szCs w:val="18"/>
                    </w:rPr>
                    <w:t>均综合利用</w:t>
                  </w:r>
                  <w:r>
                    <w:rPr>
                      <w:snapToGrid w:val="0"/>
                      <w:sz w:val="18"/>
                      <w:szCs w:val="18"/>
                    </w:rPr>
                    <w:t>；生活垃圾设置垃圾桶进行收集后交由环卫部门统一清运；</w:t>
                  </w:r>
                </w:p>
                <w:p w14:paraId="4016F36C">
                  <w:pPr>
                    <w:spacing w:line="360" w:lineRule="exact"/>
                    <w:ind w:firstLine="0" w:firstLineChars="0"/>
                    <w:outlineLvl w:val="1"/>
                    <w:rPr>
                      <w:snapToGrid w:val="0"/>
                      <w:sz w:val="18"/>
                      <w:szCs w:val="18"/>
                    </w:rPr>
                  </w:pPr>
                  <w:r>
                    <w:rPr>
                      <w:snapToGrid w:val="0"/>
                      <w:sz w:val="18"/>
                      <w:szCs w:val="18"/>
                    </w:rPr>
                    <w:t>危险废物：暂存危废暂存间，交由资质单位处置；全部得到妥善处置</w:t>
                  </w:r>
                  <w:r>
                    <w:rPr>
                      <w:rFonts w:hint="eastAsia"/>
                      <w:snapToGrid w:val="0"/>
                      <w:sz w:val="18"/>
                      <w:szCs w:val="18"/>
                    </w:rPr>
                    <w:t>。</w:t>
                  </w:r>
                </w:p>
              </w:tc>
              <w:tc>
                <w:tcPr>
                  <w:tcW w:w="454" w:type="pct"/>
                  <w:vAlign w:val="center"/>
                </w:tcPr>
                <w:p w14:paraId="4B854B34">
                  <w:pPr>
                    <w:spacing w:line="360" w:lineRule="exact"/>
                    <w:ind w:firstLine="0" w:firstLineChars="0"/>
                    <w:jc w:val="center"/>
                    <w:outlineLvl w:val="1"/>
                    <w:rPr>
                      <w:snapToGrid w:val="0"/>
                      <w:sz w:val="18"/>
                      <w:szCs w:val="18"/>
                    </w:rPr>
                  </w:pPr>
                  <w:r>
                    <w:rPr>
                      <w:snapToGrid w:val="0"/>
                      <w:sz w:val="18"/>
                      <w:szCs w:val="18"/>
                    </w:rPr>
                    <w:t>符合</w:t>
                  </w:r>
                </w:p>
              </w:tc>
            </w:tr>
          </w:tbl>
          <w:p w14:paraId="057B44FD">
            <w:pPr>
              <w:ind w:firstLine="420"/>
            </w:pPr>
            <w:r>
              <w:rPr>
                <w:rFonts w:hint="eastAsia"/>
              </w:rPr>
              <w:t>综上，</w:t>
            </w:r>
            <w:r>
              <w:t>项目符合开发区产业定位、生态环境准入清单等相关要求，符合四川巴中经济开发区园区规划环评及审查意见要求。</w:t>
            </w:r>
          </w:p>
        </w:tc>
      </w:tr>
      <w:tr w14:paraId="473FD7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532" w:type="dxa"/>
            <w:vAlign w:val="center"/>
          </w:tcPr>
          <w:p w14:paraId="4C4FA131">
            <w:pPr>
              <w:autoSpaceDE w:val="0"/>
              <w:autoSpaceDN w:val="0"/>
              <w:spacing w:line="480" w:lineRule="exact"/>
              <w:ind w:firstLine="0" w:firstLineChars="0"/>
              <w:jc w:val="center"/>
              <w:rPr>
                <w:kern w:val="0"/>
                <w:szCs w:val="21"/>
              </w:rPr>
            </w:pPr>
            <w:r>
              <w:rPr>
                <w:rFonts w:hint="eastAsia"/>
                <w:kern w:val="0"/>
                <w:szCs w:val="21"/>
              </w:rPr>
              <w:t>其他符合性分析</w:t>
            </w:r>
          </w:p>
        </w:tc>
        <w:tc>
          <w:tcPr>
            <w:tcW w:w="7530" w:type="dxa"/>
            <w:gridSpan w:val="3"/>
            <w:vAlign w:val="center"/>
          </w:tcPr>
          <w:p w14:paraId="4D4400F0">
            <w:pPr>
              <w:pStyle w:val="157"/>
            </w:pPr>
            <w:r>
              <w:rPr>
                <w:rFonts w:hint="eastAsia"/>
              </w:rPr>
              <w:t>1、产业政策符合性分析</w:t>
            </w:r>
          </w:p>
          <w:p w14:paraId="7E9A1333">
            <w:pPr>
              <w:ind w:firstLine="420"/>
            </w:pPr>
            <w:r>
              <w:t>根据《国民经济行业分类》（GB/T4754-2017），本项目属于</w:t>
            </w:r>
            <w:r>
              <w:rPr>
                <w:rFonts w:hint="eastAsia"/>
                <w:b/>
                <w:bCs/>
                <w:szCs w:val="21"/>
              </w:rPr>
              <w:t>粘土砖瓦及建筑砌块制造</w:t>
            </w:r>
            <w:r>
              <w:rPr>
                <w:rFonts w:hint="eastAsia"/>
              </w:rPr>
              <w:t>（</w:t>
            </w:r>
            <w:r>
              <w:rPr>
                <w:rFonts w:hint="eastAsia"/>
                <w:b/>
                <w:bCs/>
              </w:rPr>
              <w:t>C</w:t>
            </w:r>
            <w:r>
              <w:rPr>
                <w:b/>
                <w:bCs/>
              </w:rPr>
              <w:t>3031</w:t>
            </w:r>
            <w:r>
              <w:rPr>
                <w:rFonts w:hint="eastAsia"/>
              </w:rPr>
              <w:t>）</w:t>
            </w:r>
            <w:r>
              <w:t>。</w:t>
            </w:r>
            <w:r>
              <w:rPr>
                <w:rFonts w:hint="eastAsia"/>
              </w:rPr>
              <w:t>对照</w:t>
            </w:r>
            <w:r>
              <w:t>《产业结构调整指导目录（2024年本）》，本项目</w:t>
            </w:r>
            <w:r>
              <w:rPr>
                <w:bCs/>
              </w:rPr>
              <w:t>不属于</w:t>
            </w:r>
            <w:r>
              <w:rPr>
                <w:rFonts w:hint="eastAsia"/>
                <w:bCs/>
              </w:rPr>
              <w:t>其中</w:t>
            </w:r>
            <w:r>
              <w:t>鼓励类、限制类和淘汰类，国务院关于发布实施《促进产业结构调整暂行规定》（国发〔2005〕40号）第十三条规定：“不属于鼓励类、限制类和淘汰类，且符合国家有关法律法规和政策规定的，为允许类”，因此，本项目为</w:t>
            </w:r>
            <w:r>
              <w:rPr>
                <w:bCs/>
              </w:rPr>
              <w:t>允许类</w:t>
            </w:r>
            <w:r>
              <w:rPr>
                <w:rFonts w:hint="eastAsia"/>
              </w:rPr>
              <w:t>建设项目</w:t>
            </w:r>
            <w:r>
              <w:t>。因此，本项目建设符合国家当前产业政策。</w:t>
            </w:r>
          </w:p>
          <w:p w14:paraId="77DF8D73">
            <w:pPr>
              <w:ind w:firstLine="420"/>
            </w:pPr>
            <w:r>
              <w:t>2024年</w:t>
            </w:r>
            <w:r>
              <w:rPr>
                <w:rFonts w:hint="eastAsia"/>
              </w:rPr>
              <w:t>6</w:t>
            </w:r>
            <w:r>
              <w:t>月25日，</w:t>
            </w:r>
            <w:r>
              <w:rPr>
                <w:rFonts w:hint="eastAsia"/>
              </w:rPr>
              <w:t>四川巴中经济开发区科技创新和经济发展局</w:t>
            </w:r>
            <w:r>
              <w:t>以</w:t>
            </w:r>
            <w:r>
              <w:rPr>
                <w:rFonts w:ascii="宋体" w:hAnsi="宋体"/>
              </w:rPr>
              <w:t>“</w:t>
            </w:r>
            <w:r>
              <w:rPr>
                <w:rFonts w:hint="eastAsia"/>
              </w:rPr>
              <w:t>川投资备【2406-511924-04-01-260939】FGQB-0047 号</w:t>
            </w:r>
            <w:r>
              <w:rPr>
                <w:rFonts w:ascii="宋体" w:hAnsi="宋体"/>
              </w:rPr>
              <w:t>”</w:t>
            </w:r>
            <w:r>
              <w:t>对本项目进行备案，同意项目建设。</w:t>
            </w:r>
          </w:p>
          <w:p w14:paraId="564273C8">
            <w:pPr>
              <w:ind w:firstLine="422"/>
              <w:rPr>
                <w:b/>
              </w:rPr>
            </w:pPr>
            <w:r>
              <w:rPr>
                <w:b/>
              </w:rPr>
              <w:t>因此，项目的建设符合国家相应的产业政策。</w:t>
            </w:r>
          </w:p>
          <w:p w14:paraId="263088D6">
            <w:pPr>
              <w:pStyle w:val="156"/>
            </w:pPr>
            <w:r>
              <w:rPr>
                <w:rFonts w:hint="eastAsia"/>
              </w:rPr>
              <w:t>表1</w:t>
            </w:r>
            <w:r>
              <w:t xml:space="preserve">-4  </w:t>
            </w:r>
            <w:r>
              <w:rPr>
                <w:rFonts w:hint="eastAsia"/>
              </w:rPr>
              <w:t>《产业结构调整指导目录（2</w:t>
            </w:r>
            <w:r>
              <w:t>024</w:t>
            </w:r>
            <w:r>
              <w:rPr>
                <w:rFonts w:hint="eastAsia"/>
              </w:rPr>
              <w:t>年本）》符合性分析</w:t>
            </w:r>
          </w:p>
          <w:tbl>
            <w:tblPr>
              <w:tblStyle w:val="19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77"/>
              <w:gridCol w:w="2759"/>
              <w:gridCol w:w="2627"/>
              <w:gridCol w:w="1111"/>
            </w:tblGrid>
            <w:tr w14:paraId="0CA781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977" w:type="dxa"/>
                  <w:vAlign w:val="center"/>
                </w:tcPr>
                <w:p w14:paraId="7E6FD64F">
                  <w:pPr>
                    <w:pStyle w:val="135"/>
                    <w:adjustRightInd w:val="0"/>
                    <w:snapToGrid w:val="0"/>
                    <w:rPr>
                      <w:b/>
                      <w:bCs/>
                    </w:rPr>
                  </w:pPr>
                  <w:r>
                    <w:rPr>
                      <w:rFonts w:hint="eastAsia"/>
                      <w:b/>
                      <w:bCs/>
                    </w:rPr>
                    <w:t>类别</w:t>
                  </w:r>
                </w:p>
              </w:tc>
              <w:tc>
                <w:tcPr>
                  <w:tcW w:w="2759" w:type="dxa"/>
                  <w:vAlign w:val="center"/>
                </w:tcPr>
                <w:p w14:paraId="237D9CC5">
                  <w:pPr>
                    <w:pStyle w:val="135"/>
                    <w:adjustRightInd w:val="0"/>
                    <w:snapToGrid w:val="0"/>
                    <w:rPr>
                      <w:b/>
                      <w:bCs/>
                    </w:rPr>
                  </w:pPr>
                  <w:r>
                    <w:rPr>
                      <w:rFonts w:hint="eastAsia"/>
                      <w:b/>
                      <w:bCs/>
                    </w:rPr>
                    <w:t>具体内容</w:t>
                  </w:r>
                </w:p>
              </w:tc>
              <w:tc>
                <w:tcPr>
                  <w:tcW w:w="2627" w:type="dxa"/>
                  <w:vAlign w:val="center"/>
                </w:tcPr>
                <w:p w14:paraId="24F40603">
                  <w:pPr>
                    <w:pStyle w:val="135"/>
                    <w:adjustRightInd w:val="0"/>
                    <w:snapToGrid w:val="0"/>
                    <w:rPr>
                      <w:b/>
                      <w:bCs/>
                    </w:rPr>
                  </w:pPr>
                  <w:r>
                    <w:rPr>
                      <w:rFonts w:hint="eastAsia"/>
                      <w:b/>
                      <w:bCs/>
                    </w:rPr>
                    <w:t>本项目情况</w:t>
                  </w:r>
                </w:p>
              </w:tc>
              <w:tc>
                <w:tcPr>
                  <w:tcW w:w="1111" w:type="dxa"/>
                  <w:vAlign w:val="center"/>
                </w:tcPr>
                <w:p w14:paraId="40976FC4">
                  <w:pPr>
                    <w:pStyle w:val="135"/>
                    <w:adjustRightInd w:val="0"/>
                    <w:snapToGrid w:val="0"/>
                    <w:rPr>
                      <w:b/>
                      <w:bCs/>
                    </w:rPr>
                  </w:pPr>
                  <w:r>
                    <w:rPr>
                      <w:rFonts w:hint="eastAsia"/>
                      <w:b/>
                      <w:bCs/>
                    </w:rPr>
                    <w:t>判定结果</w:t>
                  </w:r>
                </w:p>
              </w:tc>
            </w:tr>
            <w:tr w14:paraId="711752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977" w:type="dxa"/>
                  <w:vAlign w:val="center"/>
                </w:tcPr>
                <w:p w14:paraId="111C2609">
                  <w:pPr>
                    <w:pStyle w:val="135"/>
                    <w:adjustRightInd w:val="0"/>
                    <w:snapToGrid w:val="0"/>
                  </w:pPr>
                  <w:r>
                    <w:rPr>
                      <w:rFonts w:hint="eastAsia"/>
                    </w:rPr>
                    <w:t>限制类</w:t>
                  </w:r>
                </w:p>
              </w:tc>
              <w:tc>
                <w:tcPr>
                  <w:tcW w:w="2759" w:type="dxa"/>
                  <w:vAlign w:val="center"/>
                </w:tcPr>
                <w:p w14:paraId="7FEBE408">
                  <w:pPr>
                    <w:pStyle w:val="135"/>
                    <w:adjustRightInd w:val="0"/>
                    <w:snapToGrid w:val="0"/>
                  </w:pPr>
                  <w:r>
                    <w:rPr>
                      <w:rFonts w:hint="eastAsia"/>
                    </w:rPr>
                    <w:t>九、建材 7．15 万立方米/年（不含）以下的加气混凝土生产线</w:t>
                  </w:r>
                </w:p>
              </w:tc>
              <w:tc>
                <w:tcPr>
                  <w:tcW w:w="2627" w:type="dxa"/>
                  <w:vAlign w:val="center"/>
                </w:tcPr>
                <w:p w14:paraId="17981306">
                  <w:pPr>
                    <w:pStyle w:val="135"/>
                    <w:adjustRightInd w:val="0"/>
                    <w:snapToGrid w:val="0"/>
                  </w:pPr>
                  <w:r>
                    <w:rPr>
                      <w:rFonts w:hint="eastAsia"/>
                    </w:rPr>
                    <w:t>本项目设计年产1</w:t>
                  </w:r>
                  <w:r>
                    <w:t>5</w:t>
                  </w:r>
                  <w:r>
                    <w:rPr>
                      <w:rFonts w:hint="eastAsia"/>
                    </w:rPr>
                    <w:t>万m</w:t>
                  </w:r>
                  <w:r>
                    <w:rPr>
                      <w:vertAlign w:val="superscript"/>
                    </w:rPr>
                    <w:t>3</w:t>
                  </w:r>
                  <w:r>
                    <w:rPr>
                      <w:rFonts w:hint="eastAsia"/>
                    </w:rPr>
                    <w:t>加气混凝土。</w:t>
                  </w:r>
                </w:p>
              </w:tc>
              <w:tc>
                <w:tcPr>
                  <w:tcW w:w="1111" w:type="dxa"/>
                  <w:vAlign w:val="center"/>
                </w:tcPr>
                <w:p w14:paraId="401E9A6E">
                  <w:pPr>
                    <w:pStyle w:val="135"/>
                    <w:adjustRightInd w:val="0"/>
                    <w:snapToGrid w:val="0"/>
                  </w:pPr>
                  <w:r>
                    <w:rPr>
                      <w:rFonts w:hint="eastAsia"/>
                    </w:rPr>
                    <w:t>不属于限制类</w:t>
                  </w:r>
                </w:p>
              </w:tc>
            </w:tr>
            <w:tr w14:paraId="55CC9D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977" w:type="dxa"/>
                  <w:vAlign w:val="center"/>
                </w:tcPr>
                <w:p w14:paraId="26B9E32C">
                  <w:pPr>
                    <w:pStyle w:val="135"/>
                    <w:adjustRightInd w:val="0"/>
                    <w:snapToGrid w:val="0"/>
                  </w:pPr>
                  <w:r>
                    <w:rPr>
                      <w:rFonts w:hint="eastAsia"/>
                    </w:rPr>
                    <w:t>淘汰类</w:t>
                  </w:r>
                </w:p>
              </w:tc>
              <w:tc>
                <w:tcPr>
                  <w:tcW w:w="2759" w:type="dxa"/>
                  <w:vAlign w:val="center"/>
                </w:tcPr>
                <w:p w14:paraId="444CC4B5">
                  <w:pPr>
                    <w:pStyle w:val="135"/>
                    <w:adjustRightInd w:val="0"/>
                    <w:snapToGrid w:val="0"/>
                  </w:pPr>
                  <w:r>
                    <w:rPr>
                      <w:rFonts w:hint="eastAsia"/>
                    </w:rPr>
                    <w:t>一、落后生产工艺装备（八）建材 15.手工切割加气混凝土生产线、非蒸压养护加气混凝土生产线</w:t>
                  </w:r>
                </w:p>
              </w:tc>
              <w:tc>
                <w:tcPr>
                  <w:tcW w:w="2627" w:type="dxa"/>
                  <w:vAlign w:val="center"/>
                </w:tcPr>
                <w:p w14:paraId="502336A9">
                  <w:pPr>
                    <w:pStyle w:val="135"/>
                    <w:adjustRightInd w:val="0"/>
                    <w:snapToGrid w:val="0"/>
                  </w:pPr>
                  <w:r>
                    <w:rPr>
                      <w:rFonts w:hint="eastAsia"/>
                    </w:rPr>
                    <w:t>本项目采用</w:t>
                  </w:r>
                  <w:r>
                    <w:t>固定式切割机组</w:t>
                  </w:r>
                  <w:r>
                    <w:rPr>
                      <w:rFonts w:hint="eastAsia"/>
                    </w:rPr>
                    <w:t>对加气混凝土进行切割，采用蒸压釜对混凝土进行蒸汽养护。</w:t>
                  </w:r>
                </w:p>
              </w:tc>
              <w:tc>
                <w:tcPr>
                  <w:tcW w:w="1111" w:type="dxa"/>
                  <w:vAlign w:val="center"/>
                </w:tcPr>
                <w:p w14:paraId="71F4C23D">
                  <w:pPr>
                    <w:pStyle w:val="135"/>
                    <w:adjustRightInd w:val="0"/>
                    <w:snapToGrid w:val="0"/>
                  </w:pPr>
                  <w:r>
                    <w:rPr>
                      <w:rFonts w:hint="eastAsia"/>
                    </w:rPr>
                    <w:t>不属于淘汰类中落后生产工艺装备</w:t>
                  </w:r>
                </w:p>
              </w:tc>
            </w:tr>
          </w:tbl>
          <w:p w14:paraId="7C88C4F7">
            <w:pPr>
              <w:pStyle w:val="157"/>
            </w:pPr>
            <w:r>
              <w:rPr>
                <w:rFonts w:hint="eastAsia"/>
              </w:rPr>
              <w:t>2、用地规划符合性分析</w:t>
            </w:r>
          </w:p>
          <w:p w14:paraId="4D56C66F">
            <w:pPr>
              <w:ind w:firstLine="420"/>
            </w:pPr>
            <w:r>
              <w:rPr>
                <w:rFonts w:hint="eastAsia"/>
              </w:rPr>
              <w:t>本项目位于</w:t>
            </w:r>
            <w:r>
              <w:t>四川巴中经济开发区</w:t>
            </w:r>
            <w:r>
              <w:rPr>
                <w:rFonts w:hint="eastAsia"/>
              </w:rPr>
              <w:t>，购买巴中恒强节能建材有限公司现有厂房（见附件3）进行建设，不新增用地面积。根据巴中恒强节能建材有限公司取得的土地使用证“川（2</w:t>
            </w:r>
            <w:r>
              <w:t>020</w:t>
            </w:r>
            <w:r>
              <w:rPr>
                <w:rFonts w:hint="eastAsia"/>
              </w:rPr>
              <w:t>）巴中市市不动产权第0</w:t>
            </w:r>
            <w:r>
              <w:t>004618</w:t>
            </w:r>
            <w:r>
              <w:rPr>
                <w:rFonts w:hint="eastAsia"/>
              </w:rPr>
              <w:t>号”和四川巴中经济开发区土地使用规划图，项目用地性质为工业用地，符合园区土地利用规划。</w:t>
            </w:r>
          </w:p>
          <w:p w14:paraId="50836026">
            <w:pPr>
              <w:pStyle w:val="157"/>
            </w:pPr>
            <w:r>
              <w:rPr>
                <w:rFonts w:hint="eastAsia"/>
              </w:rPr>
              <w:t>3、生态环境分区管控符合性分析</w:t>
            </w:r>
          </w:p>
          <w:p w14:paraId="0E177C68">
            <w:pPr>
              <w:ind w:firstLine="420"/>
            </w:pPr>
            <w:r>
              <w:rPr>
                <w:rFonts w:hint="eastAsia"/>
              </w:rPr>
              <w:t>（1）与</w:t>
            </w:r>
            <w:r>
              <w:t>巴中市</w:t>
            </w:r>
            <w:r>
              <w:rPr>
                <w:rFonts w:hint="eastAsia"/>
              </w:rPr>
              <w:t>生态环境分区管控要求</w:t>
            </w:r>
            <w:r>
              <w:t>符合性分析</w:t>
            </w:r>
          </w:p>
          <w:p w14:paraId="0F402114">
            <w:pPr>
              <w:ind w:firstLine="420"/>
            </w:pPr>
            <w:r>
              <w:t>根据巴中市人民政府《</w:t>
            </w:r>
            <w:r>
              <w:rPr>
                <w:rFonts w:hint="eastAsia"/>
              </w:rPr>
              <w:t>巴中市生态环境保护委员会办公室关于加强生态环境分区管控的通知</w:t>
            </w:r>
            <w:r>
              <w:t>》</w:t>
            </w:r>
            <w:r>
              <w:rPr>
                <w:rFonts w:hint="eastAsia"/>
              </w:rPr>
              <w:t>，巴中市</w:t>
            </w:r>
            <w:r>
              <w:t>共划定环境综合管控单元38个。</w:t>
            </w:r>
          </w:p>
          <w:p w14:paraId="0F3F409A">
            <w:pPr>
              <w:ind w:firstLine="420"/>
            </w:pPr>
            <w:r>
              <w:rPr>
                <w:rFonts w:hint="eastAsia"/>
              </w:rPr>
              <w:t>对照巴中市环境管控分布图，本项目位于四川巴中经济开发区，属于工业重点管控单元。</w:t>
            </w:r>
          </w:p>
          <w:p w14:paraId="560A5C0F">
            <w:pPr>
              <w:pStyle w:val="180"/>
              <w:rPr>
                <w:lang w:val="en-US"/>
              </w:rPr>
            </w:pPr>
            <w:r>
              <mc:AlternateContent>
                <mc:Choice Requires="wps">
                  <w:drawing>
                    <wp:anchor distT="0" distB="0" distL="114300" distR="114300" simplePos="0" relativeHeight="251659264" behindDoc="0" locked="0" layoutInCell="1" allowOverlap="1">
                      <wp:simplePos x="0" y="0"/>
                      <wp:positionH relativeFrom="column">
                        <wp:posOffset>1890395</wp:posOffset>
                      </wp:positionH>
                      <wp:positionV relativeFrom="paragraph">
                        <wp:posOffset>1524635</wp:posOffset>
                      </wp:positionV>
                      <wp:extent cx="527685" cy="233680"/>
                      <wp:effectExtent l="266700" t="9525" r="5715" b="347345"/>
                      <wp:wrapNone/>
                      <wp:docPr id="6" name="AutoShape 7"/>
                      <wp:cNvGraphicFramePr/>
                      <a:graphic xmlns:a="http://schemas.openxmlformats.org/drawingml/2006/main">
                        <a:graphicData uri="http://schemas.microsoft.com/office/word/2010/wordprocessingShape">
                          <wps:wsp>
                            <wps:cNvSpPr>
                              <a:spLocks noChangeArrowheads="1"/>
                            </wps:cNvSpPr>
                            <wps:spPr bwMode="auto">
                              <a:xfrm>
                                <a:off x="0" y="0"/>
                                <a:ext cx="527685" cy="233680"/>
                              </a:xfrm>
                              <a:prstGeom prst="wedgeRectCallout">
                                <a:avLst>
                                  <a:gd name="adj1" fmla="val -90917"/>
                                  <a:gd name="adj2" fmla="val 179620"/>
                                </a:avLst>
                              </a:prstGeom>
                              <a:solidFill>
                                <a:srgbClr val="FFFFFF"/>
                              </a:solidFill>
                              <a:ln w="9525">
                                <a:solidFill>
                                  <a:srgbClr val="FF0000"/>
                                </a:solidFill>
                                <a:miter lim="800000"/>
                              </a:ln>
                            </wps:spPr>
                            <wps:txbx>
                              <w:txbxContent>
                                <w:p w14:paraId="64E74860">
                                  <w:pPr>
                                    <w:spacing w:line="240" w:lineRule="auto"/>
                                    <w:ind w:firstLine="0" w:firstLineChars="0"/>
                                    <w:rPr>
                                      <w:color w:val="FF0000"/>
                                      <w:sz w:val="15"/>
                                      <w:szCs w:val="18"/>
                                    </w:rPr>
                                  </w:pPr>
                                  <w:r>
                                    <w:rPr>
                                      <w:rFonts w:hint="eastAsia"/>
                                      <w:color w:val="FF0000"/>
                                      <w:sz w:val="15"/>
                                      <w:szCs w:val="18"/>
                                    </w:rPr>
                                    <w:t>本项目</w:t>
                                  </w:r>
                                </w:p>
                              </w:txbxContent>
                            </wps:txbx>
                            <wps:bodyPr rot="0" vert="horz" wrap="square" lIns="91440" tIns="45720" rIns="91440" bIns="45720" anchor="t" anchorCtr="0" upright="1">
                              <a:noAutofit/>
                            </wps:bodyPr>
                          </wps:wsp>
                        </a:graphicData>
                      </a:graphic>
                    </wp:anchor>
                  </w:drawing>
                </mc:Choice>
                <mc:Fallback>
                  <w:pict>
                    <v:shape id="AutoShape 7" o:spid="_x0000_s1026" o:spt="61" type="#_x0000_t61" style="position:absolute;left:0pt;margin-left:148.85pt;margin-top:120.05pt;height:18.4pt;width:41.55pt;z-index:251659264;mso-width-relative:page;mso-height-relative:page;" fillcolor="#FFFFFF" filled="t" stroked="t" coordsize="21600,21600" o:gfxdata="UEsDBAoAAAAAAIdO4kAAAAAAAAAAAAAAAAAEAAAAZHJzL1BLAwQUAAAACACHTuJA+Soga9kAAAAL&#10;AQAADwAAAGRycy9kb3ducmV2LnhtbE2PzU7DMBCE70i8g7VI3KidAk0T4vSAQEg9VCItdzdekkC8&#10;jmz3h7dnOZXb7s5o9ptqdXajOGKIgycN2UyBQGq9HajTsNu+3i1BxGTImtETavjBCKv6+qoypfUn&#10;esdjkzrBIRRLo6FPaSqljG2PzsSZn5BY+/TBmcRr6KQN5sThbpRzpRbSmYH4Q28mfO6x/W4OTsOm&#10;WRe4/qDtS4i7t69xEx7J5Vrf3mTqCUTCc7qY4Q+f0aFmpr0/kI1i1DAv8pytPDyoDAQ77peKy+z5&#10;ki8KkHUl/3eofwFQSwMEFAAAAAgAh07iQBDnzYZYAgAA2wQAAA4AAABkcnMvZTJvRG9jLnhtbK1U&#10;TW/bMAy9D9h/EHRvHbvNJ+oURYIMA7qtWLcfoEiyrU0SNUmJ0/360rLTJd0OPcwHgzSpR/I90Te3&#10;B6PJXvqgwJY0vxxRIi0HoWxd0u/fNhczSkJkVjANVpb0SQZ6u3z/7qZ1C1lAA1pITxDEhkXrStrE&#10;6BZZFngjDQuX4KTFYAXesIiurzPhWYvoRmfFaDTJWvDCeeAyBPy67oN0QPRvAYSqUlyuge+MtLFH&#10;9VKziCOFRrlAl6nbqpI8fqmqICPRJcVJY3pjEbS33Ttb3rBF7ZlrFB9aYG9p4dVMhimLRV+g1iwy&#10;svPqLyijuIcAVbzkYLJ+kMQITpGPXnHz2DAn0yxIdXAvpIf/B8s/7x88UaKkE0osMyj43S5Cqkym&#10;HT2tCwvMenQPvhswuHvgPwOxsGqYreWd99A2kglsKu/ys7MDnRPwKNm2n0AgOkP0xNSh8qYDRA7I&#10;IQny9CKIPETC8eO4mE5mY0o4hoqrq8ksCZaxxfGw8yF+kGBIZ5S0laKWX1H0FdMadjEVYvv7EJM2&#10;YpiQiR85JZXRKPWeaXIxH83zNCwKeJJUnCbl0/mkONYfMLGTYweJG9BKbJTWyfH1dqU9wQIl3aQn&#10;0YMUnqZpS9qSzsfFODV7FgvnECN8/gVhVMSN1MqUdNblHJO0HdToBOiFjIftYdB0C+IJdfHQ7wT+&#10;EdBowP+mpMV9KGn4tWNeUqI/WtR2nl9fdwuUnOvxFKkg/jSyPY0wyxGqpJGS3lzFful2zqu6wUp5&#10;GtdCd9sqFY8Xp+9q6BvvPFpnS3Xqp6w//6TlM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kqIGvZ&#10;AAAACwEAAA8AAAAAAAAAAQAgAAAAIgAAAGRycy9kb3ducmV2LnhtbFBLAQIUABQAAAAIAIdO4kAQ&#10;582GWAIAANsEAAAOAAAAAAAAAAEAIAAAACgBAABkcnMvZTJvRG9jLnhtbFBLBQYAAAAABgAGAFkB&#10;AADyBQAAAAA=&#10;" adj="-8838,49598">
                      <v:fill on="t" focussize="0,0"/>
                      <v:stroke color="#FF0000" miterlimit="8" joinstyle="miter"/>
                      <v:imagedata o:title=""/>
                      <o:lock v:ext="edit" aspectratio="f"/>
                      <v:textbox>
                        <w:txbxContent>
                          <w:p w14:paraId="64E74860">
                            <w:pPr>
                              <w:spacing w:line="240" w:lineRule="auto"/>
                              <w:ind w:firstLine="0" w:firstLineChars="0"/>
                              <w:rPr>
                                <w:color w:val="FF0000"/>
                                <w:sz w:val="15"/>
                                <w:szCs w:val="18"/>
                              </w:rPr>
                            </w:pPr>
                            <w:r>
                              <w:rPr>
                                <w:rFonts w:hint="eastAsia"/>
                                <w:color w:val="FF0000"/>
                                <w:sz w:val="15"/>
                                <w:szCs w:val="18"/>
                              </w:rPr>
                              <w:t>本项目</w:t>
                            </w:r>
                          </w:p>
                        </w:txbxContent>
                      </v:textbox>
                    </v:shape>
                  </w:pict>
                </mc:Fallback>
              </mc:AlternateContent>
            </w:r>
            <w:r>
              <w:rPr>
                <w:lang w:val="en-US"/>
              </w:rPr>
              <w:drawing>
                <wp:inline distT="0" distB="0" distL="0" distR="0">
                  <wp:extent cx="4745990" cy="33597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745990" cy="3359785"/>
                          </a:xfrm>
                          <a:prstGeom prst="rect">
                            <a:avLst/>
                          </a:prstGeom>
                        </pic:spPr>
                      </pic:pic>
                    </a:graphicData>
                  </a:graphic>
                </wp:inline>
              </w:drawing>
            </w:r>
          </w:p>
          <w:p w14:paraId="57DC956D">
            <w:pPr>
              <w:pStyle w:val="156"/>
            </w:pPr>
            <w:r>
              <w:rPr>
                <w:rFonts w:hint="eastAsia"/>
              </w:rPr>
              <w:t>图1</w:t>
            </w:r>
            <w:r>
              <w:t xml:space="preserve">-1  </w:t>
            </w:r>
            <w:r>
              <w:rPr>
                <w:rFonts w:hint="eastAsia"/>
              </w:rPr>
              <w:t>巴中市环境管控单元分布图</w:t>
            </w:r>
          </w:p>
          <w:p w14:paraId="7FE24376">
            <w:pPr>
              <w:pStyle w:val="156"/>
              <w:keepNext/>
            </w:pPr>
            <w:r>
              <w:t>表1-5  项目与巴府发〔2021〕5号符合性分析一览表</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04"/>
              <w:gridCol w:w="3958"/>
              <w:gridCol w:w="2127"/>
              <w:gridCol w:w="685"/>
            </w:tblGrid>
            <w:tr w14:paraId="06C60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71" w:type="pct"/>
                  <w:shd w:val="clear" w:color="auto" w:fill="auto"/>
                  <w:vAlign w:val="center"/>
                </w:tcPr>
                <w:p w14:paraId="3DA17315">
                  <w:pPr>
                    <w:pStyle w:val="135"/>
                    <w:rPr>
                      <w:b/>
                      <w:bCs/>
                    </w:rPr>
                  </w:pPr>
                  <w:r>
                    <w:rPr>
                      <w:b/>
                      <w:bCs/>
                    </w:rPr>
                    <w:t>区域</w:t>
                  </w:r>
                </w:p>
              </w:tc>
              <w:tc>
                <w:tcPr>
                  <w:tcW w:w="2648" w:type="pct"/>
                  <w:shd w:val="clear" w:color="auto" w:fill="auto"/>
                  <w:vAlign w:val="center"/>
                </w:tcPr>
                <w:p w14:paraId="75C8CE2F">
                  <w:pPr>
                    <w:pStyle w:val="135"/>
                    <w:rPr>
                      <w:b/>
                      <w:bCs/>
                    </w:rPr>
                  </w:pPr>
                  <w:r>
                    <w:rPr>
                      <w:b/>
                      <w:bCs/>
                    </w:rPr>
                    <w:t>总体管控要求</w:t>
                  </w:r>
                </w:p>
              </w:tc>
              <w:tc>
                <w:tcPr>
                  <w:tcW w:w="1423" w:type="pct"/>
                  <w:shd w:val="clear" w:color="auto" w:fill="auto"/>
                  <w:vAlign w:val="center"/>
                </w:tcPr>
                <w:p w14:paraId="339ACDF2">
                  <w:pPr>
                    <w:pStyle w:val="135"/>
                    <w:rPr>
                      <w:b/>
                      <w:bCs/>
                    </w:rPr>
                  </w:pPr>
                  <w:r>
                    <w:rPr>
                      <w:b/>
                      <w:bCs/>
                    </w:rPr>
                    <w:t>项目</w:t>
                  </w:r>
                </w:p>
              </w:tc>
              <w:tc>
                <w:tcPr>
                  <w:tcW w:w="458" w:type="pct"/>
                  <w:shd w:val="clear" w:color="auto" w:fill="auto"/>
                  <w:vAlign w:val="center"/>
                </w:tcPr>
                <w:p w14:paraId="54DB93E8">
                  <w:pPr>
                    <w:pStyle w:val="135"/>
                    <w:rPr>
                      <w:b/>
                      <w:bCs/>
                    </w:rPr>
                  </w:pPr>
                  <w:r>
                    <w:rPr>
                      <w:b/>
                      <w:bCs/>
                    </w:rPr>
                    <w:t>符合性</w:t>
                  </w:r>
                </w:p>
              </w:tc>
            </w:tr>
            <w:tr w14:paraId="78C06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71" w:type="pct"/>
                  <w:shd w:val="clear" w:color="auto" w:fill="auto"/>
                  <w:vAlign w:val="center"/>
                </w:tcPr>
                <w:p w14:paraId="7515AF90">
                  <w:pPr>
                    <w:pStyle w:val="135"/>
                  </w:pPr>
                  <w:r>
                    <w:t>巴中市</w:t>
                  </w:r>
                </w:p>
              </w:tc>
              <w:tc>
                <w:tcPr>
                  <w:tcW w:w="2648" w:type="pct"/>
                  <w:shd w:val="clear" w:color="auto" w:fill="auto"/>
                  <w:vAlign w:val="center"/>
                </w:tcPr>
                <w:p w14:paraId="4A1224A6">
                  <w:pPr>
                    <w:pStyle w:val="135"/>
                    <w:jc w:val="both"/>
                  </w:pPr>
                  <w:r>
                    <w:rPr>
                      <w:rFonts w:hint="eastAsia"/>
                    </w:rPr>
                    <w:t>1.培育和引入产业必须符合国家产业政策，严控新建、扩建“两高”项目，强化企业环境管理；</w:t>
                  </w:r>
                </w:p>
                <w:p w14:paraId="7D544F28">
                  <w:pPr>
                    <w:pStyle w:val="135"/>
                    <w:jc w:val="both"/>
                  </w:pPr>
                  <w:r>
                    <w:rPr>
                      <w:rFonts w:hint="eastAsia"/>
                    </w:rPr>
                    <w:t>2.强化水、大气、土壤等污染源头管控，深化环境污染治理，完善污染治理基础设施，巩固提升环境质量；</w:t>
                  </w:r>
                </w:p>
                <w:p w14:paraId="5A0042C4">
                  <w:pPr>
                    <w:pStyle w:val="135"/>
                    <w:jc w:val="both"/>
                  </w:pPr>
                  <w:r>
                    <w:rPr>
                      <w:rFonts w:hint="eastAsia"/>
                    </w:rPr>
                    <w:t>3.合理控制并优化生态环境敏感区内的旅游开发建设活动，合理开发利用水利资源，大力发展生态康养旅游产业。严格落实自然保护地、生态保护红线、集中式饮用水水源保护区等管控要求；</w:t>
                  </w:r>
                </w:p>
                <w:p w14:paraId="587B0B23">
                  <w:pPr>
                    <w:pStyle w:val="135"/>
                    <w:jc w:val="both"/>
                  </w:pPr>
                  <w:r>
                    <w:rPr>
                      <w:rFonts w:hint="eastAsia"/>
                    </w:rPr>
                    <w:t>4.加强农村环境综合治理，积极发展生态农业和有机农业，严格控制化肥、农药、农膜使用量，合理布局畜禽养殖，持续推进畜禽粪污综合利用；</w:t>
                  </w:r>
                </w:p>
                <w:p w14:paraId="2969216F">
                  <w:pPr>
                    <w:pStyle w:val="135"/>
                    <w:jc w:val="both"/>
                  </w:pPr>
                  <w:r>
                    <w:rPr>
                      <w:rFonts w:hint="eastAsia"/>
                    </w:rPr>
                    <w:t>5.加强城乡集中式饮用水水源保护，确保饮用水水源安全；</w:t>
                  </w:r>
                </w:p>
                <w:p w14:paraId="4AE7FE39">
                  <w:pPr>
                    <w:pStyle w:val="135"/>
                    <w:jc w:val="both"/>
                  </w:pPr>
                  <w:r>
                    <w:rPr>
                      <w:rFonts w:hint="eastAsia"/>
                    </w:rPr>
                    <w:t>6.加强与相邻省、市的环境风险联防联控。</w:t>
                  </w:r>
                </w:p>
              </w:tc>
              <w:tc>
                <w:tcPr>
                  <w:tcW w:w="1423" w:type="pct"/>
                  <w:shd w:val="clear" w:color="auto" w:fill="auto"/>
                  <w:vAlign w:val="center"/>
                </w:tcPr>
                <w:p w14:paraId="4110B4A9">
                  <w:pPr>
                    <w:pStyle w:val="135"/>
                    <w:jc w:val="both"/>
                  </w:pPr>
                  <w:r>
                    <w:rPr>
                      <w:rFonts w:hint="eastAsia"/>
                    </w:rPr>
                    <w:t>1、</w:t>
                  </w:r>
                  <w:r>
                    <w:rPr>
                      <w:rFonts w:hint="eastAsia"/>
                      <w:snapToGrid w:val="0"/>
                      <w:szCs w:val="18"/>
                    </w:rPr>
                    <w:t>对照《四川省“两高”项目管理目录（试行）》，本项目不属于其中规定的高耗能、高排放项目；</w:t>
                  </w:r>
                </w:p>
                <w:p w14:paraId="38EF9D13">
                  <w:pPr>
                    <w:pStyle w:val="135"/>
                    <w:jc w:val="both"/>
                  </w:pPr>
                  <w:r>
                    <w:rPr>
                      <w:rFonts w:hint="eastAsia"/>
                    </w:rPr>
                    <w:t>2、本项目生产废水经处理后全部回用，生活污水、废气经处理后可达标排放；</w:t>
                  </w:r>
                </w:p>
                <w:p w14:paraId="5B69A809">
                  <w:pPr>
                    <w:pStyle w:val="135"/>
                    <w:jc w:val="both"/>
                  </w:pPr>
                  <w:r>
                    <w:t>3</w:t>
                  </w:r>
                  <w:r>
                    <w:rPr>
                      <w:rFonts w:hint="eastAsia"/>
                    </w:rPr>
                    <w:t>、不涉及；</w:t>
                  </w:r>
                </w:p>
                <w:p w14:paraId="7F603BB4">
                  <w:pPr>
                    <w:pStyle w:val="135"/>
                    <w:jc w:val="both"/>
                  </w:pPr>
                  <w:r>
                    <w:t>4</w:t>
                  </w:r>
                  <w:r>
                    <w:rPr>
                      <w:rFonts w:hint="eastAsia"/>
                    </w:rPr>
                    <w:t>、不涉及；</w:t>
                  </w:r>
                </w:p>
                <w:p w14:paraId="29DF71D0">
                  <w:pPr>
                    <w:pStyle w:val="135"/>
                    <w:jc w:val="both"/>
                  </w:pPr>
                  <w:r>
                    <w:rPr>
                      <w:rFonts w:hint="eastAsia"/>
                    </w:rPr>
                    <w:t>5、不涉及；</w:t>
                  </w:r>
                </w:p>
                <w:p w14:paraId="7C1DF121">
                  <w:pPr>
                    <w:pStyle w:val="135"/>
                    <w:jc w:val="both"/>
                  </w:pPr>
                  <w:r>
                    <w:rPr>
                      <w:rFonts w:hint="eastAsia"/>
                    </w:rPr>
                    <w:t>6、不涉及。</w:t>
                  </w:r>
                </w:p>
              </w:tc>
              <w:tc>
                <w:tcPr>
                  <w:tcW w:w="458" w:type="pct"/>
                  <w:shd w:val="clear" w:color="auto" w:fill="auto"/>
                  <w:vAlign w:val="center"/>
                </w:tcPr>
                <w:p w14:paraId="23B88483">
                  <w:pPr>
                    <w:pStyle w:val="135"/>
                  </w:pPr>
                  <w:r>
                    <w:t>符合</w:t>
                  </w:r>
                </w:p>
              </w:tc>
            </w:tr>
            <w:tr w14:paraId="34232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71" w:type="pct"/>
                  <w:shd w:val="clear" w:color="auto" w:fill="auto"/>
                  <w:vAlign w:val="center"/>
                </w:tcPr>
                <w:p w14:paraId="07B3B554">
                  <w:pPr>
                    <w:pStyle w:val="135"/>
                  </w:pPr>
                  <w:r>
                    <w:t>巴州区</w:t>
                  </w:r>
                </w:p>
              </w:tc>
              <w:tc>
                <w:tcPr>
                  <w:tcW w:w="2648" w:type="pct"/>
                  <w:shd w:val="clear" w:color="auto" w:fill="auto"/>
                  <w:vAlign w:val="center"/>
                </w:tcPr>
                <w:p w14:paraId="4AF50D4E">
                  <w:pPr>
                    <w:pStyle w:val="135"/>
                    <w:jc w:val="both"/>
                  </w:pPr>
                  <w:r>
                    <w:rPr>
                      <w:rFonts w:hint="eastAsia"/>
                    </w:rPr>
                    <w:t>1.加强流域水污染防治，推进流域水生态环境修复与治理；</w:t>
                  </w:r>
                </w:p>
                <w:p w14:paraId="1062BC8C">
                  <w:pPr>
                    <w:pStyle w:val="135"/>
                    <w:jc w:val="both"/>
                  </w:pPr>
                  <w:r>
                    <w:rPr>
                      <w:rFonts w:hint="eastAsia"/>
                    </w:rPr>
                    <w:t>2.加强工业园区内和园区外企业污染排放监管，推进“散乱污”企业整治；</w:t>
                  </w:r>
                </w:p>
                <w:p w14:paraId="7E2213E6">
                  <w:pPr>
                    <w:pStyle w:val="135"/>
                    <w:jc w:val="both"/>
                  </w:pPr>
                  <w:r>
                    <w:rPr>
                      <w:rFonts w:hint="eastAsia"/>
                    </w:rPr>
                    <w:t>3.强化扬尘源、燃烧源和移动源等大气污染防治；</w:t>
                  </w:r>
                </w:p>
                <w:p w14:paraId="65FC5D16">
                  <w:pPr>
                    <w:pStyle w:val="135"/>
                    <w:jc w:val="both"/>
                  </w:pPr>
                  <w:r>
                    <w:rPr>
                      <w:rFonts w:hint="eastAsia"/>
                    </w:rPr>
                    <w:t>4.强化建筑垃圾、生活垃圾、餐厨垃圾综合利用和无害化处置及危险废物环境风险管控；</w:t>
                  </w:r>
                </w:p>
                <w:p w14:paraId="7D99BFE1">
                  <w:pPr>
                    <w:pStyle w:val="135"/>
                    <w:jc w:val="both"/>
                  </w:pPr>
                  <w:r>
                    <w:rPr>
                      <w:rFonts w:hint="eastAsia"/>
                    </w:rPr>
                    <w:t>5.加强城市精细化管理，提升市民对环境的幸福感、获得感。</w:t>
                  </w:r>
                </w:p>
              </w:tc>
              <w:tc>
                <w:tcPr>
                  <w:tcW w:w="1423" w:type="pct"/>
                  <w:shd w:val="clear" w:color="auto" w:fill="auto"/>
                  <w:vAlign w:val="center"/>
                </w:tcPr>
                <w:p w14:paraId="0E631F71">
                  <w:pPr>
                    <w:pStyle w:val="135"/>
                    <w:jc w:val="both"/>
                  </w:pPr>
                  <w:r>
                    <w:rPr>
                      <w:rFonts w:hint="eastAsia"/>
                    </w:rPr>
                    <w:t>1、本项目生产废水经处理后全部回用，生活污水排入巴中经开区污水处理厂；</w:t>
                  </w:r>
                </w:p>
                <w:p w14:paraId="0BB9D98B">
                  <w:pPr>
                    <w:pStyle w:val="135"/>
                    <w:jc w:val="both"/>
                  </w:pPr>
                  <w:r>
                    <w:t>2</w:t>
                  </w:r>
                  <w:r>
                    <w:rPr>
                      <w:rFonts w:hint="eastAsia"/>
                    </w:rPr>
                    <w:t>、项目采取各项污染治理措施后可实现达标排放，不属于“散乱污”企业；</w:t>
                  </w:r>
                </w:p>
                <w:p w14:paraId="73DB5267">
                  <w:pPr>
                    <w:pStyle w:val="135"/>
                    <w:jc w:val="both"/>
                  </w:pPr>
                  <w:r>
                    <w:rPr>
                      <w:rFonts w:hint="eastAsia"/>
                    </w:rPr>
                    <w:t>3、本项目原料堆场采取封闭设计，减少扬尘排放；</w:t>
                  </w:r>
                </w:p>
                <w:p w14:paraId="3FF5405D">
                  <w:pPr>
                    <w:pStyle w:val="135"/>
                    <w:jc w:val="both"/>
                  </w:pPr>
                  <w:r>
                    <w:rPr>
                      <w:rFonts w:hint="eastAsia"/>
                    </w:rPr>
                    <w:t>4、不涉及；</w:t>
                  </w:r>
                </w:p>
                <w:p w14:paraId="3EB30EDF">
                  <w:pPr>
                    <w:pStyle w:val="135"/>
                    <w:jc w:val="both"/>
                  </w:pPr>
                  <w:r>
                    <w:t>5</w:t>
                  </w:r>
                  <w:r>
                    <w:rPr>
                      <w:rFonts w:hint="eastAsia"/>
                    </w:rPr>
                    <w:t>、不涉及。</w:t>
                  </w:r>
                </w:p>
              </w:tc>
              <w:tc>
                <w:tcPr>
                  <w:tcW w:w="458" w:type="pct"/>
                  <w:shd w:val="clear" w:color="auto" w:fill="auto"/>
                  <w:vAlign w:val="center"/>
                </w:tcPr>
                <w:p w14:paraId="764E47BE">
                  <w:pPr>
                    <w:pStyle w:val="135"/>
                  </w:pPr>
                  <w:r>
                    <w:rPr>
                      <w:rFonts w:hint="eastAsia"/>
                    </w:rPr>
                    <w:t>符合</w:t>
                  </w:r>
                </w:p>
              </w:tc>
            </w:tr>
            <w:tr w14:paraId="3B8277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71" w:type="pct"/>
                  <w:shd w:val="clear" w:color="auto" w:fill="auto"/>
                  <w:vAlign w:val="center"/>
                </w:tcPr>
                <w:p w14:paraId="44EF59FE">
                  <w:pPr>
                    <w:pStyle w:val="135"/>
                  </w:pPr>
                  <w:r>
                    <w:rPr>
                      <w:rFonts w:hint="eastAsia"/>
                    </w:rPr>
                    <w:t>重点管控单元</w:t>
                  </w:r>
                </w:p>
              </w:tc>
              <w:tc>
                <w:tcPr>
                  <w:tcW w:w="2648" w:type="pct"/>
                  <w:shd w:val="clear" w:color="auto" w:fill="auto"/>
                  <w:vAlign w:val="center"/>
                </w:tcPr>
                <w:p w14:paraId="2D5C4E06">
                  <w:pPr>
                    <w:pStyle w:val="135"/>
                    <w:jc w:val="both"/>
                  </w:pPr>
                  <w:r>
                    <w:rPr>
                      <w:rFonts w:hint="eastAsia"/>
                    </w:rPr>
                    <w:t>重点管控单元中，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tc>
              <w:tc>
                <w:tcPr>
                  <w:tcW w:w="1423" w:type="pct"/>
                  <w:shd w:val="clear" w:color="auto" w:fill="auto"/>
                  <w:vAlign w:val="center"/>
                </w:tcPr>
                <w:p w14:paraId="492A1379">
                  <w:pPr>
                    <w:pStyle w:val="135"/>
                    <w:jc w:val="both"/>
                  </w:pPr>
                  <w:r>
                    <w:rPr>
                      <w:rFonts w:hint="eastAsia"/>
                    </w:rPr>
                    <w:t>本项目所在区域属于环境空气、地表水达标区域，本次评价提出了允许排放量建议指标。</w:t>
                  </w:r>
                </w:p>
              </w:tc>
              <w:tc>
                <w:tcPr>
                  <w:tcW w:w="458" w:type="pct"/>
                  <w:shd w:val="clear" w:color="auto" w:fill="auto"/>
                  <w:vAlign w:val="center"/>
                </w:tcPr>
                <w:p w14:paraId="6E39D3E2">
                  <w:pPr>
                    <w:pStyle w:val="135"/>
                  </w:pPr>
                  <w:r>
                    <w:rPr>
                      <w:rFonts w:hint="eastAsia"/>
                    </w:rPr>
                    <w:t>符合</w:t>
                  </w:r>
                </w:p>
              </w:tc>
            </w:tr>
          </w:tbl>
          <w:p w14:paraId="03125610">
            <w:pPr>
              <w:ind w:firstLine="420"/>
            </w:pPr>
            <w:r>
              <w:rPr>
                <w:rFonts w:hint="eastAsia"/>
              </w:rPr>
              <w:t>综上，本项目符合</w:t>
            </w:r>
            <w:r>
              <w:t>《</w:t>
            </w:r>
            <w:r>
              <w:rPr>
                <w:rFonts w:hint="eastAsia"/>
              </w:rPr>
              <w:t>巴中市生态环境保护委员会办公室关于加强生态环境分区管控的通知</w:t>
            </w:r>
            <w:r>
              <w:t>》</w:t>
            </w:r>
            <w:r>
              <w:rPr>
                <w:rFonts w:hint="eastAsia"/>
              </w:rPr>
              <w:t>中相关管控要求。</w:t>
            </w:r>
          </w:p>
          <w:p w14:paraId="48A96D38">
            <w:pPr>
              <w:ind w:firstLine="420"/>
            </w:pPr>
            <w:r>
              <w:t>（2）与</w:t>
            </w:r>
            <w:r>
              <w:rPr>
                <w:rFonts w:hint="eastAsia"/>
              </w:rPr>
              <w:t>“</w:t>
            </w:r>
            <w:r>
              <w:t>川环办函〔2021〕469号</w:t>
            </w:r>
            <w:r>
              <w:rPr>
                <w:rFonts w:hint="eastAsia"/>
              </w:rPr>
              <w:t>”</w:t>
            </w:r>
            <w:r>
              <w:t>相关要求的符合性分析</w:t>
            </w:r>
          </w:p>
          <w:p w14:paraId="2F21C592">
            <w:pPr>
              <w:ind w:firstLine="420"/>
            </w:pPr>
            <w:r>
              <w:t>根据四川省生态环境厅办公室《关于印发&lt;产业园区规划环评“三线一单”符合性分析技术要点（试行）&gt;和&lt;项目环评“三线一单”符合性分析技术要点（试行）&gt;的通知》（川环办函〔2021〕469号），项目位于四川巴中经济开发区兴文街道五谷社区I9-02-02-01宗地，根据四川政务服务网“</w:t>
            </w:r>
            <w:r>
              <w:rPr>
                <w:rFonts w:hint="eastAsia"/>
              </w:rPr>
              <w:t>生态环境分区管控要求</w:t>
            </w:r>
            <w:r>
              <w:t>”符合性分析系统查询结果，项目涉及环境管控单元如下：</w:t>
            </w:r>
          </w:p>
          <w:p w14:paraId="78521AC7">
            <w:pPr>
              <w:pStyle w:val="156"/>
              <w:keepNext/>
            </w:pPr>
            <w:r>
              <w:rPr>
                <w:rFonts w:hint="eastAsia"/>
              </w:rPr>
              <w:t>表1</w:t>
            </w:r>
            <w:r>
              <w:t xml:space="preserve">-6  </w:t>
            </w:r>
            <w:r>
              <w:rPr>
                <w:rFonts w:hint="eastAsia"/>
              </w:rPr>
              <w:t>本</w:t>
            </w:r>
            <w:r>
              <w:t>项目涉及环境管控单元</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08"/>
              <w:gridCol w:w="941"/>
              <w:gridCol w:w="2021"/>
              <w:gridCol w:w="709"/>
              <w:gridCol w:w="851"/>
              <w:gridCol w:w="851"/>
              <w:gridCol w:w="1393"/>
            </w:tblGrid>
            <w:tr w14:paraId="71625F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474" w:type="pct"/>
                  <w:vAlign w:val="center"/>
                </w:tcPr>
                <w:p w14:paraId="00DA4F24">
                  <w:pPr>
                    <w:pStyle w:val="135"/>
                    <w:adjustRightInd w:val="0"/>
                    <w:snapToGrid w:val="0"/>
                    <w:rPr>
                      <w:b/>
                      <w:bCs/>
                    </w:rPr>
                  </w:pPr>
                  <w:r>
                    <w:rPr>
                      <w:rFonts w:hint="eastAsia"/>
                      <w:b/>
                      <w:bCs/>
                    </w:rPr>
                    <w:t>序号</w:t>
                  </w:r>
                </w:p>
              </w:tc>
              <w:tc>
                <w:tcPr>
                  <w:tcW w:w="630" w:type="pct"/>
                  <w:vAlign w:val="center"/>
                </w:tcPr>
                <w:p w14:paraId="521ABB85">
                  <w:pPr>
                    <w:pStyle w:val="135"/>
                    <w:adjustRightInd w:val="0"/>
                    <w:snapToGrid w:val="0"/>
                    <w:rPr>
                      <w:b/>
                      <w:bCs/>
                    </w:rPr>
                  </w:pPr>
                  <w:r>
                    <w:rPr>
                      <w:rFonts w:hint="eastAsia"/>
                      <w:b/>
                      <w:bCs/>
                    </w:rPr>
                    <w:t>管控单元编码</w:t>
                  </w:r>
                </w:p>
              </w:tc>
              <w:tc>
                <w:tcPr>
                  <w:tcW w:w="1352" w:type="pct"/>
                  <w:vAlign w:val="center"/>
                </w:tcPr>
                <w:p w14:paraId="6698B3EF">
                  <w:pPr>
                    <w:pStyle w:val="135"/>
                    <w:adjustRightInd w:val="0"/>
                    <w:snapToGrid w:val="0"/>
                    <w:rPr>
                      <w:b/>
                      <w:bCs/>
                    </w:rPr>
                  </w:pPr>
                  <w:r>
                    <w:rPr>
                      <w:rFonts w:hint="eastAsia"/>
                      <w:b/>
                      <w:bCs/>
                    </w:rPr>
                    <w:t>管控单元名称</w:t>
                  </w:r>
                </w:p>
              </w:tc>
              <w:tc>
                <w:tcPr>
                  <w:tcW w:w="474" w:type="pct"/>
                  <w:vAlign w:val="center"/>
                </w:tcPr>
                <w:p w14:paraId="0B3BBC3B">
                  <w:pPr>
                    <w:pStyle w:val="135"/>
                    <w:adjustRightInd w:val="0"/>
                    <w:snapToGrid w:val="0"/>
                    <w:rPr>
                      <w:b/>
                      <w:bCs/>
                    </w:rPr>
                  </w:pPr>
                  <w:r>
                    <w:rPr>
                      <w:rFonts w:hint="eastAsia"/>
                      <w:b/>
                      <w:bCs/>
                    </w:rPr>
                    <w:t>所属城市</w:t>
                  </w:r>
                </w:p>
              </w:tc>
              <w:tc>
                <w:tcPr>
                  <w:tcW w:w="569" w:type="pct"/>
                  <w:vAlign w:val="center"/>
                </w:tcPr>
                <w:p w14:paraId="0DB0E633">
                  <w:pPr>
                    <w:pStyle w:val="135"/>
                    <w:adjustRightInd w:val="0"/>
                    <w:snapToGrid w:val="0"/>
                    <w:rPr>
                      <w:b/>
                      <w:bCs/>
                    </w:rPr>
                  </w:pPr>
                  <w:r>
                    <w:rPr>
                      <w:rFonts w:hint="eastAsia"/>
                      <w:b/>
                      <w:bCs/>
                    </w:rPr>
                    <w:t>所属区县</w:t>
                  </w:r>
                </w:p>
              </w:tc>
              <w:tc>
                <w:tcPr>
                  <w:tcW w:w="569" w:type="pct"/>
                  <w:vAlign w:val="center"/>
                </w:tcPr>
                <w:p w14:paraId="567BDFEF">
                  <w:pPr>
                    <w:pStyle w:val="135"/>
                    <w:adjustRightInd w:val="0"/>
                    <w:snapToGrid w:val="0"/>
                    <w:rPr>
                      <w:b/>
                      <w:bCs/>
                    </w:rPr>
                  </w:pPr>
                  <w:r>
                    <w:rPr>
                      <w:rFonts w:hint="eastAsia"/>
                      <w:b/>
                      <w:bCs/>
                    </w:rPr>
                    <w:t>准入清单类型</w:t>
                  </w:r>
                </w:p>
              </w:tc>
              <w:tc>
                <w:tcPr>
                  <w:tcW w:w="932" w:type="pct"/>
                  <w:vAlign w:val="center"/>
                </w:tcPr>
                <w:p w14:paraId="694AB082">
                  <w:pPr>
                    <w:pStyle w:val="135"/>
                    <w:adjustRightInd w:val="0"/>
                    <w:snapToGrid w:val="0"/>
                    <w:rPr>
                      <w:b/>
                      <w:bCs/>
                    </w:rPr>
                  </w:pPr>
                  <w:r>
                    <w:rPr>
                      <w:rFonts w:hint="eastAsia"/>
                      <w:b/>
                      <w:bCs/>
                    </w:rPr>
                    <w:t>管控类型</w:t>
                  </w:r>
                </w:p>
              </w:tc>
            </w:tr>
            <w:tr w14:paraId="4C352A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74" w:type="pct"/>
                  <w:vAlign w:val="center"/>
                </w:tcPr>
                <w:p w14:paraId="65F72132">
                  <w:pPr>
                    <w:pStyle w:val="135"/>
                    <w:adjustRightInd w:val="0"/>
                    <w:snapToGrid w:val="0"/>
                  </w:pPr>
                  <w:r>
                    <w:rPr>
                      <w:rFonts w:hint="eastAsia"/>
                    </w:rPr>
                    <w:t>1</w:t>
                  </w:r>
                </w:p>
              </w:tc>
              <w:tc>
                <w:tcPr>
                  <w:tcW w:w="630" w:type="pct"/>
                  <w:vAlign w:val="center"/>
                </w:tcPr>
                <w:p w14:paraId="54C157B3">
                  <w:pPr>
                    <w:pStyle w:val="135"/>
                    <w:adjustRightInd w:val="0"/>
                    <w:snapToGrid w:val="0"/>
                  </w:pPr>
                  <w:r>
                    <w:t>ZH51190220006</w:t>
                  </w:r>
                </w:p>
              </w:tc>
              <w:tc>
                <w:tcPr>
                  <w:tcW w:w="1352" w:type="pct"/>
                  <w:vAlign w:val="center"/>
                </w:tcPr>
                <w:p w14:paraId="184E5462">
                  <w:pPr>
                    <w:pStyle w:val="135"/>
                    <w:adjustRightInd w:val="0"/>
                    <w:snapToGrid w:val="0"/>
                  </w:pPr>
                  <w:r>
                    <w:rPr>
                      <w:rFonts w:hint="eastAsia"/>
                    </w:rPr>
                    <w:t>四川巴中经济开发区（核心区块、金堂区块）</w:t>
                  </w:r>
                </w:p>
              </w:tc>
              <w:tc>
                <w:tcPr>
                  <w:tcW w:w="474" w:type="pct"/>
                  <w:vAlign w:val="center"/>
                </w:tcPr>
                <w:p w14:paraId="1007EBBA">
                  <w:pPr>
                    <w:pStyle w:val="135"/>
                    <w:adjustRightInd w:val="0"/>
                    <w:snapToGrid w:val="0"/>
                  </w:pPr>
                  <w:r>
                    <w:rPr>
                      <w:rFonts w:hint="eastAsia"/>
                    </w:rPr>
                    <w:t>巴中市</w:t>
                  </w:r>
                </w:p>
              </w:tc>
              <w:tc>
                <w:tcPr>
                  <w:tcW w:w="569" w:type="pct"/>
                  <w:vAlign w:val="center"/>
                </w:tcPr>
                <w:p w14:paraId="1AEAF3EC">
                  <w:pPr>
                    <w:pStyle w:val="135"/>
                    <w:adjustRightInd w:val="0"/>
                    <w:snapToGrid w:val="0"/>
                  </w:pPr>
                  <w:r>
                    <w:rPr>
                      <w:rFonts w:hint="eastAsia"/>
                    </w:rPr>
                    <w:t>巴州区</w:t>
                  </w:r>
                </w:p>
              </w:tc>
              <w:tc>
                <w:tcPr>
                  <w:tcW w:w="569" w:type="pct"/>
                  <w:vAlign w:val="center"/>
                </w:tcPr>
                <w:p w14:paraId="429C64CC">
                  <w:pPr>
                    <w:pStyle w:val="135"/>
                    <w:adjustRightInd w:val="0"/>
                    <w:snapToGrid w:val="0"/>
                  </w:pPr>
                  <w:r>
                    <w:rPr>
                      <w:rFonts w:hint="eastAsia"/>
                    </w:rPr>
                    <w:t>环境综合</w:t>
                  </w:r>
                </w:p>
              </w:tc>
              <w:tc>
                <w:tcPr>
                  <w:tcW w:w="932" w:type="pct"/>
                  <w:vAlign w:val="center"/>
                </w:tcPr>
                <w:p w14:paraId="04D3CB91">
                  <w:pPr>
                    <w:pStyle w:val="135"/>
                    <w:adjustRightInd w:val="0"/>
                    <w:snapToGrid w:val="0"/>
                  </w:pPr>
                  <w:r>
                    <w:rPr>
                      <w:rFonts w:hint="eastAsia"/>
                    </w:rPr>
                    <w:t>环境综合管控单元工业重点管控单元</w:t>
                  </w:r>
                </w:p>
              </w:tc>
            </w:tr>
            <w:tr w14:paraId="5782D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74" w:type="pct"/>
                  <w:vAlign w:val="center"/>
                </w:tcPr>
                <w:p w14:paraId="2EBBC6B9">
                  <w:pPr>
                    <w:pStyle w:val="135"/>
                    <w:adjustRightInd w:val="0"/>
                    <w:snapToGrid w:val="0"/>
                  </w:pPr>
                  <w:r>
                    <w:rPr>
                      <w:rFonts w:hint="eastAsia"/>
                    </w:rPr>
                    <w:t>2</w:t>
                  </w:r>
                </w:p>
              </w:tc>
              <w:tc>
                <w:tcPr>
                  <w:tcW w:w="630" w:type="pct"/>
                  <w:vAlign w:val="center"/>
                </w:tcPr>
                <w:p w14:paraId="74C362C6">
                  <w:pPr>
                    <w:pStyle w:val="135"/>
                    <w:adjustRightInd w:val="0"/>
                    <w:snapToGrid w:val="0"/>
                  </w:pPr>
                  <w:r>
                    <w:t>YS5119022210001</w:t>
                  </w:r>
                </w:p>
              </w:tc>
              <w:tc>
                <w:tcPr>
                  <w:tcW w:w="1352" w:type="pct"/>
                  <w:vAlign w:val="center"/>
                </w:tcPr>
                <w:p w14:paraId="06B12F48">
                  <w:pPr>
                    <w:pStyle w:val="135"/>
                    <w:adjustRightInd w:val="0"/>
                    <w:snapToGrid w:val="0"/>
                  </w:pPr>
                  <w:r>
                    <w:rPr>
                      <w:rFonts w:hint="eastAsia"/>
                    </w:rPr>
                    <w:t>巴河-巴州区-金碑-控制单元</w:t>
                  </w:r>
                </w:p>
              </w:tc>
              <w:tc>
                <w:tcPr>
                  <w:tcW w:w="474" w:type="pct"/>
                  <w:vAlign w:val="center"/>
                </w:tcPr>
                <w:p w14:paraId="566F9F9E">
                  <w:pPr>
                    <w:pStyle w:val="135"/>
                    <w:adjustRightInd w:val="0"/>
                    <w:snapToGrid w:val="0"/>
                  </w:pPr>
                  <w:r>
                    <w:rPr>
                      <w:rFonts w:hint="eastAsia"/>
                    </w:rPr>
                    <w:t>巴中市</w:t>
                  </w:r>
                </w:p>
              </w:tc>
              <w:tc>
                <w:tcPr>
                  <w:tcW w:w="569" w:type="pct"/>
                  <w:vAlign w:val="center"/>
                </w:tcPr>
                <w:p w14:paraId="134B4EA9">
                  <w:pPr>
                    <w:pStyle w:val="135"/>
                    <w:adjustRightInd w:val="0"/>
                    <w:snapToGrid w:val="0"/>
                  </w:pPr>
                  <w:r>
                    <w:rPr>
                      <w:rFonts w:hint="eastAsia"/>
                    </w:rPr>
                    <w:t>巴州区</w:t>
                  </w:r>
                </w:p>
              </w:tc>
              <w:tc>
                <w:tcPr>
                  <w:tcW w:w="569" w:type="pct"/>
                  <w:vAlign w:val="center"/>
                </w:tcPr>
                <w:p w14:paraId="4B157034">
                  <w:pPr>
                    <w:pStyle w:val="135"/>
                    <w:adjustRightInd w:val="0"/>
                    <w:snapToGrid w:val="0"/>
                  </w:pPr>
                  <w:r>
                    <w:rPr>
                      <w:rFonts w:hint="eastAsia"/>
                    </w:rPr>
                    <w:t>水环境分区</w:t>
                  </w:r>
                </w:p>
              </w:tc>
              <w:tc>
                <w:tcPr>
                  <w:tcW w:w="932" w:type="pct"/>
                  <w:vAlign w:val="center"/>
                </w:tcPr>
                <w:p w14:paraId="107E4752">
                  <w:pPr>
                    <w:pStyle w:val="135"/>
                    <w:adjustRightInd w:val="0"/>
                    <w:snapToGrid w:val="0"/>
                  </w:pPr>
                  <w:r>
                    <w:rPr>
                      <w:rFonts w:hint="eastAsia"/>
                    </w:rPr>
                    <w:t>水环境工业污染重点管控区</w:t>
                  </w:r>
                </w:p>
              </w:tc>
            </w:tr>
            <w:tr w14:paraId="7EB5C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74" w:type="pct"/>
                  <w:vAlign w:val="center"/>
                </w:tcPr>
                <w:p w14:paraId="50DC1845">
                  <w:pPr>
                    <w:pStyle w:val="135"/>
                    <w:adjustRightInd w:val="0"/>
                    <w:snapToGrid w:val="0"/>
                  </w:pPr>
                  <w:r>
                    <w:rPr>
                      <w:rFonts w:hint="eastAsia"/>
                    </w:rPr>
                    <w:t>3</w:t>
                  </w:r>
                </w:p>
              </w:tc>
              <w:tc>
                <w:tcPr>
                  <w:tcW w:w="630" w:type="pct"/>
                  <w:vAlign w:val="center"/>
                </w:tcPr>
                <w:p w14:paraId="269BE6F6">
                  <w:pPr>
                    <w:pStyle w:val="135"/>
                    <w:adjustRightInd w:val="0"/>
                    <w:snapToGrid w:val="0"/>
                  </w:pPr>
                  <w:r>
                    <w:t>YS5119022310005</w:t>
                  </w:r>
                </w:p>
              </w:tc>
              <w:tc>
                <w:tcPr>
                  <w:tcW w:w="1352" w:type="pct"/>
                  <w:vAlign w:val="center"/>
                </w:tcPr>
                <w:p w14:paraId="45F82151">
                  <w:pPr>
                    <w:pStyle w:val="135"/>
                    <w:adjustRightInd w:val="0"/>
                    <w:snapToGrid w:val="0"/>
                  </w:pPr>
                  <w:r>
                    <w:rPr>
                      <w:rFonts w:hint="eastAsia"/>
                    </w:rPr>
                    <w:t>四川巴中经济开发区（核心区块、金堂区块）</w:t>
                  </w:r>
                </w:p>
              </w:tc>
              <w:tc>
                <w:tcPr>
                  <w:tcW w:w="474" w:type="pct"/>
                  <w:vAlign w:val="center"/>
                </w:tcPr>
                <w:p w14:paraId="5B22F1DF">
                  <w:pPr>
                    <w:pStyle w:val="135"/>
                    <w:adjustRightInd w:val="0"/>
                    <w:snapToGrid w:val="0"/>
                  </w:pPr>
                  <w:r>
                    <w:rPr>
                      <w:rFonts w:hint="eastAsia"/>
                    </w:rPr>
                    <w:t>巴中市</w:t>
                  </w:r>
                </w:p>
              </w:tc>
              <w:tc>
                <w:tcPr>
                  <w:tcW w:w="569" w:type="pct"/>
                  <w:vAlign w:val="center"/>
                </w:tcPr>
                <w:p w14:paraId="66A5E2DC">
                  <w:pPr>
                    <w:pStyle w:val="135"/>
                    <w:adjustRightInd w:val="0"/>
                    <w:snapToGrid w:val="0"/>
                  </w:pPr>
                  <w:r>
                    <w:rPr>
                      <w:rFonts w:hint="eastAsia"/>
                    </w:rPr>
                    <w:t>巴州区</w:t>
                  </w:r>
                </w:p>
              </w:tc>
              <w:tc>
                <w:tcPr>
                  <w:tcW w:w="569" w:type="pct"/>
                  <w:vAlign w:val="center"/>
                </w:tcPr>
                <w:p w14:paraId="04FCEC84">
                  <w:pPr>
                    <w:pStyle w:val="135"/>
                    <w:adjustRightInd w:val="0"/>
                    <w:snapToGrid w:val="0"/>
                  </w:pPr>
                  <w:r>
                    <w:rPr>
                      <w:rFonts w:hint="eastAsia"/>
                    </w:rPr>
                    <w:t>大气环境分区</w:t>
                  </w:r>
                </w:p>
              </w:tc>
              <w:tc>
                <w:tcPr>
                  <w:tcW w:w="932" w:type="pct"/>
                  <w:vAlign w:val="center"/>
                </w:tcPr>
                <w:p w14:paraId="760A2837">
                  <w:pPr>
                    <w:pStyle w:val="135"/>
                    <w:adjustRightInd w:val="0"/>
                    <w:snapToGrid w:val="0"/>
                  </w:pPr>
                  <w:r>
                    <w:rPr>
                      <w:rFonts w:hint="eastAsia"/>
                    </w:rPr>
                    <w:t>大气环境高排放重点管控区</w:t>
                  </w:r>
                </w:p>
              </w:tc>
            </w:tr>
            <w:tr w14:paraId="12C05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74" w:type="pct"/>
                  <w:vAlign w:val="center"/>
                </w:tcPr>
                <w:p w14:paraId="579EEF46">
                  <w:pPr>
                    <w:pStyle w:val="135"/>
                    <w:adjustRightInd w:val="0"/>
                    <w:snapToGrid w:val="0"/>
                  </w:pPr>
                  <w:r>
                    <w:rPr>
                      <w:rFonts w:hint="eastAsia"/>
                    </w:rPr>
                    <w:t>4</w:t>
                  </w:r>
                </w:p>
              </w:tc>
              <w:tc>
                <w:tcPr>
                  <w:tcW w:w="630" w:type="pct"/>
                  <w:vAlign w:val="center"/>
                </w:tcPr>
                <w:p w14:paraId="074E3CDB">
                  <w:pPr>
                    <w:pStyle w:val="135"/>
                    <w:adjustRightInd w:val="0"/>
                    <w:snapToGrid w:val="0"/>
                  </w:pPr>
                  <w:r>
                    <w:t>YS5119022530001</w:t>
                  </w:r>
                </w:p>
              </w:tc>
              <w:tc>
                <w:tcPr>
                  <w:tcW w:w="1352" w:type="pct"/>
                  <w:vAlign w:val="center"/>
                </w:tcPr>
                <w:p w14:paraId="5F814AAA">
                  <w:pPr>
                    <w:pStyle w:val="135"/>
                    <w:adjustRightInd w:val="0"/>
                    <w:snapToGrid w:val="0"/>
                  </w:pPr>
                  <w:r>
                    <w:rPr>
                      <w:rFonts w:hint="eastAsia"/>
                    </w:rPr>
                    <w:t>巴州区城镇开发边界</w:t>
                  </w:r>
                </w:p>
              </w:tc>
              <w:tc>
                <w:tcPr>
                  <w:tcW w:w="474" w:type="pct"/>
                  <w:vAlign w:val="center"/>
                </w:tcPr>
                <w:p w14:paraId="7E1A42EE">
                  <w:pPr>
                    <w:pStyle w:val="135"/>
                    <w:adjustRightInd w:val="0"/>
                    <w:snapToGrid w:val="0"/>
                  </w:pPr>
                  <w:r>
                    <w:rPr>
                      <w:rFonts w:hint="eastAsia"/>
                    </w:rPr>
                    <w:t>巴中市</w:t>
                  </w:r>
                </w:p>
              </w:tc>
              <w:tc>
                <w:tcPr>
                  <w:tcW w:w="569" w:type="pct"/>
                  <w:vAlign w:val="center"/>
                </w:tcPr>
                <w:p w14:paraId="5086A93C">
                  <w:pPr>
                    <w:pStyle w:val="135"/>
                    <w:adjustRightInd w:val="0"/>
                    <w:snapToGrid w:val="0"/>
                  </w:pPr>
                  <w:r>
                    <w:rPr>
                      <w:rFonts w:hint="eastAsia"/>
                    </w:rPr>
                    <w:t>巴州区</w:t>
                  </w:r>
                </w:p>
              </w:tc>
              <w:tc>
                <w:tcPr>
                  <w:tcW w:w="569" w:type="pct"/>
                  <w:vAlign w:val="center"/>
                </w:tcPr>
                <w:p w14:paraId="5917378A">
                  <w:pPr>
                    <w:pStyle w:val="135"/>
                    <w:adjustRightInd w:val="0"/>
                    <w:snapToGrid w:val="0"/>
                  </w:pPr>
                  <w:r>
                    <w:rPr>
                      <w:rFonts w:hint="eastAsia"/>
                    </w:rPr>
                    <w:t>资源利用</w:t>
                  </w:r>
                </w:p>
              </w:tc>
              <w:tc>
                <w:tcPr>
                  <w:tcW w:w="932" w:type="pct"/>
                  <w:vAlign w:val="center"/>
                </w:tcPr>
                <w:p w14:paraId="6ABA93AE">
                  <w:pPr>
                    <w:pStyle w:val="135"/>
                    <w:adjustRightInd w:val="0"/>
                    <w:snapToGrid w:val="0"/>
                  </w:pPr>
                  <w:r>
                    <w:rPr>
                      <w:rFonts w:hint="eastAsia"/>
                    </w:rPr>
                    <w:t>土地资源重点管控区</w:t>
                  </w:r>
                </w:p>
              </w:tc>
            </w:tr>
            <w:tr w14:paraId="17F32C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74" w:type="pct"/>
                  <w:vAlign w:val="center"/>
                </w:tcPr>
                <w:p w14:paraId="488AEB12">
                  <w:pPr>
                    <w:pStyle w:val="135"/>
                    <w:adjustRightInd w:val="0"/>
                    <w:snapToGrid w:val="0"/>
                  </w:pPr>
                  <w:r>
                    <w:rPr>
                      <w:rFonts w:hint="eastAsia"/>
                    </w:rPr>
                    <w:t>5</w:t>
                  </w:r>
                </w:p>
              </w:tc>
              <w:tc>
                <w:tcPr>
                  <w:tcW w:w="630" w:type="pct"/>
                  <w:vAlign w:val="center"/>
                </w:tcPr>
                <w:p w14:paraId="1468F6B2">
                  <w:pPr>
                    <w:pStyle w:val="135"/>
                    <w:adjustRightInd w:val="0"/>
                    <w:snapToGrid w:val="0"/>
                  </w:pPr>
                  <w:r>
                    <w:t>YS5119022550001</w:t>
                  </w:r>
                </w:p>
              </w:tc>
              <w:tc>
                <w:tcPr>
                  <w:tcW w:w="1352" w:type="pct"/>
                  <w:vAlign w:val="center"/>
                </w:tcPr>
                <w:p w14:paraId="19CCC662">
                  <w:pPr>
                    <w:pStyle w:val="135"/>
                    <w:adjustRightInd w:val="0"/>
                    <w:snapToGrid w:val="0"/>
                  </w:pPr>
                  <w:r>
                    <w:rPr>
                      <w:rFonts w:hint="eastAsia"/>
                    </w:rPr>
                    <w:t>巴州区自然资源重点管控区</w:t>
                  </w:r>
                </w:p>
              </w:tc>
              <w:tc>
                <w:tcPr>
                  <w:tcW w:w="474" w:type="pct"/>
                  <w:vAlign w:val="center"/>
                </w:tcPr>
                <w:p w14:paraId="5FE36E86">
                  <w:pPr>
                    <w:pStyle w:val="135"/>
                    <w:adjustRightInd w:val="0"/>
                    <w:snapToGrid w:val="0"/>
                  </w:pPr>
                  <w:r>
                    <w:rPr>
                      <w:rFonts w:hint="eastAsia"/>
                    </w:rPr>
                    <w:t>巴中市</w:t>
                  </w:r>
                </w:p>
              </w:tc>
              <w:tc>
                <w:tcPr>
                  <w:tcW w:w="569" w:type="pct"/>
                  <w:vAlign w:val="center"/>
                </w:tcPr>
                <w:p w14:paraId="3313EB1D">
                  <w:pPr>
                    <w:pStyle w:val="135"/>
                    <w:adjustRightInd w:val="0"/>
                    <w:snapToGrid w:val="0"/>
                  </w:pPr>
                  <w:r>
                    <w:rPr>
                      <w:rFonts w:hint="eastAsia"/>
                    </w:rPr>
                    <w:t>巴州区</w:t>
                  </w:r>
                </w:p>
              </w:tc>
              <w:tc>
                <w:tcPr>
                  <w:tcW w:w="569" w:type="pct"/>
                  <w:vAlign w:val="center"/>
                </w:tcPr>
                <w:p w14:paraId="1E2F889C">
                  <w:pPr>
                    <w:pStyle w:val="135"/>
                    <w:adjustRightInd w:val="0"/>
                    <w:snapToGrid w:val="0"/>
                  </w:pPr>
                  <w:r>
                    <w:rPr>
                      <w:rFonts w:hint="eastAsia"/>
                    </w:rPr>
                    <w:t>资源利用</w:t>
                  </w:r>
                </w:p>
              </w:tc>
              <w:tc>
                <w:tcPr>
                  <w:tcW w:w="932" w:type="pct"/>
                  <w:vAlign w:val="center"/>
                </w:tcPr>
                <w:p w14:paraId="209890AE">
                  <w:pPr>
                    <w:pStyle w:val="135"/>
                    <w:adjustRightInd w:val="0"/>
                    <w:snapToGrid w:val="0"/>
                  </w:pPr>
                  <w:r>
                    <w:rPr>
                      <w:rFonts w:hint="eastAsia"/>
                    </w:rPr>
                    <w:t>自然资源重点管控区</w:t>
                  </w:r>
                </w:p>
              </w:tc>
            </w:tr>
          </w:tbl>
          <w:p w14:paraId="18FC56FD">
            <w:pPr>
              <w:ind w:firstLine="420"/>
            </w:pPr>
            <w:r>
              <w:t>巴中市浙胜节能建材有限公司生产线技术改造项目位于巴中市巴州区环境综合管控单元工业重点管控单元（管控单元名称：四川巴中经济开发区（核心区块、金堂区块），管控单元编号：ZH51190220006）</w:t>
            </w:r>
            <w:r>
              <w:rPr>
                <w:rFonts w:hint="eastAsia"/>
              </w:rPr>
              <w:t>。</w:t>
            </w:r>
          </w:p>
          <w:p w14:paraId="08617208">
            <w:pPr>
              <w:ind w:firstLine="420"/>
            </w:pPr>
            <w:r>
              <w:t>项目与管控单元相对位置如下图所示：（图中</w:t>
            </w:r>
            <w:r>
              <w:rPr>
                <w:color w:val="00FFFF"/>
              </w:rPr>
              <w:t>▼</w:t>
            </w:r>
            <w:r>
              <w:t>表示项目位置）</w:t>
            </w:r>
          </w:p>
          <w:p w14:paraId="5FD26B42">
            <w:pPr>
              <w:pStyle w:val="180"/>
            </w:pPr>
            <w:r>
              <mc:AlternateContent>
                <mc:Choice Requires="wps">
                  <w:drawing>
                    <wp:anchor distT="0" distB="0" distL="114300" distR="114300" simplePos="0" relativeHeight="251660288" behindDoc="0" locked="0" layoutInCell="1" allowOverlap="1">
                      <wp:simplePos x="0" y="0"/>
                      <wp:positionH relativeFrom="column">
                        <wp:posOffset>2171700</wp:posOffset>
                      </wp:positionH>
                      <wp:positionV relativeFrom="paragraph">
                        <wp:posOffset>1770380</wp:posOffset>
                      </wp:positionV>
                      <wp:extent cx="76835" cy="51435"/>
                      <wp:effectExtent l="19050" t="0" r="38100" b="44450"/>
                      <wp:wrapNone/>
                      <wp:docPr id="11" name="流程图: 合并 11"/>
                      <wp:cNvGraphicFramePr/>
                      <a:graphic xmlns:a="http://schemas.openxmlformats.org/drawingml/2006/main">
                        <a:graphicData uri="http://schemas.microsoft.com/office/word/2010/wordprocessingShape">
                          <wps:wsp>
                            <wps:cNvSpPr/>
                            <wps:spPr>
                              <a:xfrm>
                                <a:off x="0" y="0"/>
                                <a:ext cx="76810" cy="51206"/>
                              </a:xfrm>
                              <a:prstGeom prst="flowChartMerge">
                                <a:avLst/>
                              </a:prstGeom>
                              <a:solidFill>
                                <a:srgbClr val="00FFFF"/>
                              </a:solidFill>
                              <a:ln>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8" type="#_x0000_t128" style="position:absolute;left:0pt;margin-left:171pt;margin-top:139.4pt;height:4.05pt;width:6.05pt;z-index:251660288;v-text-anchor:middle;mso-width-relative:page;mso-height-relative:page;" fillcolor="#00FFFF" filled="t" stroked="t" coordsize="21600,21600" o:gfxdata="UEsDBAoAAAAAAIdO4kAAAAAAAAAAAAAAAAAEAAAAZHJzL1BLAwQUAAAACACHTuJAfOqSj9oAAAAL&#10;AQAADwAAAGRycy9kb3ducmV2LnhtbE2PwU6DQBCG7ya+w2ZMvNkFWhGRpYkmJo2JB1sOHqfsCER2&#10;F9iF1rd3PNnjzPz55/uK7dn0YqHJd84qiFcRCLK1051tFFSH17sMhA9oNfbOkoIf8rAtr68KzLU7&#10;2Q9a9qERXGJ9jgraEIZcSl+3ZNCv3ECWb19uMhh4nBqpJzxxuellEkWpNNhZ/tDiQC8t1d/72ShY&#10;3g7zZ/teGbmrnt24w3QcTarU7U0cPYEIdA7/YfjDZ3QomenoZqu96BWsNwm7BAXJQ8YOnFjfb2IQ&#10;R95k6SPIspCXDuUvUEsDBBQAAAAIAIdO4kBmdbK1gwIAAAgFAAAOAAAAZHJzL2Uyb0RvYy54bWyt&#10;VM2O0zAQviPxDpbvbNJq/4iarqpWRUgLu9KCOE8dJ7HkP2y36XLjhsRl77wALwASF95m4TUYO9nu&#10;Dxz2QA7OjGf8zcznGU9OtkqSDXdeGF3S0V5OCdfMVEI3JX37ZvnsmBIfQFcgjeYlveSenkyfPpl0&#10;tuBj0xpZcUcQRPuisyVtQ7BFlnnWcgV+z1iu0VgbpyCg6pqsctAhupLZOM8Ps864yjrDuPe4u+iN&#10;dEB0jwE0dS0YXxi2VlyHHtVxCQFL8q2wnk5TtnXNWTira88DkSXFSkNaMQjKq7hm0wkUjQPbCjak&#10;AI9J4UFNCoTGoDuoBQQgayf+glKCOeNNHfaYUVlfSGIEqxjlD7i5aMHyVAtS7e2OdP//YNnrzbkj&#10;osJOGFGiQeGN//r28ffXz9dffhbk+urT9Y/vBG1IVGd9gf4X9twNmkcxVr2tnYp/rIdsE7mXO3L5&#10;NhCGm0eHxyNknaHlYDTODyNidnvUOh9ecKNIFEpaS9PNW3DhFXdN5AAK2Jz60B+6cY7b3khRLYWU&#10;SXHNai4d2UC873yJ3xDnnpvUpMOKx0d5zAiwi2vsHhSVRSa8bigB2eB4sOBS7Hun/eOCxCQX4Ns+&#10;mYQQc4FCiYATJIUq6XEevyFFqZGRSHJPa5RWprrE+3Gmb1xv2VIg7Cn4cA4OOxXzx1kOZ7hEykpq&#10;BomS1rgP/9qP/thAaKWkw87Hgt+vwXFK5EuNrfV8tL+PsCEp+wdHY1TcXcvqrkWv1dwg2dg9mF0S&#10;o3+QN2LtjHqHIz+LUdEEmmHsntpBmYd+IvHRYHw2S244HhbCqb6wLIJH3rSZrYOpRWqCW3YG0nBA&#10;UkMNwxwn8K6evG4fsO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fOqSj9oAAAALAQAADwAAAAAA&#10;AAABACAAAAAiAAAAZHJzL2Rvd25yZXYueG1sUEsBAhQAFAAAAAgAh07iQGZ1srWDAgAACAUAAA4A&#10;AAAAAAAAAQAgAAAAKQEAAGRycy9lMm9Eb2MueG1sUEsFBgAAAAAGAAYAWQEAAB4GAAAAAA==&#10;">
                      <v:fill on="t" focussize="0,0"/>
                      <v:stroke weight="1pt" color="#00FFFF [3204]" miterlimit="8" joinstyle="miter"/>
                      <v:imagedata o:title=""/>
                      <o:lock v:ext="edit" aspectratio="f"/>
                    </v:shape>
                  </w:pict>
                </mc:Fallback>
              </mc:AlternateContent>
            </w:r>
            <w:r>
              <w:drawing>
                <wp:inline distT="0" distB="0" distL="0" distR="0">
                  <wp:extent cx="4745990" cy="26606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4745990" cy="2660650"/>
                          </a:xfrm>
                          <a:prstGeom prst="rect">
                            <a:avLst/>
                          </a:prstGeom>
                        </pic:spPr>
                      </pic:pic>
                    </a:graphicData>
                  </a:graphic>
                </wp:inline>
              </w:drawing>
            </w:r>
          </w:p>
          <w:p w14:paraId="41355B9C">
            <w:pPr>
              <w:pStyle w:val="156"/>
            </w:pPr>
            <w:r>
              <w:rPr>
                <w:rFonts w:hint="eastAsia"/>
              </w:rPr>
              <w:t>图1</w:t>
            </w:r>
            <w:r>
              <w:t>-2  项目与</w:t>
            </w:r>
            <w:r>
              <w:rPr>
                <w:rFonts w:hint="eastAsia"/>
              </w:rPr>
              <w:t>巴中市环境</w:t>
            </w:r>
            <w:r>
              <w:t>管控单元相对位置</w:t>
            </w:r>
            <w:r>
              <w:rPr>
                <w:rFonts w:hint="eastAsia"/>
              </w:rPr>
              <w:t>关系图</w:t>
            </w:r>
          </w:p>
          <w:p w14:paraId="52D98532">
            <w:pPr>
              <w:pStyle w:val="180"/>
            </w:pPr>
            <w:r>
              <w:drawing>
                <wp:inline distT="0" distB="0" distL="0" distR="0">
                  <wp:extent cx="4745990" cy="346011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4745990" cy="3460115"/>
                          </a:xfrm>
                          <a:prstGeom prst="rect">
                            <a:avLst/>
                          </a:prstGeom>
                        </pic:spPr>
                      </pic:pic>
                    </a:graphicData>
                  </a:graphic>
                </wp:inline>
              </w:drawing>
            </w:r>
          </w:p>
          <w:p w14:paraId="25E7C366">
            <w:pPr>
              <w:pStyle w:val="156"/>
            </w:pPr>
            <w:r>
              <w:rPr>
                <w:rFonts w:hint="eastAsia"/>
              </w:rPr>
              <w:t>图1</w:t>
            </w:r>
            <w:r>
              <w:t xml:space="preserve">-3  </w:t>
            </w:r>
            <w:r>
              <w:rPr>
                <w:rFonts w:hint="eastAsia"/>
              </w:rPr>
              <w:t>生态环境分区管控查询结果截图</w:t>
            </w:r>
          </w:p>
        </w:tc>
      </w:tr>
    </w:tbl>
    <w:p w14:paraId="26494FD2">
      <w:pPr>
        <w:ind w:firstLine="420"/>
      </w:pPr>
    </w:p>
    <w:p w14:paraId="73502DAB">
      <w:pPr>
        <w:ind w:firstLine="0" w:firstLineChars="0"/>
        <w:sectPr>
          <w:headerReference r:id="rId11" w:type="default"/>
          <w:footerReference r:id="rId12" w:type="default"/>
          <w:pgSz w:w="11906" w:h="16838"/>
          <w:pgMar w:top="1440" w:right="1797" w:bottom="1440" w:left="1797" w:header="851" w:footer="958" w:gutter="0"/>
          <w:pgNumType w:fmt="numberInDash" w:start="1"/>
          <w:cols w:space="720" w:num="1"/>
          <w:docGrid w:linePitch="312" w:charSpace="0"/>
        </w:sectPr>
      </w:pPr>
    </w:p>
    <w:p w14:paraId="32E11E72">
      <w:pPr>
        <w:pStyle w:val="156"/>
      </w:pPr>
      <w:r>
        <w:rPr>
          <w:rFonts w:hint="eastAsia"/>
        </w:rPr>
        <w:t>表1</w:t>
      </w:r>
      <w:r>
        <w:t xml:space="preserve">-7  </w:t>
      </w:r>
      <w:r>
        <w:rPr>
          <w:rFonts w:hint="eastAsia"/>
        </w:rPr>
        <w:t>生态环境分区管控要求符合性分析</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83"/>
        <w:gridCol w:w="360"/>
        <w:gridCol w:w="419"/>
        <w:gridCol w:w="9073"/>
        <w:gridCol w:w="2189"/>
        <w:gridCol w:w="634"/>
      </w:tblGrid>
      <w:tr w14:paraId="1B666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3989" w:type="pct"/>
            <w:gridSpan w:val="4"/>
            <w:vAlign w:val="center"/>
          </w:tcPr>
          <w:p w14:paraId="0159D99A">
            <w:pPr>
              <w:pStyle w:val="135"/>
              <w:adjustRightInd w:val="0"/>
              <w:snapToGrid w:val="0"/>
              <w:rPr>
                <w:b/>
                <w:bCs/>
              </w:rPr>
            </w:pPr>
            <w:r>
              <w:rPr>
                <w:rFonts w:hint="eastAsia"/>
                <w:b/>
                <w:bCs/>
              </w:rPr>
              <w:t>生态环境分区管控的具体要求</w:t>
            </w:r>
          </w:p>
        </w:tc>
        <w:tc>
          <w:tcPr>
            <w:tcW w:w="784" w:type="pct"/>
            <w:vMerge w:val="restart"/>
            <w:vAlign w:val="center"/>
          </w:tcPr>
          <w:p w14:paraId="6EFDA8C8">
            <w:pPr>
              <w:pStyle w:val="135"/>
              <w:adjustRightInd w:val="0"/>
              <w:snapToGrid w:val="0"/>
              <w:rPr>
                <w:b/>
                <w:bCs/>
              </w:rPr>
            </w:pPr>
            <w:r>
              <w:rPr>
                <w:b/>
                <w:bCs/>
              </w:rPr>
              <w:t>项目对应情况介绍</w:t>
            </w:r>
          </w:p>
        </w:tc>
        <w:tc>
          <w:tcPr>
            <w:tcW w:w="227" w:type="pct"/>
            <w:vMerge w:val="restart"/>
            <w:vAlign w:val="center"/>
          </w:tcPr>
          <w:p w14:paraId="1440F792">
            <w:pPr>
              <w:pStyle w:val="135"/>
              <w:adjustRightInd w:val="0"/>
              <w:snapToGrid w:val="0"/>
              <w:rPr>
                <w:b/>
                <w:bCs/>
              </w:rPr>
            </w:pPr>
            <w:r>
              <w:rPr>
                <w:b/>
                <w:bCs/>
              </w:rPr>
              <w:t>符合性分析</w:t>
            </w:r>
          </w:p>
        </w:tc>
      </w:tr>
      <w:tr w14:paraId="71084D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739" w:type="pct"/>
            <w:gridSpan w:val="3"/>
            <w:vAlign w:val="center"/>
          </w:tcPr>
          <w:p w14:paraId="4246E71F">
            <w:pPr>
              <w:pStyle w:val="135"/>
              <w:adjustRightInd w:val="0"/>
              <w:snapToGrid w:val="0"/>
              <w:rPr>
                <w:b/>
                <w:bCs/>
              </w:rPr>
            </w:pPr>
            <w:r>
              <w:rPr>
                <w:b/>
                <w:bCs/>
              </w:rPr>
              <w:t>类别</w:t>
            </w:r>
          </w:p>
        </w:tc>
        <w:tc>
          <w:tcPr>
            <w:tcW w:w="3250" w:type="pct"/>
            <w:vAlign w:val="center"/>
          </w:tcPr>
          <w:p w14:paraId="351D63CF">
            <w:pPr>
              <w:pStyle w:val="135"/>
              <w:adjustRightInd w:val="0"/>
              <w:snapToGrid w:val="0"/>
              <w:rPr>
                <w:b/>
                <w:bCs/>
              </w:rPr>
            </w:pPr>
            <w:r>
              <w:rPr>
                <w:b/>
                <w:bCs/>
              </w:rPr>
              <w:t>对应管控要求</w:t>
            </w:r>
          </w:p>
        </w:tc>
        <w:tc>
          <w:tcPr>
            <w:tcW w:w="784" w:type="pct"/>
            <w:vMerge w:val="continue"/>
            <w:vAlign w:val="center"/>
          </w:tcPr>
          <w:p w14:paraId="438AC3FB">
            <w:pPr>
              <w:pStyle w:val="135"/>
              <w:adjustRightInd w:val="0"/>
              <w:snapToGrid w:val="0"/>
              <w:rPr>
                <w:b/>
                <w:bCs/>
              </w:rPr>
            </w:pPr>
          </w:p>
        </w:tc>
        <w:tc>
          <w:tcPr>
            <w:tcW w:w="227" w:type="pct"/>
            <w:vMerge w:val="continue"/>
            <w:vAlign w:val="center"/>
          </w:tcPr>
          <w:p w14:paraId="3D8D4E79">
            <w:pPr>
              <w:pStyle w:val="135"/>
              <w:adjustRightInd w:val="0"/>
              <w:snapToGrid w:val="0"/>
              <w:rPr>
                <w:b/>
                <w:bCs/>
              </w:rPr>
            </w:pPr>
          </w:p>
        </w:tc>
      </w:tr>
      <w:tr w14:paraId="6122AF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restart"/>
            <w:vAlign w:val="center"/>
          </w:tcPr>
          <w:p w14:paraId="4B407B91">
            <w:pPr>
              <w:pStyle w:val="135"/>
              <w:adjustRightInd w:val="0"/>
              <w:snapToGrid w:val="0"/>
            </w:pPr>
            <w:r>
              <w:rPr>
                <w:rFonts w:hint="eastAsia"/>
              </w:rPr>
              <w:t>ZH51190220006</w:t>
            </w:r>
          </w:p>
          <w:p w14:paraId="40F8849E">
            <w:pPr>
              <w:pStyle w:val="135"/>
              <w:adjustRightInd w:val="0"/>
              <w:snapToGrid w:val="0"/>
            </w:pPr>
            <w:r>
              <w:rPr>
                <w:rFonts w:hint="eastAsia"/>
              </w:rPr>
              <w:t>四川巴中经济开发区（核心区块、金堂区块）</w:t>
            </w:r>
          </w:p>
          <w:p w14:paraId="369D57AF">
            <w:pPr>
              <w:pStyle w:val="135"/>
              <w:adjustRightInd w:val="0"/>
              <w:snapToGrid w:val="0"/>
            </w:pPr>
            <w:r>
              <w:rPr>
                <w:rFonts w:hint="eastAsia"/>
              </w:rPr>
              <w:t>工业重点管控单元</w:t>
            </w:r>
          </w:p>
        </w:tc>
        <w:tc>
          <w:tcPr>
            <w:tcW w:w="129" w:type="pct"/>
            <w:vMerge w:val="restart"/>
            <w:vAlign w:val="center"/>
          </w:tcPr>
          <w:p w14:paraId="4D3993E3">
            <w:pPr>
              <w:pStyle w:val="135"/>
              <w:adjustRightInd w:val="0"/>
              <w:snapToGrid w:val="0"/>
            </w:pPr>
            <w:r>
              <w:rPr>
                <w:rFonts w:hint="eastAsia"/>
              </w:rPr>
              <w:t>普适性清单管控要求</w:t>
            </w:r>
          </w:p>
        </w:tc>
        <w:tc>
          <w:tcPr>
            <w:tcW w:w="150" w:type="pct"/>
            <w:vAlign w:val="center"/>
          </w:tcPr>
          <w:p w14:paraId="34EB57F6">
            <w:pPr>
              <w:pStyle w:val="135"/>
              <w:adjustRightInd w:val="0"/>
              <w:snapToGrid w:val="0"/>
            </w:pPr>
            <w:r>
              <w:rPr>
                <w:rFonts w:hint="eastAsia"/>
              </w:rPr>
              <w:t>空间布局约束</w:t>
            </w:r>
          </w:p>
        </w:tc>
        <w:tc>
          <w:tcPr>
            <w:tcW w:w="3250" w:type="pct"/>
            <w:vAlign w:val="center"/>
          </w:tcPr>
          <w:p w14:paraId="439A52CE">
            <w:pPr>
              <w:pStyle w:val="135"/>
              <w:adjustRightInd w:val="0"/>
              <w:snapToGrid w:val="0"/>
              <w:jc w:val="both"/>
              <w:rPr>
                <w:b/>
                <w:bCs/>
              </w:rPr>
            </w:pPr>
            <w:r>
              <w:rPr>
                <w:rFonts w:hint="eastAsia"/>
                <w:b/>
                <w:bCs/>
              </w:rPr>
              <w:t>禁止开发建设活动的要求：</w:t>
            </w:r>
          </w:p>
          <w:p w14:paraId="5C1A657D">
            <w:pPr>
              <w:pStyle w:val="135"/>
              <w:adjustRightInd w:val="0"/>
              <w:snapToGrid w:val="0"/>
              <w:jc w:val="both"/>
            </w:pPr>
            <w:r>
              <w:rPr>
                <w:rFonts w:hint="eastAsia"/>
              </w:rPr>
              <w:t>（1）禁止在长江干支流、重要湖泊岸线一公里范围内新建、扩建化工园区和化工项目。禁止在长江干流岸线三公里范围内和重要支流岸线一公里范围内新建、改建、扩建尾矿库（以提升安全、生态环境保护水平为目的的改建除外）。</w:t>
            </w:r>
          </w:p>
          <w:p w14:paraId="7BB45A7A">
            <w:pPr>
              <w:pStyle w:val="135"/>
              <w:adjustRightInd w:val="0"/>
              <w:snapToGrid w:val="0"/>
              <w:jc w:val="both"/>
            </w:pPr>
            <w:r>
              <w:rPr>
                <w:rFonts w:hint="eastAsia"/>
              </w:rPr>
              <w:t>（2）禁止在长江流域河湖管理范围内倾倒、填埋、堆放、弃置、处理固体废物。</w:t>
            </w:r>
          </w:p>
          <w:p w14:paraId="50FFF401">
            <w:pPr>
              <w:pStyle w:val="135"/>
              <w:adjustRightInd w:val="0"/>
              <w:snapToGrid w:val="0"/>
              <w:jc w:val="both"/>
            </w:pPr>
            <w:r>
              <w:rPr>
                <w:rFonts w:hint="eastAsia"/>
              </w:rPr>
              <w:t>（3）在禁燃区内禁止销售、燃用高污染燃料。禁燃区内禁止新建、扩建燃用高污染燃料的设施。</w:t>
            </w:r>
          </w:p>
          <w:p w14:paraId="46563212">
            <w:pPr>
              <w:pStyle w:val="135"/>
              <w:adjustRightInd w:val="0"/>
              <w:snapToGrid w:val="0"/>
              <w:jc w:val="both"/>
            </w:pPr>
            <w:r>
              <w:rPr>
                <w:rFonts w:hint="eastAsia"/>
              </w:rPr>
              <w:t>（4）未通过认定的化工园区，不得新建、改扩建化工项目（安全、环保、节能和智能化改造项目除外），按属地原则依法依规妥善做好未通过认定化工园区及园内企业的转型、关闭、处置及监管工作。</w:t>
            </w:r>
          </w:p>
          <w:p w14:paraId="73CBB494">
            <w:pPr>
              <w:pStyle w:val="135"/>
              <w:adjustRightInd w:val="0"/>
              <w:snapToGrid w:val="0"/>
              <w:jc w:val="both"/>
              <w:rPr>
                <w:b/>
                <w:bCs/>
              </w:rPr>
            </w:pPr>
            <w:r>
              <w:rPr>
                <w:rFonts w:hint="eastAsia"/>
                <w:b/>
                <w:bCs/>
              </w:rPr>
              <w:t>限制开发建设活动的要求：</w:t>
            </w:r>
          </w:p>
          <w:p w14:paraId="39CC8239">
            <w:pPr>
              <w:pStyle w:val="135"/>
              <w:adjustRightInd w:val="0"/>
              <w:snapToGrid w:val="0"/>
              <w:jc w:val="both"/>
            </w:pPr>
            <w:r>
              <w:rPr>
                <w:rFonts w:hint="eastAsia"/>
              </w:rPr>
              <w:t>（1）继续化解过剩产能，严禁钢铁、水泥、电解铝、平板玻璃等行业新增产能，对确有必要新建的必须实施等量或减量置换。</w:t>
            </w:r>
          </w:p>
          <w:p w14:paraId="392068C5">
            <w:pPr>
              <w:pStyle w:val="135"/>
              <w:adjustRightInd w:val="0"/>
              <w:snapToGrid w:val="0"/>
              <w:jc w:val="both"/>
            </w:pPr>
            <w:r>
              <w:rPr>
                <w:rFonts w:hint="eastAsia"/>
              </w:rPr>
              <w:t>（2）严格执行《矿产资源开采管理办法》的相关规定。</w:t>
            </w:r>
          </w:p>
          <w:p w14:paraId="721DDDD0">
            <w:pPr>
              <w:pStyle w:val="135"/>
              <w:adjustRightInd w:val="0"/>
              <w:snapToGrid w:val="0"/>
              <w:jc w:val="both"/>
              <w:rPr>
                <w:b/>
                <w:bCs/>
              </w:rPr>
            </w:pPr>
            <w:r>
              <w:rPr>
                <w:rFonts w:hint="eastAsia"/>
                <w:b/>
                <w:bCs/>
              </w:rPr>
              <w:t>不符合空间布局要求活动的退出要求：</w:t>
            </w:r>
          </w:p>
          <w:p w14:paraId="149E96C2">
            <w:pPr>
              <w:pStyle w:val="135"/>
              <w:adjustRightInd w:val="0"/>
              <w:snapToGrid w:val="0"/>
              <w:jc w:val="both"/>
            </w:pPr>
            <w:r>
              <w:rPr>
                <w:rFonts w:hint="eastAsia"/>
              </w:rPr>
              <w:t>现有属于园区禁止引入产业门类的企业，原则上限制发展，污染物排放只降不增，允许以提升安全、生态环境保护水平为目的的改建，引导企业结合产业升级等适时搬迁。</w:t>
            </w:r>
          </w:p>
          <w:p w14:paraId="77C26218">
            <w:pPr>
              <w:pStyle w:val="135"/>
              <w:adjustRightInd w:val="0"/>
              <w:snapToGrid w:val="0"/>
              <w:jc w:val="both"/>
            </w:pPr>
            <w:r>
              <w:rPr>
                <w:rFonts w:hint="eastAsia"/>
                <w:b/>
                <w:bCs/>
              </w:rPr>
              <w:t>其他空间布局约束要求：</w:t>
            </w:r>
            <w:r>
              <w:rPr>
                <w:rFonts w:hint="eastAsia"/>
              </w:rPr>
              <w:t>无。</w:t>
            </w:r>
          </w:p>
        </w:tc>
        <w:tc>
          <w:tcPr>
            <w:tcW w:w="784" w:type="pct"/>
            <w:vAlign w:val="center"/>
          </w:tcPr>
          <w:p w14:paraId="738364B6">
            <w:pPr>
              <w:pStyle w:val="135"/>
              <w:adjustRightInd w:val="0"/>
              <w:snapToGrid w:val="0"/>
              <w:jc w:val="both"/>
              <w:rPr>
                <w:b/>
                <w:bCs/>
              </w:rPr>
            </w:pPr>
            <w:r>
              <w:rPr>
                <w:rFonts w:hint="eastAsia"/>
                <w:b/>
                <w:bCs/>
              </w:rPr>
              <w:t>禁止开发建设活动的要求：</w:t>
            </w:r>
          </w:p>
          <w:p w14:paraId="292C136E">
            <w:pPr>
              <w:pStyle w:val="135"/>
              <w:adjustRightInd w:val="0"/>
              <w:snapToGrid w:val="0"/>
              <w:jc w:val="both"/>
            </w:pPr>
            <w:r>
              <w:rPr>
                <w:rFonts w:hint="eastAsia"/>
              </w:rPr>
              <w:t>（1）不涉及；</w:t>
            </w:r>
          </w:p>
          <w:p w14:paraId="5649AEAA">
            <w:pPr>
              <w:pStyle w:val="135"/>
              <w:adjustRightInd w:val="0"/>
              <w:snapToGrid w:val="0"/>
              <w:jc w:val="both"/>
            </w:pPr>
            <w:r>
              <w:rPr>
                <w:rFonts w:hint="eastAsia"/>
              </w:rPr>
              <w:t>（2）不涉及；</w:t>
            </w:r>
          </w:p>
          <w:p w14:paraId="3AF93A45">
            <w:pPr>
              <w:pStyle w:val="135"/>
              <w:adjustRightInd w:val="0"/>
              <w:snapToGrid w:val="0"/>
              <w:jc w:val="both"/>
              <w:rPr>
                <w:snapToGrid w:val="0"/>
                <w:szCs w:val="18"/>
              </w:rPr>
            </w:pPr>
            <w:r>
              <w:rPr>
                <w:rFonts w:hint="eastAsia"/>
              </w:rPr>
              <w:t>（3）本项目位于巴中经开区兴文街道</w:t>
            </w:r>
            <w:r>
              <w:rPr>
                <w:rFonts w:hint="eastAsia"/>
                <w:snapToGrid w:val="0"/>
                <w:szCs w:val="18"/>
              </w:rPr>
              <w:t>，对照《巴中市人民政府关于调整划定巴中市中心城区高污染燃料禁燃区的通告》（〔2021〕第1号），本项目不在禁燃区范围内；</w:t>
            </w:r>
          </w:p>
          <w:p w14:paraId="0B1450D6">
            <w:pPr>
              <w:pStyle w:val="135"/>
              <w:adjustRightInd w:val="0"/>
              <w:snapToGrid w:val="0"/>
              <w:jc w:val="both"/>
            </w:pPr>
            <w:r>
              <w:rPr>
                <w:rFonts w:hint="eastAsia"/>
                <w:snapToGrid w:val="0"/>
                <w:szCs w:val="18"/>
              </w:rPr>
              <w:t>（4）不涉及。</w:t>
            </w:r>
          </w:p>
          <w:p w14:paraId="352DE98F">
            <w:pPr>
              <w:pStyle w:val="135"/>
              <w:adjustRightInd w:val="0"/>
              <w:snapToGrid w:val="0"/>
              <w:jc w:val="both"/>
              <w:rPr>
                <w:b/>
                <w:bCs/>
              </w:rPr>
            </w:pPr>
            <w:r>
              <w:rPr>
                <w:rFonts w:hint="eastAsia"/>
                <w:b/>
                <w:bCs/>
              </w:rPr>
              <w:t>限制开发建设活动的要求：</w:t>
            </w:r>
          </w:p>
          <w:p w14:paraId="1E019EF2">
            <w:pPr>
              <w:pStyle w:val="135"/>
              <w:adjustRightInd w:val="0"/>
              <w:snapToGrid w:val="0"/>
              <w:jc w:val="both"/>
            </w:pPr>
            <w:r>
              <w:rPr>
                <w:rFonts w:hint="eastAsia"/>
              </w:rPr>
              <w:t>（1）不涉及；</w:t>
            </w:r>
          </w:p>
          <w:p w14:paraId="61997AA7">
            <w:pPr>
              <w:pStyle w:val="135"/>
              <w:adjustRightInd w:val="0"/>
              <w:snapToGrid w:val="0"/>
              <w:jc w:val="both"/>
            </w:pPr>
            <w:r>
              <w:rPr>
                <w:rFonts w:hint="eastAsia"/>
              </w:rPr>
              <w:t>（2）不涉及；</w:t>
            </w:r>
          </w:p>
          <w:p w14:paraId="5950EE55">
            <w:pPr>
              <w:pStyle w:val="135"/>
              <w:adjustRightInd w:val="0"/>
              <w:snapToGrid w:val="0"/>
              <w:jc w:val="both"/>
              <w:rPr>
                <w:b/>
                <w:bCs/>
              </w:rPr>
            </w:pPr>
            <w:r>
              <w:rPr>
                <w:rFonts w:hint="eastAsia"/>
                <w:b/>
                <w:bCs/>
              </w:rPr>
              <w:t>不符合空间布局要求活动的退出要求：</w:t>
            </w:r>
          </w:p>
          <w:p w14:paraId="773A2475">
            <w:pPr>
              <w:pStyle w:val="135"/>
              <w:adjustRightInd w:val="0"/>
              <w:snapToGrid w:val="0"/>
              <w:jc w:val="both"/>
            </w:pPr>
            <w:r>
              <w:rPr>
                <w:rFonts w:hint="eastAsia"/>
              </w:rPr>
              <w:t>本项目为建筑砌块制造项目，不属于园区禁止引入的项目。</w:t>
            </w:r>
          </w:p>
        </w:tc>
        <w:tc>
          <w:tcPr>
            <w:tcW w:w="227" w:type="pct"/>
            <w:vAlign w:val="center"/>
          </w:tcPr>
          <w:p w14:paraId="0C959285">
            <w:pPr>
              <w:pStyle w:val="135"/>
              <w:adjustRightInd w:val="0"/>
              <w:snapToGrid w:val="0"/>
            </w:pPr>
            <w:r>
              <w:rPr>
                <w:rFonts w:hint="eastAsia"/>
              </w:rPr>
              <w:t>符合</w:t>
            </w:r>
          </w:p>
        </w:tc>
      </w:tr>
      <w:tr w14:paraId="68F838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14:paraId="0AA3D6BB">
            <w:pPr>
              <w:pStyle w:val="135"/>
              <w:adjustRightInd w:val="0"/>
              <w:snapToGrid w:val="0"/>
            </w:pPr>
          </w:p>
        </w:tc>
        <w:tc>
          <w:tcPr>
            <w:tcW w:w="129" w:type="pct"/>
            <w:vMerge w:val="continue"/>
            <w:vAlign w:val="center"/>
          </w:tcPr>
          <w:p w14:paraId="4A718173">
            <w:pPr>
              <w:pStyle w:val="135"/>
              <w:adjustRightInd w:val="0"/>
              <w:snapToGrid w:val="0"/>
            </w:pPr>
          </w:p>
        </w:tc>
        <w:tc>
          <w:tcPr>
            <w:tcW w:w="150" w:type="pct"/>
            <w:vAlign w:val="center"/>
          </w:tcPr>
          <w:p w14:paraId="7F7FF77C">
            <w:pPr>
              <w:pStyle w:val="135"/>
              <w:adjustRightInd w:val="0"/>
              <w:snapToGrid w:val="0"/>
            </w:pPr>
            <w:r>
              <w:rPr>
                <w:rFonts w:hint="eastAsia"/>
              </w:rPr>
              <w:t>污染物排放管控</w:t>
            </w:r>
          </w:p>
        </w:tc>
        <w:tc>
          <w:tcPr>
            <w:tcW w:w="3250" w:type="pct"/>
            <w:vAlign w:val="center"/>
          </w:tcPr>
          <w:p w14:paraId="32268E58">
            <w:pPr>
              <w:pStyle w:val="135"/>
              <w:adjustRightInd w:val="0"/>
              <w:snapToGrid w:val="0"/>
              <w:jc w:val="both"/>
              <w:rPr>
                <w:b/>
                <w:bCs/>
              </w:rPr>
            </w:pPr>
            <w:r>
              <w:rPr>
                <w:b/>
                <w:bCs/>
              </w:rPr>
              <w:t>允许排放量要求：</w:t>
            </w:r>
          </w:p>
          <w:p w14:paraId="3BB4E816">
            <w:pPr>
              <w:pStyle w:val="135"/>
              <w:adjustRightInd w:val="0"/>
              <w:snapToGrid w:val="0"/>
              <w:jc w:val="both"/>
            </w:pPr>
            <w:r>
              <w:rPr>
                <w:rFonts w:hint="eastAsia"/>
              </w:rPr>
              <w:t>（1）为达2025年及2035年环境空气质量目标，14个工业重点管控单元大气污染物允许排放量2025年为：PM</w:t>
            </w:r>
            <w:r>
              <w:rPr>
                <w:rFonts w:hint="eastAsia"/>
                <w:vertAlign w:val="subscript"/>
              </w:rPr>
              <w:t>2.5</w:t>
            </w:r>
            <w:r>
              <w:rPr>
                <w:rFonts w:hint="eastAsia"/>
              </w:rPr>
              <w:t>允许排放量4950吨、SO</w:t>
            </w:r>
            <w:r>
              <w:rPr>
                <w:rFonts w:hint="eastAsia"/>
                <w:vertAlign w:val="subscript"/>
              </w:rPr>
              <w:t>2</w:t>
            </w:r>
            <w:r>
              <w:rPr>
                <w:rFonts w:hint="eastAsia"/>
              </w:rPr>
              <w:t>允许排放量3502吨、NOx允许排放量8906吨、VOCs 允许排放量12506吨，2035年为：PM</w:t>
            </w:r>
            <w:r>
              <w:rPr>
                <w:rFonts w:hint="eastAsia"/>
                <w:vertAlign w:val="subscript"/>
              </w:rPr>
              <w:t>2.5</w:t>
            </w:r>
            <w:r>
              <w:rPr>
                <w:rFonts w:hint="eastAsia"/>
              </w:rPr>
              <w:t>允许排放量4595吨、SO</w:t>
            </w:r>
            <w:r>
              <w:rPr>
                <w:rFonts w:hint="eastAsia"/>
                <w:vertAlign w:val="subscript"/>
              </w:rPr>
              <w:t>2</w:t>
            </w:r>
            <w:r>
              <w:rPr>
                <w:rFonts w:hint="eastAsia"/>
              </w:rPr>
              <w:t>允许排放量3133吨、NOx允许排放量8656吨、VOCs 允许排放量12098吨。</w:t>
            </w:r>
          </w:p>
          <w:p w14:paraId="0C2F8DFA">
            <w:pPr>
              <w:pStyle w:val="135"/>
              <w:adjustRightInd w:val="0"/>
              <w:snapToGrid w:val="0"/>
              <w:jc w:val="both"/>
            </w:pPr>
            <w:r>
              <w:rPr>
                <w:rFonts w:hint="eastAsia"/>
              </w:rPr>
              <w:t>（2）为保证2025、2035年区域地表水控制断面达标，15个工业重点管控单元COD、氨氮、总磷允许排放量2025年控制在233465.09吨、2863.81吨、409.92吨以下，2035年控制在24638.35吨、3007.02吨、430.41吨以下。</w:t>
            </w:r>
          </w:p>
          <w:p w14:paraId="6B4640A9">
            <w:pPr>
              <w:pStyle w:val="135"/>
              <w:adjustRightInd w:val="0"/>
              <w:snapToGrid w:val="0"/>
              <w:jc w:val="both"/>
              <w:rPr>
                <w:b/>
                <w:bCs/>
              </w:rPr>
            </w:pPr>
            <w:r>
              <w:rPr>
                <w:rFonts w:hint="eastAsia"/>
                <w:b/>
                <w:bCs/>
              </w:rPr>
              <w:t>现有源提标升级改造：</w:t>
            </w:r>
          </w:p>
          <w:p w14:paraId="785C6899">
            <w:pPr>
              <w:pStyle w:val="135"/>
              <w:adjustRightInd w:val="0"/>
              <w:snapToGrid w:val="0"/>
              <w:jc w:val="both"/>
            </w:pPr>
            <w:r>
              <w:rPr>
                <w:rFonts w:hint="eastAsia"/>
              </w:rPr>
              <w:t>（1）推进工业园区污水处理设施建设，确保园区工业废水达标排放。</w:t>
            </w:r>
          </w:p>
          <w:p w14:paraId="1CAB8BCF">
            <w:pPr>
              <w:pStyle w:val="135"/>
              <w:adjustRightInd w:val="0"/>
              <w:snapToGrid w:val="0"/>
              <w:jc w:val="both"/>
            </w:pPr>
            <w:r>
              <w:rPr>
                <w:rFonts w:hint="eastAsia"/>
              </w:rPr>
              <w:t>（2）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7C1F44EF">
            <w:pPr>
              <w:pStyle w:val="135"/>
              <w:adjustRightInd w:val="0"/>
              <w:snapToGrid w:val="0"/>
              <w:jc w:val="both"/>
              <w:rPr>
                <w:b/>
                <w:bCs/>
              </w:rPr>
            </w:pPr>
            <w:r>
              <w:rPr>
                <w:rFonts w:hint="eastAsia"/>
                <w:b/>
                <w:bCs/>
              </w:rPr>
              <w:t>其他污染物排放管控要求：</w:t>
            </w:r>
          </w:p>
          <w:p w14:paraId="3E03FE4B">
            <w:pPr>
              <w:pStyle w:val="135"/>
              <w:adjustRightInd w:val="0"/>
              <w:snapToGrid w:val="0"/>
              <w:jc w:val="both"/>
            </w:pPr>
            <w:r>
              <w:rPr>
                <w:rFonts w:hint="eastAsia"/>
              </w:rPr>
              <w:t>（1）污染物排放绩效水平准入要求：</w:t>
            </w:r>
          </w:p>
          <w:p w14:paraId="3A3F5FC9">
            <w:pPr>
              <w:pStyle w:val="135"/>
              <w:adjustRightInd w:val="0"/>
              <w:snapToGrid w:val="0"/>
              <w:jc w:val="both"/>
            </w:pPr>
            <w:r>
              <w:rPr>
                <w:rFonts w:hint="eastAsia"/>
              </w:rPr>
              <w:t>①新、改、扩建涉及VOCs排放项目，从原辅材料和工艺过程大力推广使用低（无）VOCs含量的涂料、有机溶剂、胶黏剂、油墨等原辅材料，配套改进生产工艺。</w:t>
            </w:r>
          </w:p>
          <w:p w14:paraId="2C4A6203">
            <w:pPr>
              <w:pStyle w:val="135"/>
              <w:adjustRightInd w:val="0"/>
              <w:snapToGrid w:val="0"/>
              <w:jc w:val="both"/>
            </w:pPr>
            <w:r>
              <w:rPr>
                <w:rFonts w:hint="eastAsia"/>
              </w:rPr>
              <w:t>②重点对工业涂装、包装印刷、制鞋、电子信息、木材加工、化纤等重点行业实施源头替代。推进木质家具制造行业水性、紫外光固化等低挥发性涂料替代比例达到60%以上、水性胶粘剂替代比例达到100%，钢结构制造行业高固体分涂料替代比例达到50%以上，包装印刷企业低VOCs含量绿色原辅材料替代比例达到60%以上。</w:t>
            </w:r>
          </w:p>
          <w:p w14:paraId="3C9EC536">
            <w:pPr>
              <w:pStyle w:val="135"/>
              <w:adjustRightInd w:val="0"/>
              <w:snapToGrid w:val="0"/>
              <w:jc w:val="both"/>
            </w:pPr>
            <w:r>
              <w:rPr>
                <w:rFonts w:hint="eastAsia"/>
              </w:rPr>
              <w:t>③到2030年巴中中心城区污水处理率达到100%，工业废水排放达标率100%。</w:t>
            </w:r>
          </w:p>
          <w:p w14:paraId="32008455">
            <w:pPr>
              <w:pStyle w:val="135"/>
              <w:adjustRightInd w:val="0"/>
              <w:snapToGrid w:val="0"/>
              <w:jc w:val="both"/>
            </w:pPr>
            <w:r>
              <w:rPr>
                <w:rFonts w:hint="eastAsia"/>
              </w:rPr>
              <w:t>（2）化工园区应按照分类收集，分质处理的要求，配备专业化工生产废水集中处理设施（独立建设或依托骨干企业）及专管或明管输送的配套管网，化工生产废水纳管率达到100%。入河排污口设置应符合相关规定。</w:t>
            </w:r>
          </w:p>
          <w:p w14:paraId="58E170F1">
            <w:pPr>
              <w:pStyle w:val="135"/>
              <w:adjustRightInd w:val="0"/>
              <w:snapToGrid w:val="0"/>
              <w:jc w:val="both"/>
            </w:pPr>
            <w:r>
              <w:rPr>
                <w:rFonts w:hint="eastAsia"/>
              </w:rPr>
              <w:t>（3）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0780C8CB">
            <w:pPr>
              <w:pStyle w:val="135"/>
              <w:adjustRightInd w:val="0"/>
              <w:snapToGrid w:val="0"/>
              <w:jc w:val="both"/>
            </w:pPr>
            <w:r>
              <w:rPr>
                <w:rFonts w:hint="eastAsia"/>
              </w:rPr>
              <w:t>（4）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tc>
        <w:tc>
          <w:tcPr>
            <w:tcW w:w="784" w:type="pct"/>
            <w:vAlign w:val="center"/>
          </w:tcPr>
          <w:p w14:paraId="7AB27A62">
            <w:pPr>
              <w:pStyle w:val="135"/>
              <w:adjustRightInd w:val="0"/>
              <w:snapToGrid w:val="0"/>
              <w:jc w:val="left"/>
              <w:rPr>
                <w:b/>
                <w:bCs/>
              </w:rPr>
            </w:pPr>
            <w:r>
              <w:rPr>
                <w:b/>
                <w:bCs/>
              </w:rPr>
              <w:t>允许排放量要求：</w:t>
            </w:r>
          </w:p>
          <w:p w14:paraId="518C4A72">
            <w:pPr>
              <w:pStyle w:val="135"/>
              <w:adjustRightInd w:val="0"/>
              <w:snapToGrid w:val="0"/>
              <w:jc w:val="both"/>
            </w:pPr>
            <w:r>
              <w:rPr>
                <w:rFonts w:hint="eastAsia"/>
              </w:rPr>
              <w:t>（1）本项目建议废气总量指标为SO</w:t>
            </w:r>
            <w:r>
              <w:rPr>
                <w:rFonts w:hint="eastAsia"/>
                <w:vertAlign w:val="subscript"/>
              </w:rPr>
              <w:t>2</w:t>
            </w:r>
            <w:r>
              <w:rPr>
                <w:vertAlign w:val="subscript"/>
              </w:rPr>
              <w:t xml:space="preserve"> </w:t>
            </w:r>
            <w:r>
              <w:rPr>
                <w:rFonts w:hint="eastAsia"/>
              </w:rPr>
              <w:t>1</w:t>
            </w:r>
            <w:r>
              <w:t>.099</w:t>
            </w:r>
            <w:r>
              <w:rPr>
                <w:rFonts w:hint="eastAsia"/>
              </w:rPr>
              <w:t>t</w:t>
            </w:r>
            <w:r>
              <w:t>/</w:t>
            </w:r>
            <w:r>
              <w:rPr>
                <w:rFonts w:hint="eastAsia"/>
              </w:rPr>
              <w:t>a、NOx</w:t>
            </w:r>
            <w:r>
              <w:t xml:space="preserve"> 1.649</w:t>
            </w:r>
            <w:r>
              <w:rPr>
                <w:rFonts w:hint="eastAsia"/>
              </w:rPr>
              <w:t>t</w:t>
            </w:r>
            <w:r>
              <w:t>/</w:t>
            </w:r>
            <w:r>
              <w:rPr>
                <w:rFonts w:hint="eastAsia"/>
              </w:rPr>
              <w:t xml:space="preserve">a、颗粒物 </w:t>
            </w:r>
            <w:r>
              <w:t>0.058</w:t>
            </w:r>
            <w:r>
              <w:rPr>
                <w:rFonts w:hint="eastAsia"/>
              </w:rPr>
              <w:t>t</w:t>
            </w:r>
            <w:r>
              <w:t>/</w:t>
            </w:r>
            <w:r>
              <w:rPr>
                <w:rFonts w:hint="eastAsia"/>
              </w:rPr>
              <w:t>a。</w:t>
            </w:r>
          </w:p>
          <w:p w14:paraId="5510FA50">
            <w:pPr>
              <w:pStyle w:val="135"/>
              <w:adjustRightInd w:val="0"/>
              <w:snapToGrid w:val="0"/>
              <w:jc w:val="both"/>
            </w:pPr>
            <w:r>
              <w:rPr>
                <w:rFonts w:hint="eastAsia"/>
              </w:rPr>
              <w:t>（2）本项目生产废水全部回用，生活污水预处理后排入巴中经开区污水处理厂。</w:t>
            </w:r>
          </w:p>
          <w:p w14:paraId="185D55A8">
            <w:pPr>
              <w:pStyle w:val="135"/>
              <w:adjustRightInd w:val="0"/>
              <w:snapToGrid w:val="0"/>
              <w:jc w:val="both"/>
              <w:rPr>
                <w:b/>
                <w:bCs/>
              </w:rPr>
            </w:pPr>
            <w:r>
              <w:rPr>
                <w:rFonts w:hint="eastAsia"/>
                <w:b/>
                <w:bCs/>
              </w:rPr>
              <w:t>现有源提标升级改造：</w:t>
            </w:r>
          </w:p>
          <w:p w14:paraId="37EFB13D">
            <w:pPr>
              <w:pStyle w:val="135"/>
              <w:adjustRightInd w:val="0"/>
              <w:snapToGrid w:val="0"/>
              <w:jc w:val="both"/>
            </w:pPr>
            <w:r>
              <w:rPr>
                <w:rFonts w:hint="eastAsia"/>
              </w:rPr>
              <w:t>不涉及。</w:t>
            </w:r>
          </w:p>
          <w:p w14:paraId="7F432740">
            <w:pPr>
              <w:pStyle w:val="135"/>
              <w:adjustRightInd w:val="0"/>
              <w:snapToGrid w:val="0"/>
              <w:jc w:val="both"/>
            </w:pPr>
            <w:r>
              <w:rPr>
                <w:rFonts w:hint="eastAsia"/>
                <w:b/>
                <w:bCs/>
              </w:rPr>
              <w:t>其他污染物排放管控要求</w:t>
            </w:r>
            <w:r>
              <w:rPr>
                <w:rFonts w:hint="eastAsia"/>
              </w:rPr>
              <w:t>：</w:t>
            </w:r>
          </w:p>
          <w:p w14:paraId="2677C7C3">
            <w:pPr>
              <w:pStyle w:val="135"/>
              <w:adjustRightInd w:val="0"/>
              <w:snapToGrid w:val="0"/>
              <w:jc w:val="both"/>
            </w:pPr>
            <w:r>
              <w:rPr>
                <w:rFonts w:hint="eastAsia"/>
              </w:rPr>
              <w:t>（1）本项目不涉及VOCs排放，废水处理率1</w:t>
            </w:r>
            <w:r>
              <w:t>00%</w:t>
            </w:r>
            <w:r>
              <w:rPr>
                <w:rFonts w:hint="eastAsia"/>
              </w:rPr>
              <w:t>，工业废水全部回用，不排放；</w:t>
            </w:r>
          </w:p>
          <w:p w14:paraId="136451D6">
            <w:pPr>
              <w:pStyle w:val="135"/>
              <w:adjustRightInd w:val="0"/>
              <w:snapToGrid w:val="0"/>
              <w:jc w:val="both"/>
            </w:pPr>
            <w:r>
              <w:rPr>
                <w:rFonts w:hint="eastAsia"/>
              </w:rPr>
              <w:t>（2）不涉及；</w:t>
            </w:r>
          </w:p>
          <w:p w14:paraId="162E3F90">
            <w:pPr>
              <w:pStyle w:val="135"/>
              <w:adjustRightInd w:val="0"/>
              <w:snapToGrid w:val="0"/>
              <w:jc w:val="both"/>
            </w:pPr>
            <w:r>
              <w:rPr>
                <w:rFonts w:hint="eastAsia"/>
              </w:rPr>
              <w:t>（3）不涉及；</w:t>
            </w:r>
          </w:p>
          <w:p w14:paraId="72A3D9BA">
            <w:pPr>
              <w:pStyle w:val="135"/>
              <w:adjustRightInd w:val="0"/>
              <w:snapToGrid w:val="0"/>
              <w:jc w:val="both"/>
            </w:pPr>
            <w:r>
              <w:rPr>
                <w:rFonts w:hint="eastAsia"/>
              </w:rPr>
              <w:t>（4）本项目不涉及VOCs排放。</w:t>
            </w:r>
          </w:p>
        </w:tc>
        <w:tc>
          <w:tcPr>
            <w:tcW w:w="227" w:type="pct"/>
            <w:vAlign w:val="center"/>
          </w:tcPr>
          <w:p w14:paraId="12E4A770">
            <w:pPr>
              <w:pStyle w:val="135"/>
              <w:adjustRightInd w:val="0"/>
              <w:snapToGrid w:val="0"/>
            </w:pPr>
            <w:r>
              <w:rPr>
                <w:rFonts w:hint="eastAsia"/>
              </w:rPr>
              <w:t>符合</w:t>
            </w:r>
          </w:p>
        </w:tc>
      </w:tr>
      <w:tr w14:paraId="07D62A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14:paraId="15A3E9AC">
            <w:pPr>
              <w:pStyle w:val="135"/>
              <w:adjustRightInd w:val="0"/>
              <w:snapToGrid w:val="0"/>
            </w:pPr>
          </w:p>
        </w:tc>
        <w:tc>
          <w:tcPr>
            <w:tcW w:w="129" w:type="pct"/>
            <w:vMerge w:val="continue"/>
            <w:vAlign w:val="center"/>
          </w:tcPr>
          <w:p w14:paraId="4C481944">
            <w:pPr>
              <w:pStyle w:val="135"/>
              <w:adjustRightInd w:val="0"/>
              <w:snapToGrid w:val="0"/>
            </w:pPr>
          </w:p>
        </w:tc>
        <w:tc>
          <w:tcPr>
            <w:tcW w:w="150" w:type="pct"/>
            <w:vAlign w:val="center"/>
          </w:tcPr>
          <w:p w14:paraId="04FE1EDF">
            <w:pPr>
              <w:pStyle w:val="135"/>
              <w:adjustRightInd w:val="0"/>
              <w:snapToGrid w:val="0"/>
            </w:pPr>
            <w:r>
              <w:rPr>
                <w:rFonts w:hint="eastAsia"/>
              </w:rPr>
              <w:t>环境风险防控</w:t>
            </w:r>
          </w:p>
        </w:tc>
        <w:tc>
          <w:tcPr>
            <w:tcW w:w="3250" w:type="pct"/>
            <w:vAlign w:val="center"/>
          </w:tcPr>
          <w:p w14:paraId="5AC35540">
            <w:pPr>
              <w:pStyle w:val="135"/>
              <w:adjustRightInd w:val="0"/>
              <w:snapToGrid w:val="0"/>
              <w:jc w:val="both"/>
            </w:pPr>
            <w:r>
              <w:rPr>
                <w:rFonts w:hint="eastAsia"/>
                <w:b/>
                <w:bCs/>
              </w:rPr>
              <w:t>联防联控要求：</w:t>
            </w:r>
          </w:p>
          <w:p w14:paraId="71255276">
            <w:pPr>
              <w:pStyle w:val="135"/>
              <w:adjustRightInd w:val="0"/>
              <w:snapToGrid w:val="0"/>
              <w:jc w:val="both"/>
            </w:pPr>
            <w:r>
              <w:rPr>
                <w:rFonts w:hint="eastAsia"/>
              </w:rPr>
              <w:t>强化大气污染区域联防联控措施，实施重污染天气应急管控。修订重污染天气应急预案，动态更新污染源排放清单，落实重点企业错峰生产、压产限产、工地停工等强制性措施，有效减缓重污染天气影响。</w:t>
            </w:r>
          </w:p>
          <w:p w14:paraId="23F30A55">
            <w:pPr>
              <w:pStyle w:val="135"/>
              <w:adjustRightInd w:val="0"/>
              <w:snapToGrid w:val="0"/>
              <w:jc w:val="both"/>
              <w:rPr>
                <w:b/>
                <w:bCs/>
              </w:rPr>
            </w:pPr>
            <w:r>
              <w:rPr>
                <w:rFonts w:hint="eastAsia"/>
                <w:b/>
                <w:bCs/>
              </w:rPr>
              <w:t>其他环境风险防控要求：</w:t>
            </w:r>
          </w:p>
          <w:p w14:paraId="729B7B59">
            <w:pPr>
              <w:pStyle w:val="135"/>
              <w:adjustRightInd w:val="0"/>
              <w:snapToGrid w:val="0"/>
              <w:jc w:val="both"/>
            </w:pPr>
            <w:r>
              <w:rPr>
                <w:rFonts w:hint="eastAsia"/>
              </w:rPr>
              <w:t>（1）涉及有毒有害、易燃易爆物质新建、改扩建项目，严控准入要求。</w:t>
            </w:r>
          </w:p>
          <w:p w14:paraId="5D52AFE7">
            <w:pPr>
              <w:pStyle w:val="135"/>
              <w:adjustRightInd w:val="0"/>
              <w:snapToGrid w:val="0"/>
              <w:jc w:val="both"/>
            </w:pPr>
            <w:r>
              <w:rPr>
                <w:rFonts w:hint="eastAsia"/>
              </w:rPr>
              <w:t>（2）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w:t>
            </w:r>
          </w:p>
          <w:p w14:paraId="48331CE4">
            <w:pPr>
              <w:pStyle w:val="135"/>
              <w:adjustRightInd w:val="0"/>
              <w:snapToGrid w:val="0"/>
              <w:jc w:val="both"/>
            </w:pPr>
            <w:r>
              <w:rPr>
                <w:rFonts w:hint="eastAsia"/>
              </w:rPr>
              <w:t>（3）有色金属冶炼、石油加工、化工、焦化、电镀、制革等行业企业拆除生产设施设备、构筑物和污染治理设施，要事先制定残留污染物清理和安全处置方案，要严格按照有关规定实施安全处理处置，防范拆除活动污染土壤。</w:t>
            </w:r>
          </w:p>
          <w:p w14:paraId="5BCF388D">
            <w:pPr>
              <w:pStyle w:val="135"/>
              <w:adjustRightInd w:val="0"/>
              <w:snapToGrid w:val="0"/>
              <w:jc w:val="both"/>
            </w:pPr>
            <w:r>
              <w:rPr>
                <w:rFonts w:hint="eastAsia"/>
              </w:rPr>
              <w:t>-已污染地块，应当依法开展土壤污染状况调查、治理与修复，符合相关环境质量要求后，方可进入用地程序。</w:t>
            </w:r>
          </w:p>
        </w:tc>
        <w:tc>
          <w:tcPr>
            <w:tcW w:w="784" w:type="pct"/>
            <w:vAlign w:val="center"/>
          </w:tcPr>
          <w:p w14:paraId="2284CB3A">
            <w:pPr>
              <w:pStyle w:val="135"/>
              <w:adjustRightInd w:val="0"/>
              <w:snapToGrid w:val="0"/>
              <w:jc w:val="both"/>
              <w:rPr>
                <w:b/>
                <w:bCs/>
              </w:rPr>
            </w:pPr>
            <w:r>
              <w:rPr>
                <w:rFonts w:hint="eastAsia"/>
                <w:b/>
                <w:bCs/>
              </w:rPr>
              <w:t>联防联控要求：</w:t>
            </w:r>
          </w:p>
          <w:p w14:paraId="5D669B78">
            <w:pPr>
              <w:pStyle w:val="135"/>
              <w:adjustRightInd w:val="0"/>
              <w:snapToGrid w:val="0"/>
              <w:jc w:val="both"/>
            </w:pPr>
            <w:r>
              <w:rPr>
                <w:rFonts w:hint="eastAsia"/>
              </w:rPr>
              <w:t>在重污染天气时，根据主管部门及相关文件要求落实相应措施。</w:t>
            </w:r>
          </w:p>
          <w:p w14:paraId="5F440151">
            <w:pPr>
              <w:pStyle w:val="135"/>
              <w:adjustRightInd w:val="0"/>
              <w:snapToGrid w:val="0"/>
              <w:jc w:val="both"/>
              <w:rPr>
                <w:b/>
                <w:bCs/>
              </w:rPr>
            </w:pPr>
            <w:r>
              <w:rPr>
                <w:rFonts w:hint="eastAsia"/>
                <w:b/>
                <w:bCs/>
              </w:rPr>
              <w:t>其他环境风险防控要求：</w:t>
            </w:r>
          </w:p>
          <w:p w14:paraId="668964EB">
            <w:pPr>
              <w:pStyle w:val="135"/>
              <w:adjustRightInd w:val="0"/>
              <w:snapToGrid w:val="0"/>
              <w:jc w:val="both"/>
            </w:pPr>
            <w:r>
              <w:rPr>
                <w:rFonts w:hint="eastAsia"/>
              </w:rPr>
              <w:t>（1）不涉及；</w:t>
            </w:r>
          </w:p>
          <w:p w14:paraId="0988EB66">
            <w:pPr>
              <w:pStyle w:val="135"/>
              <w:adjustRightInd w:val="0"/>
              <w:snapToGrid w:val="0"/>
              <w:jc w:val="both"/>
            </w:pPr>
            <w:r>
              <w:rPr>
                <w:rFonts w:hint="eastAsia"/>
              </w:rPr>
              <w:t>（2）不涉及；</w:t>
            </w:r>
          </w:p>
          <w:p w14:paraId="37B96379">
            <w:pPr>
              <w:pStyle w:val="135"/>
              <w:adjustRightInd w:val="0"/>
              <w:snapToGrid w:val="0"/>
              <w:jc w:val="both"/>
            </w:pPr>
            <w:r>
              <w:rPr>
                <w:rFonts w:hint="eastAsia"/>
              </w:rPr>
              <w:t>（3）不涉及。</w:t>
            </w:r>
          </w:p>
        </w:tc>
        <w:tc>
          <w:tcPr>
            <w:tcW w:w="227" w:type="pct"/>
            <w:vAlign w:val="center"/>
          </w:tcPr>
          <w:p w14:paraId="5E29E229">
            <w:pPr>
              <w:pStyle w:val="135"/>
              <w:adjustRightInd w:val="0"/>
              <w:snapToGrid w:val="0"/>
            </w:pPr>
            <w:r>
              <w:rPr>
                <w:rFonts w:hint="eastAsia"/>
              </w:rPr>
              <w:t>符合</w:t>
            </w:r>
          </w:p>
        </w:tc>
      </w:tr>
      <w:tr w14:paraId="46370D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14:paraId="3E28F752">
            <w:pPr>
              <w:pStyle w:val="135"/>
              <w:adjustRightInd w:val="0"/>
              <w:snapToGrid w:val="0"/>
            </w:pPr>
          </w:p>
        </w:tc>
        <w:tc>
          <w:tcPr>
            <w:tcW w:w="129" w:type="pct"/>
            <w:vMerge w:val="continue"/>
            <w:vAlign w:val="center"/>
          </w:tcPr>
          <w:p w14:paraId="44A4CC92">
            <w:pPr>
              <w:pStyle w:val="135"/>
              <w:adjustRightInd w:val="0"/>
              <w:snapToGrid w:val="0"/>
            </w:pPr>
          </w:p>
        </w:tc>
        <w:tc>
          <w:tcPr>
            <w:tcW w:w="150" w:type="pct"/>
            <w:vAlign w:val="center"/>
          </w:tcPr>
          <w:p w14:paraId="0148D755">
            <w:pPr>
              <w:pStyle w:val="135"/>
              <w:adjustRightInd w:val="0"/>
              <w:snapToGrid w:val="0"/>
            </w:pPr>
            <w:r>
              <w:rPr>
                <w:rFonts w:hint="eastAsia"/>
              </w:rPr>
              <w:t>资源开发利用效率</w:t>
            </w:r>
          </w:p>
        </w:tc>
        <w:tc>
          <w:tcPr>
            <w:tcW w:w="3250" w:type="pct"/>
            <w:vAlign w:val="center"/>
          </w:tcPr>
          <w:p w14:paraId="64750CCC">
            <w:pPr>
              <w:pStyle w:val="135"/>
              <w:adjustRightInd w:val="0"/>
              <w:snapToGrid w:val="0"/>
              <w:jc w:val="both"/>
            </w:pPr>
            <w:r>
              <w:rPr>
                <w:rFonts w:hint="eastAsia"/>
                <w:b/>
                <w:bCs/>
              </w:rPr>
              <w:t>水资源利用总量要求：</w:t>
            </w:r>
            <w:r>
              <w:rPr>
                <w:rFonts w:hint="eastAsia"/>
              </w:rPr>
              <w:t>到2022年，万元国内生产总值用水量、万元工业增加值用水量较2015年分别降低30%和28%。</w:t>
            </w:r>
          </w:p>
          <w:p w14:paraId="344EDB62">
            <w:pPr>
              <w:pStyle w:val="135"/>
              <w:adjustRightInd w:val="0"/>
              <w:snapToGrid w:val="0"/>
              <w:jc w:val="both"/>
              <w:rPr>
                <w:b/>
                <w:bCs/>
              </w:rPr>
            </w:pPr>
            <w:r>
              <w:rPr>
                <w:rFonts w:hint="eastAsia"/>
                <w:b/>
                <w:bCs/>
              </w:rPr>
              <w:t>地下水开采要求：</w:t>
            </w:r>
          </w:p>
          <w:p w14:paraId="2B957030">
            <w:pPr>
              <w:pStyle w:val="135"/>
              <w:adjustRightInd w:val="0"/>
              <w:snapToGrid w:val="0"/>
              <w:jc w:val="both"/>
            </w:pPr>
            <w:r>
              <w:rPr>
                <w:rFonts w:hint="eastAsia"/>
                <w:b/>
                <w:bCs/>
              </w:rPr>
              <w:t>（1）</w:t>
            </w:r>
            <w:r>
              <w:rPr>
                <w:rFonts w:hint="eastAsia"/>
              </w:rPr>
              <w:t>巴中市2025年地下水开采控制量保持在1400万m</w:t>
            </w:r>
            <w:r>
              <w:rPr>
                <w:rFonts w:hint="eastAsia"/>
                <w:vertAlign w:val="superscript"/>
              </w:rPr>
              <w:t>3</w:t>
            </w:r>
            <w:r>
              <w:rPr>
                <w:rFonts w:hint="eastAsia"/>
              </w:rPr>
              <w:t>以内。</w:t>
            </w:r>
          </w:p>
          <w:p w14:paraId="36F3F0E8">
            <w:pPr>
              <w:pStyle w:val="135"/>
              <w:adjustRightInd w:val="0"/>
              <w:snapToGrid w:val="0"/>
              <w:jc w:val="both"/>
              <w:rPr>
                <w:b/>
                <w:bCs/>
              </w:rPr>
            </w:pPr>
            <w:r>
              <w:rPr>
                <w:rFonts w:hint="eastAsia"/>
              </w:rPr>
              <w:t>（2）地下水开采量控制在可开采量的允 许范围内，抑制用水过度增长。</w:t>
            </w:r>
          </w:p>
          <w:p w14:paraId="1EFDBE93">
            <w:pPr>
              <w:pStyle w:val="135"/>
              <w:adjustRightInd w:val="0"/>
              <w:snapToGrid w:val="0"/>
              <w:jc w:val="both"/>
              <w:rPr>
                <w:b/>
                <w:bCs/>
              </w:rPr>
            </w:pPr>
            <w:r>
              <w:rPr>
                <w:rFonts w:hint="eastAsia"/>
                <w:b/>
                <w:bCs/>
              </w:rPr>
              <w:t>能源利用总量及效率要求</w:t>
            </w:r>
          </w:p>
          <w:p w14:paraId="4955AE79">
            <w:pPr>
              <w:pStyle w:val="135"/>
              <w:adjustRightInd w:val="0"/>
              <w:snapToGrid w:val="0"/>
              <w:jc w:val="both"/>
            </w:pPr>
            <w:r>
              <w:rPr>
                <w:rFonts w:hint="eastAsia"/>
              </w:rPr>
              <w:t>（1）新、改扩建项目污染能耗指标满足《四川省省级生态工业园区指标》综合类生态工业园区要求。</w:t>
            </w:r>
          </w:p>
          <w:p w14:paraId="771341FA">
            <w:pPr>
              <w:pStyle w:val="135"/>
              <w:adjustRightInd w:val="0"/>
              <w:snapToGrid w:val="0"/>
              <w:jc w:val="both"/>
            </w:pPr>
            <w:r>
              <w:rPr>
                <w:rFonts w:hint="eastAsia"/>
              </w:rPr>
              <w:t>（2）实施新建项目与煤炭消费总量控制挂钩机制，耗煤建设项目实行煤炭消耗等量减量替代。</w:t>
            </w:r>
          </w:p>
          <w:p w14:paraId="38D714D9">
            <w:pPr>
              <w:pStyle w:val="135"/>
              <w:adjustRightInd w:val="0"/>
              <w:snapToGrid w:val="0"/>
              <w:jc w:val="both"/>
            </w:pPr>
            <w:r>
              <w:rPr>
                <w:rFonts w:hint="eastAsia"/>
              </w:rPr>
              <w:t>（3）提高煤炭利用效率和天然气利用占比，工业领域有序推进“煤改电”和有序推进“煤改气”。</w:t>
            </w:r>
          </w:p>
          <w:p w14:paraId="2E479A95">
            <w:pPr>
              <w:pStyle w:val="135"/>
              <w:adjustRightInd w:val="0"/>
              <w:snapToGrid w:val="0"/>
              <w:jc w:val="both"/>
            </w:pPr>
            <w:r>
              <w:rPr>
                <w:rFonts w:hint="eastAsia"/>
              </w:rPr>
              <w:t>（4）全面淘汰每小时10蒸吨以下的燃煤锅炉；在供气管网覆盖不到的其他地区，改用电、新能源或洁净煤。</w:t>
            </w:r>
          </w:p>
          <w:p w14:paraId="0784DEC7">
            <w:pPr>
              <w:pStyle w:val="135"/>
              <w:adjustRightInd w:val="0"/>
              <w:snapToGrid w:val="0"/>
              <w:jc w:val="both"/>
            </w:pPr>
            <w:r>
              <w:rPr>
                <w:rFonts w:hint="eastAsia"/>
              </w:rPr>
              <w:t>（5）原则上不再新建35蒸吨/小时及以下的燃煤锅炉，推进县级及以上城市建成区淘汰35蒸吨/小时及以下燃煤锅炉，以工业余热、电厂热力、清洁能源等替代煤炭。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0F6335D0">
            <w:pPr>
              <w:pStyle w:val="135"/>
              <w:adjustRightInd w:val="0"/>
              <w:snapToGrid w:val="0"/>
              <w:jc w:val="both"/>
              <w:rPr>
                <w:b/>
                <w:bCs/>
              </w:rPr>
            </w:pPr>
            <w:r>
              <w:rPr>
                <w:rFonts w:hint="eastAsia"/>
                <w:b/>
                <w:bCs/>
              </w:rPr>
              <w:t>禁燃区要求</w:t>
            </w:r>
          </w:p>
          <w:p w14:paraId="5BD8C8E6">
            <w:pPr>
              <w:pStyle w:val="135"/>
              <w:adjustRightInd w:val="0"/>
              <w:snapToGrid w:val="0"/>
              <w:jc w:val="both"/>
            </w:pPr>
            <w:r>
              <w:rPr>
                <w:rFonts w:hint="eastAsia"/>
              </w:rPr>
              <w:t>在禁燃区内禁止销售、燃用高污染燃料。禁燃区内禁止新建、扩建燃用高污染燃料的设施。已建成的，应当于2021年12月31日前改用天然气、页岩气、液化石油气、电或其他清洁能源。现有燃用高污染燃料燃用设施在拆除或改造前，有关单位（企业）应当采取措施，确保大气污染物排放达到国家规定标准。</w:t>
            </w:r>
          </w:p>
          <w:p w14:paraId="269FF9B2">
            <w:pPr>
              <w:pStyle w:val="135"/>
              <w:adjustRightInd w:val="0"/>
              <w:snapToGrid w:val="0"/>
              <w:jc w:val="both"/>
              <w:rPr>
                <w:b/>
                <w:bCs/>
              </w:rPr>
            </w:pPr>
            <w:r>
              <w:rPr>
                <w:rFonts w:hint="eastAsia"/>
                <w:b/>
                <w:bCs/>
              </w:rPr>
              <w:t>其他资源利用效率要求</w:t>
            </w:r>
          </w:p>
          <w:p w14:paraId="7A9541CF">
            <w:pPr>
              <w:pStyle w:val="135"/>
              <w:adjustRightInd w:val="0"/>
              <w:snapToGrid w:val="0"/>
              <w:jc w:val="both"/>
            </w:pPr>
            <w:r>
              <w:rPr>
                <w:rFonts w:hint="eastAsia"/>
              </w:rPr>
              <w:t>（1）到2025年，巴中市万元工业增加值用水降低至22.4m</w:t>
            </w:r>
            <w:r>
              <w:rPr>
                <w:rFonts w:hint="eastAsia"/>
                <w:vertAlign w:val="superscript"/>
              </w:rPr>
              <w:t>3</w:t>
            </w:r>
            <w:r>
              <w:rPr>
                <w:rFonts w:hint="eastAsia"/>
              </w:rPr>
              <w:t>，工业用水重复利用率达到75.5%以上；到2030年，巴中市万元工业增加值用水量降低到 17.1m</w:t>
            </w:r>
            <w:r>
              <w:rPr>
                <w:rFonts w:hint="eastAsia"/>
                <w:vertAlign w:val="superscript"/>
              </w:rPr>
              <w:t>3</w:t>
            </w:r>
            <w:r>
              <w:rPr>
                <w:rFonts w:hint="eastAsia"/>
              </w:rPr>
              <w:t>，工业用水重复利用率达到81.3%以上。</w:t>
            </w:r>
          </w:p>
          <w:p w14:paraId="4B0A930A">
            <w:pPr>
              <w:pStyle w:val="135"/>
              <w:adjustRightInd w:val="0"/>
              <w:snapToGrid w:val="0"/>
              <w:jc w:val="both"/>
            </w:pPr>
            <w:r>
              <w:rPr>
                <w:rFonts w:hint="eastAsia"/>
              </w:rPr>
              <w:t>（2）新、改扩建项目污染水耗指标满足《四川省省级生态工业园区指标》综合类生态工业园区要求。</w:t>
            </w:r>
          </w:p>
          <w:p w14:paraId="6FB7D5C0">
            <w:pPr>
              <w:pStyle w:val="135"/>
              <w:adjustRightInd w:val="0"/>
              <w:snapToGrid w:val="0"/>
              <w:jc w:val="both"/>
            </w:pPr>
            <w:r>
              <w:rPr>
                <w:rFonts w:hint="eastAsia"/>
              </w:rPr>
              <w:t>（3）鼓励引导新建、改建、扩建工业园区应当按照有关要求统筹建设工业废水集中处理和回用设施，适时推进企业间串联用水、分质用水、一水多用，实现水循环梯级优化利用和废水集中处理回用，创建节水型工业园区。</w:t>
            </w:r>
          </w:p>
          <w:p w14:paraId="4144954D">
            <w:pPr>
              <w:pStyle w:val="135"/>
              <w:adjustRightInd w:val="0"/>
              <w:snapToGrid w:val="0"/>
              <w:jc w:val="both"/>
            </w:pPr>
            <w:r>
              <w:rPr>
                <w:rFonts w:hint="eastAsia"/>
              </w:rPr>
              <w:t>（4）鼓励火力发电、钢铁、纺织、造纸、石化和化工、食品和发酵等高耗水企业对废水进行深度处理回用，降低单位产品耗水量。火电、石化、钢铁、有色、造纸、印染等高耗水行业项目具备使用再生水条件但未有效利用的，要严格控制新增取水许可</w:t>
            </w:r>
          </w:p>
        </w:tc>
        <w:tc>
          <w:tcPr>
            <w:tcW w:w="784" w:type="pct"/>
            <w:vAlign w:val="center"/>
          </w:tcPr>
          <w:p w14:paraId="080B7123">
            <w:pPr>
              <w:pStyle w:val="135"/>
              <w:adjustRightInd w:val="0"/>
              <w:snapToGrid w:val="0"/>
              <w:jc w:val="both"/>
              <w:rPr>
                <w:b/>
                <w:bCs/>
              </w:rPr>
            </w:pPr>
            <w:r>
              <w:rPr>
                <w:rFonts w:hint="eastAsia"/>
                <w:b/>
                <w:bCs/>
              </w:rPr>
              <w:t>水资源利用总量要求：</w:t>
            </w:r>
          </w:p>
          <w:p w14:paraId="38BB313F">
            <w:pPr>
              <w:pStyle w:val="135"/>
              <w:adjustRightInd w:val="0"/>
              <w:snapToGrid w:val="0"/>
              <w:jc w:val="both"/>
            </w:pPr>
            <w:r>
              <w:rPr>
                <w:rFonts w:hint="eastAsia"/>
              </w:rPr>
              <w:t>本项目不属于高耗水企业，生产废水全部回用生产。</w:t>
            </w:r>
          </w:p>
          <w:p w14:paraId="3DF2CB7B">
            <w:pPr>
              <w:pStyle w:val="135"/>
              <w:adjustRightInd w:val="0"/>
              <w:snapToGrid w:val="0"/>
              <w:jc w:val="both"/>
            </w:pPr>
            <w:r>
              <w:rPr>
                <w:rFonts w:hint="eastAsia"/>
                <w:b/>
                <w:bCs/>
              </w:rPr>
              <w:t>地下水开采要求</w:t>
            </w:r>
            <w:r>
              <w:rPr>
                <w:rFonts w:hint="eastAsia"/>
              </w:rPr>
              <w:t>：</w:t>
            </w:r>
          </w:p>
          <w:p w14:paraId="7B040E70">
            <w:pPr>
              <w:pStyle w:val="135"/>
              <w:adjustRightInd w:val="0"/>
              <w:snapToGrid w:val="0"/>
              <w:jc w:val="both"/>
            </w:pPr>
            <w:r>
              <w:rPr>
                <w:rFonts w:hint="eastAsia"/>
              </w:rPr>
              <w:t>本项目不涉及地下水开采。</w:t>
            </w:r>
          </w:p>
          <w:p w14:paraId="4D6D8665">
            <w:pPr>
              <w:pStyle w:val="135"/>
              <w:adjustRightInd w:val="0"/>
              <w:snapToGrid w:val="0"/>
              <w:jc w:val="both"/>
              <w:rPr>
                <w:b/>
                <w:bCs/>
              </w:rPr>
            </w:pPr>
            <w:r>
              <w:rPr>
                <w:rFonts w:hint="eastAsia"/>
                <w:b/>
                <w:bCs/>
              </w:rPr>
              <w:t>能源利用总量及效率要求：</w:t>
            </w:r>
          </w:p>
          <w:p w14:paraId="067B788B">
            <w:pPr>
              <w:pStyle w:val="135"/>
              <w:adjustRightInd w:val="0"/>
              <w:snapToGrid w:val="0"/>
              <w:jc w:val="both"/>
            </w:pPr>
            <w:r>
              <w:rPr>
                <w:rFonts w:hint="eastAsia"/>
              </w:rPr>
              <w:t>（1）本项目能耗指标满足相关要求；</w:t>
            </w:r>
          </w:p>
          <w:p w14:paraId="7092B6A2">
            <w:pPr>
              <w:pStyle w:val="135"/>
              <w:adjustRightInd w:val="0"/>
              <w:snapToGrid w:val="0"/>
              <w:jc w:val="both"/>
            </w:pPr>
            <w:r>
              <w:rPr>
                <w:rFonts w:hint="eastAsia"/>
              </w:rPr>
              <w:t>（2）项目不涉及煤炭消费；</w:t>
            </w:r>
          </w:p>
          <w:p w14:paraId="683E44BE">
            <w:pPr>
              <w:pStyle w:val="135"/>
              <w:adjustRightInd w:val="0"/>
              <w:snapToGrid w:val="0"/>
              <w:jc w:val="both"/>
            </w:pPr>
            <w:r>
              <w:rPr>
                <w:rFonts w:hint="eastAsia"/>
              </w:rPr>
              <w:t>（3）项目不涉及煤炭消费；</w:t>
            </w:r>
          </w:p>
          <w:p w14:paraId="7E3C72C0">
            <w:pPr>
              <w:pStyle w:val="135"/>
              <w:adjustRightInd w:val="0"/>
              <w:snapToGrid w:val="0"/>
              <w:jc w:val="both"/>
            </w:pPr>
            <w:r>
              <w:rPr>
                <w:rFonts w:hint="eastAsia"/>
              </w:rPr>
              <w:t>（4）不涉及燃煤锅炉；</w:t>
            </w:r>
          </w:p>
          <w:p w14:paraId="07BFC980">
            <w:pPr>
              <w:pStyle w:val="135"/>
              <w:adjustRightInd w:val="0"/>
              <w:snapToGrid w:val="0"/>
              <w:jc w:val="both"/>
            </w:pPr>
            <w:r>
              <w:rPr>
                <w:rFonts w:hint="eastAsia"/>
              </w:rPr>
              <w:t>（5）本项目拟建1台1</w:t>
            </w:r>
            <w:r>
              <w:t>0</w:t>
            </w:r>
            <w:r>
              <w:rPr>
                <w:rFonts w:hint="eastAsia"/>
              </w:rPr>
              <w:t>t</w:t>
            </w:r>
            <w:r>
              <w:t>/</w:t>
            </w:r>
            <w:r>
              <w:rPr>
                <w:rFonts w:hint="eastAsia"/>
              </w:rPr>
              <w:t>h生物质专用锅炉，并配套建设低氮燃烧器和</w:t>
            </w:r>
            <w:r>
              <w:rPr>
                <w:rFonts w:hint="eastAsia"/>
                <w:snapToGrid w:val="0"/>
                <w:szCs w:val="18"/>
              </w:rPr>
              <w:t>“水膜除尘+静电除尘”高效除尘装置，不涉及高污染燃料使用，</w:t>
            </w:r>
            <w:r>
              <w:rPr>
                <w:rFonts w:hint="eastAsia"/>
              </w:rPr>
              <w:t>不涉及燃煤锅炉。</w:t>
            </w:r>
          </w:p>
          <w:p w14:paraId="783D91CB">
            <w:pPr>
              <w:pStyle w:val="135"/>
              <w:adjustRightInd w:val="0"/>
              <w:snapToGrid w:val="0"/>
              <w:jc w:val="both"/>
              <w:rPr>
                <w:b/>
                <w:bCs/>
              </w:rPr>
            </w:pPr>
            <w:r>
              <w:rPr>
                <w:b/>
                <w:bCs/>
              </w:rPr>
              <w:t>禁燃区要求：</w:t>
            </w:r>
          </w:p>
          <w:p w14:paraId="041398B6">
            <w:pPr>
              <w:pStyle w:val="135"/>
              <w:adjustRightInd w:val="0"/>
              <w:snapToGrid w:val="0"/>
              <w:jc w:val="both"/>
              <w:rPr>
                <w:snapToGrid w:val="0"/>
                <w:szCs w:val="18"/>
              </w:rPr>
            </w:pPr>
            <w:r>
              <w:rPr>
                <w:rFonts w:hint="eastAsia"/>
              </w:rPr>
              <w:t>本项目位于巴中经开区兴文街道</w:t>
            </w:r>
            <w:r>
              <w:rPr>
                <w:rFonts w:hint="eastAsia"/>
                <w:snapToGrid w:val="0"/>
                <w:szCs w:val="18"/>
              </w:rPr>
              <w:t>，对照《巴中市人民政府关于调整划定巴中市中心城区高污染燃料禁燃区的通告》（〔2021〕第1号），本项目不在禁燃区范围内。</w:t>
            </w:r>
          </w:p>
          <w:p w14:paraId="21577A36">
            <w:pPr>
              <w:pStyle w:val="135"/>
              <w:adjustRightInd w:val="0"/>
              <w:snapToGrid w:val="0"/>
              <w:jc w:val="both"/>
              <w:rPr>
                <w:snapToGrid w:val="0"/>
                <w:szCs w:val="18"/>
              </w:rPr>
            </w:pPr>
            <w:r>
              <w:rPr>
                <w:rFonts w:hint="eastAsia"/>
                <w:b/>
                <w:bCs/>
                <w:snapToGrid w:val="0"/>
                <w:szCs w:val="18"/>
              </w:rPr>
              <w:t>其他资源利用效率要求</w:t>
            </w:r>
            <w:r>
              <w:rPr>
                <w:rFonts w:hint="eastAsia"/>
                <w:snapToGrid w:val="0"/>
                <w:szCs w:val="18"/>
              </w:rPr>
              <w:t>：</w:t>
            </w:r>
          </w:p>
          <w:p w14:paraId="7FDF46FD">
            <w:pPr>
              <w:pStyle w:val="135"/>
              <w:adjustRightInd w:val="0"/>
              <w:snapToGrid w:val="0"/>
              <w:jc w:val="both"/>
            </w:pPr>
            <w:r>
              <w:rPr>
                <w:rFonts w:hint="eastAsia"/>
              </w:rPr>
              <w:t>（1）本项目生产废水全部回用，重复利用率1</w:t>
            </w:r>
            <w:r>
              <w:t>00%</w:t>
            </w:r>
            <w:r>
              <w:rPr>
                <w:rFonts w:hint="eastAsia"/>
              </w:rPr>
              <w:t>；</w:t>
            </w:r>
          </w:p>
          <w:p w14:paraId="7E7A204B">
            <w:pPr>
              <w:pStyle w:val="135"/>
              <w:adjustRightInd w:val="0"/>
              <w:snapToGrid w:val="0"/>
              <w:jc w:val="both"/>
            </w:pPr>
            <w:r>
              <w:rPr>
                <w:rFonts w:hint="eastAsia"/>
              </w:rPr>
              <w:t>（2）本项目生产废水全部回用，重复利用率1</w:t>
            </w:r>
            <w:r>
              <w:t>00%</w:t>
            </w:r>
            <w:r>
              <w:rPr>
                <w:rFonts w:hint="eastAsia"/>
              </w:rPr>
              <w:t>，满足综合类生态工业园区要求；</w:t>
            </w:r>
          </w:p>
          <w:p w14:paraId="11244429">
            <w:pPr>
              <w:pStyle w:val="135"/>
              <w:adjustRightInd w:val="0"/>
              <w:snapToGrid w:val="0"/>
              <w:jc w:val="both"/>
            </w:pPr>
            <w:r>
              <w:rPr>
                <w:rFonts w:hint="eastAsia"/>
              </w:rPr>
              <w:t>（3）本项目生产废水全部回用，重复利用率1</w:t>
            </w:r>
            <w:r>
              <w:t>00%</w:t>
            </w:r>
            <w:r>
              <w:rPr>
                <w:rFonts w:hint="eastAsia"/>
              </w:rPr>
              <w:t>；</w:t>
            </w:r>
          </w:p>
          <w:p w14:paraId="7F207273">
            <w:pPr>
              <w:pStyle w:val="135"/>
              <w:adjustRightInd w:val="0"/>
              <w:snapToGrid w:val="0"/>
              <w:jc w:val="both"/>
            </w:pPr>
            <w:r>
              <w:rPr>
                <w:rFonts w:hint="eastAsia"/>
              </w:rPr>
              <w:t>（4）不涉及。</w:t>
            </w:r>
          </w:p>
        </w:tc>
        <w:tc>
          <w:tcPr>
            <w:tcW w:w="227" w:type="pct"/>
            <w:vAlign w:val="center"/>
          </w:tcPr>
          <w:p w14:paraId="1AD3B0EC">
            <w:pPr>
              <w:pStyle w:val="135"/>
              <w:adjustRightInd w:val="0"/>
              <w:snapToGrid w:val="0"/>
            </w:pPr>
            <w:r>
              <w:rPr>
                <w:rFonts w:hint="eastAsia"/>
              </w:rPr>
              <w:t>符合</w:t>
            </w:r>
          </w:p>
        </w:tc>
      </w:tr>
      <w:tr w14:paraId="60E68F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14:paraId="48FC71DB">
            <w:pPr>
              <w:pStyle w:val="135"/>
              <w:adjustRightInd w:val="0"/>
              <w:snapToGrid w:val="0"/>
            </w:pPr>
          </w:p>
        </w:tc>
        <w:tc>
          <w:tcPr>
            <w:tcW w:w="129" w:type="pct"/>
            <w:vMerge w:val="restart"/>
            <w:vAlign w:val="center"/>
          </w:tcPr>
          <w:p w14:paraId="17A8B900">
            <w:pPr>
              <w:pStyle w:val="135"/>
              <w:adjustRightInd w:val="0"/>
              <w:snapToGrid w:val="0"/>
            </w:pPr>
            <w:r>
              <w:rPr>
                <w:rFonts w:hint="eastAsia"/>
              </w:rPr>
              <w:t>单元级清单管控要求</w:t>
            </w:r>
          </w:p>
        </w:tc>
        <w:tc>
          <w:tcPr>
            <w:tcW w:w="150" w:type="pct"/>
            <w:vAlign w:val="center"/>
          </w:tcPr>
          <w:p w14:paraId="3ECDF1B1">
            <w:pPr>
              <w:pStyle w:val="135"/>
              <w:adjustRightInd w:val="0"/>
              <w:snapToGrid w:val="0"/>
            </w:pPr>
            <w:r>
              <w:rPr>
                <w:rFonts w:hint="eastAsia"/>
              </w:rPr>
              <w:t>空间布局约束</w:t>
            </w:r>
          </w:p>
        </w:tc>
        <w:tc>
          <w:tcPr>
            <w:tcW w:w="3250" w:type="pct"/>
            <w:vAlign w:val="center"/>
          </w:tcPr>
          <w:p w14:paraId="2EC4C8DA">
            <w:pPr>
              <w:pStyle w:val="135"/>
              <w:adjustRightInd w:val="0"/>
              <w:snapToGrid w:val="0"/>
              <w:jc w:val="both"/>
              <w:rPr>
                <w:b/>
              </w:rPr>
            </w:pPr>
            <w:r>
              <w:rPr>
                <w:rFonts w:hint="eastAsia"/>
                <w:b/>
              </w:rPr>
              <w:t>禁止开发建设活动的要求：</w:t>
            </w:r>
          </w:p>
          <w:p w14:paraId="0CF0C472">
            <w:pPr>
              <w:pStyle w:val="135"/>
              <w:adjustRightInd w:val="0"/>
              <w:snapToGrid w:val="0"/>
              <w:jc w:val="both"/>
              <w:rPr>
                <w:bCs/>
              </w:rPr>
            </w:pPr>
            <w:r>
              <w:rPr>
                <w:rFonts w:hint="eastAsia"/>
                <w:bCs/>
              </w:rPr>
              <w:t>（1）禁止引入专业电镀；禁止引入排放含铅、汞、镉、铬、砷废水的项目</w:t>
            </w:r>
          </w:p>
          <w:p w14:paraId="0BACEEBB">
            <w:pPr>
              <w:pStyle w:val="135"/>
              <w:adjustRightInd w:val="0"/>
              <w:snapToGrid w:val="0"/>
              <w:jc w:val="both"/>
              <w:rPr>
                <w:bCs/>
              </w:rPr>
            </w:pPr>
            <w:r>
              <w:rPr>
                <w:rFonts w:hint="eastAsia"/>
                <w:bCs/>
              </w:rPr>
              <w:t>（2）禁止引入化学原药制造发酵制药类项目</w:t>
            </w:r>
          </w:p>
          <w:p w14:paraId="044F40F2">
            <w:pPr>
              <w:pStyle w:val="135"/>
              <w:adjustRightInd w:val="0"/>
              <w:snapToGrid w:val="0"/>
              <w:jc w:val="both"/>
              <w:rPr>
                <w:bCs/>
              </w:rPr>
            </w:pPr>
            <w:r>
              <w:rPr>
                <w:rFonts w:hint="eastAsia"/>
                <w:bCs/>
              </w:rPr>
              <w:t>（3）禁止引入黑色金属和有色金属冶炼类项目</w:t>
            </w:r>
          </w:p>
          <w:p w14:paraId="6F7B428D">
            <w:pPr>
              <w:pStyle w:val="135"/>
              <w:adjustRightInd w:val="0"/>
              <w:snapToGrid w:val="0"/>
              <w:jc w:val="both"/>
              <w:rPr>
                <w:bCs/>
              </w:rPr>
            </w:pPr>
            <w:r>
              <w:rPr>
                <w:rFonts w:hint="eastAsia"/>
                <w:bCs/>
              </w:rPr>
              <w:t>（4）禁止引入多晶硅制造、基础化学原料制造、农药、合成材料制造、炸药及火工和烟火产品制造类项目</w:t>
            </w:r>
          </w:p>
          <w:p w14:paraId="66B515BA">
            <w:pPr>
              <w:pStyle w:val="135"/>
              <w:adjustRightInd w:val="0"/>
              <w:snapToGrid w:val="0"/>
              <w:jc w:val="both"/>
              <w:rPr>
                <w:bCs/>
              </w:rPr>
            </w:pPr>
            <w:r>
              <w:rPr>
                <w:rFonts w:hint="eastAsia"/>
                <w:bCs/>
              </w:rPr>
              <w:t>（5）禁止引入危化品仓储项目</w:t>
            </w:r>
          </w:p>
          <w:p w14:paraId="4C0F802C">
            <w:pPr>
              <w:pStyle w:val="135"/>
              <w:adjustRightInd w:val="0"/>
              <w:snapToGrid w:val="0"/>
              <w:jc w:val="both"/>
              <w:rPr>
                <w:bCs/>
              </w:rPr>
            </w:pPr>
            <w:r>
              <w:rPr>
                <w:rFonts w:hint="eastAsia"/>
                <w:bCs/>
              </w:rPr>
              <w:t>（6）禁止引入含焙烧和锻炼工序的非金属制品制造类项目</w:t>
            </w:r>
          </w:p>
          <w:p w14:paraId="09B4FEA4">
            <w:pPr>
              <w:pStyle w:val="135"/>
              <w:adjustRightInd w:val="0"/>
              <w:snapToGrid w:val="0"/>
              <w:jc w:val="both"/>
              <w:rPr>
                <w:bCs/>
              </w:rPr>
            </w:pPr>
            <w:r>
              <w:rPr>
                <w:rFonts w:hint="eastAsia"/>
                <w:bCs/>
              </w:rPr>
              <w:t xml:space="preserve">（7）在禁燃区内禁止销售、燃用高污染燃料禁燃区内禁止新建、扩建燃用高污染燃料的设施 </w:t>
            </w:r>
          </w:p>
          <w:p w14:paraId="751F7CB2">
            <w:pPr>
              <w:pStyle w:val="135"/>
              <w:adjustRightInd w:val="0"/>
              <w:snapToGrid w:val="0"/>
              <w:jc w:val="both"/>
              <w:rPr>
                <w:bCs/>
              </w:rPr>
            </w:pPr>
            <w:r>
              <w:rPr>
                <w:rFonts w:hint="eastAsia"/>
                <w:bCs/>
              </w:rPr>
              <w:t>（8）其他执行工业重点管控单元总体准入要求</w:t>
            </w:r>
          </w:p>
          <w:p w14:paraId="53FFB7D1">
            <w:pPr>
              <w:pStyle w:val="135"/>
              <w:adjustRightInd w:val="0"/>
              <w:snapToGrid w:val="0"/>
              <w:jc w:val="both"/>
              <w:rPr>
                <w:b/>
              </w:rPr>
            </w:pPr>
            <w:r>
              <w:rPr>
                <w:rFonts w:hint="eastAsia"/>
                <w:b/>
              </w:rPr>
              <w:t>限制开发建设活动的要求：</w:t>
            </w:r>
          </w:p>
          <w:p w14:paraId="13B0B3E5">
            <w:pPr>
              <w:pStyle w:val="135"/>
              <w:adjustRightInd w:val="0"/>
              <w:snapToGrid w:val="0"/>
              <w:jc w:val="both"/>
              <w:rPr>
                <w:bCs/>
              </w:rPr>
            </w:pPr>
            <w:r>
              <w:rPr>
                <w:rFonts w:hint="eastAsia"/>
                <w:bCs/>
              </w:rPr>
              <w:t>执行工业重点管控单元普适性管控要求</w:t>
            </w:r>
          </w:p>
          <w:p w14:paraId="18BC16FB">
            <w:pPr>
              <w:pStyle w:val="135"/>
              <w:adjustRightInd w:val="0"/>
              <w:snapToGrid w:val="0"/>
              <w:jc w:val="both"/>
              <w:rPr>
                <w:b/>
              </w:rPr>
            </w:pPr>
            <w:r>
              <w:rPr>
                <w:rFonts w:hint="eastAsia"/>
                <w:b/>
              </w:rPr>
              <w:t>不符合空间布局要求活动的退出要求：</w:t>
            </w:r>
          </w:p>
          <w:p w14:paraId="269A36AC">
            <w:pPr>
              <w:pStyle w:val="135"/>
              <w:adjustRightInd w:val="0"/>
              <w:snapToGrid w:val="0"/>
              <w:jc w:val="both"/>
            </w:pPr>
            <w:r>
              <w:rPr>
                <w:rFonts w:hint="eastAsia"/>
                <w:bCs/>
              </w:rPr>
              <w:t>执行工业重点管控单元普适性管控要求</w:t>
            </w:r>
          </w:p>
          <w:p w14:paraId="0EB73386">
            <w:pPr>
              <w:pStyle w:val="135"/>
              <w:adjustRightInd w:val="0"/>
              <w:snapToGrid w:val="0"/>
              <w:jc w:val="both"/>
            </w:pPr>
            <w:r>
              <w:rPr>
                <w:rFonts w:hint="eastAsia"/>
                <w:b/>
                <w:bCs/>
              </w:rPr>
              <w:t>其他空间布局约束要求</w:t>
            </w:r>
          </w:p>
        </w:tc>
        <w:tc>
          <w:tcPr>
            <w:tcW w:w="784" w:type="pct"/>
            <w:vAlign w:val="center"/>
          </w:tcPr>
          <w:p w14:paraId="2C35451B">
            <w:pPr>
              <w:pStyle w:val="135"/>
              <w:adjustRightInd w:val="0"/>
              <w:snapToGrid w:val="0"/>
              <w:rPr>
                <w:b/>
                <w:bCs/>
              </w:rPr>
            </w:pPr>
            <w:r>
              <w:rPr>
                <w:rFonts w:hint="eastAsia"/>
                <w:b/>
                <w:bCs/>
              </w:rPr>
              <w:t>禁止开发建设活动的要求：</w:t>
            </w:r>
          </w:p>
          <w:p w14:paraId="5AFF4857">
            <w:pPr>
              <w:pStyle w:val="135"/>
              <w:adjustRightInd w:val="0"/>
              <w:snapToGrid w:val="0"/>
              <w:jc w:val="both"/>
            </w:pPr>
            <w:r>
              <w:rPr>
                <w:rFonts w:hint="eastAsia"/>
              </w:rPr>
              <w:t>（1）不涉及；</w:t>
            </w:r>
          </w:p>
          <w:p w14:paraId="20D64417">
            <w:pPr>
              <w:pStyle w:val="135"/>
              <w:adjustRightInd w:val="0"/>
              <w:snapToGrid w:val="0"/>
              <w:jc w:val="both"/>
            </w:pPr>
            <w:r>
              <w:rPr>
                <w:rFonts w:hint="eastAsia"/>
              </w:rPr>
              <w:t>（2）不涉及；</w:t>
            </w:r>
          </w:p>
          <w:p w14:paraId="56D6BEA7">
            <w:pPr>
              <w:pStyle w:val="135"/>
              <w:adjustRightInd w:val="0"/>
              <w:snapToGrid w:val="0"/>
              <w:jc w:val="both"/>
            </w:pPr>
            <w:r>
              <w:rPr>
                <w:rFonts w:hint="eastAsia"/>
              </w:rPr>
              <w:t>（3）不涉及；</w:t>
            </w:r>
          </w:p>
          <w:p w14:paraId="67EC56E9">
            <w:pPr>
              <w:pStyle w:val="135"/>
              <w:adjustRightInd w:val="0"/>
              <w:snapToGrid w:val="0"/>
              <w:jc w:val="both"/>
            </w:pPr>
            <w:r>
              <w:rPr>
                <w:rFonts w:hint="eastAsia"/>
              </w:rPr>
              <w:t>（4）不涉及；</w:t>
            </w:r>
          </w:p>
          <w:p w14:paraId="5BD379B0">
            <w:pPr>
              <w:pStyle w:val="135"/>
              <w:adjustRightInd w:val="0"/>
              <w:snapToGrid w:val="0"/>
              <w:jc w:val="both"/>
            </w:pPr>
            <w:r>
              <w:rPr>
                <w:rFonts w:hint="eastAsia"/>
              </w:rPr>
              <w:t>（5）不涉及；</w:t>
            </w:r>
          </w:p>
          <w:p w14:paraId="746A1559">
            <w:pPr>
              <w:pStyle w:val="135"/>
              <w:adjustRightInd w:val="0"/>
              <w:snapToGrid w:val="0"/>
              <w:jc w:val="both"/>
              <w:rPr>
                <w:bCs/>
              </w:rPr>
            </w:pPr>
            <w:r>
              <w:rPr>
                <w:rFonts w:hint="eastAsia"/>
              </w:rPr>
              <w:t>（6）本项目产品为加气混凝土砖，不涉及</w:t>
            </w:r>
            <w:r>
              <w:rPr>
                <w:rFonts w:hint="eastAsia"/>
                <w:bCs/>
              </w:rPr>
              <w:t>焙烧和锻炼工序；</w:t>
            </w:r>
          </w:p>
          <w:p w14:paraId="1A6A4E04">
            <w:pPr>
              <w:pStyle w:val="135"/>
              <w:adjustRightInd w:val="0"/>
              <w:snapToGrid w:val="0"/>
              <w:jc w:val="both"/>
              <w:rPr>
                <w:snapToGrid w:val="0"/>
                <w:szCs w:val="18"/>
              </w:rPr>
            </w:pPr>
            <w:r>
              <w:rPr>
                <w:rFonts w:hint="eastAsia"/>
                <w:bCs/>
              </w:rPr>
              <w:t>（7）</w:t>
            </w:r>
            <w:r>
              <w:rPr>
                <w:rFonts w:hint="eastAsia"/>
              </w:rPr>
              <w:t>本项目位于巴中经开区兴文街道</w:t>
            </w:r>
            <w:r>
              <w:rPr>
                <w:rFonts w:hint="eastAsia"/>
                <w:snapToGrid w:val="0"/>
                <w:szCs w:val="18"/>
              </w:rPr>
              <w:t>，对照《巴中市人民政府关于调整划定巴中市中心城区高污染燃料禁燃区的通告》（〔2021〕第1号），本项目不在禁燃区范围内。</w:t>
            </w:r>
          </w:p>
          <w:p w14:paraId="775837F1">
            <w:pPr>
              <w:pStyle w:val="135"/>
              <w:adjustRightInd w:val="0"/>
              <w:snapToGrid w:val="0"/>
              <w:rPr>
                <w:b/>
                <w:bCs/>
              </w:rPr>
            </w:pPr>
            <w:r>
              <w:rPr>
                <w:b/>
                <w:bCs/>
              </w:rPr>
              <w:t>限制开发建设活动的要求：</w:t>
            </w:r>
          </w:p>
          <w:p w14:paraId="77674EF2">
            <w:pPr>
              <w:pStyle w:val="135"/>
              <w:adjustRightInd w:val="0"/>
              <w:snapToGrid w:val="0"/>
              <w:jc w:val="both"/>
              <w:rPr>
                <w:bCs/>
              </w:rPr>
            </w:pPr>
            <w:r>
              <w:rPr>
                <w:rFonts w:hint="eastAsia"/>
              </w:rPr>
              <w:t>满足</w:t>
            </w:r>
            <w:r>
              <w:rPr>
                <w:rFonts w:hint="eastAsia"/>
                <w:bCs/>
              </w:rPr>
              <w:t>工业重点管控单元普适性管控要求；</w:t>
            </w:r>
          </w:p>
          <w:p w14:paraId="25404711">
            <w:pPr>
              <w:pStyle w:val="135"/>
              <w:adjustRightInd w:val="0"/>
              <w:snapToGrid w:val="0"/>
              <w:jc w:val="both"/>
              <w:rPr>
                <w:b/>
                <w:bCs/>
              </w:rPr>
            </w:pPr>
            <w:r>
              <w:rPr>
                <w:b/>
                <w:bCs/>
              </w:rPr>
              <w:t>不符合空间布局要求活动的退出要求：</w:t>
            </w:r>
            <w:r>
              <w:rPr>
                <w:rFonts w:hint="eastAsia"/>
              </w:rPr>
              <w:t>不涉及。</w:t>
            </w:r>
          </w:p>
        </w:tc>
        <w:tc>
          <w:tcPr>
            <w:tcW w:w="227" w:type="pct"/>
            <w:vAlign w:val="center"/>
          </w:tcPr>
          <w:p w14:paraId="2DF3112C">
            <w:pPr>
              <w:pStyle w:val="135"/>
              <w:adjustRightInd w:val="0"/>
              <w:snapToGrid w:val="0"/>
            </w:pPr>
            <w:r>
              <w:rPr>
                <w:rFonts w:hint="eastAsia"/>
              </w:rPr>
              <w:t>符合</w:t>
            </w:r>
          </w:p>
        </w:tc>
      </w:tr>
      <w:tr w14:paraId="47D29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14:paraId="080C317D">
            <w:pPr>
              <w:pStyle w:val="135"/>
              <w:adjustRightInd w:val="0"/>
              <w:snapToGrid w:val="0"/>
            </w:pPr>
          </w:p>
        </w:tc>
        <w:tc>
          <w:tcPr>
            <w:tcW w:w="129" w:type="pct"/>
            <w:vMerge w:val="continue"/>
            <w:vAlign w:val="center"/>
          </w:tcPr>
          <w:p w14:paraId="56D32A80">
            <w:pPr>
              <w:pStyle w:val="135"/>
              <w:adjustRightInd w:val="0"/>
              <w:snapToGrid w:val="0"/>
            </w:pPr>
          </w:p>
        </w:tc>
        <w:tc>
          <w:tcPr>
            <w:tcW w:w="150" w:type="pct"/>
            <w:vAlign w:val="center"/>
          </w:tcPr>
          <w:p w14:paraId="7E126323">
            <w:pPr>
              <w:pStyle w:val="135"/>
              <w:adjustRightInd w:val="0"/>
              <w:snapToGrid w:val="0"/>
            </w:pPr>
            <w:r>
              <w:rPr>
                <w:rFonts w:hint="eastAsia"/>
              </w:rPr>
              <w:t>污染物排放管控</w:t>
            </w:r>
          </w:p>
        </w:tc>
        <w:tc>
          <w:tcPr>
            <w:tcW w:w="3250" w:type="pct"/>
            <w:vAlign w:val="center"/>
          </w:tcPr>
          <w:p w14:paraId="063AF1A9">
            <w:pPr>
              <w:pStyle w:val="156"/>
              <w:adjustRightInd w:val="0"/>
              <w:snapToGrid w:val="0"/>
              <w:jc w:val="left"/>
              <w:rPr>
                <w:rFonts w:ascii="宋体" w:hAnsi="宋体" w:eastAsia="宋体"/>
                <w:b/>
                <w:kern w:val="0"/>
                <w:sz w:val="18"/>
                <w:szCs w:val="18"/>
              </w:rPr>
            </w:pPr>
            <w:r>
              <w:rPr>
                <w:rFonts w:hint="eastAsia" w:ascii="宋体" w:hAnsi="宋体" w:eastAsia="宋体"/>
                <w:b/>
                <w:kern w:val="0"/>
                <w:sz w:val="18"/>
                <w:szCs w:val="18"/>
              </w:rPr>
              <w:t>现有源提标升级改造</w:t>
            </w:r>
          </w:p>
          <w:p w14:paraId="5663E92C">
            <w:pPr>
              <w:pStyle w:val="156"/>
              <w:adjustRightInd w:val="0"/>
              <w:snapToGrid w:val="0"/>
              <w:jc w:val="left"/>
              <w:rPr>
                <w:rFonts w:ascii="宋体" w:hAnsi="宋体" w:eastAsia="宋体"/>
                <w:kern w:val="0"/>
                <w:sz w:val="18"/>
                <w:szCs w:val="18"/>
              </w:rPr>
            </w:pPr>
            <w:r>
              <w:rPr>
                <w:rFonts w:hint="eastAsia" w:ascii="宋体" w:hAnsi="宋体" w:eastAsia="宋体"/>
                <w:kern w:val="0"/>
                <w:sz w:val="18"/>
                <w:szCs w:val="18"/>
              </w:rPr>
              <w:t>执行工业重点管控单元普适性管控要求。</w:t>
            </w:r>
          </w:p>
          <w:p w14:paraId="51F5158D">
            <w:pPr>
              <w:pStyle w:val="156"/>
              <w:adjustRightInd w:val="0"/>
              <w:snapToGrid w:val="0"/>
              <w:jc w:val="left"/>
              <w:rPr>
                <w:rFonts w:ascii="宋体" w:hAnsi="宋体" w:eastAsia="宋体"/>
                <w:b/>
                <w:kern w:val="0"/>
                <w:sz w:val="18"/>
                <w:szCs w:val="18"/>
              </w:rPr>
            </w:pPr>
            <w:r>
              <w:rPr>
                <w:rFonts w:hint="eastAsia" w:ascii="宋体" w:hAnsi="宋体" w:eastAsia="宋体"/>
                <w:b/>
                <w:kern w:val="0"/>
                <w:sz w:val="18"/>
                <w:szCs w:val="18"/>
              </w:rPr>
              <w:t>新增源等量或倍量替代</w:t>
            </w:r>
          </w:p>
          <w:p w14:paraId="42489086">
            <w:pPr>
              <w:pStyle w:val="156"/>
              <w:adjustRightInd w:val="0"/>
              <w:snapToGrid w:val="0"/>
              <w:jc w:val="left"/>
              <w:rPr>
                <w:rFonts w:ascii="宋体" w:hAnsi="宋体" w:eastAsia="宋体"/>
                <w:kern w:val="0"/>
                <w:sz w:val="18"/>
                <w:szCs w:val="18"/>
              </w:rPr>
            </w:pPr>
            <w:r>
              <w:rPr>
                <w:rFonts w:hint="eastAsia" w:ascii="宋体" w:hAnsi="宋体" w:eastAsia="宋体"/>
                <w:kern w:val="0"/>
                <w:sz w:val="18"/>
                <w:szCs w:val="18"/>
              </w:rPr>
              <w:t>执行工业重点管控单元普适性管控要求。</w:t>
            </w:r>
          </w:p>
          <w:p w14:paraId="74DD3766">
            <w:pPr>
              <w:pStyle w:val="156"/>
              <w:adjustRightInd w:val="0"/>
              <w:snapToGrid w:val="0"/>
              <w:jc w:val="left"/>
              <w:rPr>
                <w:rFonts w:ascii="宋体" w:hAnsi="宋体" w:eastAsia="宋体"/>
                <w:b/>
                <w:kern w:val="0"/>
                <w:sz w:val="18"/>
                <w:szCs w:val="18"/>
              </w:rPr>
            </w:pPr>
            <w:r>
              <w:rPr>
                <w:rFonts w:hint="eastAsia" w:ascii="宋体" w:hAnsi="宋体" w:eastAsia="宋体"/>
                <w:b/>
                <w:kern w:val="0"/>
                <w:sz w:val="18"/>
                <w:szCs w:val="18"/>
              </w:rPr>
              <w:t>新增源排放标准限值</w:t>
            </w:r>
          </w:p>
          <w:p w14:paraId="0AF8BB61">
            <w:pPr>
              <w:pStyle w:val="156"/>
              <w:adjustRightInd w:val="0"/>
              <w:snapToGrid w:val="0"/>
              <w:jc w:val="left"/>
              <w:rPr>
                <w:rFonts w:ascii="宋体" w:hAnsi="宋体" w:eastAsia="宋体"/>
                <w:bCs/>
                <w:kern w:val="0"/>
                <w:sz w:val="18"/>
                <w:szCs w:val="18"/>
              </w:rPr>
            </w:pPr>
            <w:r>
              <w:rPr>
                <w:rFonts w:hint="eastAsia" w:ascii="宋体" w:hAnsi="宋体" w:eastAsia="宋体"/>
                <w:bCs/>
                <w:kern w:val="0"/>
                <w:sz w:val="18"/>
                <w:szCs w:val="18"/>
              </w:rPr>
              <w:t>执行工业重点管控单元普适性管控要求。</w:t>
            </w:r>
          </w:p>
          <w:p w14:paraId="65A33246">
            <w:pPr>
              <w:pStyle w:val="156"/>
              <w:adjustRightInd w:val="0"/>
              <w:snapToGrid w:val="0"/>
              <w:jc w:val="left"/>
              <w:rPr>
                <w:rFonts w:ascii="宋体" w:hAnsi="宋体" w:eastAsia="宋体"/>
                <w:b/>
                <w:bCs/>
                <w:kern w:val="0"/>
                <w:sz w:val="18"/>
                <w:szCs w:val="18"/>
              </w:rPr>
            </w:pPr>
            <w:r>
              <w:rPr>
                <w:rFonts w:hint="eastAsia" w:ascii="宋体" w:hAnsi="宋体" w:eastAsia="宋体"/>
                <w:b/>
                <w:bCs/>
                <w:kern w:val="0"/>
                <w:sz w:val="18"/>
                <w:szCs w:val="18"/>
              </w:rPr>
              <w:t>污染物排放绩效水平准入要求</w:t>
            </w:r>
          </w:p>
          <w:p w14:paraId="3651FD66">
            <w:pPr>
              <w:pStyle w:val="135"/>
              <w:adjustRightInd w:val="0"/>
              <w:snapToGrid w:val="0"/>
              <w:jc w:val="both"/>
            </w:pPr>
            <w:r>
              <w:rPr>
                <w:rFonts w:hint="eastAsia"/>
              </w:rPr>
              <w:t>（1）食品饮料重点行业项目新建应参考巴中市“三线一单”生态环境分区管控中食品饮料行业环境绩效准入门槛，对食品饮料产业中的白酒行业和肉制品加工行业执行GB27631-2011行业标准和《清洁生产评价指标体系 肉制品加工业》（DB11/T 1405-2017）二级标准，单位产品废水量≤14m</w:t>
            </w:r>
            <w:r>
              <w:rPr>
                <w:rFonts w:hint="eastAsia"/>
                <w:vertAlign w:val="superscript"/>
              </w:rPr>
              <w:t>3</w:t>
            </w:r>
            <w:r>
              <w:rPr>
                <w:rFonts w:hint="eastAsia"/>
              </w:rPr>
              <w:t>/t，单位产品化学需氧量（CODCr）产生量≤16.1kg/t、单位产品氨氮（NH</w:t>
            </w:r>
            <w:r>
              <w:rPr>
                <w:rFonts w:hint="eastAsia"/>
                <w:vertAlign w:val="subscript"/>
              </w:rPr>
              <w:t>3</w:t>
            </w:r>
            <w:r>
              <w:rPr>
                <w:rFonts w:hint="eastAsia"/>
              </w:rPr>
              <w:t>-N）≤0.65kg/t</w:t>
            </w:r>
          </w:p>
          <w:p w14:paraId="02730BE6">
            <w:pPr>
              <w:pStyle w:val="135"/>
              <w:adjustRightInd w:val="0"/>
              <w:snapToGrid w:val="0"/>
              <w:jc w:val="both"/>
            </w:pPr>
            <w:r>
              <w:rPr>
                <w:rFonts w:hint="eastAsia"/>
              </w:rPr>
              <w:t>（2）入园企业排污强度/万元工业增加值不得大于“废水量：0.036m</w:t>
            </w:r>
            <w:r>
              <w:rPr>
                <w:rFonts w:hint="eastAsia"/>
                <w:vertAlign w:val="superscript"/>
              </w:rPr>
              <w:t>3</w:t>
            </w:r>
            <w:r>
              <w:rPr>
                <w:rFonts w:hint="eastAsia"/>
              </w:rPr>
              <w:t>/万元工业增加值、COD：0.018kg/万元工业增加值、NH</w:t>
            </w:r>
            <w:r>
              <w:rPr>
                <w:rFonts w:hint="eastAsia"/>
                <w:vertAlign w:val="subscript"/>
              </w:rPr>
              <w:t>3</w:t>
            </w:r>
            <w:r>
              <w:rPr>
                <w:rFonts w:hint="eastAsia"/>
              </w:rPr>
              <w:t xml:space="preserve">-N：0.0018kg/万元工业增加值、TP：0.00018kg/万元工业增加值”。 </w:t>
            </w:r>
          </w:p>
          <w:p w14:paraId="40CC88C3">
            <w:pPr>
              <w:pStyle w:val="135"/>
              <w:adjustRightInd w:val="0"/>
              <w:snapToGrid w:val="0"/>
              <w:jc w:val="both"/>
            </w:pPr>
            <w:r>
              <w:rPr>
                <w:rFonts w:hint="eastAsia"/>
              </w:rPr>
              <w:t>（3）执行工业重点管控单元总体准入要求。</w:t>
            </w:r>
          </w:p>
          <w:p w14:paraId="6ADA1406">
            <w:pPr>
              <w:pStyle w:val="135"/>
              <w:adjustRightInd w:val="0"/>
              <w:snapToGrid w:val="0"/>
              <w:jc w:val="left"/>
              <w:rPr>
                <w:rFonts w:ascii="宋体" w:hAnsi="宋体"/>
                <w:szCs w:val="18"/>
              </w:rPr>
            </w:pPr>
            <w:r>
              <w:rPr>
                <w:rFonts w:hint="eastAsia" w:ascii="宋体" w:hAnsi="宋体" w:cs="Times New Roman"/>
                <w:b/>
                <w:kern w:val="0"/>
                <w:szCs w:val="18"/>
              </w:rPr>
              <w:t>其他污染物排放管控要求</w:t>
            </w:r>
          </w:p>
        </w:tc>
        <w:tc>
          <w:tcPr>
            <w:tcW w:w="784" w:type="pct"/>
            <w:vAlign w:val="center"/>
          </w:tcPr>
          <w:p w14:paraId="3713ADFF">
            <w:pPr>
              <w:pStyle w:val="156"/>
              <w:adjustRightInd w:val="0"/>
              <w:snapToGrid w:val="0"/>
              <w:jc w:val="left"/>
              <w:rPr>
                <w:rFonts w:ascii="宋体" w:hAnsi="宋体" w:eastAsia="宋体"/>
                <w:b/>
                <w:kern w:val="0"/>
                <w:sz w:val="18"/>
                <w:szCs w:val="18"/>
              </w:rPr>
            </w:pPr>
            <w:r>
              <w:rPr>
                <w:rFonts w:hint="eastAsia" w:ascii="宋体" w:hAnsi="宋体" w:eastAsia="宋体"/>
                <w:b/>
                <w:kern w:val="0"/>
                <w:sz w:val="18"/>
                <w:szCs w:val="18"/>
              </w:rPr>
              <w:t>现有源提标升级改造</w:t>
            </w:r>
          </w:p>
          <w:p w14:paraId="0906CDE8">
            <w:pPr>
              <w:pStyle w:val="156"/>
              <w:adjustRightInd w:val="0"/>
              <w:snapToGrid w:val="0"/>
              <w:jc w:val="left"/>
              <w:rPr>
                <w:rFonts w:ascii="宋体" w:hAnsi="宋体" w:eastAsia="宋体"/>
                <w:kern w:val="0"/>
                <w:sz w:val="18"/>
                <w:szCs w:val="18"/>
              </w:rPr>
            </w:pPr>
            <w:r>
              <w:rPr>
                <w:rFonts w:hint="eastAsia" w:ascii="宋体" w:hAnsi="宋体" w:eastAsia="宋体"/>
                <w:kern w:val="0"/>
                <w:sz w:val="18"/>
                <w:szCs w:val="18"/>
              </w:rPr>
              <w:t>不涉及。</w:t>
            </w:r>
          </w:p>
          <w:p w14:paraId="6515EE95">
            <w:pPr>
              <w:pStyle w:val="156"/>
              <w:adjustRightInd w:val="0"/>
              <w:snapToGrid w:val="0"/>
              <w:jc w:val="left"/>
              <w:rPr>
                <w:rFonts w:ascii="宋体" w:hAnsi="宋体" w:eastAsia="宋体"/>
                <w:b/>
                <w:kern w:val="0"/>
                <w:sz w:val="18"/>
                <w:szCs w:val="18"/>
              </w:rPr>
            </w:pPr>
            <w:r>
              <w:rPr>
                <w:rFonts w:hint="eastAsia" w:ascii="宋体" w:hAnsi="宋体" w:eastAsia="宋体"/>
                <w:b/>
                <w:kern w:val="0"/>
                <w:sz w:val="18"/>
                <w:szCs w:val="18"/>
              </w:rPr>
              <w:t>新增源等量或倍量替代</w:t>
            </w:r>
          </w:p>
          <w:p w14:paraId="156EB7E7">
            <w:pPr>
              <w:pStyle w:val="156"/>
              <w:adjustRightInd w:val="0"/>
              <w:snapToGrid w:val="0"/>
              <w:jc w:val="left"/>
              <w:rPr>
                <w:rFonts w:ascii="宋体" w:hAnsi="宋体" w:eastAsia="宋体"/>
                <w:kern w:val="0"/>
                <w:sz w:val="18"/>
                <w:szCs w:val="18"/>
              </w:rPr>
            </w:pPr>
            <w:r>
              <w:rPr>
                <w:rFonts w:hint="eastAsia" w:ascii="宋体" w:hAnsi="宋体" w:eastAsia="宋体"/>
                <w:kern w:val="0"/>
                <w:sz w:val="18"/>
                <w:szCs w:val="18"/>
              </w:rPr>
              <w:t>本项目新增污染物指标应根据相关要求进行替代。</w:t>
            </w:r>
          </w:p>
          <w:p w14:paraId="5391D05D">
            <w:pPr>
              <w:pStyle w:val="156"/>
              <w:adjustRightInd w:val="0"/>
              <w:snapToGrid w:val="0"/>
              <w:jc w:val="left"/>
              <w:rPr>
                <w:rFonts w:ascii="宋体" w:hAnsi="宋体" w:eastAsia="宋体"/>
                <w:b/>
                <w:kern w:val="0"/>
                <w:sz w:val="18"/>
                <w:szCs w:val="18"/>
              </w:rPr>
            </w:pPr>
            <w:r>
              <w:rPr>
                <w:rFonts w:hint="eastAsia" w:ascii="宋体" w:hAnsi="宋体" w:eastAsia="宋体"/>
                <w:b/>
                <w:kern w:val="0"/>
                <w:sz w:val="18"/>
                <w:szCs w:val="18"/>
              </w:rPr>
              <w:t>新增源排放标准限值</w:t>
            </w:r>
          </w:p>
          <w:p w14:paraId="01658EAF">
            <w:pPr>
              <w:pStyle w:val="156"/>
              <w:adjustRightInd w:val="0"/>
              <w:snapToGrid w:val="0"/>
              <w:jc w:val="left"/>
              <w:rPr>
                <w:rFonts w:ascii="宋体" w:hAnsi="宋体"/>
                <w:b/>
                <w:bCs/>
                <w:kern w:val="0"/>
                <w:szCs w:val="18"/>
              </w:rPr>
            </w:pPr>
            <w:r>
              <w:rPr>
                <w:rFonts w:hint="eastAsia" w:ascii="宋体" w:hAnsi="宋体" w:eastAsia="宋体"/>
                <w:bCs/>
                <w:kern w:val="0"/>
                <w:sz w:val="18"/>
                <w:szCs w:val="18"/>
              </w:rPr>
              <w:t>项目污染物排放满足相应标准。</w:t>
            </w:r>
          </w:p>
          <w:p w14:paraId="1320326B">
            <w:pPr>
              <w:pStyle w:val="135"/>
              <w:adjustRightInd w:val="0"/>
              <w:snapToGrid w:val="0"/>
              <w:jc w:val="both"/>
              <w:rPr>
                <w:rFonts w:ascii="宋体" w:hAnsi="宋体"/>
                <w:b/>
                <w:bCs/>
                <w:kern w:val="0"/>
                <w:szCs w:val="18"/>
              </w:rPr>
            </w:pPr>
            <w:r>
              <w:rPr>
                <w:rFonts w:hint="eastAsia" w:ascii="宋体" w:hAnsi="宋体"/>
                <w:b/>
                <w:bCs/>
                <w:kern w:val="0"/>
                <w:szCs w:val="18"/>
              </w:rPr>
              <w:t>污染物排放绩效水平准入要求：</w:t>
            </w:r>
          </w:p>
          <w:p w14:paraId="00D258A5">
            <w:pPr>
              <w:pStyle w:val="135"/>
              <w:adjustRightInd w:val="0"/>
              <w:snapToGrid w:val="0"/>
              <w:jc w:val="both"/>
            </w:pPr>
            <w:r>
              <w:rPr>
                <w:rFonts w:hint="eastAsia"/>
              </w:rPr>
              <w:t>（1）本项目不属于食品饮料行业；</w:t>
            </w:r>
          </w:p>
          <w:p w14:paraId="4B3F0C69">
            <w:pPr>
              <w:pStyle w:val="135"/>
              <w:adjustRightInd w:val="0"/>
              <w:snapToGrid w:val="0"/>
              <w:jc w:val="both"/>
            </w:pPr>
            <w:r>
              <w:rPr>
                <w:rFonts w:hint="eastAsia"/>
              </w:rPr>
              <w:t>（2）本项目生产废水全部回用，不外排。</w:t>
            </w:r>
          </w:p>
        </w:tc>
        <w:tc>
          <w:tcPr>
            <w:tcW w:w="227" w:type="pct"/>
            <w:vAlign w:val="center"/>
          </w:tcPr>
          <w:p w14:paraId="4CCBF714">
            <w:pPr>
              <w:pStyle w:val="135"/>
              <w:adjustRightInd w:val="0"/>
              <w:snapToGrid w:val="0"/>
            </w:pPr>
            <w:r>
              <w:rPr>
                <w:rFonts w:hint="eastAsia"/>
              </w:rPr>
              <w:t>符合</w:t>
            </w:r>
          </w:p>
        </w:tc>
      </w:tr>
      <w:tr w14:paraId="63505C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14:paraId="7554B84C">
            <w:pPr>
              <w:pStyle w:val="135"/>
              <w:adjustRightInd w:val="0"/>
              <w:snapToGrid w:val="0"/>
            </w:pPr>
          </w:p>
        </w:tc>
        <w:tc>
          <w:tcPr>
            <w:tcW w:w="129" w:type="pct"/>
            <w:vMerge w:val="continue"/>
            <w:vAlign w:val="center"/>
          </w:tcPr>
          <w:p w14:paraId="4E2F234F">
            <w:pPr>
              <w:pStyle w:val="135"/>
              <w:adjustRightInd w:val="0"/>
              <w:snapToGrid w:val="0"/>
            </w:pPr>
          </w:p>
        </w:tc>
        <w:tc>
          <w:tcPr>
            <w:tcW w:w="150" w:type="pct"/>
            <w:vAlign w:val="center"/>
          </w:tcPr>
          <w:p w14:paraId="016A7687">
            <w:pPr>
              <w:pStyle w:val="135"/>
              <w:adjustRightInd w:val="0"/>
              <w:snapToGrid w:val="0"/>
            </w:pPr>
            <w:r>
              <w:rPr>
                <w:rFonts w:hint="eastAsia"/>
              </w:rPr>
              <w:t>环境风险防控</w:t>
            </w:r>
          </w:p>
        </w:tc>
        <w:tc>
          <w:tcPr>
            <w:tcW w:w="3250" w:type="pct"/>
            <w:vAlign w:val="center"/>
          </w:tcPr>
          <w:p w14:paraId="10D25A1E">
            <w:pPr>
              <w:pStyle w:val="156"/>
              <w:adjustRightInd w:val="0"/>
              <w:snapToGrid w:val="0"/>
              <w:jc w:val="left"/>
              <w:rPr>
                <w:rFonts w:ascii="宋体" w:hAnsi="宋体" w:eastAsia="宋体"/>
                <w:b/>
                <w:bCs/>
                <w:kern w:val="0"/>
                <w:sz w:val="18"/>
                <w:szCs w:val="18"/>
              </w:rPr>
            </w:pPr>
            <w:r>
              <w:rPr>
                <w:rFonts w:hint="eastAsia" w:ascii="宋体" w:hAnsi="宋体" w:eastAsia="宋体"/>
                <w:b/>
                <w:bCs/>
                <w:kern w:val="0"/>
                <w:sz w:val="18"/>
                <w:szCs w:val="18"/>
              </w:rPr>
              <w:t>严格管控类农用地管控要求：</w:t>
            </w:r>
            <w:r>
              <w:rPr>
                <w:rFonts w:hint="eastAsia" w:ascii="宋体" w:hAnsi="宋体" w:eastAsia="宋体"/>
                <w:bCs/>
                <w:kern w:val="0"/>
                <w:sz w:val="18"/>
                <w:szCs w:val="18"/>
              </w:rPr>
              <w:t>执行工业重点管控单元普适性管控要求。</w:t>
            </w:r>
          </w:p>
          <w:p w14:paraId="70D7FE39">
            <w:pPr>
              <w:pStyle w:val="156"/>
              <w:adjustRightInd w:val="0"/>
              <w:snapToGrid w:val="0"/>
              <w:jc w:val="left"/>
              <w:rPr>
                <w:rFonts w:ascii="宋体" w:hAnsi="宋体" w:eastAsia="宋体"/>
                <w:b/>
                <w:bCs/>
                <w:kern w:val="0"/>
                <w:sz w:val="18"/>
                <w:szCs w:val="18"/>
              </w:rPr>
            </w:pPr>
            <w:r>
              <w:rPr>
                <w:rFonts w:hint="eastAsia" w:ascii="宋体" w:hAnsi="宋体" w:eastAsia="宋体"/>
                <w:b/>
                <w:bCs/>
                <w:kern w:val="0"/>
                <w:sz w:val="18"/>
                <w:szCs w:val="18"/>
              </w:rPr>
              <w:t>安全利用类农用地管控要求：</w:t>
            </w:r>
            <w:r>
              <w:rPr>
                <w:rFonts w:hint="eastAsia" w:ascii="宋体" w:hAnsi="宋体" w:eastAsia="宋体"/>
                <w:bCs/>
                <w:kern w:val="0"/>
                <w:sz w:val="18"/>
                <w:szCs w:val="18"/>
              </w:rPr>
              <w:t>执行工业重点管控单元普适性管控要求。</w:t>
            </w:r>
          </w:p>
          <w:p w14:paraId="2940C76F">
            <w:pPr>
              <w:pStyle w:val="156"/>
              <w:adjustRightInd w:val="0"/>
              <w:snapToGrid w:val="0"/>
              <w:jc w:val="left"/>
              <w:rPr>
                <w:rFonts w:ascii="宋体" w:hAnsi="宋体" w:eastAsia="宋体"/>
                <w:b/>
                <w:bCs/>
                <w:kern w:val="0"/>
                <w:sz w:val="18"/>
                <w:szCs w:val="18"/>
              </w:rPr>
            </w:pPr>
            <w:r>
              <w:rPr>
                <w:rFonts w:hint="eastAsia" w:ascii="宋体" w:hAnsi="宋体" w:eastAsia="宋体"/>
                <w:b/>
                <w:bCs/>
                <w:kern w:val="0"/>
                <w:sz w:val="18"/>
                <w:szCs w:val="18"/>
              </w:rPr>
              <w:t>污染地块管控要求：</w:t>
            </w:r>
            <w:r>
              <w:rPr>
                <w:rFonts w:hint="eastAsia" w:ascii="宋体" w:hAnsi="宋体" w:eastAsia="宋体"/>
                <w:bCs/>
                <w:kern w:val="0"/>
                <w:sz w:val="18"/>
                <w:szCs w:val="18"/>
              </w:rPr>
              <w:t>执行工业重点管控单元普适性管控要求。</w:t>
            </w:r>
          </w:p>
          <w:p w14:paraId="352FACCA">
            <w:pPr>
              <w:pStyle w:val="156"/>
              <w:adjustRightInd w:val="0"/>
              <w:snapToGrid w:val="0"/>
              <w:jc w:val="left"/>
              <w:rPr>
                <w:rFonts w:ascii="宋体" w:hAnsi="宋体" w:eastAsia="宋体"/>
                <w:b/>
                <w:bCs/>
                <w:kern w:val="0"/>
                <w:sz w:val="18"/>
                <w:szCs w:val="18"/>
              </w:rPr>
            </w:pPr>
            <w:r>
              <w:rPr>
                <w:rFonts w:hint="eastAsia" w:ascii="宋体" w:hAnsi="宋体" w:eastAsia="宋体"/>
                <w:b/>
                <w:bCs/>
                <w:kern w:val="0"/>
                <w:sz w:val="18"/>
                <w:szCs w:val="18"/>
              </w:rPr>
              <w:t>园区环境风险防控要求：</w:t>
            </w:r>
          </w:p>
          <w:p w14:paraId="03BEC614">
            <w:pPr>
              <w:pStyle w:val="156"/>
              <w:adjustRightInd w:val="0"/>
              <w:snapToGrid w:val="0"/>
              <w:jc w:val="both"/>
              <w:rPr>
                <w:rFonts w:ascii="宋体" w:hAnsi="宋体" w:eastAsia="宋体"/>
                <w:kern w:val="0"/>
                <w:sz w:val="18"/>
                <w:szCs w:val="18"/>
              </w:rPr>
            </w:pPr>
            <w:r>
              <w:rPr>
                <w:rFonts w:hint="eastAsia" w:ascii="宋体" w:hAnsi="宋体" w:eastAsia="宋体"/>
                <w:kern w:val="0"/>
                <w:sz w:val="18"/>
                <w:szCs w:val="18"/>
              </w:rPr>
              <w:t>（1）园区与城区和居住区接壤的地块，禁止引入环境风险潜势大于III级及以上的项目。</w:t>
            </w:r>
          </w:p>
          <w:p w14:paraId="6DDA2884">
            <w:pPr>
              <w:pStyle w:val="156"/>
              <w:adjustRightInd w:val="0"/>
              <w:snapToGrid w:val="0"/>
              <w:jc w:val="both"/>
              <w:rPr>
                <w:rFonts w:ascii="宋体" w:hAnsi="宋体" w:eastAsia="宋体"/>
                <w:kern w:val="0"/>
                <w:sz w:val="18"/>
                <w:szCs w:val="18"/>
              </w:rPr>
            </w:pPr>
            <w:r>
              <w:rPr>
                <w:rFonts w:hint="eastAsia" w:ascii="宋体" w:hAnsi="宋体" w:eastAsia="宋体"/>
                <w:kern w:val="0"/>
                <w:sz w:val="18"/>
                <w:szCs w:val="18"/>
              </w:rPr>
              <w:t>（2）金堂区块应考虑环境风险的区域联合防控，建立污染源头、过程处理和最终排放的“三级防控”机制。高度重视园区环境安全工作，构建“企业-园区-流域”三级防控体系，实现“事故废水不出涉事企业、不出园区管网、不进园区周边水系”的风险防控目标。</w:t>
            </w:r>
          </w:p>
          <w:p w14:paraId="27E65557">
            <w:pPr>
              <w:pStyle w:val="156"/>
              <w:adjustRightInd w:val="0"/>
              <w:snapToGrid w:val="0"/>
              <w:jc w:val="both"/>
              <w:rPr>
                <w:rFonts w:ascii="宋体" w:hAnsi="宋体" w:eastAsia="宋体"/>
                <w:kern w:val="0"/>
                <w:sz w:val="18"/>
                <w:szCs w:val="18"/>
              </w:rPr>
            </w:pPr>
            <w:r>
              <w:rPr>
                <w:rFonts w:hint="eastAsia" w:ascii="宋体" w:hAnsi="宋体" w:eastAsia="宋体"/>
                <w:kern w:val="0"/>
                <w:sz w:val="18"/>
                <w:szCs w:val="18"/>
              </w:rPr>
              <w:t>（3）其余执行工业重点管控单元总体准入要求。</w:t>
            </w:r>
          </w:p>
          <w:p w14:paraId="128FB79B">
            <w:pPr>
              <w:pStyle w:val="156"/>
              <w:adjustRightInd w:val="0"/>
              <w:snapToGrid w:val="0"/>
              <w:jc w:val="left"/>
              <w:rPr>
                <w:rFonts w:ascii="宋体" w:hAnsi="宋体" w:eastAsia="宋体"/>
                <w:kern w:val="0"/>
                <w:sz w:val="18"/>
                <w:szCs w:val="18"/>
              </w:rPr>
            </w:pPr>
            <w:r>
              <w:rPr>
                <w:rFonts w:hint="eastAsia" w:ascii="宋体" w:hAnsi="宋体" w:eastAsia="宋体"/>
                <w:b/>
                <w:bCs/>
                <w:kern w:val="0"/>
                <w:sz w:val="18"/>
                <w:szCs w:val="18"/>
              </w:rPr>
              <w:t>企业环境风险防控要求：</w:t>
            </w:r>
            <w:r>
              <w:rPr>
                <w:rFonts w:hint="eastAsia" w:ascii="宋体" w:hAnsi="宋体" w:eastAsia="宋体"/>
                <w:kern w:val="0"/>
                <w:sz w:val="18"/>
                <w:szCs w:val="18"/>
              </w:rPr>
              <w:t>执行工业重点管控单元普适性管控要求。</w:t>
            </w:r>
          </w:p>
          <w:p w14:paraId="2ABBD41E">
            <w:pPr>
              <w:pStyle w:val="156"/>
              <w:adjustRightInd w:val="0"/>
              <w:snapToGrid w:val="0"/>
              <w:jc w:val="left"/>
              <w:rPr>
                <w:rFonts w:ascii="宋体" w:hAnsi="宋体"/>
                <w:szCs w:val="18"/>
              </w:rPr>
            </w:pPr>
            <w:r>
              <w:rPr>
                <w:rFonts w:hint="eastAsia" w:ascii="宋体" w:hAnsi="宋体" w:eastAsia="宋体"/>
                <w:b/>
                <w:bCs/>
                <w:kern w:val="0"/>
                <w:sz w:val="18"/>
                <w:szCs w:val="18"/>
              </w:rPr>
              <w:t>其他环境风险防控要求：/</w:t>
            </w:r>
          </w:p>
        </w:tc>
        <w:tc>
          <w:tcPr>
            <w:tcW w:w="784" w:type="pct"/>
            <w:vAlign w:val="center"/>
          </w:tcPr>
          <w:p w14:paraId="13B83FE3">
            <w:pPr>
              <w:pStyle w:val="156"/>
              <w:adjustRightInd w:val="0"/>
              <w:snapToGrid w:val="0"/>
              <w:jc w:val="left"/>
              <w:rPr>
                <w:rFonts w:ascii="宋体" w:hAnsi="宋体" w:eastAsia="宋体"/>
                <w:b/>
                <w:bCs/>
                <w:kern w:val="0"/>
                <w:sz w:val="18"/>
                <w:szCs w:val="18"/>
              </w:rPr>
            </w:pPr>
            <w:r>
              <w:rPr>
                <w:rFonts w:hint="eastAsia" w:ascii="宋体" w:hAnsi="宋体" w:eastAsia="宋体"/>
                <w:b/>
                <w:bCs/>
                <w:kern w:val="0"/>
                <w:sz w:val="18"/>
                <w:szCs w:val="18"/>
              </w:rPr>
              <w:t>严格管控类农用地管控要求：</w:t>
            </w:r>
            <w:r>
              <w:rPr>
                <w:rFonts w:hint="eastAsia" w:ascii="宋体" w:hAnsi="宋体" w:eastAsia="宋体"/>
                <w:bCs/>
                <w:kern w:val="0"/>
                <w:sz w:val="18"/>
                <w:szCs w:val="18"/>
              </w:rPr>
              <w:t>不涉及。</w:t>
            </w:r>
          </w:p>
          <w:p w14:paraId="1E779EFD">
            <w:pPr>
              <w:pStyle w:val="156"/>
              <w:adjustRightInd w:val="0"/>
              <w:snapToGrid w:val="0"/>
              <w:jc w:val="left"/>
              <w:rPr>
                <w:rFonts w:ascii="宋体" w:hAnsi="宋体" w:eastAsia="宋体"/>
                <w:b/>
                <w:bCs/>
                <w:kern w:val="0"/>
                <w:sz w:val="18"/>
                <w:szCs w:val="18"/>
              </w:rPr>
            </w:pPr>
            <w:r>
              <w:rPr>
                <w:rFonts w:hint="eastAsia" w:ascii="宋体" w:hAnsi="宋体" w:eastAsia="宋体"/>
                <w:b/>
                <w:bCs/>
                <w:kern w:val="0"/>
                <w:sz w:val="18"/>
                <w:szCs w:val="18"/>
              </w:rPr>
              <w:t>安全利用类农用地管控要求：不涉及</w:t>
            </w:r>
            <w:r>
              <w:rPr>
                <w:rFonts w:hint="eastAsia" w:ascii="宋体" w:hAnsi="宋体" w:eastAsia="宋体"/>
                <w:bCs/>
                <w:kern w:val="0"/>
                <w:sz w:val="18"/>
                <w:szCs w:val="18"/>
              </w:rPr>
              <w:t>。</w:t>
            </w:r>
          </w:p>
          <w:p w14:paraId="177F8FB1">
            <w:pPr>
              <w:pStyle w:val="135"/>
              <w:adjustRightInd w:val="0"/>
              <w:snapToGrid w:val="0"/>
              <w:jc w:val="both"/>
              <w:rPr>
                <w:rFonts w:ascii="宋体" w:hAnsi="宋体"/>
                <w:b/>
                <w:bCs/>
                <w:kern w:val="0"/>
                <w:szCs w:val="18"/>
              </w:rPr>
            </w:pPr>
            <w:r>
              <w:rPr>
                <w:rFonts w:hint="eastAsia" w:ascii="宋体" w:hAnsi="宋体"/>
                <w:b/>
                <w:bCs/>
                <w:kern w:val="0"/>
                <w:szCs w:val="18"/>
              </w:rPr>
              <w:t>污染地块管控要求：不涉及</w:t>
            </w:r>
            <w:r>
              <w:rPr>
                <w:rFonts w:hint="eastAsia" w:ascii="宋体" w:hAnsi="宋体"/>
                <w:bCs/>
                <w:kern w:val="0"/>
                <w:szCs w:val="18"/>
              </w:rPr>
              <w:t>。</w:t>
            </w:r>
          </w:p>
          <w:p w14:paraId="20BED7EF">
            <w:pPr>
              <w:pStyle w:val="135"/>
              <w:adjustRightInd w:val="0"/>
              <w:snapToGrid w:val="0"/>
              <w:jc w:val="both"/>
              <w:rPr>
                <w:rFonts w:ascii="宋体" w:hAnsi="宋体"/>
                <w:b/>
                <w:bCs/>
                <w:kern w:val="0"/>
                <w:szCs w:val="18"/>
              </w:rPr>
            </w:pPr>
            <w:r>
              <w:rPr>
                <w:rFonts w:hint="eastAsia" w:ascii="宋体" w:hAnsi="宋体"/>
                <w:b/>
                <w:bCs/>
                <w:kern w:val="0"/>
                <w:szCs w:val="18"/>
              </w:rPr>
              <w:t>园区环境风险防控要求：</w:t>
            </w:r>
          </w:p>
          <w:p w14:paraId="6CF860B6">
            <w:pPr>
              <w:pStyle w:val="135"/>
              <w:adjustRightInd w:val="0"/>
              <w:snapToGrid w:val="0"/>
              <w:jc w:val="both"/>
            </w:pPr>
            <w:r>
              <w:rPr>
                <w:rFonts w:hint="eastAsia"/>
              </w:rPr>
              <w:t>（1）本项目位于巴中经开区兴文街道，不与城区和居住区接壤，环境风险潜势为I级。</w:t>
            </w:r>
          </w:p>
          <w:p w14:paraId="02C55566">
            <w:pPr>
              <w:pStyle w:val="135"/>
              <w:adjustRightInd w:val="0"/>
              <w:snapToGrid w:val="0"/>
              <w:jc w:val="both"/>
            </w:pPr>
            <w:r>
              <w:rPr>
                <w:rFonts w:hint="eastAsia"/>
              </w:rPr>
              <w:t>（2）本项目环境风险潜势为I级，生产废水全部回用，环境风险可控。</w:t>
            </w:r>
          </w:p>
        </w:tc>
        <w:tc>
          <w:tcPr>
            <w:tcW w:w="227" w:type="pct"/>
            <w:vAlign w:val="center"/>
          </w:tcPr>
          <w:p w14:paraId="6769DD01">
            <w:pPr>
              <w:pStyle w:val="135"/>
              <w:adjustRightInd w:val="0"/>
              <w:snapToGrid w:val="0"/>
            </w:pPr>
            <w:r>
              <w:rPr>
                <w:rFonts w:hint="eastAsia"/>
              </w:rPr>
              <w:t>符合</w:t>
            </w:r>
          </w:p>
        </w:tc>
      </w:tr>
      <w:tr w14:paraId="76FA52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14:paraId="1D0C166D">
            <w:pPr>
              <w:pStyle w:val="135"/>
              <w:adjustRightInd w:val="0"/>
              <w:snapToGrid w:val="0"/>
            </w:pPr>
          </w:p>
        </w:tc>
        <w:tc>
          <w:tcPr>
            <w:tcW w:w="129" w:type="pct"/>
            <w:vMerge w:val="continue"/>
            <w:vAlign w:val="center"/>
          </w:tcPr>
          <w:p w14:paraId="73C51622">
            <w:pPr>
              <w:pStyle w:val="135"/>
              <w:adjustRightInd w:val="0"/>
              <w:snapToGrid w:val="0"/>
            </w:pPr>
          </w:p>
        </w:tc>
        <w:tc>
          <w:tcPr>
            <w:tcW w:w="150" w:type="pct"/>
            <w:vAlign w:val="center"/>
          </w:tcPr>
          <w:p w14:paraId="6AEEFB94">
            <w:pPr>
              <w:pStyle w:val="135"/>
              <w:adjustRightInd w:val="0"/>
              <w:snapToGrid w:val="0"/>
            </w:pPr>
            <w:r>
              <w:rPr>
                <w:rFonts w:hint="eastAsia"/>
              </w:rPr>
              <w:t>资源开发利用效率</w:t>
            </w:r>
          </w:p>
        </w:tc>
        <w:tc>
          <w:tcPr>
            <w:tcW w:w="3250" w:type="pct"/>
            <w:vAlign w:val="center"/>
          </w:tcPr>
          <w:p w14:paraId="2558115C">
            <w:pPr>
              <w:pStyle w:val="156"/>
              <w:adjustRightInd w:val="0"/>
              <w:snapToGrid w:val="0"/>
              <w:jc w:val="both"/>
              <w:rPr>
                <w:rFonts w:ascii="宋体" w:hAnsi="宋体" w:eastAsia="宋体"/>
                <w:b/>
                <w:bCs/>
                <w:kern w:val="0"/>
                <w:sz w:val="18"/>
                <w:szCs w:val="18"/>
              </w:rPr>
            </w:pPr>
            <w:r>
              <w:rPr>
                <w:rFonts w:hint="eastAsia" w:ascii="宋体" w:hAnsi="宋体" w:eastAsia="宋体"/>
                <w:b/>
                <w:bCs/>
                <w:kern w:val="0"/>
                <w:sz w:val="18"/>
                <w:szCs w:val="18"/>
              </w:rPr>
              <w:t>水资源利用效率要求：</w:t>
            </w:r>
            <w:r>
              <w:rPr>
                <w:rFonts w:hint="eastAsia" w:ascii="宋体" w:hAnsi="宋体" w:eastAsia="宋体"/>
                <w:kern w:val="0"/>
                <w:sz w:val="18"/>
                <w:szCs w:val="18"/>
              </w:rPr>
              <w:t>执行工业重点管控单元普适性管控要求。</w:t>
            </w:r>
          </w:p>
          <w:p w14:paraId="6C5AFB03">
            <w:pPr>
              <w:pStyle w:val="156"/>
              <w:adjustRightInd w:val="0"/>
              <w:snapToGrid w:val="0"/>
              <w:jc w:val="both"/>
              <w:rPr>
                <w:rFonts w:ascii="宋体" w:hAnsi="宋体" w:eastAsia="宋体"/>
                <w:kern w:val="0"/>
                <w:sz w:val="18"/>
                <w:szCs w:val="18"/>
              </w:rPr>
            </w:pPr>
            <w:r>
              <w:rPr>
                <w:rFonts w:hint="eastAsia" w:ascii="宋体" w:hAnsi="宋体" w:eastAsia="宋体"/>
                <w:b/>
                <w:bCs/>
                <w:kern w:val="0"/>
                <w:sz w:val="18"/>
                <w:szCs w:val="18"/>
              </w:rPr>
              <w:t>地下水开采要求：</w:t>
            </w:r>
            <w:r>
              <w:rPr>
                <w:rFonts w:hint="eastAsia" w:ascii="宋体" w:hAnsi="宋体" w:eastAsia="宋体"/>
                <w:kern w:val="0"/>
                <w:sz w:val="18"/>
                <w:szCs w:val="18"/>
              </w:rPr>
              <w:t>执行工业重点管控单元普适性管控要求。</w:t>
            </w:r>
          </w:p>
          <w:p w14:paraId="6EA04D76">
            <w:pPr>
              <w:pStyle w:val="156"/>
              <w:adjustRightInd w:val="0"/>
              <w:snapToGrid w:val="0"/>
              <w:jc w:val="both"/>
              <w:rPr>
                <w:rFonts w:ascii="宋体" w:hAnsi="宋体" w:eastAsia="宋体"/>
                <w:kern w:val="0"/>
                <w:sz w:val="18"/>
                <w:szCs w:val="18"/>
              </w:rPr>
            </w:pPr>
            <w:r>
              <w:rPr>
                <w:rFonts w:hint="eastAsia" w:ascii="宋体" w:hAnsi="宋体" w:eastAsia="宋体"/>
                <w:b/>
                <w:bCs/>
                <w:kern w:val="0"/>
                <w:sz w:val="18"/>
                <w:szCs w:val="18"/>
              </w:rPr>
              <w:t>能源利用效率要求：</w:t>
            </w:r>
            <w:r>
              <w:rPr>
                <w:rFonts w:hint="eastAsia" w:ascii="宋体" w:hAnsi="宋体" w:eastAsia="宋体"/>
                <w:kern w:val="0"/>
                <w:sz w:val="18"/>
                <w:szCs w:val="18"/>
              </w:rPr>
              <w:t>执行工业重点管控单元普适性管控要求。</w:t>
            </w:r>
          </w:p>
          <w:p w14:paraId="4C474F9C">
            <w:pPr>
              <w:pStyle w:val="156"/>
              <w:adjustRightInd w:val="0"/>
              <w:snapToGrid w:val="0"/>
              <w:jc w:val="both"/>
              <w:rPr>
                <w:rFonts w:ascii="宋体" w:hAnsi="宋体"/>
                <w:b/>
                <w:bCs/>
                <w:szCs w:val="18"/>
              </w:rPr>
            </w:pPr>
            <w:r>
              <w:rPr>
                <w:rFonts w:hint="eastAsia" w:ascii="宋体" w:hAnsi="宋体" w:eastAsia="宋体"/>
                <w:b/>
                <w:bCs/>
                <w:kern w:val="0"/>
                <w:sz w:val="18"/>
                <w:szCs w:val="18"/>
              </w:rPr>
              <w:t>其他资源利用效率要求：</w:t>
            </w:r>
            <w:r>
              <w:rPr>
                <w:rFonts w:hint="eastAsia" w:ascii="宋体" w:hAnsi="宋体"/>
                <w:b/>
                <w:bCs/>
                <w:kern w:val="0"/>
                <w:szCs w:val="18"/>
              </w:rPr>
              <w:t>/</w:t>
            </w:r>
          </w:p>
        </w:tc>
        <w:tc>
          <w:tcPr>
            <w:tcW w:w="784" w:type="pct"/>
            <w:vAlign w:val="center"/>
          </w:tcPr>
          <w:p w14:paraId="66C5F3F4">
            <w:pPr>
              <w:pStyle w:val="135"/>
              <w:adjustRightInd w:val="0"/>
              <w:snapToGrid w:val="0"/>
              <w:jc w:val="both"/>
            </w:pPr>
            <w:r>
              <w:rPr>
                <w:rFonts w:hint="eastAsia"/>
              </w:rPr>
              <w:t>满足</w:t>
            </w:r>
            <w:r>
              <w:rPr>
                <w:rFonts w:hint="eastAsia" w:ascii="宋体" w:hAnsi="宋体" w:cs="Times New Roman"/>
                <w:kern w:val="0"/>
                <w:szCs w:val="18"/>
              </w:rPr>
              <w:t>工业重点管控单元普适性管控要求。</w:t>
            </w:r>
          </w:p>
        </w:tc>
        <w:tc>
          <w:tcPr>
            <w:tcW w:w="227" w:type="pct"/>
            <w:vAlign w:val="center"/>
          </w:tcPr>
          <w:p w14:paraId="532CC124">
            <w:pPr>
              <w:pStyle w:val="135"/>
              <w:adjustRightInd w:val="0"/>
              <w:snapToGrid w:val="0"/>
            </w:pPr>
            <w:r>
              <w:rPr>
                <w:rFonts w:hint="eastAsia"/>
              </w:rPr>
              <w:t>符合</w:t>
            </w:r>
          </w:p>
        </w:tc>
      </w:tr>
      <w:tr w14:paraId="01743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restart"/>
            <w:vAlign w:val="center"/>
          </w:tcPr>
          <w:p w14:paraId="454FDD29">
            <w:pPr>
              <w:pStyle w:val="135"/>
              <w:adjustRightInd w:val="0"/>
              <w:snapToGrid w:val="0"/>
            </w:pPr>
            <w:r>
              <w:rPr>
                <w:rFonts w:hint="eastAsia"/>
              </w:rPr>
              <w:t>YS5119022210001</w:t>
            </w:r>
          </w:p>
          <w:p w14:paraId="0B8D6BAD">
            <w:pPr>
              <w:pStyle w:val="135"/>
              <w:adjustRightInd w:val="0"/>
              <w:snapToGrid w:val="0"/>
            </w:pPr>
            <w:r>
              <w:rPr>
                <w:rFonts w:hint="eastAsia"/>
              </w:rPr>
              <w:t>巴河-巴州区-金碑-控制单元</w:t>
            </w:r>
          </w:p>
        </w:tc>
        <w:tc>
          <w:tcPr>
            <w:tcW w:w="279" w:type="pct"/>
            <w:gridSpan w:val="2"/>
            <w:vAlign w:val="center"/>
          </w:tcPr>
          <w:p w14:paraId="06533D83">
            <w:pPr>
              <w:pStyle w:val="135"/>
              <w:adjustRightInd w:val="0"/>
              <w:snapToGrid w:val="0"/>
            </w:pPr>
            <w:r>
              <w:rPr>
                <w:rFonts w:hint="eastAsia"/>
              </w:rPr>
              <w:t>空间布局约束</w:t>
            </w:r>
          </w:p>
        </w:tc>
        <w:tc>
          <w:tcPr>
            <w:tcW w:w="3250" w:type="pct"/>
            <w:vAlign w:val="center"/>
          </w:tcPr>
          <w:p w14:paraId="129D80E7">
            <w:pPr>
              <w:pStyle w:val="135"/>
              <w:adjustRightInd w:val="0"/>
              <w:snapToGrid w:val="0"/>
              <w:jc w:val="both"/>
              <w:rPr>
                <w:rFonts w:ascii="宋体" w:hAnsi="宋体"/>
                <w:b/>
                <w:bCs/>
                <w:szCs w:val="18"/>
              </w:rPr>
            </w:pPr>
            <w:r>
              <w:rPr>
                <w:rFonts w:hint="eastAsia" w:ascii="宋体" w:hAnsi="宋体"/>
                <w:b/>
                <w:bCs/>
                <w:szCs w:val="18"/>
              </w:rPr>
              <w:t>禁止开发建设活动的要求：</w:t>
            </w:r>
          </w:p>
          <w:p w14:paraId="3F66E879">
            <w:pPr>
              <w:pStyle w:val="135"/>
              <w:adjustRightInd w:val="0"/>
              <w:snapToGrid w:val="0"/>
              <w:jc w:val="both"/>
              <w:rPr>
                <w:rFonts w:ascii="宋体" w:hAnsi="宋体"/>
                <w:b/>
                <w:bCs/>
                <w:szCs w:val="18"/>
              </w:rPr>
            </w:pPr>
            <w:r>
              <w:rPr>
                <w:rFonts w:hint="eastAsia" w:ascii="宋体" w:hAnsi="宋体"/>
                <w:b/>
                <w:bCs/>
                <w:szCs w:val="18"/>
              </w:rPr>
              <w:t>限制开发建设活动的要求：</w:t>
            </w:r>
          </w:p>
          <w:p w14:paraId="69F13987">
            <w:pPr>
              <w:pStyle w:val="135"/>
              <w:adjustRightInd w:val="0"/>
              <w:snapToGrid w:val="0"/>
              <w:jc w:val="both"/>
              <w:rPr>
                <w:rFonts w:ascii="宋体" w:hAnsi="宋体"/>
                <w:szCs w:val="18"/>
              </w:rPr>
            </w:pPr>
            <w:r>
              <w:rPr>
                <w:rFonts w:hint="eastAsia" w:ascii="宋体" w:hAnsi="宋体"/>
                <w:szCs w:val="18"/>
              </w:rPr>
              <w:t>严控磷铵、黄磷等产业违规新增产能加快退出不符合产业政策和环保要求、不满足安全生产条件的涉磷企业</w:t>
            </w:r>
          </w:p>
          <w:p w14:paraId="30D5B907">
            <w:pPr>
              <w:pStyle w:val="135"/>
              <w:adjustRightInd w:val="0"/>
              <w:snapToGrid w:val="0"/>
              <w:jc w:val="both"/>
              <w:rPr>
                <w:rFonts w:ascii="宋体" w:hAnsi="宋体"/>
                <w:b/>
                <w:bCs/>
                <w:szCs w:val="18"/>
              </w:rPr>
            </w:pPr>
            <w:r>
              <w:rPr>
                <w:rFonts w:hint="eastAsia" w:ascii="宋体" w:hAnsi="宋体"/>
                <w:b/>
                <w:bCs/>
                <w:szCs w:val="18"/>
              </w:rPr>
              <w:t>允许开发建设活动的要求：</w:t>
            </w:r>
          </w:p>
          <w:p w14:paraId="24007AB2">
            <w:pPr>
              <w:pStyle w:val="135"/>
              <w:adjustRightInd w:val="0"/>
              <w:snapToGrid w:val="0"/>
              <w:jc w:val="both"/>
              <w:rPr>
                <w:rFonts w:ascii="宋体" w:hAnsi="宋体"/>
                <w:b/>
                <w:bCs/>
                <w:szCs w:val="18"/>
              </w:rPr>
            </w:pPr>
            <w:r>
              <w:rPr>
                <w:rFonts w:hint="eastAsia" w:ascii="宋体" w:hAnsi="宋体"/>
                <w:b/>
                <w:bCs/>
                <w:szCs w:val="18"/>
              </w:rPr>
              <w:t>不符合空间布局要求活动的退出要求：</w:t>
            </w:r>
          </w:p>
          <w:p w14:paraId="426B8ACE">
            <w:pPr>
              <w:pStyle w:val="135"/>
              <w:adjustRightInd w:val="0"/>
              <w:snapToGrid w:val="0"/>
              <w:jc w:val="both"/>
              <w:rPr>
                <w:rFonts w:ascii="宋体" w:hAnsi="宋体"/>
                <w:b/>
                <w:bCs/>
                <w:szCs w:val="18"/>
              </w:rPr>
            </w:pPr>
            <w:r>
              <w:rPr>
                <w:rFonts w:hint="eastAsia" w:ascii="宋体" w:hAnsi="宋体"/>
                <w:b/>
                <w:bCs/>
                <w:szCs w:val="18"/>
              </w:rPr>
              <w:t>其他空间布局约束要求：</w:t>
            </w:r>
          </w:p>
        </w:tc>
        <w:tc>
          <w:tcPr>
            <w:tcW w:w="784" w:type="pct"/>
            <w:vAlign w:val="center"/>
          </w:tcPr>
          <w:p w14:paraId="32B8CDDD">
            <w:pPr>
              <w:pStyle w:val="135"/>
              <w:adjustRightInd w:val="0"/>
              <w:snapToGrid w:val="0"/>
            </w:pPr>
            <w:r>
              <w:rPr>
                <w:rFonts w:hint="eastAsia"/>
              </w:rPr>
              <w:t>不涉及。</w:t>
            </w:r>
          </w:p>
        </w:tc>
        <w:tc>
          <w:tcPr>
            <w:tcW w:w="227" w:type="pct"/>
            <w:vAlign w:val="center"/>
          </w:tcPr>
          <w:p w14:paraId="76BE66A2">
            <w:pPr>
              <w:pStyle w:val="135"/>
              <w:adjustRightInd w:val="0"/>
              <w:snapToGrid w:val="0"/>
            </w:pPr>
            <w:r>
              <w:rPr>
                <w:rFonts w:hint="eastAsia"/>
              </w:rPr>
              <w:t>符合</w:t>
            </w:r>
          </w:p>
        </w:tc>
      </w:tr>
      <w:tr w14:paraId="306C9B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14:paraId="18DF75B2">
            <w:pPr>
              <w:pStyle w:val="135"/>
              <w:adjustRightInd w:val="0"/>
              <w:snapToGrid w:val="0"/>
            </w:pPr>
          </w:p>
        </w:tc>
        <w:tc>
          <w:tcPr>
            <w:tcW w:w="279" w:type="pct"/>
            <w:gridSpan w:val="2"/>
            <w:vAlign w:val="center"/>
          </w:tcPr>
          <w:p w14:paraId="1F737139">
            <w:pPr>
              <w:pStyle w:val="135"/>
              <w:adjustRightInd w:val="0"/>
              <w:snapToGrid w:val="0"/>
            </w:pPr>
            <w:r>
              <w:rPr>
                <w:rFonts w:hint="eastAsia"/>
              </w:rPr>
              <w:t>污染物排放管控</w:t>
            </w:r>
          </w:p>
        </w:tc>
        <w:tc>
          <w:tcPr>
            <w:tcW w:w="3250" w:type="pct"/>
            <w:vAlign w:val="center"/>
          </w:tcPr>
          <w:p w14:paraId="553CE4FF">
            <w:pPr>
              <w:pStyle w:val="135"/>
              <w:adjustRightInd w:val="0"/>
              <w:snapToGrid w:val="0"/>
              <w:jc w:val="both"/>
              <w:rPr>
                <w:b/>
                <w:bCs/>
              </w:rPr>
            </w:pPr>
            <w:r>
              <w:rPr>
                <w:rFonts w:hint="eastAsia"/>
                <w:b/>
                <w:bCs/>
              </w:rPr>
              <w:t>城镇污水污染控制措施要求</w:t>
            </w:r>
          </w:p>
          <w:p w14:paraId="1C29F650">
            <w:pPr>
              <w:pStyle w:val="135"/>
              <w:adjustRightInd w:val="0"/>
              <w:snapToGrid w:val="0"/>
              <w:jc w:val="both"/>
              <w:rPr>
                <w:b/>
                <w:bCs/>
              </w:rPr>
            </w:pPr>
            <w:r>
              <w:rPr>
                <w:rFonts w:hint="eastAsia"/>
                <w:b/>
                <w:bCs/>
              </w:rPr>
              <w:t>工业废水污染控制措施要求</w:t>
            </w:r>
          </w:p>
          <w:p w14:paraId="17C80916">
            <w:pPr>
              <w:pStyle w:val="135"/>
              <w:adjustRightInd w:val="0"/>
              <w:snapToGrid w:val="0"/>
              <w:jc w:val="both"/>
            </w:pPr>
            <w:r>
              <w:rPr>
                <w:rFonts w:hint="eastAsia"/>
              </w:rPr>
              <w:t>1、深入实施工业企业污水处理设施升级改造，全面实现工业废水达标排放。</w:t>
            </w:r>
          </w:p>
          <w:p w14:paraId="383ED7D5">
            <w:pPr>
              <w:pStyle w:val="135"/>
              <w:adjustRightInd w:val="0"/>
              <w:snapToGrid w:val="0"/>
              <w:jc w:val="both"/>
            </w:pPr>
            <w:r>
              <w:rPr>
                <w:rFonts w:hint="eastAsia"/>
              </w:rPr>
              <w:t>2、强化工业集聚区污水治理，推进工业污水集中处理设施及配套收集系统建设与提标升级改造，大力推进现有污水收集、处理设施问题排查及整治；完善园区及企业雨污分流系统，全面推进医药、化工等行业初期雨水收集处理，推动有条件的园区实施入园企业“一企一管、明管输送、实时监测”。</w:t>
            </w:r>
          </w:p>
          <w:p w14:paraId="62E6B0F8">
            <w:pPr>
              <w:pStyle w:val="135"/>
              <w:adjustRightInd w:val="0"/>
              <w:snapToGrid w:val="0"/>
              <w:jc w:val="both"/>
            </w:pPr>
            <w:r>
              <w:rPr>
                <w:rFonts w:hint="eastAsia"/>
              </w:rPr>
              <w:t>3、化工园区应按照分类收集，分质处理的要求，配备专业化工生产废水集中处理设施（独立建设或依托骨干企业）及专管或明管输送的配套管网，化工生产废水纳管率达到100%；入河排污口设置应符合相关规定。</w:t>
            </w:r>
          </w:p>
          <w:p w14:paraId="3278CB7E">
            <w:pPr>
              <w:pStyle w:val="135"/>
              <w:adjustRightInd w:val="0"/>
              <w:snapToGrid w:val="0"/>
              <w:jc w:val="both"/>
            </w:pPr>
            <w:r>
              <w:rPr>
                <w:rFonts w:hint="eastAsia"/>
              </w:rPr>
              <w:t>4、加强工业园区集中污水处理设施运行监管，强企业废水预处理和排水管理，鼓励纳管企业与园区污水处理厂运营单位通过签订委托处理合同等方式协同处理废水。</w:t>
            </w:r>
          </w:p>
          <w:p w14:paraId="10DB0F37">
            <w:pPr>
              <w:pStyle w:val="135"/>
              <w:adjustRightInd w:val="0"/>
              <w:snapToGrid w:val="0"/>
              <w:jc w:val="both"/>
            </w:pPr>
            <w:r>
              <w:rPr>
                <w:rFonts w:hint="eastAsia"/>
              </w:rPr>
              <w:t>5、加强新化学物质环境管理，严格执行《新化学物质环境管理登记办法》,落实企业新化学物质环境风险防控主体责任。落实国家《优先控制化学品名录（第一批）》《优先控制化学品名录（第二批）》《重点管控新污染物清单（2023年版）》环境风险管控措施。</w:t>
            </w:r>
          </w:p>
          <w:p w14:paraId="36FE923E">
            <w:pPr>
              <w:pStyle w:val="135"/>
              <w:adjustRightInd w:val="0"/>
              <w:snapToGrid w:val="0"/>
              <w:jc w:val="both"/>
              <w:rPr>
                <w:b/>
                <w:bCs/>
              </w:rPr>
            </w:pPr>
            <w:r>
              <w:rPr>
                <w:rFonts w:hint="eastAsia"/>
                <w:b/>
                <w:bCs/>
              </w:rPr>
              <w:t>农业面源水污染控制措施要求：</w:t>
            </w:r>
          </w:p>
          <w:p w14:paraId="47EC45AF">
            <w:pPr>
              <w:pStyle w:val="135"/>
              <w:adjustRightInd w:val="0"/>
              <w:snapToGrid w:val="0"/>
              <w:jc w:val="both"/>
              <w:rPr>
                <w:b/>
                <w:bCs/>
              </w:rPr>
            </w:pPr>
            <w:r>
              <w:rPr>
                <w:rFonts w:hint="eastAsia"/>
                <w:b/>
                <w:bCs/>
              </w:rPr>
              <w:t>船舶港口水污染控制措施要求：</w:t>
            </w:r>
          </w:p>
          <w:p w14:paraId="2ACB56F3">
            <w:pPr>
              <w:pStyle w:val="135"/>
              <w:adjustRightInd w:val="0"/>
              <w:snapToGrid w:val="0"/>
              <w:jc w:val="both"/>
              <w:rPr>
                <w:rFonts w:ascii="宋体" w:hAnsi="宋体"/>
                <w:b/>
                <w:bCs/>
                <w:szCs w:val="18"/>
              </w:rPr>
            </w:pPr>
            <w:r>
              <w:rPr>
                <w:rFonts w:hint="eastAsia"/>
                <w:b/>
                <w:bCs/>
              </w:rPr>
              <w:t>饮用水水源和其它特殊水体保护要求：</w:t>
            </w:r>
          </w:p>
        </w:tc>
        <w:tc>
          <w:tcPr>
            <w:tcW w:w="784" w:type="pct"/>
            <w:vAlign w:val="center"/>
          </w:tcPr>
          <w:p w14:paraId="6ABAC255">
            <w:pPr>
              <w:pStyle w:val="135"/>
              <w:adjustRightInd w:val="0"/>
              <w:snapToGrid w:val="0"/>
              <w:rPr>
                <w:b/>
                <w:bCs/>
              </w:rPr>
            </w:pPr>
            <w:r>
              <w:rPr>
                <w:rFonts w:hint="eastAsia"/>
                <w:b/>
                <w:bCs/>
              </w:rPr>
              <w:t>工业废水污染控制措施要求</w:t>
            </w:r>
          </w:p>
          <w:p w14:paraId="55D36771">
            <w:pPr>
              <w:pStyle w:val="135"/>
              <w:adjustRightInd w:val="0"/>
              <w:snapToGrid w:val="0"/>
              <w:jc w:val="both"/>
            </w:pPr>
            <w:r>
              <w:rPr>
                <w:rFonts w:hint="eastAsia"/>
              </w:rPr>
              <w:t>本项目采取雨污分流制度，生产废水全部回用，不外排。</w:t>
            </w:r>
          </w:p>
        </w:tc>
        <w:tc>
          <w:tcPr>
            <w:tcW w:w="227" w:type="pct"/>
            <w:vAlign w:val="center"/>
          </w:tcPr>
          <w:p w14:paraId="2A34389D">
            <w:pPr>
              <w:pStyle w:val="135"/>
              <w:adjustRightInd w:val="0"/>
              <w:snapToGrid w:val="0"/>
            </w:pPr>
            <w:r>
              <w:rPr>
                <w:rFonts w:hint="eastAsia"/>
              </w:rPr>
              <w:t>符合</w:t>
            </w:r>
          </w:p>
        </w:tc>
      </w:tr>
      <w:tr w14:paraId="65DB3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14:paraId="29C85414">
            <w:pPr>
              <w:pStyle w:val="135"/>
              <w:adjustRightInd w:val="0"/>
              <w:snapToGrid w:val="0"/>
            </w:pPr>
          </w:p>
        </w:tc>
        <w:tc>
          <w:tcPr>
            <w:tcW w:w="279" w:type="pct"/>
            <w:gridSpan w:val="2"/>
            <w:vAlign w:val="center"/>
          </w:tcPr>
          <w:p w14:paraId="2A50E6BE">
            <w:pPr>
              <w:pStyle w:val="135"/>
              <w:adjustRightInd w:val="0"/>
              <w:snapToGrid w:val="0"/>
            </w:pPr>
            <w:r>
              <w:rPr>
                <w:rFonts w:hint="eastAsia"/>
              </w:rPr>
              <w:t>环境风险防控</w:t>
            </w:r>
          </w:p>
        </w:tc>
        <w:tc>
          <w:tcPr>
            <w:tcW w:w="3250" w:type="pct"/>
            <w:vAlign w:val="center"/>
          </w:tcPr>
          <w:p w14:paraId="7CB0C24A">
            <w:pPr>
              <w:pStyle w:val="135"/>
              <w:adjustRightInd w:val="0"/>
              <w:snapToGrid w:val="0"/>
              <w:jc w:val="both"/>
              <w:rPr>
                <w:rFonts w:ascii="宋体" w:hAnsi="宋体"/>
                <w:b/>
                <w:bCs/>
                <w:szCs w:val="18"/>
              </w:rPr>
            </w:pPr>
            <w:r>
              <w:rPr>
                <w:rFonts w:hint="eastAsia"/>
              </w:rPr>
              <w:t>禁止在长江干支流岸线一公里范围内新建、扩建化工园区和化工项目。按要求设置生态隔离带，建设相应的防护工程。合理设置与抗风险能力相匹配的事故调蓄设施和环境应急措施；化工园区应建设园区事故废水防控系统，做好事故废水的收集、暂存和处理，并在污水处理厂排口下游配置水质自动监测设施等预警设施，强化风险预警。强化工业园区环境风险防控工作，突出全防全控，完善各项环境风险防范制度，确保将风险防范纳入日常环境管理制度体系。加强执法监督，实现对工业园区、重点工矿企业和主要环境风险类型的动态监控。</w:t>
            </w:r>
          </w:p>
        </w:tc>
        <w:tc>
          <w:tcPr>
            <w:tcW w:w="784" w:type="pct"/>
            <w:vAlign w:val="center"/>
          </w:tcPr>
          <w:p w14:paraId="241A84B9">
            <w:pPr>
              <w:pStyle w:val="135"/>
              <w:adjustRightInd w:val="0"/>
              <w:snapToGrid w:val="0"/>
              <w:jc w:val="both"/>
            </w:pPr>
            <w:r>
              <w:rPr>
                <w:rFonts w:hint="eastAsia"/>
              </w:rPr>
              <w:t>本项目为加气混凝土砌块生产项目，不属于化工园区或化工项目。项目不涉及危险化学品使用，环境风险潜势为I级，在严格按照环评提出的环境风险防控措施的前提下，环境风险可控。</w:t>
            </w:r>
          </w:p>
        </w:tc>
        <w:tc>
          <w:tcPr>
            <w:tcW w:w="227" w:type="pct"/>
            <w:vAlign w:val="center"/>
          </w:tcPr>
          <w:p w14:paraId="28628028">
            <w:pPr>
              <w:pStyle w:val="135"/>
              <w:adjustRightInd w:val="0"/>
              <w:snapToGrid w:val="0"/>
            </w:pPr>
            <w:r>
              <w:rPr>
                <w:rFonts w:hint="eastAsia"/>
              </w:rPr>
              <w:t>符合</w:t>
            </w:r>
          </w:p>
        </w:tc>
      </w:tr>
      <w:tr w14:paraId="6E577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14:paraId="1BC01D72">
            <w:pPr>
              <w:pStyle w:val="135"/>
              <w:adjustRightInd w:val="0"/>
              <w:snapToGrid w:val="0"/>
            </w:pPr>
          </w:p>
        </w:tc>
        <w:tc>
          <w:tcPr>
            <w:tcW w:w="279" w:type="pct"/>
            <w:gridSpan w:val="2"/>
            <w:vAlign w:val="center"/>
          </w:tcPr>
          <w:p w14:paraId="23356666">
            <w:pPr>
              <w:pStyle w:val="135"/>
              <w:adjustRightInd w:val="0"/>
              <w:snapToGrid w:val="0"/>
            </w:pPr>
            <w:r>
              <w:rPr>
                <w:rFonts w:hint="eastAsia"/>
              </w:rPr>
              <w:t>资源开发利用效率</w:t>
            </w:r>
          </w:p>
        </w:tc>
        <w:tc>
          <w:tcPr>
            <w:tcW w:w="3250" w:type="pct"/>
            <w:vAlign w:val="center"/>
          </w:tcPr>
          <w:p w14:paraId="52A61A44">
            <w:pPr>
              <w:pStyle w:val="135"/>
              <w:adjustRightInd w:val="0"/>
              <w:snapToGrid w:val="0"/>
              <w:jc w:val="both"/>
              <w:rPr>
                <w:rFonts w:ascii="宋体" w:hAnsi="宋体"/>
                <w:b/>
                <w:bCs/>
                <w:szCs w:val="18"/>
              </w:rPr>
            </w:pPr>
            <w:r>
              <w:rPr>
                <w:rFonts w:hint="eastAsia"/>
              </w:rPr>
              <w:t>加强高耗水行业用水定额管理，以水定产，严格控制高耗水新建、改建、扩建项目。</w:t>
            </w:r>
          </w:p>
        </w:tc>
        <w:tc>
          <w:tcPr>
            <w:tcW w:w="784" w:type="pct"/>
            <w:vAlign w:val="center"/>
          </w:tcPr>
          <w:p w14:paraId="494A79EB">
            <w:pPr>
              <w:pStyle w:val="135"/>
              <w:adjustRightInd w:val="0"/>
              <w:snapToGrid w:val="0"/>
              <w:jc w:val="both"/>
            </w:pPr>
            <w:r>
              <w:rPr>
                <w:rFonts w:hint="eastAsia"/>
              </w:rPr>
              <w:t>本项目生产废水全部回用，工业用水重复利用率1</w:t>
            </w:r>
            <w:r>
              <w:t>00%</w:t>
            </w:r>
            <w:r>
              <w:rPr>
                <w:rFonts w:hint="eastAsia"/>
              </w:rPr>
              <w:t>，不属于高耗水企业。</w:t>
            </w:r>
          </w:p>
        </w:tc>
        <w:tc>
          <w:tcPr>
            <w:tcW w:w="227" w:type="pct"/>
            <w:vAlign w:val="center"/>
          </w:tcPr>
          <w:p w14:paraId="493416B2">
            <w:pPr>
              <w:pStyle w:val="135"/>
              <w:adjustRightInd w:val="0"/>
              <w:snapToGrid w:val="0"/>
            </w:pPr>
            <w:r>
              <w:rPr>
                <w:rFonts w:hint="eastAsia"/>
              </w:rPr>
              <w:t>符合</w:t>
            </w:r>
          </w:p>
        </w:tc>
      </w:tr>
      <w:tr w14:paraId="50FAF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restart"/>
            <w:vAlign w:val="center"/>
          </w:tcPr>
          <w:p w14:paraId="4AD9541F">
            <w:pPr>
              <w:pStyle w:val="135"/>
              <w:adjustRightInd w:val="0"/>
              <w:snapToGrid w:val="0"/>
            </w:pPr>
            <w:r>
              <w:rPr>
                <w:rFonts w:hint="eastAsia"/>
              </w:rPr>
              <w:t>YS5119022310005四川巴中经开区（核心区块、金堂区块）</w:t>
            </w:r>
          </w:p>
        </w:tc>
        <w:tc>
          <w:tcPr>
            <w:tcW w:w="279" w:type="pct"/>
            <w:gridSpan w:val="2"/>
            <w:vAlign w:val="center"/>
          </w:tcPr>
          <w:p w14:paraId="6E375F3E">
            <w:pPr>
              <w:pStyle w:val="135"/>
              <w:adjustRightInd w:val="0"/>
              <w:snapToGrid w:val="0"/>
            </w:pPr>
            <w:r>
              <w:rPr>
                <w:rFonts w:hint="eastAsia"/>
              </w:rPr>
              <w:t>空间布局约束</w:t>
            </w:r>
          </w:p>
        </w:tc>
        <w:tc>
          <w:tcPr>
            <w:tcW w:w="3250" w:type="pct"/>
            <w:vAlign w:val="center"/>
          </w:tcPr>
          <w:p w14:paraId="5D4DBFB6">
            <w:pPr>
              <w:pStyle w:val="135"/>
              <w:adjustRightInd w:val="0"/>
              <w:snapToGrid w:val="0"/>
              <w:rPr>
                <w:rFonts w:ascii="宋体" w:hAnsi="宋体"/>
                <w:b/>
                <w:bCs/>
                <w:szCs w:val="18"/>
              </w:rPr>
            </w:pPr>
            <w:r>
              <w:rPr>
                <w:rFonts w:hint="eastAsia" w:ascii="宋体" w:hAnsi="宋体"/>
                <w:b/>
                <w:bCs/>
                <w:szCs w:val="18"/>
              </w:rPr>
              <w:t>/</w:t>
            </w:r>
          </w:p>
        </w:tc>
        <w:tc>
          <w:tcPr>
            <w:tcW w:w="784" w:type="pct"/>
            <w:vAlign w:val="center"/>
          </w:tcPr>
          <w:p w14:paraId="0AC0A26E">
            <w:pPr>
              <w:pStyle w:val="135"/>
              <w:adjustRightInd w:val="0"/>
              <w:snapToGrid w:val="0"/>
            </w:pPr>
            <w:r>
              <w:rPr>
                <w:rFonts w:hint="eastAsia"/>
              </w:rPr>
              <w:t>/</w:t>
            </w:r>
          </w:p>
        </w:tc>
        <w:tc>
          <w:tcPr>
            <w:tcW w:w="227" w:type="pct"/>
            <w:vAlign w:val="center"/>
          </w:tcPr>
          <w:p w14:paraId="1B240C5D">
            <w:pPr>
              <w:pStyle w:val="135"/>
              <w:adjustRightInd w:val="0"/>
              <w:snapToGrid w:val="0"/>
            </w:pPr>
            <w:r>
              <w:rPr>
                <w:rFonts w:hint="eastAsia"/>
              </w:rPr>
              <w:t>/</w:t>
            </w:r>
          </w:p>
        </w:tc>
      </w:tr>
      <w:tr w14:paraId="2C67E1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14:paraId="75C235FA">
            <w:pPr>
              <w:pStyle w:val="135"/>
              <w:adjustRightInd w:val="0"/>
              <w:snapToGrid w:val="0"/>
            </w:pPr>
          </w:p>
        </w:tc>
        <w:tc>
          <w:tcPr>
            <w:tcW w:w="279" w:type="pct"/>
            <w:gridSpan w:val="2"/>
            <w:vAlign w:val="center"/>
          </w:tcPr>
          <w:p w14:paraId="586AD560">
            <w:pPr>
              <w:pStyle w:val="135"/>
              <w:adjustRightInd w:val="0"/>
              <w:snapToGrid w:val="0"/>
            </w:pPr>
            <w:r>
              <w:rPr>
                <w:rFonts w:hint="eastAsia"/>
              </w:rPr>
              <w:t>污染物排放管控</w:t>
            </w:r>
          </w:p>
        </w:tc>
        <w:tc>
          <w:tcPr>
            <w:tcW w:w="3250" w:type="pct"/>
            <w:vAlign w:val="center"/>
          </w:tcPr>
          <w:p w14:paraId="697813B1">
            <w:pPr>
              <w:pStyle w:val="135"/>
              <w:adjustRightInd w:val="0"/>
              <w:snapToGrid w:val="0"/>
              <w:jc w:val="both"/>
            </w:pPr>
            <w:r>
              <w:rPr>
                <w:rFonts w:hint="eastAsia"/>
                <w:b/>
                <w:bCs/>
              </w:rPr>
              <w:t>大气环境质量执行标准：</w:t>
            </w:r>
            <w:r>
              <w:rPr>
                <w:rFonts w:hint="eastAsia"/>
              </w:rPr>
              <w:t>《环境空气质量标准》（GB3095-2012）：二级</w:t>
            </w:r>
          </w:p>
          <w:p w14:paraId="77ED2832">
            <w:pPr>
              <w:pStyle w:val="135"/>
              <w:adjustRightInd w:val="0"/>
              <w:snapToGrid w:val="0"/>
              <w:jc w:val="both"/>
              <w:rPr>
                <w:b/>
                <w:bCs/>
              </w:rPr>
            </w:pPr>
            <w:r>
              <w:rPr>
                <w:rFonts w:hint="eastAsia"/>
                <w:b/>
                <w:bCs/>
              </w:rPr>
              <w:t>区域大气污染物削减/替代要求：/</w:t>
            </w:r>
          </w:p>
          <w:p w14:paraId="150E29B0">
            <w:pPr>
              <w:pStyle w:val="135"/>
              <w:adjustRightInd w:val="0"/>
              <w:snapToGrid w:val="0"/>
              <w:jc w:val="both"/>
              <w:rPr>
                <w:b/>
                <w:bCs/>
              </w:rPr>
            </w:pPr>
            <w:r>
              <w:rPr>
                <w:rFonts w:hint="eastAsia"/>
                <w:b/>
                <w:bCs/>
              </w:rPr>
              <w:t>燃煤和其他能源大气污染控制要求：/</w:t>
            </w:r>
          </w:p>
          <w:p w14:paraId="5B61FE08">
            <w:pPr>
              <w:pStyle w:val="135"/>
              <w:adjustRightInd w:val="0"/>
              <w:snapToGrid w:val="0"/>
              <w:jc w:val="both"/>
              <w:rPr>
                <w:b/>
                <w:bCs/>
              </w:rPr>
            </w:pPr>
            <w:r>
              <w:rPr>
                <w:rFonts w:hint="eastAsia"/>
                <w:b/>
                <w:bCs/>
              </w:rPr>
              <w:t>工业废气污染控制要求</w:t>
            </w:r>
          </w:p>
          <w:p w14:paraId="595B627B">
            <w:pPr>
              <w:pStyle w:val="135"/>
              <w:adjustRightInd w:val="0"/>
              <w:snapToGrid w:val="0"/>
              <w:jc w:val="both"/>
            </w:pPr>
            <w:r>
              <w:rPr>
                <w:rFonts w:hint="eastAsia"/>
              </w:rPr>
              <w:t>1、全面淘汰10蒸吨/小时及以下燃煤锅炉，原则上不再新建35蒸吨/小时及以下的燃煤锅炉，推进县级及以上城市建成区淘汰35蒸吨/小时及以下燃煤锅炉，以工业余热、电厂热力、清洁能源等替代煤炭。</w:t>
            </w:r>
          </w:p>
          <w:p w14:paraId="21DDDFE7">
            <w:pPr>
              <w:pStyle w:val="135"/>
              <w:adjustRightInd w:val="0"/>
              <w:snapToGrid w:val="0"/>
              <w:jc w:val="both"/>
            </w:pPr>
            <w:r>
              <w:rPr>
                <w:rFonts w:hint="eastAsia"/>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49A1DBE9">
            <w:pPr>
              <w:pStyle w:val="135"/>
              <w:adjustRightInd w:val="0"/>
              <w:snapToGrid w:val="0"/>
              <w:jc w:val="both"/>
              <w:rPr>
                <w:b/>
                <w:bCs/>
              </w:rPr>
            </w:pPr>
            <w:r>
              <w:rPr>
                <w:rFonts w:hint="eastAsia"/>
                <w:b/>
                <w:bCs/>
              </w:rPr>
              <w:t>机动车船大气污染控制要求：/</w:t>
            </w:r>
          </w:p>
          <w:p w14:paraId="4860B62E">
            <w:pPr>
              <w:pStyle w:val="135"/>
              <w:adjustRightInd w:val="0"/>
              <w:snapToGrid w:val="0"/>
              <w:jc w:val="both"/>
              <w:rPr>
                <w:b/>
                <w:bCs/>
              </w:rPr>
            </w:pPr>
            <w:r>
              <w:rPr>
                <w:rFonts w:hint="eastAsia"/>
                <w:b/>
                <w:bCs/>
              </w:rPr>
              <w:t>扬尘污染控制要求：/</w:t>
            </w:r>
          </w:p>
          <w:p w14:paraId="6652C1EC">
            <w:pPr>
              <w:pStyle w:val="135"/>
              <w:adjustRightInd w:val="0"/>
              <w:snapToGrid w:val="0"/>
              <w:jc w:val="both"/>
              <w:rPr>
                <w:b/>
                <w:bCs/>
              </w:rPr>
            </w:pPr>
            <w:r>
              <w:rPr>
                <w:rFonts w:hint="eastAsia"/>
                <w:b/>
                <w:bCs/>
              </w:rPr>
              <w:t>农业生产经营活动大气污染控制要求：/</w:t>
            </w:r>
          </w:p>
          <w:p w14:paraId="0FE67818">
            <w:pPr>
              <w:pStyle w:val="135"/>
              <w:adjustRightInd w:val="0"/>
              <w:snapToGrid w:val="0"/>
              <w:jc w:val="both"/>
              <w:rPr>
                <w:b/>
                <w:bCs/>
              </w:rPr>
            </w:pPr>
            <w:r>
              <w:rPr>
                <w:rFonts w:hint="eastAsia"/>
                <w:b/>
                <w:bCs/>
              </w:rPr>
              <w:t>重点行业企业专项治理要求</w:t>
            </w:r>
          </w:p>
          <w:p w14:paraId="1799DFC7">
            <w:pPr>
              <w:pStyle w:val="135"/>
              <w:adjustRightInd w:val="0"/>
              <w:snapToGrid w:val="0"/>
              <w:jc w:val="both"/>
            </w:pPr>
            <w:r>
              <w:rPr>
                <w:rFonts w:hint="eastAsia"/>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14:paraId="1588ACED">
            <w:pPr>
              <w:pStyle w:val="135"/>
              <w:adjustRightInd w:val="0"/>
              <w:snapToGrid w:val="0"/>
              <w:jc w:val="both"/>
              <w:rPr>
                <w:rFonts w:ascii="宋体" w:hAnsi="宋体"/>
                <w:b/>
                <w:bCs/>
                <w:szCs w:val="18"/>
              </w:rPr>
            </w:pPr>
            <w:r>
              <w:rPr>
                <w:rFonts w:hint="eastAsia"/>
                <w:b/>
                <w:bCs/>
              </w:rPr>
              <w:t>其他大气污染物排放管控要求：/</w:t>
            </w:r>
          </w:p>
        </w:tc>
        <w:tc>
          <w:tcPr>
            <w:tcW w:w="784" w:type="pct"/>
            <w:vAlign w:val="center"/>
          </w:tcPr>
          <w:p w14:paraId="60A176BD">
            <w:pPr>
              <w:pStyle w:val="135"/>
              <w:adjustRightInd w:val="0"/>
              <w:snapToGrid w:val="0"/>
              <w:jc w:val="both"/>
              <w:rPr>
                <w:b/>
                <w:bCs/>
              </w:rPr>
            </w:pPr>
            <w:r>
              <w:rPr>
                <w:rFonts w:hint="eastAsia"/>
                <w:b/>
                <w:bCs/>
              </w:rPr>
              <w:t>大气环境质量执行标准</w:t>
            </w:r>
          </w:p>
          <w:p w14:paraId="103026DB">
            <w:pPr>
              <w:pStyle w:val="135"/>
              <w:adjustRightInd w:val="0"/>
              <w:snapToGrid w:val="0"/>
              <w:jc w:val="both"/>
            </w:pPr>
            <w:r>
              <w:t>项目所在区域环境空气质量标准</w:t>
            </w:r>
            <w:r>
              <w:rPr>
                <w:rFonts w:hint="eastAsia"/>
              </w:rPr>
              <w:t>满足</w:t>
            </w:r>
            <w:r>
              <w:t>《环境空气质量标准》（GB3095-2012）</w:t>
            </w:r>
            <w:r>
              <w:rPr>
                <w:rFonts w:hint="eastAsia"/>
              </w:rPr>
              <w:t>二级标准；</w:t>
            </w:r>
          </w:p>
          <w:p w14:paraId="227E2A13">
            <w:pPr>
              <w:pStyle w:val="135"/>
              <w:adjustRightInd w:val="0"/>
              <w:snapToGrid w:val="0"/>
              <w:jc w:val="both"/>
              <w:rPr>
                <w:b/>
                <w:bCs/>
              </w:rPr>
            </w:pPr>
            <w:r>
              <w:rPr>
                <w:rFonts w:hint="eastAsia"/>
                <w:b/>
                <w:bCs/>
              </w:rPr>
              <w:t>工业废气污染控制要求</w:t>
            </w:r>
          </w:p>
          <w:p w14:paraId="64987406">
            <w:pPr>
              <w:pStyle w:val="135"/>
              <w:adjustRightInd w:val="0"/>
              <w:snapToGrid w:val="0"/>
              <w:jc w:val="both"/>
            </w:pPr>
            <w:r>
              <w:rPr>
                <w:rFonts w:hint="eastAsia"/>
              </w:rPr>
              <w:t>1、本项目不涉及燃煤锅炉；</w:t>
            </w:r>
          </w:p>
          <w:p w14:paraId="5AC6D964">
            <w:pPr>
              <w:pStyle w:val="135"/>
              <w:adjustRightInd w:val="0"/>
              <w:snapToGrid w:val="0"/>
              <w:jc w:val="both"/>
              <w:rPr>
                <w:snapToGrid w:val="0"/>
                <w:szCs w:val="18"/>
              </w:rPr>
            </w:pPr>
            <w:r>
              <w:rPr>
                <w:rFonts w:hint="eastAsia"/>
              </w:rPr>
              <w:t>2、本项目拟建1台1</w:t>
            </w:r>
            <w:r>
              <w:t>0</w:t>
            </w:r>
            <w:r>
              <w:rPr>
                <w:rFonts w:hint="eastAsia"/>
              </w:rPr>
              <w:t>t</w:t>
            </w:r>
            <w:r>
              <w:t>/</w:t>
            </w:r>
            <w:r>
              <w:rPr>
                <w:rFonts w:hint="eastAsia"/>
              </w:rPr>
              <w:t>h生物质专用锅炉，并配套建设低氮燃烧器和</w:t>
            </w:r>
            <w:r>
              <w:rPr>
                <w:rFonts w:hint="eastAsia"/>
                <w:snapToGrid w:val="0"/>
                <w:szCs w:val="18"/>
              </w:rPr>
              <w:t>“水膜除尘+静电除尘”高效除尘装置，不涉及高污染燃料使用，不掺烧煤炭、垃圾等其他物料。</w:t>
            </w:r>
          </w:p>
          <w:p w14:paraId="375ECCE6">
            <w:pPr>
              <w:pStyle w:val="135"/>
              <w:adjustRightInd w:val="0"/>
              <w:snapToGrid w:val="0"/>
              <w:jc w:val="both"/>
            </w:pPr>
            <w:r>
              <w:rPr>
                <w:rFonts w:hint="eastAsia"/>
              </w:rPr>
              <w:t>项目不涉及VOCs排放。</w:t>
            </w:r>
          </w:p>
        </w:tc>
        <w:tc>
          <w:tcPr>
            <w:tcW w:w="227" w:type="pct"/>
            <w:vAlign w:val="center"/>
          </w:tcPr>
          <w:p w14:paraId="4AE7745D">
            <w:pPr>
              <w:pStyle w:val="135"/>
              <w:adjustRightInd w:val="0"/>
              <w:snapToGrid w:val="0"/>
            </w:pPr>
            <w:r>
              <w:rPr>
                <w:rFonts w:hint="eastAsia"/>
              </w:rPr>
              <w:t>符合</w:t>
            </w:r>
          </w:p>
        </w:tc>
      </w:tr>
      <w:tr w14:paraId="38787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14:paraId="6AC603E2">
            <w:pPr>
              <w:pStyle w:val="135"/>
              <w:adjustRightInd w:val="0"/>
              <w:snapToGrid w:val="0"/>
            </w:pPr>
          </w:p>
        </w:tc>
        <w:tc>
          <w:tcPr>
            <w:tcW w:w="279" w:type="pct"/>
            <w:gridSpan w:val="2"/>
            <w:vAlign w:val="center"/>
          </w:tcPr>
          <w:p w14:paraId="2D9DFE51">
            <w:pPr>
              <w:pStyle w:val="135"/>
              <w:adjustRightInd w:val="0"/>
              <w:snapToGrid w:val="0"/>
            </w:pPr>
            <w:r>
              <w:rPr>
                <w:rFonts w:hint="eastAsia"/>
              </w:rPr>
              <w:t>环境风险防控</w:t>
            </w:r>
          </w:p>
        </w:tc>
        <w:tc>
          <w:tcPr>
            <w:tcW w:w="3250" w:type="pct"/>
            <w:vAlign w:val="center"/>
          </w:tcPr>
          <w:p w14:paraId="21322B11">
            <w:pPr>
              <w:pStyle w:val="135"/>
              <w:adjustRightInd w:val="0"/>
              <w:snapToGrid w:val="0"/>
              <w:rPr>
                <w:rFonts w:ascii="宋体" w:hAnsi="宋体"/>
                <w:b/>
                <w:bCs/>
                <w:szCs w:val="18"/>
              </w:rPr>
            </w:pPr>
            <w:r>
              <w:rPr>
                <w:rFonts w:hint="eastAsia"/>
              </w:rPr>
              <w:t>/</w:t>
            </w:r>
          </w:p>
        </w:tc>
        <w:tc>
          <w:tcPr>
            <w:tcW w:w="784" w:type="pct"/>
            <w:vAlign w:val="center"/>
          </w:tcPr>
          <w:p w14:paraId="1CAAE326">
            <w:pPr>
              <w:pStyle w:val="135"/>
              <w:adjustRightInd w:val="0"/>
              <w:snapToGrid w:val="0"/>
            </w:pPr>
            <w:r>
              <w:rPr>
                <w:rFonts w:hint="eastAsia"/>
              </w:rPr>
              <w:t>/</w:t>
            </w:r>
          </w:p>
        </w:tc>
        <w:tc>
          <w:tcPr>
            <w:tcW w:w="227" w:type="pct"/>
            <w:vAlign w:val="center"/>
          </w:tcPr>
          <w:p w14:paraId="62D8F694">
            <w:pPr>
              <w:pStyle w:val="135"/>
              <w:adjustRightInd w:val="0"/>
              <w:snapToGrid w:val="0"/>
            </w:pPr>
            <w:r>
              <w:rPr>
                <w:rFonts w:hint="eastAsia"/>
              </w:rPr>
              <w:t>/</w:t>
            </w:r>
          </w:p>
        </w:tc>
      </w:tr>
      <w:tr w14:paraId="3E7696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14:paraId="00F1C7F0">
            <w:pPr>
              <w:pStyle w:val="135"/>
              <w:adjustRightInd w:val="0"/>
              <w:snapToGrid w:val="0"/>
            </w:pPr>
          </w:p>
        </w:tc>
        <w:tc>
          <w:tcPr>
            <w:tcW w:w="279" w:type="pct"/>
            <w:gridSpan w:val="2"/>
            <w:vAlign w:val="center"/>
          </w:tcPr>
          <w:p w14:paraId="6A7FFB8F">
            <w:pPr>
              <w:pStyle w:val="135"/>
              <w:adjustRightInd w:val="0"/>
              <w:snapToGrid w:val="0"/>
            </w:pPr>
            <w:r>
              <w:rPr>
                <w:rFonts w:hint="eastAsia"/>
              </w:rPr>
              <w:t>资源开发利用效率</w:t>
            </w:r>
          </w:p>
        </w:tc>
        <w:tc>
          <w:tcPr>
            <w:tcW w:w="3250" w:type="pct"/>
            <w:vAlign w:val="center"/>
          </w:tcPr>
          <w:p w14:paraId="4AE2979B">
            <w:pPr>
              <w:pStyle w:val="135"/>
              <w:adjustRightInd w:val="0"/>
              <w:snapToGrid w:val="0"/>
              <w:rPr>
                <w:rFonts w:ascii="宋体" w:hAnsi="宋体"/>
                <w:b/>
                <w:bCs/>
                <w:szCs w:val="18"/>
              </w:rPr>
            </w:pPr>
            <w:r>
              <w:rPr>
                <w:rFonts w:hint="eastAsia"/>
              </w:rPr>
              <w:t>/</w:t>
            </w:r>
          </w:p>
        </w:tc>
        <w:tc>
          <w:tcPr>
            <w:tcW w:w="784" w:type="pct"/>
            <w:vAlign w:val="center"/>
          </w:tcPr>
          <w:p w14:paraId="71DEFC68">
            <w:pPr>
              <w:pStyle w:val="135"/>
              <w:adjustRightInd w:val="0"/>
              <w:snapToGrid w:val="0"/>
            </w:pPr>
            <w:r>
              <w:rPr>
                <w:rFonts w:hint="eastAsia"/>
              </w:rPr>
              <w:t>/</w:t>
            </w:r>
          </w:p>
        </w:tc>
        <w:tc>
          <w:tcPr>
            <w:tcW w:w="227" w:type="pct"/>
            <w:vAlign w:val="center"/>
          </w:tcPr>
          <w:p w14:paraId="12861F97">
            <w:pPr>
              <w:pStyle w:val="135"/>
              <w:adjustRightInd w:val="0"/>
              <w:snapToGrid w:val="0"/>
            </w:pPr>
            <w:r>
              <w:rPr>
                <w:rFonts w:hint="eastAsia"/>
              </w:rPr>
              <w:t>/</w:t>
            </w:r>
          </w:p>
        </w:tc>
      </w:tr>
      <w:tr w14:paraId="36B0AF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restart"/>
            <w:vAlign w:val="center"/>
          </w:tcPr>
          <w:p w14:paraId="3A7055FC">
            <w:pPr>
              <w:pStyle w:val="135"/>
              <w:adjustRightInd w:val="0"/>
              <w:snapToGrid w:val="0"/>
            </w:pPr>
            <w:r>
              <w:rPr>
                <w:rFonts w:hint="eastAsia"/>
              </w:rPr>
              <w:t>YS5119022530001</w:t>
            </w:r>
          </w:p>
          <w:p w14:paraId="31202CE4">
            <w:pPr>
              <w:pStyle w:val="135"/>
              <w:adjustRightInd w:val="0"/>
              <w:snapToGrid w:val="0"/>
            </w:pPr>
            <w:r>
              <w:rPr>
                <w:rFonts w:hint="eastAsia"/>
              </w:rPr>
              <w:t>巴州区城镇开发边界</w:t>
            </w:r>
          </w:p>
        </w:tc>
        <w:tc>
          <w:tcPr>
            <w:tcW w:w="279" w:type="pct"/>
            <w:gridSpan w:val="2"/>
            <w:vAlign w:val="center"/>
          </w:tcPr>
          <w:p w14:paraId="3A66FDD2">
            <w:pPr>
              <w:pStyle w:val="135"/>
              <w:adjustRightInd w:val="0"/>
              <w:snapToGrid w:val="0"/>
            </w:pPr>
            <w:r>
              <w:rPr>
                <w:rFonts w:hint="eastAsia"/>
              </w:rPr>
              <w:t>空间布局约束</w:t>
            </w:r>
          </w:p>
        </w:tc>
        <w:tc>
          <w:tcPr>
            <w:tcW w:w="3250" w:type="pct"/>
            <w:vAlign w:val="center"/>
          </w:tcPr>
          <w:p w14:paraId="78B8BCD8">
            <w:pPr>
              <w:pStyle w:val="135"/>
              <w:adjustRightInd w:val="0"/>
              <w:snapToGrid w:val="0"/>
              <w:jc w:val="both"/>
            </w:pPr>
            <w:r>
              <w:rPr>
                <w:rFonts w:hint="eastAsia"/>
              </w:rPr>
              <w:t>1.以城镇开发建设现状为基础，综合考虑资源承载能力、人口分布、经济布局、城乡统筹、城镇无序蔓延科学预留一定比例的留白区，为未来发展留有开发空间城镇建设和发展不得违法违规侵占河道、湖面、滩地。</w:t>
            </w:r>
          </w:p>
          <w:p w14:paraId="1C2436B6">
            <w:pPr>
              <w:pStyle w:val="135"/>
              <w:adjustRightInd w:val="0"/>
              <w:snapToGrid w:val="0"/>
              <w:jc w:val="both"/>
            </w:pPr>
            <w:r>
              <w:rPr>
                <w:rFonts w:hint="eastAsia"/>
              </w:rPr>
              <w:t>2.城镇开发边界调整报国土空间规划原审批机关审批。</w:t>
            </w:r>
          </w:p>
        </w:tc>
        <w:tc>
          <w:tcPr>
            <w:tcW w:w="784" w:type="pct"/>
            <w:vAlign w:val="center"/>
          </w:tcPr>
          <w:p w14:paraId="34539A4B">
            <w:pPr>
              <w:pStyle w:val="135"/>
              <w:adjustRightInd w:val="0"/>
              <w:snapToGrid w:val="0"/>
            </w:pPr>
            <w:r>
              <w:rPr>
                <w:rFonts w:hint="eastAsia"/>
              </w:rPr>
              <w:t>本项目购买巴中恒强节能建材有限公司现有厂房进行建设，不新增用地。</w:t>
            </w:r>
          </w:p>
        </w:tc>
        <w:tc>
          <w:tcPr>
            <w:tcW w:w="227" w:type="pct"/>
            <w:vAlign w:val="center"/>
          </w:tcPr>
          <w:p w14:paraId="0652EF3D">
            <w:pPr>
              <w:pStyle w:val="135"/>
              <w:adjustRightInd w:val="0"/>
              <w:snapToGrid w:val="0"/>
            </w:pPr>
            <w:r>
              <w:rPr>
                <w:rFonts w:hint="eastAsia"/>
              </w:rPr>
              <w:t>符合</w:t>
            </w:r>
          </w:p>
        </w:tc>
      </w:tr>
      <w:tr w14:paraId="60A4D3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14:paraId="676DC2BE">
            <w:pPr>
              <w:pStyle w:val="135"/>
              <w:adjustRightInd w:val="0"/>
              <w:snapToGrid w:val="0"/>
            </w:pPr>
          </w:p>
        </w:tc>
        <w:tc>
          <w:tcPr>
            <w:tcW w:w="279" w:type="pct"/>
            <w:gridSpan w:val="2"/>
            <w:vAlign w:val="center"/>
          </w:tcPr>
          <w:p w14:paraId="78D4D34E">
            <w:pPr>
              <w:pStyle w:val="135"/>
              <w:adjustRightInd w:val="0"/>
              <w:snapToGrid w:val="0"/>
            </w:pPr>
            <w:r>
              <w:rPr>
                <w:rFonts w:hint="eastAsia"/>
              </w:rPr>
              <w:t>污染物排放管控</w:t>
            </w:r>
          </w:p>
        </w:tc>
        <w:tc>
          <w:tcPr>
            <w:tcW w:w="3250" w:type="pct"/>
            <w:vAlign w:val="center"/>
          </w:tcPr>
          <w:p w14:paraId="17BB40D6">
            <w:pPr>
              <w:pStyle w:val="135"/>
              <w:adjustRightInd w:val="0"/>
              <w:snapToGrid w:val="0"/>
            </w:pPr>
            <w:r>
              <w:rPr>
                <w:rFonts w:hint="eastAsia"/>
              </w:rPr>
              <w:t>/</w:t>
            </w:r>
          </w:p>
        </w:tc>
        <w:tc>
          <w:tcPr>
            <w:tcW w:w="784" w:type="pct"/>
            <w:vAlign w:val="center"/>
          </w:tcPr>
          <w:p w14:paraId="05B321FF">
            <w:pPr>
              <w:pStyle w:val="135"/>
              <w:adjustRightInd w:val="0"/>
              <w:snapToGrid w:val="0"/>
            </w:pPr>
          </w:p>
        </w:tc>
        <w:tc>
          <w:tcPr>
            <w:tcW w:w="227" w:type="pct"/>
            <w:vAlign w:val="center"/>
          </w:tcPr>
          <w:p w14:paraId="442BD55B">
            <w:pPr>
              <w:pStyle w:val="135"/>
              <w:adjustRightInd w:val="0"/>
              <w:snapToGrid w:val="0"/>
            </w:pPr>
            <w:r>
              <w:rPr>
                <w:rFonts w:hint="eastAsia"/>
              </w:rPr>
              <w:t>/</w:t>
            </w:r>
          </w:p>
        </w:tc>
      </w:tr>
      <w:tr w14:paraId="32EF47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14:paraId="33DBDEE2">
            <w:pPr>
              <w:pStyle w:val="135"/>
              <w:adjustRightInd w:val="0"/>
              <w:snapToGrid w:val="0"/>
            </w:pPr>
          </w:p>
        </w:tc>
        <w:tc>
          <w:tcPr>
            <w:tcW w:w="279" w:type="pct"/>
            <w:gridSpan w:val="2"/>
            <w:vAlign w:val="center"/>
          </w:tcPr>
          <w:p w14:paraId="15024179">
            <w:pPr>
              <w:pStyle w:val="135"/>
              <w:adjustRightInd w:val="0"/>
              <w:snapToGrid w:val="0"/>
            </w:pPr>
            <w:r>
              <w:rPr>
                <w:rFonts w:hint="eastAsia"/>
              </w:rPr>
              <w:t>环境风险防控</w:t>
            </w:r>
          </w:p>
        </w:tc>
        <w:tc>
          <w:tcPr>
            <w:tcW w:w="3250" w:type="pct"/>
            <w:vAlign w:val="center"/>
          </w:tcPr>
          <w:p w14:paraId="1296695F">
            <w:pPr>
              <w:pStyle w:val="135"/>
              <w:adjustRightInd w:val="0"/>
              <w:snapToGrid w:val="0"/>
            </w:pPr>
            <w:r>
              <w:rPr>
                <w:rFonts w:hint="eastAsia"/>
              </w:rPr>
              <w:t>/</w:t>
            </w:r>
          </w:p>
        </w:tc>
        <w:tc>
          <w:tcPr>
            <w:tcW w:w="784" w:type="pct"/>
            <w:vAlign w:val="center"/>
          </w:tcPr>
          <w:p w14:paraId="2F550DA5">
            <w:pPr>
              <w:pStyle w:val="135"/>
              <w:adjustRightInd w:val="0"/>
              <w:snapToGrid w:val="0"/>
            </w:pPr>
          </w:p>
        </w:tc>
        <w:tc>
          <w:tcPr>
            <w:tcW w:w="227" w:type="pct"/>
            <w:vAlign w:val="center"/>
          </w:tcPr>
          <w:p w14:paraId="6CF94C41">
            <w:pPr>
              <w:pStyle w:val="135"/>
              <w:adjustRightInd w:val="0"/>
              <w:snapToGrid w:val="0"/>
            </w:pPr>
            <w:r>
              <w:rPr>
                <w:rFonts w:hint="eastAsia"/>
              </w:rPr>
              <w:t>/</w:t>
            </w:r>
          </w:p>
        </w:tc>
      </w:tr>
      <w:tr w14:paraId="1400D3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14:paraId="600DBA41">
            <w:pPr>
              <w:pStyle w:val="135"/>
              <w:adjustRightInd w:val="0"/>
              <w:snapToGrid w:val="0"/>
            </w:pPr>
          </w:p>
        </w:tc>
        <w:tc>
          <w:tcPr>
            <w:tcW w:w="279" w:type="pct"/>
            <w:gridSpan w:val="2"/>
            <w:vAlign w:val="center"/>
          </w:tcPr>
          <w:p w14:paraId="09AF45C7">
            <w:pPr>
              <w:pStyle w:val="135"/>
              <w:adjustRightInd w:val="0"/>
              <w:snapToGrid w:val="0"/>
            </w:pPr>
            <w:r>
              <w:rPr>
                <w:rFonts w:hint="eastAsia"/>
              </w:rPr>
              <w:t>资源开发利用效率</w:t>
            </w:r>
          </w:p>
        </w:tc>
        <w:tc>
          <w:tcPr>
            <w:tcW w:w="3250" w:type="pct"/>
            <w:vAlign w:val="center"/>
          </w:tcPr>
          <w:p w14:paraId="4C5A65FD">
            <w:pPr>
              <w:pStyle w:val="135"/>
              <w:adjustRightInd w:val="0"/>
              <w:snapToGrid w:val="0"/>
              <w:jc w:val="both"/>
            </w:pPr>
            <w:r>
              <w:rPr>
                <w:rFonts w:hint="eastAsia"/>
                <w:b/>
                <w:bCs/>
              </w:rPr>
              <w:t>土地资源开发效率要求</w:t>
            </w:r>
            <w:r>
              <w:rPr>
                <w:rFonts w:hint="eastAsia"/>
              </w:rPr>
              <w:t>：土地资源开发利用量不得超过土地资源利用上线控制性指标。</w:t>
            </w:r>
          </w:p>
          <w:p w14:paraId="102DBA64">
            <w:pPr>
              <w:pStyle w:val="135"/>
              <w:adjustRightInd w:val="0"/>
              <w:snapToGrid w:val="0"/>
              <w:jc w:val="both"/>
              <w:rPr>
                <w:b/>
                <w:bCs/>
              </w:rPr>
            </w:pPr>
            <w:r>
              <w:rPr>
                <w:rFonts w:hint="eastAsia"/>
                <w:b/>
                <w:bCs/>
              </w:rPr>
              <w:t>能源资源开发效率要求：</w:t>
            </w:r>
          </w:p>
          <w:p w14:paraId="2414A7EE">
            <w:pPr>
              <w:pStyle w:val="135"/>
              <w:adjustRightInd w:val="0"/>
              <w:snapToGrid w:val="0"/>
              <w:jc w:val="both"/>
              <w:rPr>
                <w:b/>
                <w:bCs/>
              </w:rPr>
            </w:pPr>
            <w:r>
              <w:rPr>
                <w:rFonts w:hint="eastAsia"/>
                <w:b/>
                <w:bCs/>
              </w:rPr>
              <w:t>其他资源开发效率要求：</w:t>
            </w:r>
          </w:p>
        </w:tc>
        <w:tc>
          <w:tcPr>
            <w:tcW w:w="784" w:type="pct"/>
            <w:vAlign w:val="center"/>
          </w:tcPr>
          <w:p w14:paraId="477B179F">
            <w:pPr>
              <w:pStyle w:val="135"/>
              <w:adjustRightInd w:val="0"/>
              <w:snapToGrid w:val="0"/>
            </w:pPr>
            <w:r>
              <w:rPr>
                <w:rFonts w:hint="eastAsia"/>
              </w:rPr>
              <w:t>本项目购买巴中恒强节能建材有限公司现有厂房进行建设，不新增用地。</w:t>
            </w:r>
          </w:p>
        </w:tc>
        <w:tc>
          <w:tcPr>
            <w:tcW w:w="227" w:type="pct"/>
            <w:vAlign w:val="center"/>
          </w:tcPr>
          <w:p w14:paraId="58461783">
            <w:pPr>
              <w:pStyle w:val="135"/>
              <w:adjustRightInd w:val="0"/>
              <w:snapToGrid w:val="0"/>
            </w:pPr>
            <w:r>
              <w:rPr>
                <w:rFonts w:hint="eastAsia"/>
              </w:rPr>
              <w:t>符合</w:t>
            </w:r>
          </w:p>
        </w:tc>
      </w:tr>
      <w:tr w14:paraId="1588B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restart"/>
            <w:vAlign w:val="center"/>
          </w:tcPr>
          <w:p w14:paraId="03B60198">
            <w:pPr>
              <w:pStyle w:val="135"/>
              <w:adjustRightInd w:val="0"/>
              <w:snapToGrid w:val="0"/>
            </w:pPr>
            <w:r>
              <w:rPr>
                <w:rFonts w:hint="eastAsia"/>
              </w:rPr>
              <w:t>YS5119022550001</w:t>
            </w:r>
          </w:p>
          <w:p w14:paraId="07D223F1">
            <w:pPr>
              <w:pStyle w:val="135"/>
              <w:adjustRightInd w:val="0"/>
              <w:snapToGrid w:val="0"/>
            </w:pPr>
            <w:r>
              <w:rPr>
                <w:rFonts w:hint="eastAsia"/>
              </w:rPr>
              <w:t>巴州区自然资源重点管控区</w:t>
            </w:r>
          </w:p>
        </w:tc>
        <w:tc>
          <w:tcPr>
            <w:tcW w:w="279" w:type="pct"/>
            <w:gridSpan w:val="2"/>
            <w:vAlign w:val="center"/>
          </w:tcPr>
          <w:p w14:paraId="23B9966A">
            <w:pPr>
              <w:pStyle w:val="135"/>
              <w:adjustRightInd w:val="0"/>
              <w:snapToGrid w:val="0"/>
            </w:pPr>
            <w:r>
              <w:rPr>
                <w:rFonts w:hint="eastAsia"/>
              </w:rPr>
              <w:t>空间布局约束</w:t>
            </w:r>
          </w:p>
        </w:tc>
        <w:tc>
          <w:tcPr>
            <w:tcW w:w="3250" w:type="pct"/>
            <w:vAlign w:val="center"/>
          </w:tcPr>
          <w:p w14:paraId="21CC2D63">
            <w:pPr>
              <w:pStyle w:val="135"/>
              <w:adjustRightInd w:val="0"/>
              <w:snapToGrid w:val="0"/>
            </w:pPr>
            <w:r>
              <w:rPr>
                <w:rFonts w:hint="eastAsia"/>
              </w:rPr>
              <w:t>/</w:t>
            </w:r>
          </w:p>
        </w:tc>
        <w:tc>
          <w:tcPr>
            <w:tcW w:w="784" w:type="pct"/>
            <w:vAlign w:val="center"/>
          </w:tcPr>
          <w:p w14:paraId="30F5F061">
            <w:pPr>
              <w:pStyle w:val="135"/>
              <w:adjustRightInd w:val="0"/>
              <w:snapToGrid w:val="0"/>
            </w:pPr>
            <w:r>
              <w:rPr>
                <w:rFonts w:hint="eastAsia"/>
              </w:rPr>
              <w:t>/</w:t>
            </w:r>
          </w:p>
        </w:tc>
        <w:tc>
          <w:tcPr>
            <w:tcW w:w="227" w:type="pct"/>
            <w:vAlign w:val="center"/>
          </w:tcPr>
          <w:p w14:paraId="661382AA">
            <w:pPr>
              <w:pStyle w:val="135"/>
              <w:adjustRightInd w:val="0"/>
              <w:snapToGrid w:val="0"/>
            </w:pPr>
            <w:r>
              <w:rPr>
                <w:rFonts w:hint="eastAsia"/>
              </w:rPr>
              <w:t>/</w:t>
            </w:r>
          </w:p>
        </w:tc>
      </w:tr>
      <w:tr w14:paraId="49EFB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14:paraId="4B885BC2">
            <w:pPr>
              <w:pStyle w:val="135"/>
              <w:adjustRightInd w:val="0"/>
              <w:snapToGrid w:val="0"/>
            </w:pPr>
          </w:p>
        </w:tc>
        <w:tc>
          <w:tcPr>
            <w:tcW w:w="279" w:type="pct"/>
            <w:gridSpan w:val="2"/>
            <w:vAlign w:val="center"/>
          </w:tcPr>
          <w:p w14:paraId="4934F82B">
            <w:pPr>
              <w:pStyle w:val="135"/>
              <w:adjustRightInd w:val="0"/>
              <w:snapToGrid w:val="0"/>
            </w:pPr>
            <w:r>
              <w:rPr>
                <w:rFonts w:hint="eastAsia"/>
              </w:rPr>
              <w:t>污染物排放管控</w:t>
            </w:r>
          </w:p>
        </w:tc>
        <w:tc>
          <w:tcPr>
            <w:tcW w:w="3250" w:type="pct"/>
            <w:vAlign w:val="center"/>
          </w:tcPr>
          <w:p w14:paraId="10216988">
            <w:pPr>
              <w:pStyle w:val="135"/>
              <w:adjustRightInd w:val="0"/>
              <w:snapToGrid w:val="0"/>
            </w:pPr>
            <w:r>
              <w:rPr>
                <w:rFonts w:hint="eastAsia"/>
              </w:rPr>
              <w:t>/</w:t>
            </w:r>
          </w:p>
        </w:tc>
        <w:tc>
          <w:tcPr>
            <w:tcW w:w="784" w:type="pct"/>
            <w:vAlign w:val="center"/>
          </w:tcPr>
          <w:p w14:paraId="6CDA4D10">
            <w:pPr>
              <w:pStyle w:val="135"/>
              <w:adjustRightInd w:val="0"/>
              <w:snapToGrid w:val="0"/>
            </w:pPr>
            <w:r>
              <w:rPr>
                <w:rFonts w:hint="eastAsia"/>
              </w:rPr>
              <w:t>/</w:t>
            </w:r>
          </w:p>
        </w:tc>
        <w:tc>
          <w:tcPr>
            <w:tcW w:w="227" w:type="pct"/>
            <w:vAlign w:val="center"/>
          </w:tcPr>
          <w:p w14:paraId="0DCB43AB">
            <w:pPr>
              <w:pStyle w:val="135"/>
              <w:adjustRightInd w:val="0"/>
              <w:snapToGrid w:val="0"/>
            </w:pPr>
            <w:r>
              <w:rPr>
                <w:rFonts w:hint="eastAsia"/>
              </w:rPr>
              <w:t>/</w:t>
            </w:r>
          </w:p>
        </w:tc>
      </w:tr>
      <w:tr w14:paraId="7CA112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14:paraId="54C1281C">
            <w:pPr>
              <w:pStyle w:val="135"/>
              <w:adjustRightInd w:val="0"/>
              <w:snapToGrid w:val="0"/>
            </w:pPr>
          </w:p>
        </w:tc>
        <w:tc>
          <w:tcPr>
            <w:tcW w:w="279" w:type="pct"/>
            <w:gridSpan w:val="2"/>
            <w:vAlign w:val="center"/>
          </w:tcPr>
          <w:p w14:paraId="112C9B95">
            <w:pPr>
              <w:pStyle w:val="135"/>
              <w:adjustRightInd w:val="0"/>
              <w:snapToGrid w:val="0"/>
            </w:pPr>
            <w:r>
              <w:rPr>
                <w:rFonts w:hint="eastAsia"/>
              </w:rPr>
              <w:t>环境风险防控</w:t>
            </w:r>
          </w:p>
        </w:tc>
        <w:tc>
          <w:tcPr>
            <w:tcW w:w="3250" w:type="pct"/>
            <w:vAlign w:val="center"/>
          </w:tcPr>
          <w:p w14:paraId="77595BB2">
            <w:pPr>
              <w:pStyle w:val="135"/>
              <w:adjustRightInd w:val="0"/>
              <w:snapToGrid w:val="0"/>
            </w:pPr>
            <w:r>
              <w:rPr>
                <w:rFonts w:hint="eastAsia"/>
              </w:rPr>
              <w:t>/</w:t>
            </w:r>
          </w:p>
        </w:tc>
        <w:tc>
          <w:tcPr>
            <w:tcW w:w="784" w:type="pct"/>
            <w:vAlign w:val="center"/>
          </w:tcPr>
          <w:p w14:paraId="3A1FC130">
            <w:pPr>
              <w:pStyle w:val="135"/>
              <w:adjustRightInd w:val="0"/>
              <w:snapToGrid w:val="0"/>
            </w:pPr>
            <w:r>
              <w:rPr>
                <w:rFonts w:hint="eastAsia"/>
              </w:rPr>
              <w:t>/</w:t>
            </w:r>
          </w:p>
        </w:tc>
        <w:tc>
          <w:tcPr>
            <w:tcW w:w="227" w:type="pct"/>
            <w:vAlign w:val="center"/>
          </w:tcPr>
          <w:p w14:paraId="6F431C49">
            <w:pPr>
              <w:pStyle w:val="135"/>
              <w:adjustRightInd w:val="0"/>
              <w:snapToGrid w:val="0"/>
            </w:pPr>
            <w:r>
              <w:rPr>
                <w:rFonts w:hint="eastAsia"/>
              </w:rPr>
              <w:t>/</w:t>
            </w:r>
          </w:p>
        </w:tc>
      </w:tr>
      <w:tr w14:paraId="7714F3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0" w:type="pct"/>
            <w:vMerge w:val="continue"/>
            <w:vAlign w:val="center"/>
          </w:tcPr>
          <w:p w14:paraId="408E817F">
            <w:pPr>
              <w:pStyle w:val="135"/>
              <w:adjustRightInd w:val="0"/>
              <w:snapToGrid w:val="0"/>
            </w:pPr>
          </w:p>
        </w:tc>
        <w:tc>
          <w:tcPr>
            <w:tcW w:w="279" w:type="pct"/>
            <w:gridSpan w:val="2"/>
            <w:vAlign w:val="center"/>
          </w:tcPr>
          <w:p w14:paraId="360AC50C">
            <w:pPr>
              <w:pStyle w:val="135"/>
              <w:adjustRightInd w:val="0"/>
              <w:snapToGrid w:val="0"/>
            </w:pPr>
            <w:r>
              <w:rPr>
                <w:rFonts w:hint="eastAsia"/>
              </w:rPr>
              <w:t>资源开发利用效率</w:t>
            </w:r>
          </w:p>
        </w:tc>
        <w:tc>
          <w:tcPr>
            <w:tcW w:w="3250" w:type="pct"/>
            <w:vAlign w:val="center"/>
          </w:tcPr>
          <w:p w14:paraId="56362404">
            <w:pPr>
              <w:pStyle w:val="135"/>
              <w:adjustRightInd w:val="0"/>
              <w:snapToGrid w:val="0"/>
            </w:pPr>
            <w:r>
              <w:rPr>
                <w:rFonts w:hint="eastAsia"/>
              </w:rPr>
              <w:t>/</w:t>
            </w:r>
          </w:p>
        </w:tc>
        <w:tc>
          <w:tcPr>
            <w:tcW w:w="784" w:type="pct"/>
            <w:vAlign w:val="center"/>
          </w:tcPr>
          <w:p w14:paraId="7610924E">
            <w:pPr>
              <w:pStyle w:val="135"/>
              <w:adjustRightInd w:val="0"/>
              <w:snapToGrid w:val="0"/>
            </w:pPr>
            <w:r>
              <w:rPr>
                <w:rFonts w:hint="eastAsia"/>
              </w:rPr>
              <w:t>/</w:t>
            </w:r>
          </w:p>
        </w:tc>
        <w:tc>
          <w:tcPr>
            <w:tcW w:w="227" w:type="pct"/>
            <w:vAlign w:val="center"/>
          </w:tcPr>
          <w:p w14:paraId="74C9A6E7">
            <w:pPr>
              <w:pStyle w:val="135"/>
              <w:adjustRightInd w:val="0"/>
              <w:snapToGrid w:val="0"/>
            </w:pPr>
            <w:r>
              <w:rPr>
                <w:rFonts w:hint="eastAsia"/>
              </w:rPr>
              <w:t>/</w:t>
            </w:r>
          </w:p>
        </w:tc>
      </w:tr>
    </w:tbl>
    <w:p w14:paraId="3E328D9F">
      <w:pPr>
        <w:ind w:firstLine="422"/>
      </w:pPr>
      <w:r>
        <w:rPr>
          <w:rFonts w:hint="eastAsia"/>
          <w:b/>
        </w:rPr>
        <w:t>综上，本项目的建设符合巴中市生态环境分区管控中相关要求。</w:t>
      </w:r>
    </w:p>
    <w:p w14:paraId="005A18A7">
      <w:pPr>
        <w:ind w:firstLine="0" w:firstLineChars="0"/>
        <w:sectPr>
          <w:pgSz w:w="16838" w:h="11906" w:orient="landscape"/>
          <w:pgMar w:top="1797" w:right="1440" w:bottom="1797" w:left="1440" w:header="851" w:footer="958" w:gutter="0"/>
          <w:pgNumType w:fmt="numberInDash"/>
          <w:cols w:space="720" w:num="1"/>
          <w:docGrid w:linePitch="326" w:charSpace="0"/>
        </w:sectPr>
      </w:pPr>
    </w:p>
    <w:tbl>
      <w:tblPr>
        <w:tblStyle w:val="33"/>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6"/>
        <w:gridCol w:w="8449"/>
      </w:tblGrid>
      <w:tr w14:paraId="1A6831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83" w:hRule="atLeast"/>
          <w:jc w:val="center"/>
        </w:trPr>
        <w:tc>
          <w:tcPr>
            <w:tcW w:w="416" w:type="dxa"/>
            <w:tcBorders>
              <w:top w:val="single" w:color="auto" w:sz="4" w:space="0"/>
              <w:left w:val="single" w:color="auto" w:sz="8" w:space="0"/>
              <w:bottom w:val="single" w:color="auto" w:sz="8" w:space="0"/>
              <w:right w:val="single" w:color="auto" w:sz="4" w:space="0"/>
            </w:tcBorders>
            <w:vAlign w:val="center"/>
          </w:tcPr>
          <w:p w14:paraId="366CF894">
            <w:pPr>
              <w:spacing w:line="400" w:lineRule="exact"/>
              <w:ind w:firstLine="0" w:firstLineChars="0"/>
              <w:jc w:val="center"/>
              <w:rPr>
                <w:kern w:val="0"/>
                <w:szCs w:val="21"/>
              </w:rPr>
            </w:pPr>
            <w:r>
              <w:rPr>
                <w:rFonts w:hint="eastAsia"/>
                <w:kern w:val="0"/>
                <w:szCs w:val="21"/>
              </w:rPr>
              <w:t>其他符合性分析</w:t>
            </w:r>
          </w:p>
        </w:tc>
        <w:tc>
          <w:tcPr>
            <w:tcW w:w="8449" w:type="dxa"/>
            <w:tcBorders>
              <w:top w:val="single" w:color="auto" w:sz="4" w:space="0"/>
              <w:left w:val="single" w:color="auto" w:sz="4" w:space="0"/>
              <w:bottom w:val="single" w:color="auto" w:sz="8" w:space="0"/>
              <w:right w:val="single" w:color="auto" w:sz="8" w:space="0"/>
            </w:tcBorders>
            <w:vAlign w:val="center"/>
          </w:tcPr>
          <w:p w14:paraId="660CB626">
            <w:pPr>
              <w:pStyle w:val="157"/>
              <w:rPr>
                <w:bCs/>
              </w:rPr>
            </w:pPr>
            <w:r>
              <w:rPr>
                <w:rFonts w:hint="eastAsia"/>
              </w:rPr>
              <w:t>4、</w:t>
            </w:r>
            <w:r>
              <w:rPr>
                <w:rFonts w:hint="eastAsia"/>
                <w:bCs/>
              </w:rPr>
              <w:t>与《中华人民共和国长江保护法》符合性分析</w:t>
            </w:r>
          </w:p>
          <w:p w14:paraId="1EB8235F">
            <w:pPr>
              <w:pStyle w:val="156"/>
            </w:pPr>
            <w:r>
              <w:rPr>
                <w:rFonts w:hint="eastAsia"/>
              </w:rPr>
              <w:t>表1</w:t>
            </w:r>
            <w:r>
              <w:t>-8  本项目与</w:t>
            </w:r>
            <w:r>
              <w:rPr>
                <w:rFonts w:hint="eastAsia"/>
              </w:rPr>
              <w:t>《中华人民共和国长江保护法》</w:t>
            </w:r>
            <w:r>
              <w:t>的符合性分析</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70"/>
              <w:gridCol w:w="4424"/>
              <w:gridCol w:w="2397"/>
              <w:gridCol w:w="943"/>
            </w:tblGrid>
            <w:tr w14:paraId="32E96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397" w:type="pct"/>
                  <w:vAlign w:val="center"/>
                </w:tcPr>
                <w:p w14:paraId="4D42E3F9">
                  <w:pPr>
                    <w:pStyle w:val="135"/>
                    <w:adjustRightInd w:val="0"/>
                    <w:snapToGrid w:val="0"/>
                    <w:rPr>
                      <w:b/>
                      <w:bCs/>
                    </w:rPr>
                  </w:pPr>
                  <w:r>
                    <w:rPr>
                      <w:b/>
                      <w:bCs/>
                    </w:rPr>
                    <w:t>序号</w:t>
                  </w:r>
                </w:p>
              </w:tc>
              <w:tc>
                <w:tcPr>
                  <w:tcW w:w="2623" w:type="pct"/>
                  <w:vAlign w:val="center"/>
                </w:tcPr>
                <w:p w14:paraId="1A30B7B4">
                  <w:pPr>
                    <w:pStyle w:val="135"/>
                    <w:adjustRightInd w:val="0"/>
                    <w:snapToGrid w:val="0"/>
                    <w:rPr>
                      <w:b/>
                      <w:bCs/>
                    </w:rPr>
                  </w:pPr>
                  <w:r>
                    <w:rPr>
                      <w:b/>
                      <w:bCs/>
                    </w:rPr>
                    <w:t>具体要求</w:t>
                  </w:r>
                </w:p>
              </w:tc>
              <w:tc>
                <w:tcPr>
                  <w:tcW w:w="1421" w:type="pct"/>
                  <w:vAlign w:val="center"/>
                </w:tcPr>
                <w:p w14:paraId="5A042B9D">
                  <w:pPr>
                    <w:pStyle w:val="135"/>
                    <w:adjustRightInd w:val="0"/>
                    <w:snapToGrid w:val="0"/>
                    <w:rPr>
                      <w:b/>
                      <w:bCs/>
                    </w:rPr>
                  </w:pPr>
                  <w:r>
                    <w:rPr>
                      <w:b/>
                      <w:bCs/>
                    </w:rPr>
                    <w:t>本项目</w:t>
                  </w:r>
                </w:p>
              </w:tc>
              <w:tc>
                <w:tcPr>
                  <w:tcW w:w="559" w:type="pct"/>
                  <w:vAlign w:val="center"/>
                </w:tcPr>
                <w:p w14:paraId="6D09FADA">
                  <w:pPr>
                    <w:pStyle w:val="135"/>
                    <w:adjustRightInd w:val="0"/>
                    <w:snapToGrid w:val="0"/>
                    <w:rPr>
                      <w:b/>
                      <w:bCs/>
                    </w:rPr>
                  </w:pPr>
                  <w:r>
                    <w:rPr>
                      <w:rFonts w:hint="eastAsia"/>
                      <w:b/>
                      <w:bCs/>
                    </w:rPr>
                    <w:t>符合性</w:t>
                  </w:r>
                </w:p>
              </w:tc>
            </w:tr>
            <w:tr w14:paraId="314592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97" w:type="pct"/>
                  <w:vAlign w:val="center"/>
                </w:tcPr>
                <w:p w14:paraId="40491D26">
                  <w:pPr>
                    <w:pStyle w:val="135"/>
                    <w:adjustRightInd w:val="0"/>
                    <w:snapToGrid w:val="0"/>
                  </w:pPr>
                  <w:r>
                    <w:t>第二十</w:t>
                  </w:r>
                  <w:r>
                    <w:rPr>
                      <w:rFonts w:hint="eastAsia"/>
                    </w:rPr>
                    <w:t>六</w:t>
                  </w:r>
                  <w:r>
                    <w:t>条</w:t>
                  </w:r>
                </w:p>
              </w:tc>
              <w:tc>
                <w:tcPr>
                  <w:tcW w:w="2623" w:type="pct"/>
                  <w:vAlign w:val="center"/>
                </w:tcPr>
                <w:p w14:paraId="4FF01D43">
                  <w:pPr>
                    <w:pStyle w:val="135"/>
                    <w:adjustRightInd w:val="0"/>
                    <w:snapToGrid w:val="0"/>
                    <w:jc w:val="both"/>
                  </w:pPr>
                  <w:r>
                    <w:rPr>
                      <w:rFonts w:hint="eastAsia"/>
                    </w:rPr>
                    <w:t>国家对长江流域河湖岸线实施特殊管制。</w:t>
                  </w:r>
                  <w:r>
                    <w:rPr>
                      <w:rFonts w:hint="eastAsia"/>
                      <w:bCs/>
                    </w:rPr>
                    <w:t>禁止在长江干支流岸线一公里范围内新建、扩建化工园区和化工项目。</w:t>
                  </w:r>
                  <w:r>
                    <w:rPr>
                      <w:rFonts w:hint="eastAsia"/>
                    </w:rPr>
                    <w:t>禁止在长江干流岸线三公里范围内和重要支流岸线一公里范围内新建、改建、扩建尾矿库；但是以提升安全、生态环境保护水平为目的的改建除外。</w:t>
                  </w:r>
                </w:p>
              </w:tc>
              <w:tc>
                <w:tcPr>
                  <w:tcW w:w="1421" w:type="pct"/>
                  <w:vAlign w:val="center"/>
                </w:tcPr>
                <w:p w14:paraId="499F60BE">
                  <w:pPr>
                    <w:pStyle w:val="135"/>
                    <w:adjustRightInd w:val="0"/>
                    <w:snapToGrid w:val="0"/>
                    <w:jc w:val="both"/>
                  </w:pPr>
                  <w:r>
                    <w:t>本项目</w:t>
                  </w:r>
                  <w:r>
                    <w:rPr>
                      <w:rFonts w:hint="eastAsia"/>
                    </w:rPr>
                    <w:t>为加气混凝土砌块加工项目，不属于化工项目、化工园区、尾矿库等</w:t>
                  </w:r>
                  <w:r>
                    <w:rPr>
                      <w:rFonts w:hint="eastAsia"/>
                      <w:bCs/>
                    </w:rPr>
                    <w:t>。</w:t>
                  </w:r>
                </w:p>
              </w:tc>
              <w:tc>
                <w:tcPr>
                  <w:tcW w:w="559" w:type="pct"/>
                  <w:vAlign w:val="center"/>
                </w:tcPr>
                <w:p w14:paraId="024F24DB">
                  <w:pPr>
                    <w:pStyle w:val="135"/>
                    <w:adjustRightInd w:val="0"/>
                    <w:snapToGrid w:val="0"/>
                  </w:pPr>
                  <w:r>
                    <w:t>符合</w:t>
                  </w:r>
                </w:p>
              </w:tc>
            </w:tr>
            <w:tr w14:paraId="540F6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97" w:type="pct"/>
                  <w:vAlign w:val="center"/>
                </w:tcPr>
                <w:p w14:paraId="55044BD7">
                  <w:pPr>
                    <w:pStyle w:val="135"/>
                    <w:adjustRightInd w:val="0"/>
                    <w:snapToGrid w:val="0"/>
                  </w:pPr>
                  <w:r>
                    <w:rPr>
                      <w:rFonts w:hint="eastAsia"/>
                    </w:rPr>
                    <w:t>第四十七条</w:t>
                  </w:r>
                </w:p>
              </w:tc>
              <w:tc>
                <w:tcPr>
                  <w:tcW w:w="2623" w:type="pct"/>
                  <w:vAlign w:val="center"/>
                </w:tcPr>
                <w:p w14:paraId="20DE6301">
                  <w:pPr>
                    <w:pStyle w:val="135"/>
                    <w:adjustRightInd w:val="0"/>
                    <w:snapToGrid w:val="0"/>
                    <w:jc w:val="both"/>
                  </w:pPr>
                  <w:r>
                    <w:rPr>
                      <w:rFonts w:hint="eastAsia"/>
                    </w:rPr>
                    <w:t>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p>
              </w:tc>
              <w:tc>
                <w:tcPr>
                  <w:tcW w:w="1421" w:type="pct"/>
                  <w:vAlign w:val="center"/>
                </w:tcPr>
                <w:p w14:paraId="0E88E66C">
                  <w:pPr>
                    <w:pStyle w:val="135"/>
                    <w:adjustRightInd w:val="0"/>
                    <w:snapToGrid w:val="0"/>
                    <w:jc w:val="both"/>
                  </w:pPr>
                  <w:r>
                    <w:rPr>
                      <w:rFonts w:hint="eastAsia"/>
                    </w:rPr>
                    <w:t>本项目生产废水全部回用，生活污水排入巴中经开区污水处理厂，项目不涉及新设、改设或者扩大排污口。</w:t>
                  </w:r>
                </w:p>
              </w:tc>
              <w:tc>
                <w:tcPr>
                  <w:tcW w:w="559" w:type="pct"/>
                  <w:vAlign w:val="center"/>
                </w:tcPr>
                <w:p w14:paraId="34FC7488">
                  <w:pPr>
                    <w:pStyle w:val="135"/>
                    <w:adjustRightInd w:val="0"/>
                    <w:snapToGrid w:val="0"/>
                  </w:pPr>
                  <w:r>
                    <w:rPr>
                      <w:rFonts w:hint="eastAsia"/>
                    </w:rPr>
                    <w:t>符合</w:t>
                  </w:r>
                </w:p>
              </w:tc>
            </w:tr>
            <w:tr w14:paraId="7E049B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97" w:type="pct"/>
                  <w:vAlign w:val="center"/>
                </w:tcPr>
                <w:p w14:paraId="6D108232">
                  <w:pPr>
                    <w:pStyle w:val="135"/>
                    <w:adjustRightInd w:val="0"/>
                    <w:snapToGrid w:val="0"/>
                  </w:pPr>
                  <w:r>
                    <w:rPr>
                      <w:rFonts w:hint="eastAsia"/>
                    </w:rPr>
                    <w:t>第四十九条</w:t>
                  </w:r>
                </w:p>
              </w:tc>
              <w:tc>
                <w:tcPr>
                  <w:tcW w:w="2623" w:type="pct"/>
                  <w:vAlign w:val="center"/>
                </w:tcPr>
                <w:p w14:paraId="2D5F997F">
                  <w:pPr>
                    <w:pStyle w:val="135"/>
                    <w:adjustRightInd w:val="0"/>
                    <w:snapToGrid w:val="0"/>
                    <w:jc w:val="both"/>
                  </w:pPr>
                  <w:r>
                    <w:rPr>
                      <w:rFonts w:hint="eastAsia"/>
                    </w:rPr>
                    <w:t>禁止在长江流域河湖管理范围内倾倒、填埋、堆放、弃置、处理固体废物。长江流域县级以上地方人民政府应当加强对固体废物非法转移和倾倒的联防联控。</w:t>
                  </w:r>
                </w:p>
              </w:tc>
              <w:tc>
                <w:tcPr>
                  <w:tcW w:w="1421" w:type="pct"/>
                  <w:vAlign w:val="center"/>
                </w:tcPr>
                <w:p w14:paraId="4790752D">
                  <w:pPr>
                    <w:pStyle w:val="135"/>
                    <w:adjustRightInd w:val="0"/>
                    <w:snapToGrid w:val="0"/>
                    <w:jc w:val="both"/>
                  </w:pPr>
                  <w:r>
                    <w:t>本项目</w:t>
                  </w:r>
                  <w:r>
                    <w:rPr>
                      <w:rFonts w:hint="eastAsia"/>
                    </w:rPr>
                    <w:t>为加气混凝土砌块加工项目，不属于固体废物处理项目。</w:t>
                  </w:r>
                </w:p>
              </w:tc>
              <w:tc>
                <w:tcPr>
                  <w:tcW w:w="559" w:type="pct"/>
                  <w:vAlign w:val="center"/>
                </w:tcPr>
                <w:p w14:paraId="0BEC2999">
                  <w:pPr>
                    <w:pStyle w:val="135"/>
                    <w:adjustRightInd w:val="0"/>
                    <w:snapToGrid w:val="0"/>
                  </w:pPr>
                  <w:r>
                    <w:rPr>
                      <w:rFonts w:hint="eastAsia"/>
                    </w:rPr>
                    <w:t>符合</w:t>
                  </w:r>
                </w:p>
              </w:tc>
            </w:tr>
          </w:tbl>
          <w:p w14:paraId="284E9FEF">
            <w:pPr>
              <w:ind w:firstLine="420"/>
            </w:pPr>
            <w:r>
              <w:rPr>
                <w:rFonts w:hint="eastAsia"/>
              </w:rPr>
              <w:t>综上，本项目符合《中华人民共和国长江保护法》中相关要求。</w:t>
            </w:r>
          </w:p>
          <w:p w14:paraId="50C0AAA5">
            <w:pPr>
              <w:pStyle w:val="157"/>
            </w:pPr>
            <w:r>
              <w:rPr>
                <w:rFonts w:hint="eastAsia"/>
              </w:rPr>
              <w:t>5、</w:t>
            </w:r>
            <w:r>
              <w:t>与</w:t>
            </w:r>
            <w:r>
              <w:rPr>
                <w:rFonts w:hint="eastAsia"/>
              </w:rPr>
              <w:t>《</w:t>
            </w:r>
            <w:r>
              <w:t>长江经济带</w:t>
            </w:r>
            <w:r>
              <w:rPr>
                <w:rFonts w:hint="eastAsia"/>
              </w:rPr>
              <w:t>发展</w:t>
            </w:r>
            <w:r>
              <w:t>负面清单指南（试行</w:t>
            </w:r>
            <w:r>
              <w:rPr>
                <w:rFonts w:hint="eastAsia"/>
              </w:rPr>
              <w:t>，2022年版</w:t>
            </w:r>
            <w:r>
              <w:t>）</w:t>
            </w:r>
            <w:r>
              <w:rPr>
                <w:rFonts w:hint="eastAsia"/>
              </w:rPr>
              <w:t>》</w:t>
            </w:r>
            <w:r>
              <w:t>的符合性分析</w:t>
            </w:r>
          </w:p>
          <w:p w14:paraId="08649492">
            <w:pPr>
              <w:ind w:firstLine="420"/>
            </w:pPr>
            <w:r>
              <w:t>项目所在区域属于长江流域，为此本评价将结合</w:t>
            </w:r>
            <w:r>
              <w:rPr>
                <w:rFonts w:hint="eastAsia"/>
              </w:rPr>
              <w:t>《</w:t>
            </w:r>
            <w:r>
              <w:t>长江经济带</w:t>
            </w:r>
            <w:r>
              <w:rPr>
                <w:rFonts w:hint="eastAsia"/>
              </w:rPr>
              <w:t>发展</w:t>
            </w:r>
            <w:r>
              <w:t>负面清单指南（试行</w:t>
            </w:r>
            <w:r>
              <w:rPr>
                <w:rFonts w:hint="eastAsia"/>
              </w:rPr>
              <w:t>，2022年版</w:t>
            </w:r>
            <w:r>
              <w:t>）</w:t>
            </w:r>
            <w:r>
              <w:rPr>
                <w:rFonts w:hint="eastAsia"/>
              </w:rPr>
              <w:t>》</w:t>
            </w:r>
            <w:r>
              <w:t>相关要求，对本项目</w:t>
            </w:r>
            <w:r>
              <w:rPr>
                <w:rFonts w:hint="eastAsia"/>
              </w:rPr>
              <w:t>建设的</w:t>
            </w:r>
            <w:r>
              <w:t>符合性进行分析，具体分析见下表：</w:t>
            </w:r>
          </w:p>
          <w:p w14:paraId="15A45BAA">
            <w:pPr>
              <w:pStyle w:val="156"/>
            </w:pPr>
            <w:r>
              <w:rPr>
                <w:rFonts w:hint="eastAsia"/>
              </w:rPr>
              <w:t>表</w:t>
            </w:r>
            <w:r>
              <w:t>1-9</w:t>
            </w:r>
            <w:r>
              <w:rPr>
                <w:rFonts w:hint="eastAsia"/>
              </w:rPr>
              <w:t xml:space="preserve">  </w:t>
            </w:r>
            <w:r>
              <w:t>项目与《关于发布长江经济带负面清单指南（试行）的通知》的符合性分析</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0"/>
              <w:gridCol w:w="4910"/>
              <w:gridCol w:w="2159"/>
              <w:gridCol w:w="805"/>
            </w:tblGrid>
            <w:tr w14:paraId="2601D1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332" w:type="pct"/>
                  <w:vAlign w:val="center"/>
                </w:tcPr>
                <w:p w14:paraId="5D5D4C31">
                  <w:pPr>
                    <w:pStyle w:val="135"/>
                    <w:adjustRightInd w:val="0"/>
                    <w:snapToGrid w:val="0"/>
                    <w:rPr>
                      <w:b/>
                      <w:bCs/>
                    </w:rPr>
                  </w:pPr>
                  <w:r>
                    <w:rPr>
                      <w:b/>
                      <w:bCs/>
                    </w:rPr>
                    <w:t>序号</w:t>
                  </w:r>
                </w:p>
              </w:tc>
              <w:tc>
                <w:tcPr>
                  <w:tcW w:w="2911" w:type="pct"/>
                  <w:vAlign w:val="center"/>
                </w:tcPr>
                <w:p w14:paraId="5F40DFEC">
                  <w:pPr>
                    <w:pStyle w:val="135"/>
                    <w:adjustRightInd w:val="0"/>
                    <w:snapToGrid w:val="0"/>
                    <w:rPr>
                      <w:b/>
                      <w:bCs/>
                    </w:rPr>
                  </w:pPr>
                  <w:r>
                    <w:rPr>
                      <w:b/>
                      <w:bCs/>
                    </w:rPr>
                    <w:t>《指南》具体要求</w:t>
                  </w:r>
                </w:p>
              </w:tc>
              <w:tc>
                <w:tcPr>
                  <w:tcW w:w="1280" w:type="pct"/>
                  <w:vAlign w:val="center"/>
                </w:tcPr>
                <w:p w14:paraId="56DB3EB2">
                  <w:pPr>
                    <w:pStyle w:val="135"/>
                    <w:adjustRightInd w:val="0"/>
                    <w:snapToGrid w:val="0"/>
                    <w:rPr>
                      <w:b/>
                      <w:bCs/>
                    </w:rPr>
                  </w:pPr>
                  <w:r>
                    <w:rPr>
                      <w:b/>
                      <w:bCs/>
                    </w:rPr>
                    <w:t>本项目</w:t>
                  </w:r>
                </w:p>
              </w:tc>
              <w:tc>
                <w:tcPr>
                  <w:tcW w:w="477" w:type="pct"/>
                  <w:vAlign w:val="center"/>
                </w:tcPr>
                <w:p w14:paraId="340103F6">
                  <w:pPr>
                    <w:pStyle w:val="135"/>
                    <w:adjustRightInd w:val="0"/>
                    <w:snapToGrid w:val="0"/>
                    <w:rPr>
                      <w:b/>
                      <w:bCs/>
                    </w:rPr>
                  </w:pPr>
                  <w:r>
                    <w:rPr>
                      <w:rFonts w:hint="eastAsia"/>
                      <w:b/>
                      <w:bCs/>
                    </w:rPr>
                    <w:t>符合性</w:t>
                  </w:r>
                </w:p>
              </w:tc>
            </w:tr>
            <w:tr w14:paraId="15DD7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4" w:hRule="atLeast"/>
              </w:trPr>
              <w:tc>
                <w:tcPr>
                  <w:tcW w:w="332" w:type="pct"/>
                  <w:vAlign w:val="center"/>
                </w:tcPr>
                <w:p w14:paraId="2EC673A0">
                  <w:pPr>
                    <w:pStyle w:val="135"/>
                    <w:adjustRightInd w:val="0"/>
                    <w:snapToGrid w:val="0"/>
                  </w:pPr>
                  <w:r>
                    <w:t>1</w:t>
                  </w:r>
                </w:p>
              </w:tc>
              <w:tc>
                <w:tcPr>
                  <w:tcW w:w="2911" w:type="pct"/>
                  <w:vAlign w:val="center"/>
                </w:tcPr>
                <w:p w14:paraId="0E4E8B02">
                  <w:pPr>
                    <w:pStyle w:val="135"/>
                    <w:adjustRightInd w:val="0"/>
                    <w:snapToGrid w:val="0"/>
                    <w:jc w:val="both"/>
                  </w:pPr>
                  <w: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280" w:type="pct"/>
                  <w:vAlign w:val="center"/>
                </w:tcPr>
                <w:p w14:paraId="763782F2">
                  <w:pPr>
                    <w:pStyle w:val="135"/>
                    <w:adjustRightInd w:val="0"/>
                    <w:snapToGrid w:val="0"/>
                    <w:jc w:val="both"/>
                  </w:pPr>
                  <w:r>
                    <w:t>本项目</w:t>
                  </w:r>
                  <w:r>
                    <w:rPr>
                      <w:rFonts w:hint="eastAsia"/>
                    </w:rPr>
                    <w:t>为加气混凝土砌块加工项目，不属于化工项目。</w:t>
                  </w:r>
                </w:p>
              </w:tc>
              <w:tc>
                <w:tcPr>
                  <w:tcW w:w="477" w:type="pct"/>
                  <w:vAlign w:val="center"/>
                </w:tcPr>
                <w:p w14:paraId="4AA77919">
                  <w:pPr>
                    <w:pStyle w:val="135"/>
                    <w:adjustRightInd w:val="0"/>
                    <w:snapToGrid w:val="0"/>
                  </w:pPr>
                  <w:r>
                    <w:t>符合</w:t>
                  </w:r>
                </w:p>
              </w:tc>
            </w:tr>
            <w:tr w14:paraId="3214D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32" w:type="pct"/>
                  <w:vAlign w:val="center"/>
                </w:tcPr>
                <w:p w14:paraId="6D6701C0">
                  <w:pPr>
                    <w:pStyle w:val="135"/>
                    <w:adjustRightInd w:val="0"/>
                    <w:snapToGrid w:val="0"/>
                  </w:pPr>
                  <w:r>
                    <w:t>2</w:t>
                  </w:r>
                </w:p>
              </w:tc>
              <w:tc>
                <w:tcPr>
                  <w:tcW w:w="2911" w:type="pct"/>
                  <w:vAlign w:val="center"/>
                </w:tcPr>
                <w:p w14:paraId="23BB249A">
                  <w:pPr>
                    <w:pStyle w:val="135"/>
                    <w:adjustRightInd w:val="0"/>
                    <w:snapToGrid w:val="0"/>
                    <w:jc w:val="both"/>
                  </w:pPr>
                  <w:r>
                    <w:t>禁止在合规园区外新建、扩建钢铁、石化、化工、焦化、建材、有色、制浆造纸等高污染项目。</w:t>
                  </w:r>
                </w:p>
              </w:tc>
              <w:tc>
                <w:tcPr>
                  <w:tcW w:w="1280" w:type="pct"/>
                  <w:vAlign w:val="center"/>
                </w:tcPr>
                <w:p w14:paraId="5D77F98A">
                  <w:pPr>
                    <w:pStyle w:val="135"/>
                    <w:adjustRightInd w:val="0"/>
                    <w:snapToGrid w:val="0"/>
                    <w:jc w:val="both"/>
                  </w:pPr>
                  <w:r>
                    <w:rPr>
                      <w:rFonts w:hint="eastAsia"/>
                    </w:rPr>
                    <w:t>本项目不属于高污染项目。</w:t>
                  </w:r>
                </w:p>
              </w:tc>
              <w:tc>
                <w:tcPr>
                  <w:tcW w:w="477" w:type="pct"/>
                  <w:vAlign w:val="center"/>
                </w:tcPr>
                <w:p w14:paraId="5EAD1BEA">
                  <w:pPr>
                    <w:pStyle w:val="135"/>
                    <w:adjustRightInd w:val="0"/>
                    <w:snapToGrid w:val="0"/>
                  </w:pPr>
                  <w:r>
                    <w:t>符合</w:t>
                  </w:r>
                </w:p>
              </w:tc>
            </w:tr>
            <w:tr w14:paraId="62190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32" w:type="pct"/>
                  <w:vAlign w:val="center"/>
                </w:tcPr>
                <w:p w14:paraId="64CAD638">
                  <w:pPr>
                    <w:pStyle w:val="135"/>
                    <w:adjustRightInd w:val="0"/>
                    <w:snapToGrid w:val="0"/>
                  </w:pPr>
                  <w:r>
                    <w:t>3</w:t>
                  </w:r>
                </w:p>
              </w:tc>
              <w:tc>
                <w:tcPr>
                  <w:tcW w:w="2911" w:type="pct"/>
                  <w:vAlign w:val="center"/>
                </w:tcPr>
                <w:p w14:paraId="54891834">
                  <w:pPr>
                    <w:pStyle w:val="135"/>
                    <w:adjustRightInd w:val="0"/>
                    <w:snapToGrid w:val="0"/>
                    <w:jc w:val="both"/>
                  </w:pPr>
                  <w:r>
                    <w:t>禁止新建、扩建不符合国家石化、现代煤化工等产业布局规划的项目。</w:t>
                  </w:r>
                </w:p>
              </w:tc>
              <w:tc>
                <w:tcPr>
                  <w:tcW w:w="1280" w:type="pct"/>
                  <w:vAlign w:val="center"/>
                </w:tcPr>
                <w:p w14:paraId="2A727861">
                  <w:pPr>
                    <w:pStyle w:val="135"/>
                    <w:adjustRightInd w:val="0"/>
                    <w:snapToGrid w:val="0"/>
                    <w:jc w:val="both"/>
                  </w:pPr>
                  <w:r>
                    <w:t>本项目不属于石化、煤化工项目。</w:t>
                  </w:r>
                </w:p>
              </w:tc>
              <w:tc>
                <w:tcPr>
                  <w:tcW w:w="477" w:type="pct"/>
                  <w:vAlign w:val="center"/>
                </w:tcPr>
                <w:p w14:paraId="0480F3E3">
                  <w:pPr>
                    <w:pStyle w:val="135"/>
                    <w:adjustRightInd w:val="0"/>
                    <w:snapToGrid w:val="0"/>
                  </w:pPr>
                  <w:r>
                    <w:t>符合</w:t>
                  </w:r>
                </w:p>
              </w:tc>
            </w:tr>
            <w:tr w14:paraId="2207B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32" w:type="pct"/>
                  <w:vAlign w:val="center"/>
                </w:tcPr>
                <w:p w14:paraId="75FBBE12">
                  <w:pPr>
                    <w:pStyle w:val="135"/>
                    <w:adjustRightInd w:val="0"/>
                    <w:snapToGrid w:val="0"/>
                  </w:pPr>
                  <w:r>
                    <w:t>4</w:t>
                  </w:r>
                </w:p>
              </w:tc>
              <w:tc>
                <w:tcPr>
                  <w:tcW w:w="2911" w:type="pct"/>
                  <w:vAlign w:val="center"/>
                </w:tcPr>
                <w:p w14:paraId="55B7AF86">
                  <w:pPr>
                    <w:pStyle w:val="135"/>
                    <w:adjustRightInd w:val="0"/>
                    <w:snapToGrid w:val="0"/>
                    <w:jc w:val="both"/>
                  </w:pPr>
                  <w:r>
                    <w:t>禁止新建、扩建法律法规和相关政策明令禁止的落后产能项目。禁止新建、扩建不符合国家产能置换要求的严重过剩产能行业的项目。禁止新建、扩建不符合要求的高耗能高排放项目。</w:t>
                  </w:r>
                </w:p>
              </w:tc>
              <w:tc>
                <w:tcPr>
                  <w:tcW w:w="1280" w:type="pct"/>
                  <w:vAlign w:val="center"/>
                </w:tcPr>
                <w:p w14:paraId="02D5929B">
                  <w:pPr>
                    <w:pStyle w:val="135"/>
                    <w:adjustRightInd w:val="0"/>
                    <w:snapToGrid w:val="0"/>
                    <w:jc w:val="both"/>
                  </w:pPr>
                  <w:r>
                    <w:t>本项目不属于落后产能项目，不属于严重过剩产能行业项目</w:t>
                  </w:r>
                  <w:r>
                    <w:rPr>
                      <w:rFonts w:hint="eastAsia"/>
                    </w:rPr>
                    <w:t>，</w:t>
                  </w:r>
                  <w:r>
                    <w:t>不属于高排放项目。</w:t>
                  </w:r>
                </w:p>
              </w:tc>
              <w:tc>
                <w:tcPr>
                  <w:tcW w:w="477" w:type="pct"/>
                  <w:vAlign w:val="center"/>
                </w:tcPr>
                <w:p w14:paraId="5665FF80">
                  <w:pPr>
                    <w:pStyle w:val="135"/>
                    <w:adjustRightInd w:val="0"/>
                    <w:snapToGrid w:val="0"/>
                  </w:pPr>
                  <w:r>
                    <w:t>符合</w:t>
                  </w:r>
                </w:p>
              </w:tc>
            </w:tr>
          </w:tbl>
          <w:p w14:paraId="1E1F306F">
            <w:pPr>
              <w:ind w:firstLine="420"/>
            </w:pPr>
            <w:r>
              <w:t>从上表可知，本项目建设符合</w:t>
            </w:r>
            <w:r>
              <w:rPr>
                <w:rFonts w:hint="eastAsia"/>
              </w:rPr>
              <w:t>《长江经济带发展负面清单指南（试行，2022年版）》</w:t>
            </w:r>
            <w:r>
              <w:t>相关要求。</w:t>
            </w:r>
          </w:p>
          <w:p w14:paraId="024D0D69">
            <w:pPr>
              <w:pStyle w:val="157"/>
            </w:pPr>
            <w:r>
              <w:rPr>
                <w:rFonts w:hint="eastAsia"/>
              </w:rPr>
              <w:t>6、</w:t>
            </w:r>
            <w:r>
              <w:t>与《四川省、重庆市长江经济带发展负面清单实施细则</w:t>
            </w:r>
            <w:r>
              <w:rPr>
                <w:rFonts w:hint="eastAsia"/>
              </w:rPr>
              <w:t>（</w:t>
            </w:r>
            <w:r>
              <w:t>试行</w:t>
            </w:r>
            <w:r>
              <w:rPr>
                <w:rFonts w:hint="eastAsia"/>
              </w:rPr>
              <w:t>，</w:t>
            </w:r>
            <w:r>
              <w:t>2022年版）》的符合性</w:t>
            </w:r>
          </w:p>
          <w:p w14:paraId="437BF184">
            <w:pPr>
              <w:pStyle w:val="156"/>
            </w:pPr>
            <w:r>
              <w:rPr>
                <w:rFonts w:hint="eastAsia"/>
              </w:rPr>
              <w:t>表</w:t>
            </w:r>
            <w:r>
              <w:t>1</w:t>
            </w:r>
            <w:r>
              <w:rPr>
                <w:rFonts w:hint="eastAsia"/>
              </w:rPr>
              <w:t>-</w:t>
            </w:r>
            <w:r>
              <w:t>10</w:t>
            </w:r>
            <w:r>
              <w:rPr>
                <w:rFonts w:hint="eastAsia"/>
              </w:rPr>
              <w:t xml:space="preserve">  </w:t>
            </w:r>
            <w:r>
              <w:t>与</w:t>
            </w:r>
            <w:r>
              <w:rPr>
                <w:rFonts w:hint="eastAsia"/>
              </w:rPr>
              <w:t>《四川省、重庆市长江经济带发展负面清单实施细则》</w:t>
            </w:r>
            <w:r>
              <w:t>符合性分析</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45"/>
              <w:gridCol w:w="4860"/>
              <w:gridCol w:w="2412"/>
              <w:gridCol w:w="717"/>
            </w:tblGrid>
            <w:tr w14:paraId="6ADE7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4" w:type="pct"/>
                  <w:vAlign w:val="center"/>
                </w:tcPr>
                <w:p w14:paraId="04ED3637">
                  <w:pPr>
                    <w:pStyle w:val="135"/>
                    <w:adjustRightInd w:val="0"/>
                    <w:snapToGrid w:val="0"/>
                    <w:rPr>
                      <w:b/>
                      <w:bCs/>
                    </w:rPr>
                  </w:pPr>
                  <w:r>
                    <w:rPr>
                      <w:b/>
                      <w:bCs/>
                    </w:rPr>
                    <w:t>序号</w:t>
                  </w:r>
                </w:p>
              </w:tc>
              <w:tc>
                <w:tcPr>
                  <w:tcW w:w="2881" w:type="pct"/>
                  <w:vAlign w:val="center"/>
                </w:tcPr>
                <w:p w14:paraId="1B45869E">
                  <w:pPr>
                    <w:pStyle w:val="135"/>
                    <w:adjustRightInd w:val="0"/>
                    <w:snapToGrid w:val="0"/>
                    <w:rPr>
                      <w:b/>
                      <w:bCs/>
                    </w:rPr>
                  </w:pPr>
                  <w:r>
                    <w:rPr>
                      <w:b/>
                      <w:bCs/>
                    </w:rPr>
                    <w:t>文件具体要求</w:t>
                  </w:r>
                </w:p>
              </w:tc>
              <w:tc>
                <w:tcPr>
                  <w:tcW w:w="1430" w:type="pct"/>
                  <w:vAlign w:val="center"/>
                </w:tcPr>
                <w:p w14:paraId="554A1C6F">
                  <w:pPr>
                    <w:pStyle w:val="135"/>
                    <w:adjustRightInd w:val="0"/>
                    <w:snapToGrid w:val="0"/>
                    <w:rPr>
                      <w:b/>
                      <w:bCs/>
                    </w:rPr>
                  </w:pPr>
                  <w:r>
                    <w:rPr>
                      <w:b/>
                      <w:bCs/>
                    </w:rPr>
                    <w:t>本项目</w:t>
                  </w:r>
                </w:p>
              </w:tc>
              <w:tc>
                <w:tcPr>
                  <w:tcW w:w="425" w:type="pct"/>
                  <w:vAlign w:val="center"/>
                </w:tcPr>
                <w:p w14:paraId="1731C1A4">
                  <w:pPr>
                    <w:pStyle w:val="135"/>
                    <w:adjustRightInd w:val="0"/>
                    <w:snapToGrid w:val="0"/>
                    <w:rPr>
                      <w:b/>
                      <w:bCs/>
                    </w:rPr>
                  </w:pPr>
                  <w:r>
                    <w:rPr>
                      <w:b/>
                      <w:bCs/>
                    </w:rPr>
                    <w:t>符合性</w:t>
                  </w:r>
                </w:p>
              </w:tc>
            </w:tr>
            <w:tr w14:paraId="074282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4" w:type="pct"/>
                  <w:vAlign w:val="center"/>
                </w:tcPr>
                <w:p w14:paraId="73D33AAC">
                  <w:pPr>
                    <w:pStyle w:val="135"/>
                    <w:adjustRightInd w:val="0"/>
                    <w:snapToGrid w:val="0"/>
                  </w:pPr>
                  <w:r>
                    <w:t>1</w:t>
                  </w:r>
                </w:p>
              </w:tc>
              <w:tc>
                <w:tcPr>
                  <w:tcW w:w="2881" w:type="pct"/>
                  <w:vAlign w:val="center"/>
                </w:tcPr>
                <w:p w14:paraId="097ED971">
                  <w:pPr>
                    <w:pStyle w:val="135"/>
                    <w:adjustRightInd w:val="0"/>
                    <w:snapToGrid w:val="0"/>
                    <w:jc w:val="both"/>
                  </w:pPr>
                  <w:r>
                    <w:t>第七条</w:t>
                  </w:r>
                  <w:r>
                    <w:rPr>
                      <w:rFonts w:hint="eastAsia"/>
                    </w:rPr>
                    <w:t xml:space="preserve"> </w:t>
                  </w:r>
                  <w:r>
                    <w:t>禁止在自然保护区核心区、缓冲区的岸线和河段范围内投资建设旅游和生产经营项目</w:t>
                  </w:r>
                  <w:r>
                    <w:rPr>
                      <w:rFonts w:hint="eastAsia"/>
                    </w:rPr>
                    <w:t>。</w:t>
                  </w:r>
                  <w:r>
                    <w:t>自然保护区的内部未分区的，依照核心区和缓冲区的规定管控</w:t>
                  </w:r>
                  <w:r>
                    <w:rPr>
                      <w:rFonts w:hint="eastAsia"/>
                    </w:rPr>
                    <w:t>。</w:t>
                  </w:r>
                </w:p>
              </w:tc>
              <w:tc>
                <w:tcPr>
                  <w:tcW w:w="1430" w:type="pct"/>
                  <w:vAlign w:val="center"/>
                </w:tcPr>
                <w:p w14:paraId="62686864">
                  <w:pPr>
                    <w:pStyle w:val="135"/>
                    <w:adjustRightInd w:val="0"/>
                    <w:snapToGrid w:val="0"/>
                    <w:jc w:val="both"/>
                  </w:pPr>
                  <w:r>
                    <w:rPr>
                      <w:rFonts w:hint="eastAsia"/>
                    </w:rPr>
                    <w:t>本项目用地</w:t>
                  </w:r>
                  <w:r>
                    <w:t>范围内不涉及自然保护区核心区、缓冲区的岸线和河段范围</w:t>
                  </w:r>
                  <w:r>
                    <w:rPr>
                      <w:rFonts w:hint="eastAsia"/>
                    </w:rPr>
                    <w:t>；</w:t>
                  </w:r>
                </w:p>
              </w:tc>
              <w:tc>
                <w:tcPr>
                  <w:tcW w:w="425" w:type="pct"/>
                  <w:vAlign w:val="center"/>
                </w:tcPr>
                <w:p w14:paraId="5A79A1D6">
                  <w:pPr>
                    <w:pStyle w:val="135"/>
                    <w:adjustRightInd w:val="0"/>
                    <w:snapToGrid w:val="0"/>
                  </w:pPr>
                  <w:r>
                    <w:t>符合</w:t>
                  </w:r>
                </w:p>
              </w:tc>
            </w:tr>
            <w:tr w14:paraId="51863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4" w:type="pct"/>
                  <w:vAlign w:val="center"/>
                </w:tcPr>
                <w:p w14:paraId="1DA6C048">
                  <w:pPr>
                    <w:pStyle w:val="135"/>
                    <w:adjustRightInd w:val="0"/>
                    <w:snapToGrid w:val="0"/>
                  </w:pPr>
                  <w:r>
                    <w:rPr>
                      <w:rFonts w:hint="eastAsia"/>
                    </w:rPr>
                    <w:t>2</w:t>
                  </w:r>
                </w:p>
              </w:tc>
              <w:tc>
                <w:tcPr>
                  <w:tcW w:w="2881" w:type="pct"/>
                  <w:vAlign w:val="center"/>
                </w:tcPr>
                <w:p w14:paraId="212B4461">
                  <w:pPr>
                    <w:pStyle w:val="135"/>
                    <w:adjustRightInd w:val="0"/>
                    <w:snapToGrid w:val="0"/>
                    <w:jc w:val="both"/>
                  </w:pPr>
                  <w:r>
                    <w:t>第八条 违反风景名胜区规划，在风景名胜区内设立各类开发区</w:t>
                  </w:r>
                  <w:r>
                    <w:rPr>
                      <w:rFonts w:hint="eastAsia"/>
                    </w:rPr>
                    <w:t>。禁止</w:t>
                  </w:r>
                  <w:r>
                    <w:t>在风景名胜区核心景区的岸线和河段范围内建设宾馆</w:t>
                  </w:r>
                  <w:r>
                    <w:rPr>
                      <w:rFonts w:hint="eastAsia"/>
                    </w:rPr>
                    <w:t>、</w:t>
                  </w:r>
                  <w:r>
                    <w:t>招待所</w:t>
                  </w:r>
                  <w:r>
                    <w:rPr>
                      <w:rFonts w:hint="eastAsia"/>
                    </w:rPr>
                    <w:t>培</w:t>
                  </w:r>
                  <w:r>
                    <w:t>训中心、疗养院以及与风景名胜资源保护无关的项目</w:t>
                  </w:r>
                  <w:r>
                    <w:rPr>
                      <w:rFonts w:hint="eastAsia"/>
                    </w:rPr>
                    <w:t>。</w:t>
                  </w:r>
                </w:p>
              </w:tc>
              <w:tc>
                <w:tcPr>
                  <w:tcW w:w="1430" w:type="pct"/>
                  <w:vAlign w:val="center"/>
                </w:tcPr>
                <w:p w14:paraId="13EAF5E3">
                  <w:pPr>
                    <w:pStyle w:val="135"/>
                    <w:adjustRightInd w:val="0"/>
                    <w:snapToGrid w:val="0"/>
                    <w:jc w:val="both"/>
                  </w:pPr>
                  <w:r>
                    <w:rPr>
                      <w:rFonts w:hint="eastAsia"/>
                    </w:rPr>
                    <w:t>本项目不涉及占用</w:t>
                  </w:r>
                  <w:r>
                    <w:t>风景名胜区的岸线和河段范围</w:t>
                  </w:r>
                  <w:r>
                    <w:rPr>
                      <w:rFonts w:hint="eastAsia"/>
                    </w:rPr>
                    <w:t>。</w:t>
                  </w:r>
                </w:p>
              </w:tc>
              <w:tc>
                <w:tcPr>
                  <w:tcW w:w="425" w:type="pct"/>
                  <w:vAlign w:val="center"/>
                </w:tcPr>
                <w:p w14:paraId="37E7C53B">
                  <w:pPr>
                    <w:pStyle w:val="135"/>
                    <w:adjustRightInd w:val="0"/>
                    <w:snapToGrid w:val="0"/>
                  </w:pPr>
                  <w:r>
                    <w:t>符合</w:t>
                  </w:r>
                </w:p>
              </w:tc>
            </w:tr>
            <w:tr w14:paraId="0DAA7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4" w:type="pct"/>
                  <w:vAlign w:val="center"/>
                </w:tcPr>
                <w:p w14:paraId="2439852B">
                  <w:pPr>
                    <w:pStyle w:val="135"/>
                    <w:adjustRightInd w:val="0"/>
                    <w:snapToGrid w:val="0"/>
                  </w:pPr>
                  <w:r>
                    <w:rPr>
                      <w:rFonts w:hint="eastAsia"/>
                    </w:rPr>
                    <w:t>3</w:t>
                  </w:r>
                </w:p>
              </w:tc>
              <w:tc>
                <w:tcPr>
                  <w:tcW w:w="2881" w:type="pct"/>
                  <w:vAlign w:val="center"/>
                </w:tcPr>
                <w:p w14:paraId="4DB6818F">
                  <w:pPr>
                    <w:pStyle w:val="135"/>
                    <w:adjustRightInd w:val="0"/>
                    <w:snapToGrid w:val="0"/>
                    <w:jc w:val="both"/>
                  </w:pPr>
                  <w:r>
                    <w:t>禁止在饮用水水源准保护区的岸线和河段范围内新建</w:t>
                  </w:r>
                  <w:r>
                    <w:rPr>
                      <w:rFonts w:hint="eastAsia"/>
                    </w:rPr>
                    <w:t>、</w:t>
                  </w:r>
                  <w:r>
                    <w:t>扩建对水体污染严重的建设项目</w:t>
                  </w:r>
                  <w:r>
                    <w:rPr>
                      <w:rFonts w:hint="eastAsia"/>
                    </w:rPr>
                    <w:t>，禁止</w:t>
                  </w:r>
                  <w:r>
                    <w:t>改建增加排污量的建设项目。</w:t>
                  </w:r>
                </w:p>
                <w:p w14:paraId="6D953AF7">
                  <w:pPr>
                    <w:pStyle w:val="135"/>
                    <w:adjustRightInd w:val="0"/>
                    <w:snapToGrid w:val="0"/>
                    <w:jc w:val="both"/>
                  </w:pPr>
                  <w:r>
                    <w:t>饮用水水源二级保护区的岸线和河段范围内除遵守准保护区规定外</w:t>
                  </w:r>
                  <w:r>
                    <w:rPr>
                      <w:rFonts w:hint="eastAsia"/>
                    </w:rPr>
                    <w:t>，</w:t>
                  </w:r>
                  <w:r>
                    <w:t xml:space="preserve"> 禁止新建、改建、扩建排放污染物的投资建设项目</w:t>
                  </w:r>
                  <w:r>
                    <w:rPr>
                      <w:rFonts w:hint="eastAsia"/>
                    </w:rPr>
                    <w:t>；</w:t>
                  </w:r>
                  <w:r>
                    <w:t>禁止从事对水体有污染的水产养殖等活动。</w:t>
                  </w:r>
                </w:p>
                <w:p w14:paraId="110404C7">
                  <w:pPr>
                    <w:pStyle w:val="135"/>
                    <w:adjustRightInd w:val="0"/>
                    <w:snapToGrid w:val="0"/>
                    <w:jc w:val="both"/>
                  </w:pPr>
                  <w:r>
                    <w:t>饮用水水源一级保护区的岸线和河段范围内，除遵守二级保护区规定外</w:t>
                  </w:r>
                  <w:r>
                    <w:rPr>
                      <w:rFonts w:hint="eastAsia"/>
                    </w:rPr>
                    <w:t>，</w:t>
                  </w:r>
                  <w:r>
                    <w:t>禁止新建、改建、扩建与供水设施和保护水源无关的项目，以及网箱养殖、畜禽养殖、旅游等可能污染饮用水水体的投资建设项目</w:t>
                  </w:r>
                  <w:r>
                    <w:rPr>
                      <w:rFonts w:hint="eastAsia"/>
                    </w:rPr>
                    <w:t>。</w:t>
                  </w:r>
                </w:p>
              </w:tc>
              <w:tc>
                <w:tcPr>
                  <w:tcW w:w="1430" w:type="pct"/>
                  <w:vAlign w:val="center"/>
                </w:tcPr>
                <w:p w14:paraId="62380143">
                  <w:pPr>
                    <w:pStyle w:val="135"/>
                    <w:adjustRightInd w:val="0"/>
                    <w:snapToGrid w:val="0"/>
                    <w:jc w:val="both"/>
                  </w:pPr>
                  <w:r>
                    <w:rPr>
                      <w:rFonts w:hint="eastAsia"/>
                    </w:rPr>
                    <w:t>本项目不涉及</w:t>
                  </w:r>
                  <w:r>
                    <w:t>饮用水水源准保护区</w:t>
                  </w:r>
                  <w:r>
                    <w:rPr>
                      <w:rFonts w:hint="eastAsia"/>
                    </w:rPr>
                    <w:t>、二级保护区、一级保护区</w:t>
                  </w:r>
                  <w:r>
                    <w:t>的岸线和河段范围</w:t>
                  </w:r>
                  <w:r>
                    <w:rPr>
                      <w:rFonts w:hint="eastAsia"/>
                    </w:rPr>
                    <w:t>。</w:t>
                  </w:r>
                </w:p>
              </w:tc>
              <w:tc>
                <w:tcPr>
                  <w:tcW w:w="425" w:type="pct"/>
                  <w:vAlign w:val="center"/>
                </w:tcPr>
                <w:p w14:paraId="19953F4F">
                  <w:pPr>
                    <w:pStyle w:val="135"/>
                    <w:adjustRightInd w:val="0"/>
                    <w:snapToGrid w:val="0"/>
                  </w:pPr>
                  <w:r>
                    <w:t>符合</w:t>
                  </w:r>
                </w:p>
              </w:tc>
            </w:tr>
            <w:tr w14:paraId="7040C1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4" w:type="pct"/>
                  <w:vAlign w:val="center"/>
                </w:tcPr>
                <w:p w14:paraId="5F9558B9">
                  <w:pPr>
                    <w:pStyle w:val="135"/>
                    <w:adjustRightInd w:val="0"/>
                    <w:snapToGrid w:val="0"/>
                  </w:pPr>
                  <w:r>
                    <w:rPr>
                      <w:rFonts w:hint="eastAsia"/>
                    </w:rPr>
                    <w:t>4</w:t>
                  </w:r>
                </w:p>
              </w:tc>
              <w:tc>
                <w:tcPr>
                  <w:tcW w:w="2881" w:type="pct"/>
                  <w:vAlign w:val="center"/>
                </w:tcPr>
                <w:p w14:paraId="7F799C6D">
                  <w:pPr>
                    <w:pStyle w:val="135"/>
                    <w:adjustRightInd w:val="0"/>
                    <w:snapToGrid w:val="0"/>
                    <w:jc w:val="both"/>
                  </w:pPr>
                  <w:r>
                    <w:t>第</w:t>
                  </w:r>
                  <w:r>
                    <w:rPr>
                      <w:rFonts w:hint="eastAsia"/>
                    </w:rPr>
                    <w:t>十二</w:t>
                  </w:r>
                  <w:r>
                    <w:t>条 禁止在水产种质资源保护区岸线和河段范围内新建围湖造田、围湖造地或挖沙采石等投资建设项目</w:t>
                  </w:r>
                  <w:r>
                    <w:rPr>
                      <w:rFonts w:hint="eastAsia"/>
                    </w:rPr>
                    <w:t>。</w:t>
                  </w:r>
                </w:p>
              </w:tc>
              <w:tc>
                <w:tcPr>
                  <w:tcW w:w="1430" w:type="pct"/>
                  <w:vAlign w:val="center"/>
                </w:tcPr>
                <w:p w14:paraId="7772FF06">
                  <w:pPr>
                    <w:pStyle w:val="135"/>
                    <w:adjustRightInd w:val="0"/>
                    <w:snapToGrid w:val="0"/>
                    <w:jc w:val="both"/>
                  </w:pPr>
                  <w:r>
                    <w:rPr>
                      <w:rFonts w:hint="eastAsia"/>
                    </w:rPr>
                    <w:t>本项目</w:t>
                  </w:r>
                  <w:r>
                    <w:t>不涉及水产种质资源保护区岸线和河段范围</w:t>
                  </w:r>
                  <w:r>
                    <w:rPr>
                      <w:rFonts w:hint="eastAsia"/>
                    </w:rPr>
                    <w:t>；</w:t>
                  </w:r>
                </w:p>
              </w:tc>
              <w:tc>
                <w:tcPr>
                  <w:tcW w:w="425" w:type="pct"/>
                  <w:vAlign w:val="center"/>
                </w:tcPr>
                <w:p w14:paraId="11AE8C15">
                  <w:pPr>
                    <w:pStyle w:val="135"/>
                    <w:adjustRightInd w:val="0"/>
                    <w:snapToGrid w:val="0"/>
                  </w:pPr>
                  <w:r>
                    <w:t>符合</w:t>
                  </w:r>
                </w:p>
              </w:tc>
            </w:tr>
            <w:tr w14:paraId="399865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4" w:type="pct"/>
                  <w:vAlign w:val="center"/>
                </w:tcPr>
                <w:p w14:paraId="7F5388C0">
                  <w:pPr>
                    <w:pStyle w:val="135"/>
                    <w:adjustRightInd w:val="0"/>
                    <w:snapToGrid w:val="0"/>
                  </w:pPr>
                  <w:r>
                    <w:rPr>
                      <w:rFonts w:hint="eastAsia"/>
                    </w:rPr>
                    <w:t>5</w:t>
                  </w:r>
                </w:p>
              </w:tc>
              <w:tc>
                <w:tcPr>
                  <w:tcW w:w="2881" w:type="pct"/>
                  <w:vAlign w:val="center"/>
                </w:tcPr>
                <w:p w14:paraId="42B22BDB">
                  <w:pPr>
                    <w:pStyle w:val="135"/>
                    <w:adjustRightInd w:val="0"/>
                    <w:snapToGrid w:val="0"/>
                    <w:jc w:val="both"/>
                  </w:pPr>
                  <w:r>
                    <w:t>第十三条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w:t>
                  </w:r>
                  <w:r>
                    <w:rPr>
                      <w:rFonts w:hint="eastAsia"/>
                    </w:rPr>
                    <w:t>洄</w:t>
                  </w:r>
                  <w:r>
                    <w:t>游通道</w:t>
                  </w:r>
                  <w:r>
                    <w:rPr>
                      <w:rFonts w:hint="eastAsia"/>
                    </w:rPr>
                    <w:t>。</w:t>
                  </w:r>
                </w:p>
              </w:tc>
              <w:tc>
                <w:tcPr>
                  <w:tcW w:w="1430" w:type="pct"/>
                  <w:vAlign w:val="center"/>
                </w:tcPr>
                <w:p w14:paraId="48493F02">
                  <w:pPr>
                    <w:pStyle w:val="135"/>
                    <w:adjustRightInd w:val="0"/>
                    <w:snapToGrid w:val="0"/>
                    <w:jc w:val="both"/>
                  </w:pPr>
                  <w:r>
                    <w:rPr>
                      <w:rFonts w:hint="eastAsia"/>
                    </w:rPr>
                    <w:t>本项目</w:t>
                  </w:r>
                  <w:r>
                    <w:t>不涉及国家湿地公园的岸线和河段范围</w:t>
                  </w:r>
                  <w:r>
                    <w:rPr>
                      <w:rFonts w:hint="eastAsia"/>
                    </w:rPr>
                    <w:t>；</w:t>
                  </w:r>
                </w:p>
              </w:tc>
              <w:tc>
                <w:tcPr>
                  <w:tcW w:w="425" w:type="pct"/>
                  <w:vAlign w:val="center"/>
                </w:tcPr>
                <w:p w14:paraId="3D031062">
                  <w:pPr>
                    <w:pStyle w:val="135"/>
                    <w:adjustRightInd w:val="0"/>
                    <w:snapToGrid w:val="0"/>
                  </w:pPr>
                  <w:r>
                    <w:t>符合</w:t>
                  </w:r>
                </w:p>
              </w:tc>
            </w:tr>
            <w:tr w14:paraId="5D9A1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4" w:type="pct"/>
                  <w:vAlign w:val="center"/>
                </w:tcPr>
                <w:p w14:paraId="267DC0C6">
                  <w:pPr>
                    <w:pStyle w:val="135"/>
                    <w:adjustRightInd w:val="0"/>
                    <w:snapToGrid w:val="0"/>
                  </w:pPr>
                  <w:r>
                    <w:rPr>
                      <w:rFonts w:hint="eastAsia"/>
                    </w:rPr>
                    <w:t>6</w:t>
                  </w:r>
                </w:p>
              </w:tc>
              <w:tc>
                <w:tcPr>
                  <w:tcW w:w="2881" w:type="pct"/>
                  <w:vAlign w:val="center"/>
                </w:tcPr>
                <w:p w14:paraId="415935E2">
                  <w:pPr>
                    <w:pStyle w:val="135"/>
                    <w:adjustRightInd w:val="0"/>
                    <w:snapToGrid w:val="0"/>
                    <w:jc w:val="both"/>
                  </w:pPr>
                  <w:r>
                    <w:t>第十四条 禁止违法利用、占用长江流域河湖岸线</w:t>
                  </w:r>
                  <w:r>
                    <w:rPr>
                      <w:rFonts w:hint="eastAsia"/>
                    </w:rPr>
                    <w:t>。</w:t>
                  </w:r>
                  <w:r>
                    <w:t>禁止在《长江岸线保护和开发利用总体规划》划定的岸线保护区和岸线保留区内投资建设除事关公共安全及公众利益的防洪护岸、河道治理、供水、生态环境保护、航道整治、国家重要基础设施以外的项目</w:t>
                  </w:r>
                  <w:r>
                    <w:rPr>
                      <w:rFonts w:hint="eastAsia"/>
                    </w:rPr>
                    <w:t>。</w:t>
                  </w:r>
                </w:p>
              </w:tc>
              <w:tc>
                <w:tcPr>
                  <w:tcW w:w="1430" w:type="pct"/>
                  <w:vAlign w:val="center"/>
                </w:tcPr>
                <w:p w14:paraId="167503A8">
                  <w:pPr>
                    <w:pStyle w:val="135"/>
                    <w:adjustRightInd w:val="0"/>
                    <w:snapToGrid w:val="0"/>
                    <w:jc w:val="both"/>
                  </w:pPr>
                  <w:r>
                    <w:rPr>
                      <w:rFonts w:hint="eastAsia"/>
                    </w:rPr>
                    <w:t>本项目不涉及利用、</w:t>
                  </w:r>
                  <w:r>
                    <w:t>占用长江流域河湖岸线</w:t>
                  </w:r>
                  <w:r>
                    <w:rPr>
                      <w:rFonts w:hint="eastAsia"/>
                    </w:rPr>
                    <w:t>。</w:t>
                  </w:r>
                </w:p>
              </w:tc>
              <w:tc>
                <w:tcPr>
                  <w:tcW w:w="425" w:type="pct"/>
                  <w:vAlign w:val="center"/>
                </w:tcPr>
                <w:p w14:paraId="221A14BB">
                  <w:pPr>
                    <w:pStyle w:val="135"/>
                    <w:adjustRightInd w:val="0"/>
                    <w:snapToGrid w:val="0"/>
                  </w:pPr>
                  <w:r>
                    <w:t>符合</w:t>
                  </w:r>
                </w:p>
              </w:tc>
            </w:tr>
            <w:tr w14:paraId="262963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4" w:type="pct"/>
                  <w:vAlign w:val="center"/>
                </w:tcPr>
                <w:p w14:paraId="7B362D4D">
                  <w:pPr>
                    <w:pStyle w:val="135"/>
                    <w:adjustRightInd w:val="0"/>
                    <w:snapToGrid w:val="0"/>
                  </w:pPr>
                  <w:r>
                    <w:rPr>
                      <w:rFonts w:hint="eastAsia"/>
                    </w:rPr>
                    <w:t>7</w:t>
                  </w:r>
                </w:p>
              </w:tc>
              <w:tc>
                <w:tcPr>
                  <w:tcW w:w="2881" w:type="pct"/>
                  <w:vAlign w:val="center"/>
                </w:tcPr>
                <w:p w14:paraId="6874D037">
                  <w:pPr>
                    <w:pStyle w:val="135"/>
                    <w:adjustRightInd w:val="0"/>
                    <w:snapToGrid w:val="0"/>
                    <w:jc w:val="both"/>
                  </w:pPr>
                  <w:r>
                    <w:t>第十五条 禁止在《全国重要江河湖泊水功能区划》划定的河段及湖泊保护区、保留区内投资建设不利于水资源及自然生态保护的项目</w:t>
                  </w:r>
                  <w:r>
                    <w:rPr>
                      <w:rFonts w:hint="eastAsia"/>
                    </w:rPr>
                    <w:t>。</w:t>
                  </w:r>
                </w:p>
              </w:tc>
              <w:tc>
                <w:tcPr>
                  <w:tcW w:w="1430" w:type="pct"/>
                  <w:vAlign w:val="center"/>
                </w:tcPr>
                <w:p w14:paraId="6464C7E3">
                  <w:pPr>
                    <w:pStyle w:val="135"/>
                    <w:adjustRightInd w:val="0"/>
                    <w:snapToGrid w:val="0"/>
                    <w:jc w:val="both"/>
                  </w:pPr>
                  <w:r>
                    <w:rPr>
                      <w:rFonts w:hint="eastAsia"/>
                    </w:rPr>
                    <w:t>本项目不涉及占用</w:t>
                  </w:r>
                  <w:r>
                    <w:t>《全国重要江河湖泊水功能区划》划定的河段及湖泊保护区、保留区</w:t>
                  </w:r>
                  <w:r>
                    <w:rPr>
                      <w:rFonts w:hint="eastAsia"/>
                    </w:rPr>
                    <w:t>。</w:t>
                  </w:r>
                </w:p>
              </w:tc>
              <w:tc>
                <w:tcPr>
                  <w:tcW w:w="425" w:type="pct"/>
                  <w:vAlign w:val="center"/>
                </w:tcPr>
                <w:p w14:paraId="09553D9D">
                  <w:pPr>
                    <w:pStyle w:val="135"/>
                    <w:adjustRightInd w:val="0"/>
                    <w:snapToGrid w:val="0"/>
                  </w:pPr>
                  <w:r>
                    <w:t>符合</w:t>
                  </w:r>
                </w:p>
              </w:tc>
            </w:tr>
            <w:tr w14:paraId="2F30D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4" w:type="pct"/>
                  <w:vAlign w:val="center"/>
                </w:tcPr>
                <w:p w14:paraId="1CECA97D">
                  <w:pPr>
                    <w:pStyle w:val="135"/>
                    <w:adjustRightInd w:val="0"/>
                    <w:snapToGrid w:val="0"/>
                  </w:pPr>
                  <w:r>
                    <w:rPr>
                      <w:rFonts w:hint="eastAsia"/>
                    </w:rPr>
                    <w:t>8</w:t>
                  </w:r>
                </w:p>
              </w:tc>
              <w:tc>
                <w:tcPr>
                  <w:tcW w:w="2881" w:type="pct"/>
                  <w:vAlign w:val="center"/>
                </w:tcPr>
                <w:p w14:paraId="3E2EE113">
                  <w:pPr>
                    <w:pStyle w:val="135"/>
                    <w:adjustRightInd w:val="0"/>
                    <w:snapToGrid w:val="0"/>
                    <w:jc w:val="both"/>
                  </w:pPr>
                  <w:r>
                    <w:t>第十六条 禁止在长江流域江河、湖泊新设、改设或者扩大排污口</w:t>
                  </w:r>
                  <w:r>
                    <w:rPr>
                      <w:rFonts w:hint="eastAsia"/>
                    </w:rPr>
                    <w:t>。</w:t>
                  </w:r>
                  <w:r>
                    <w:t>经有管辖权的生态环境主管部门或者长江流域生态环境监督管理机构同意的除外</w:t>
                  </w:r>
                  <w:r>
                    <w:rPr>
                      <w:rFonts w:hint="eastAsia"/>
                    </w:rPr>
                    <w:t>。</w:t>
                  </w:r>
                </w:p>
              </w:tc>
              <w:tc>
                <w:tcPr>
                  <w:tcW w:w="1430" w:type="pct"/>
                  <w:vAlign w:val="center"/>
                </w:tcPr>
                <w:p w14:paraId="277D6661">
                  <w:pPr>
                    <w:pStyle w:val="135"/>
                    <w:adjustRightInd w:val="0"/>
                    <w:snapToGrid w:val="0"/>
                    <w:jc w:val="both"/>
                  </w:pPr>
                  <w:r>
                    <w:rPr>
                      <w:rFonts w:hint="eastAsia"/>
                    </w:rPr>
                    <w:t>本项目不涉及新设、改设或扩大排污口。</w:t>
                  </w:r>
                </w:p>
              </w:tc>
              <w:tc>
                <w:tcPr>
                  <w:tcW w:w="425" w:type="pct"/>
                  <w:vAlign w:val="center"/>
                </w:tcPr>
                <w:p w14:paraId="10CD4DDD">
                  <w:pPr>
                    <w:pStyle w:val="135"/>
                    <w:adjustRightInd w:val="0"/>
                    <w:snapToGrid w:val="0"/>
                  </w:pPr>
                  <w:r>
                    <w:t>符合</w:t>
                  </w:r>
                </w:p>
              </w:tc>
            </w:tr>
            <w:tr w14:paraId="753671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4" w:type="pct"/>
                  <w:vAlign w:val="center"/>
                </w:tcPr>
                <w:p w14:paraId="0043B0F8">
                  <w:pPr>
                    <w:pStyle w:val="135"/>
                    <w:adjustRightInd w:val="0"/>
                    <w:snapToGrid w:val="0"/>
                  </w:pPr>
                  <w:r>
                    <w:rPr>
                      <w:rFonts w:hint="eastAsia"/>
                    </w:rPr>
                    <w:t>9</w:t>
                  </w:r>
                </w:p>
              </w:tc>
              <w:tc>
                <w:tcPr>
                  <w:tcW w:w="2881" w:type="pct"/>
                  <w:vAlign w:val="center"/>
                </w:tcPr>
                <w:p w14:paraId="3FE8D1B1">
                  <w:pPr>
                    <w:pStyle w:val="135"/>
                    <w:adjustRightInd w:val="0"/>
                    <w:snapToGrid w:val="0"/>
                    <w:jc w:val="both"/>
                  </w:pPr>
                  <w:r>
                    <w:t>第十八条 禁止在长江</w:t>
                  </w:r>
                  <w:r>
                    <w:rPr>
                      <w:rFonts w:hint="eastAsia"/>
                    </w:rPr>
                    <w:t>干</w:t>
                  </w:r>
                  <w:r>
                    <w:t>支流、重要湖泊岸线一公里范围内新建、扩建化工园区和化工项目</w:t>
                  </w:r>
                  <w:r>
                    <w:rPr>
                      <w:rFonts w:hint="eastAsia"/>
                    </w:rPr>
                    <w:t>。</w:t>
                  </w:r>
                </w:p>
              </w:tc>
              <w:tc>
                <w:tcPr>
                  <w:tcW w:w="1430" w:type="pct"/>
                  <w:vMerge w:val="restart"/>
                  <w:vAlign w:val="center"/>
                </w:tcPr>
                <w:p w14:paraId="61C14499">
                  <w:pPr>
                    <w:pStyle w:val="135"/>
                    <w:adjustRightInd w:val="0"/>
                    <w:snapToGrid w:val="0"/>
                    <w:jc w:val="both"/>
                  </w:pPr>
                  <w:r>
                    <w:t>本项目</w:t>
                  </w:r>
                  <w:r>
                    <w:rPr>
                      <w:rFonts w:hint="eastAsia"/>
                    </w:rPr>
                    <w:t>为加气混凝土砌块加工项目，不属于化工、</w:t>
                  </w:r>
                  <w:r>
                    <w:t>尾矿库、冶炼渣库、磷石膏库</w:t>
                  </w:r>
                  <w:r>
                    <w:rPr>
                      <w:rFonts w:hint="eastAsia"/>
                    </w:rPr>
                    <w:t>类项目。</w:t>
                  </w:r>
                </w:p>
              </w:tc>
              <w:tc>
                <w:tcPr>
                  <w:tcW w:w="425" w:type="pct"/>
                  <w:vAlign w:val="center"/>
                </w:tcPr>
                <w:p w14:paraId="4E718CE1">
                  <w:pPr>
                    <w:pStyle w:val="135"/>
                    <w:adjustRightInd w:val="0"/>
                    <w:snapToGrid w:val="0"/>
                  </w:pPr>
                  <w:r>
                    <w:t>符合</w:t>
                  </w:r>
                </w:p>
              </w:tc>
            </w:tr>
            <w:tr w14:paraId="44C75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4" w:type="pct"/>
                  <w:vAlign w:val="center"/>
                </w:tcPr>
                <w:p w14:paraId="44B79132">
                  <w:pPr>
                    <w:pStyle w:val="135"/>
                    <w:adjustRightInd w:val="0"/>
                    <w:snapToGrid w:val="0"/>
                  </w:pPr>
                  <w:r>
                    <w:rPr>
                      <w:rFonts w:hint="eastAsia"/>
                    </w:rPr>
                    <w:t>10</w:t>
                  </w:r>
                </w:p>
              </w:tc>
              <w:tc>
                <w:tcPr>
                  <w:tcW w:w="2881" w:type="pct"/>
                  <w:vAlign w:val="center"/>
                </w:tcPr>
                <w:p w14:paraId="514A041A">
                  <w:pPr>
                    <w:pStyle w:val="135"/>
                    <w:adjustRightInd w:val="0"/>
                    <w:snapToGrid w:val="0"/>
                    <w:jc w:val="both"/>
                  </w:pPr>
                  <w:r>
                    <w:t>第十九条 禁止在长江</w:t>
                  </w:r>
                  <w:r>
                    <w:rPr>
                      <w:rFonts w:hint="eastAsia"/>
                    </w:rPr>
                    <w:t>干</w:t>
                  </w:r>
                  <w:r>
                    <w:t>流岸线</w:t>
                  </w:r>
                  <w:r>
                    <w:rPr>
                      <w:rFonts w:hint="eastAsia"/>
                    </w:rPr>
                    <w:t>三</w:t>
                  </w:r>
                  <w:r>
                    <w:t>公里范围内和重要支流岸线一公里范围内新建、改建扩建尾矿库、冶炼渣库、磷石膏库，以提升安全、生态环境保护水平为目的的改建除外</w:t>
                  </w:r>
                  <w:r>
                    <w:rPr>
                      <w:rFonts w:hint="eastAsia"/>
                    </w:rPr>
                    <w:t>。</w:t>
                  </w:r>
                </w:p>
              </w:tc>
              <w:tc>
                <w:tcPr>
                  <w:tcW w:w="1430" w:type="pct"/>
                  <w:vMerge w:val="continue"/>
                  <w:vAlign w:val="center"/>
                </w:tcPr>
                <w:p w14:paraId="1F8C4A97">
                  <w:pPr>
                    <w:pStyle w:val="135"/>
                    <w:adjustRightInd w:val="0"/>
                    <w:snapToGrid w:val="0"/>
                    <w:jc w:val="both"/>
                  </w:pPr>
                </w:p>
              </w:tc>
              <w:tc>
                <w:tcPr>
                  <w:tcW w:w="425" w:type="pct"/>
                  <w:vAlign w:val="center"/>
                </w:tcPr>
                <w:p w14:paraId="641640F8">
                  <w:pPr>
                    <w:pStyle w:val="135"/>
                    <w:adjustRightInd w:val="0"/>
                    <w:snapToGrid w:val="0"/>
                  </w:pPr>
                  <w:r>
                    <w:t>符合</w:t>
                  </w:r>
                </w:p>
              </w:tc>
            </w:tr>
            <w:tr w14:paraId="39CEFC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4" w:type="pct"/>
                  <w:vAlign w:val="center"/>
                </w:tcPr>
                <w:p w14:paraId="2EDBB316">
                  <w:pPr>
                    <w:pStyle w:val="135"/>
                    <w:adjustRightInd w:val="0"/>
                    <w:snapToGrid w:val="0"/>
                  </w:pPr>
                  <w:r>
                    <w:rPr>
                      <w:rFonts w:hint="eastAsia"/>
                    </w:rPr>
                    <w:t>11</w:t>
                  </w:r>
                </w:p>
              </w:tc>
              <w:tc>
                <w:tcPr>
                  <w:tcW w:w="2881" w:type="pct"/>
                  <w:vAlign w:val="center"/>
                </w:tcPr>
                <w:p w14:paraId="3D72300E">
                  <w:pPr>
                    <w:pStyle w:val="135"/>
                    <w:adjustRightInd w:val="0"/>
                    <w:snapToGrid w:val="0"/>
                    <w:jc w:val="both"/>
                  </w:pPr>
                  <w:r>
                    <w:rPr>
                      <w:rFonts w:hint="eastAsia"/>
                    </w:rPr>
                    <w:t>第二</w:t>
                  </w:r>
                  <w:r>
                    <w:t>十条 禁止在生态保护</w:t>
                  </w:r>
                  <w:r>
                    <w:rPr>
                      <w:rFonts w:hint="eastAsia"/>
                    </w:rPr>
                    <w:t>红</w:t>
                  </w:r>
                  <w:r>
                    <w:t>线区域、永久基本农田集中区域和其他需要特别保护的区域内选址建设尾矿库、冶炼渣库、磷石膏库</w:t>
                  </w:r>
                  <w:r>
                    <w:rPr>
                      <w:rFonts w:hint="eastAsia"/>
                    </w:rPr>
                    <w:t>。</w:t>
                  </w:r>
                </w:p>
              </w:tc>
              <w:tc>
                <w:tcPr>
                  <w:tcW w:w="1430" w:type="pct"/>
                  <w:vAlign w:val="center"/>
                </w:tcPr>
                <w:p w14:paraId="60AA537D">
                  <w:pPr>
                    <w:pStyle w:val="135"/>
                    <w:adjustRightInd w:val="0"/>
                    <w:snapToGrid w:val="0"/>
                    <w:jc w:val="both"/>
                    <w:rPr>
                      <w:bCs/>
                    </w:rPr>
                  </w:pPr>
                  <w:r>
                    <w:rPr>
                      <w:rFonts w:hint="eastAsia"/>
                    </w:rPr>
                    <w:t>项目选址范围不涉及</w:t>
                  </w:r>
                  <w:r>
                    <w:t>生态保护</w:t>
                  </w:r>
                  <w:r>
                    <w:rPr>
                      <w:rFonts w:hint="eastAsia"/>
                    </w:rPr>
                    <w:t>红</w:t>
                  </w:r>
                  <w:r>
                    <w:t>线区域、永久基本农田集中区域和其他需要特别保护的区域</w:t>
                  </w:r>
                  <w:r>
                    <w:rPr>
                      <w:rFonts w:hint="eastAsia"/>
                    </w:rPr>
                    <w:t>。</w:t>
                  </w:r>
                </w:p>
              </w:tc>
              <w:tc>
                <w:tcPr>
                  <w:tcW w:w="425" w:type="pct"/>
                  <w:vAlign w:val="center"/>
                </w:tcPr>
                <w:p w14:paraId="0151CA6A">
                  <w:pPr>
                    <w:pStyle w:val="135"/>
                    <w:adjustRightInd w:val="0"/>
                    <w:snapToGrid w:val="0"/>
                  </w:pPr>
                  <w:r>
                    <w:t>符合</w:t>
                  </w:r>
                </w:p>
              </w:tc>
            </w:tr>
            <w:tr w14:paraId="59F036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4" w:type="pct"/>
                  <w:vAlign w:val="center"/>
                </w:tcPr>
                <w:p w14:paraId="54B8C876">
                  <w:pPr>
                    <w:pStyle w:val="135"/>
                    <w:adjustRightInd w:val="0"/>
                    <w:snapToGrid w:val="0"/>
                  </w:pPr>
                  <w:r>
                    <w:rPr>
                      <w:rFonts w:hint="eastAsia"/>
                    </w:rPr>
                    <w:t>12</w:t>
                  </w:r>
                </w:p>
              </w:tc>
              <w:tc>
                <w:tcPr>
                  <w:tcW w:w="2881" w:type="pct"/>
                  <w:vAlign w:val="center"/>
                </w:tcPr>
                <w:p w14:paraId="4FEF2AA3">
                  <w:pPr>
                    <w:pStyle w:val="135"/>
                    <w:adjustRightInd w:val="0"/>
                    <w:snapToGrid w:val="0"/>
                    <w:jc w:val="both"/>
                  </w:pPr>
                  <w:r>
                    <w:rPr>
                      <w:rFonts w:hint="eastAsia"/>
                    </w:rPr>
                    <w:t>第二</w:t>
                  </w:r>
                  <w:r>
                    <w:t>十</w:t>
                  </w:r>
                  <w:r>
                    <w:rPr>
                      <w:rFonts w:hint="eastAsia"/>
                    </w:rPr>
                    <w:t>一</w:t>
                  </w:r>
                  <w:r>
                    <w:t>条</w:t>
                  </w:r>
                  <w:r>
                    <w:rPr>
                      <w:rFonts w:hint="eastAsia"/>
                    </w:rPr>
                    <w:t xml:space="preserve"> </w:t>
                  </w:r>
                  <w:r>
                    <w:t>禁止在合规园区外新建、扩建钢铁、石化、化工、焦化、建材、有色、制浆造纸等高污染项目。</w:t>
                  </w:r>
                </w:p>
              </w:tc>
              <w:tc>
                <w:tcPr>
                  <w:tcW w:w="1430" w:type="pct"/>
                  <w:vAlign w:val="center"/>
                </w:tcPr>
                <w:p w14:paraId="25438BE7">
                  <w:pPr>
                    <w:pStyle w:val="135"/>
                    <w:adjustRightInd w:val="0"/>
                    <w:snapToGrid w:val="0"/>
                    <w:jc w:val="both"/>
                  </w:pPr>
                  <w:r>
                    <w:t>本项目</w:t>
                  </w:r>
                  <w:r>
                    <w:rPr>
                      <w:rFonts w:hint="eastAsia"/>
                    </w:rPr>
                    <w:t>为加气混凝土砌块加工项目，不属于</w:t>
                  </w:r>
                  <w:r>
                    <w:t>钢铁、石化、化工、焦化、建材、有色、制浆造纸等高污染项目</w:t>
                  </w:r>
                  <w:r>
                    <w:rPr>
                      <w:rFonts w:hint="eastAsia"/>
                    </w:rPr>
                    <w:t>。</w:t>
                  </w:r>
                </w:p>
              </w:tc>
              <w:tc>
                <w:tcPr>
                  <w:tcW w:w="425" w:type="pct"/>
                  <w:vAlign w:val="center"/>
                </w:tcPr>
                <w:p w14:paraId="2B5AEAD8">
                  <w:pPr>
                    <w:pStyle w:val="135"/>
                    <w:adjustRightInd w:val="0"/>
                    <w:snapToGrid w:val="0"/>
                  </w:pPr>
                  <w:r>
                    <w:t>符合</w:t>
                  </w:r>
                </w:p>
              </w:tc>
            </w:tr>
            <w:tr w14:paraId="175FD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4" w:type="pct"/>
                  <w:vAlign w:val="center"/>
                </w:tcPr>
                <w:p w14:paraId="6F6FC093">
                  <w:pPr>
                    <w:pStyle w:val="135"/>
                    <w:adjustRightInd w:val="0"/>
                    <w:snapToGrid w:val="0"/>
                  </w:pPr>
                  <w:r>
                    <w:rPr>
                      <w:rFonts w:hint="eastAsia"/>
                    </w:rPr>
                    <w:t>13</w:t>
                  </w:r>
                </w:p>
              </w:tc>
              <w:tc>
                <w:tcPr>
                  <w:tcW w:w="2881" w:type="pct"/>
                  <w:vAlign w:val="center"/>
                </w:tcPr>
                <w:p w14:paraId="2D3BCD27">
                  <w:pPr>
                    <w:pStyle w:val="135"/>
                    <w:adjustRightInd w:val="0"/>
                    <w:snapToGrid w:val="0"/>
                    <w:jc w:val="both"/>
                  </w:pPr>
                  <w:r>
                    <w:rPr>
                      <w:rFonts w:hint="eastAsia"/>
                    </w:rPr>
                    <w:t>第二</w:t>
                  </w:r>
                  <w:r>
                    <w:t>十</w:t>
                  </w:r>
                  <w:r>
                    <w:rPr>
                      <w:rFonts w:hint="eastAsia"/>
                    </w:rPr>
                    <w:t>二</w:t>
                  </w:r>
                  <w:r>
                    <w:t>条</w:t>
                  </w:r>
                  <w:r>
                    <w:rPr>
                      <w:rFonts w:hint="eastAsia"/>
                    </w:rPr>
                    <w:t xml:space="preserve"> </w:t>
                  </w:r>
                  <w:r>
                    <w:t>禁止新建、扩建不符合国家石化、现代煤化工等产业布局规划的项目。</w:t>
                  </w:r>
                </w:p>
              </w:tc>
              <w:tc>
                <w:tcPr>
                  <w:tcW w:w="1430" w:type="pct"/>
                  <w:vAlign w:val="center"/>
                </w:tcPr>
                <w:p w14:paraId="6A3A0D7C">
                  <w:pPr>
                    <w:pStyle w:val="135"/>
                    <w:adjustRightInd w:val="0"/>
                    <w:snapToGrid w:val="0"/>
                    <w:jc w:val="both"/>
                  </w:pPr>
                  <w:r>
                    <w:t>不涉及。</w:t>
                  </w:r>
                </w:p>
              </w:tc>
              <w:tc>
                <w:tcPr>
                  <w:tcW w:w="425" w:type="pct"/>
                  <w:vAlign w:val="center"/>
                </w:tcPr>
                <w:p w14:paraId="5024305A">
                  <w:pPr>
                    <w:pStyle w:val="135"/>
                    <w:adjustRightInd w:val="0"/>
                    <w:snapToGrid w:val="0"/>
                  </w:pPr>
                  <w:r>
                    <w:t>符合</w:t>
                  </w:r>
                </w:p>
              </w:tc>
            </w:tr>
            <w:tr w14:paraId="50DB2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4" w:type="pct"/>
                  <w:vAlign w:val="center"/>
                </w:tcPr>
                <w:p w14:paraId="521C32C0">
                  <w:pPr>
                    <w:pStyle w:val="135"/>
                    <w:adjustRightInd w:val="0"/>
                    <w:snapToGrid w:val="0"/>
                  </w:pPr>
                  <w:r>
                    <w:rPr>
                      <w:rFonts w:hint="eastAsia"/>
                    </w:rPr>
                    <w:t>14</w:t>
                  </w:r>
                </w:p>
              </w:tc>
              <w:tc>
                <w:tcPr>
                  <w:tcW w:w="2881" w:type="pct"/>
                  <w:vAlign w:val="center"/>
                </w:tcPr>
                <w:p w14:paraId="1ED3C1F3">
                  <w:pPr>
                    <w:pStyle w:val="135"/>
                    <w:adjustRightInd w:val="0"/>
                    <w:snapToGrid w:val="0"/>
                    <w:jc w:val="both"/>
                  </w:pPr>
                  <w:r>
                    <w:rPr>
                      <w:rFonts w:hint="eastAsia"/>
                    </w:rPr>
                    <w:t>第二</w:t>
                  </w:r>
                  <w:r>
                    <w:t>十</w:t>
                  </w:r>
                  <w:r>
                    <w:rPr>
                      <w:rFonts w:hint="eastAsia"/>
                    </w:rPr>
                    <w:t>三</w:t>
                  </w:r>
                  <w:r>
                    <w:t>条</w:t>
                  </w:r>
                  <w:r>
                    <w:rPr>
                      <w:rFonts w:hint="eastAsia"/>
                    </w:rPr>
                    <w:t xml:space="preserve"> </w:t>
                  </w:r>
                  <w: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r>
                    <w:rPr>
                      <w:rFonts w:hint="eastAsia"/>
                    </w:rPr>
                    <w:t>。</w:t>
                  </w:r>
                </w:p>
              </w:tc>
              <w:tc>
                <w:tcPr>
                  <w:tcW w:w="1430" w:type="pct"/>
                  <w:vAlign w:val="center"/>
                </w:tcPr>
                <w:p w14:paraId="3CC444B8">
                  <w:pPr>
                    <w:pStyle w:val="135"/>
                    <w:adjustRightInd w:val="0"/>
                    <w:snapToGrid w:val="0"/>
                    <w:jc w:val="both"/>
                  </w:pPr>
                  <w:r>
                    <w:t>本项目不属法律法规和相关政策明令禁止的落后产能项目</w:t>
                  </w:r>
                  <w:r>
                    <w:rPr>
                      <w:rFonts w:hint="eastAsia"/>
                    </w:rPr>
                    <w:t>，属于</w:t>
                  </w:r>
                  <w:r>
                    <w:t>《产业结构调整指导目录》中</w:t>
                  </w:r>
                  <w:r>
                    <w:rPr>
                      <w:rFonts w:hint="eastAsia"/>
                    </w:rPr>
                    <w:t>“鼓励</w:t>
                  </w:r>
                  <w:r>
                    <w:t>类</w:t>
                  </w:r>
                  <w:r>
                    <w:rPr>
                      <w:rFonts w:hint="eastAsia"/>
                    </w:rPr>
                    <w:t>、限制类、淘汰类”项目，属于“允许类”建设项目。</w:t>
                  </w:r>
                </w:p>
              </w:tc>
              <w:tc>
                <w:tcPr>
                  <w:tcW w:w="425" w:type="pct"/>
                  <w:vAlign w:val="center"/>
                </w:tcPr>
                <w:p w14:paraId="508D1E96">
                  <w:pPr>
                    <w:pStyle w:val="135"/>
                    <w:adjustRightInd w:val="0"/>
                    <w:snapToGrid w:val="0"/>
                  </w:pPr>
                  <w:r>
                    <w:t>符合</w:t>
                  </w:r>
                </w:p>
              </w:tc>
            </w:tr>
            <w:tr w14:paraId="2CD244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4" w:type="pct"/>
                  <w:vAlign w:val="center"/>
                </w:tcPr>
                <w:p w14:paraId="03A1D457">
                  <w:pPr>
                    <w:pStyle w:val="135"/>
                    <w:adjustRightInd w:val="0"/>
                    <w:snapToGrid w:val="0"/>
                  </w:pPr>
                  <w:r>
                    <w:rPr>
                      <w:rFonts w:hint="eastAsia"/>
                    </w:rPr>
                    <w:t>15</w:t>
                  </w:r>
                </w:p>
              </w:tc>
              <w:tc>
                <w:tcPr>
                  <w:tcW w:w="2881" w:type="pct"/>
                  <w:vAlign w:val="center"/>
                </w:tcPr>
                <w:p w14:paraId="725BD157">
                  <w:pPr>
                    <w:pStyle w:val="135"/>
                    <w:adjustRightInd w:val="0"/>
                    <w:snapToGrid w:val="0"/>
                    <w:jc w:val="both"/>
                  </w:pPr>
                  <w:r>
                    <w:rPr>
                      <w:rFonts w:hint="eastAsia"/>
                    </w:rPr>
                    <w:t>第二十四条 禁止新建、扩建不符合国家产能置换要求的严重过剩产能行业的项目。对于不符合国家产能置换要求的严重过剩产能行业，不得以其他任何名义任何方式备案新增产能项目。</w:t>
                  </w:r>
                </w:p>
              </w:tc>
              <w:tc>
                <w:tcPr>
                  <w:tcW w:w="1430" w:type="pct"/>
                  <w:vAlign w:val="center"/>
                </w:tcPr>
                <w:p w14:paraId="477AD83D">
                  <w:pPr>
                    <w:pStyle w:val="135"/>
                    <w:adjustRightInd w:val="0"/>
                    <w:snapToGrid w:val="0"/>
                    <w:jc w:val="both"/>
                  </w:pPr>
                  <w:r>
                    <w:rPr>
                      <w:rFonts w:hint="eastAsia"/>
                    </w:rPr>
                    <w:t>本项目不属于严重过剩产能行业。</w:t>
                  </w:r>
                </w:p>
              </w:tc>
              <w:tc>
                <w:tcPr>
                  <w:tcW w:w="425" w:type="pct"/>
                  <w:vAlign w:val="center"/>
                </w:tcPr>
                <w:p w14:paraId="4EC669B6">
                  <w:pPr>
                    <w:pStyle w:val="135"/>
                    <w:adjustRightInd w:val="0"/>
                    <w:snapToGrid w:val="0"/>
                  </w:pPr>
                  <w:r>
                    <w:t>符合</w:t>
                  </w:r>
                </w:p>
              </w:tc>
            </w:tr>
            <w:tr w14:paraId="11C974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4" w:type="pct"/>
                  <w:vAlign w:val="center"/>
                </w:tcPr>
                <w:p w14:paraId="19A95CCF">
                  <w:pPr>
                    <w:pStyle w:val="135"/>
                    <w:adjustRightInd w:val="0"/>
                    <w:snapToGrid w:val="0"/>
                  </w:pPr>
                  <w:r>
                    <w:rPr>
                      <w:rFonts w:hint="eastAsia"/>
                    </w:rPr>
                    <w:t>16</w:t>
                  </w:r>
                </w:p>
              </w:tc>
              <w:tc>
                <w:tcPr>
                  <w:tcW w:w="2881" w:type="pct"/>
                  <w:vAlign w:val="center"/>
                </w:tcPr>
                <w:p w14:paraId="115A285A">
                  <w:pPr>
                    <w:pStyle w:val="135"/>
                    <w:adjustRightInd w:val="0"/>
                    <w:snapToGrid w:val="0"/>
                    <w:jc w:val="both"/>
                  </w:pPr>
                  <w:r>
                    <w:rPr>
                      <w:rFonts w:hint="eastAsia"/>
                    </w:rPr>
                    <w:t>第二十六条 禁止新建、扩建不符合要求的高耗能、高排放、低水平项目。</w:t>
                  </w:r>
                </w:p>
              </w:tc>
              <w:tc>
                <w:tcPr>
                  <w:tcW w:w="1430" w:type="pct"/>
                  <w:vAlign w:val="center"/>
                </w:tcPr>
                <w:p w14:paraId="4ACAAC2F">
                  <w:pPr>
                    <w:pStyle w:val="135"/>
                    <w:adjustRightInd w:val="0"/>
                    <w:snapToGrid w:val="0"/>
                    <w:jc w:val="both"/>
                  </w:pPr>
                  <w:r>
                    <w:rPr>
                      <w:rFonts w:hint="eastAsia"/>
                    </w:rPr>
                    <w:t>经对照，本项目不属于高耗能、高排放、低水平项目。</w:t>
                  </w:r>
                </w:p>
              </w:tc>
              <w:tc>
                <w:tcPr>
                  <w:tcW w:w="425" w:type="pct"/>
                  <w:vAlign w:val="center"/>
                </w:tcPr>
                <w:p w14:paraId="5C3C5659">
                  <w:pPr>
                    <w:pStyle w:val="135"/>
                    <w:adjustRightInd w:val="0"/>
                    <w:snapToGrid w:val="0"/>
                  </w:pPr>
                  <w:r>
                    <w:t>符合</w:t>
                  </w:r>
                </w:p>
              </w:tc>
            </w:tr>
          </w:tbl>
          <w:p w14:paraId="78971404">
            <w:pPr>
              <w:ind w:firstLine="420"/>
            </w:pPr>
            <w:r>
              <w:t>对比分析可知，项目符合</w:t>
            </w:r>
            <w:r>
              <w:rPr>
                <w:rFonts w:hint="eastAsia"/>
              </w:rPr>
              <w:t>《</w:t>
            </w:r>
            <w:r>
              <w:t>四川省、重庆市长江经济带发展负面清单实施细则</w:t>
            </w:r>
            <w:r>
              <w:rPr>
                <w:rFonts w:hint="eastAsia"/>
              </w:rPr>
              <w:t>（</w:t>
            </w:r>
            <w:r>
              <w:t>试行</w:t>
            </w:r>
            <w:r>
              <w:rPr>
                <w:rFonts w:hint="eastAsia"/>
              </w:rPr>
              <w:t>，</w:t>
            </w:r>
            <w:r>
              <w:t>2022年版）</w:t>
            </w:r>
            <w:r>
              <w:rPr>
                <w:rFonts w:hint="eastAsia"/>
              </w:rPr>
              <w:t>》中</w:t>
            </w:r>
            <w:r>
              <w:t>相关要求。</w:t>
            </w:r>
          </w:p>
          <w:p w14:paraId="6B055285">
            <w:pPr>
              <w:pStyle w:val="157"/>
            </w:pPr>
            <w:r>
              <w:rPr>
                <w:rFonts w:hint="eastAsia"/>
              </w:rPr>
              <w:t>7、与《巴中市人民政府关于调整划定巴中市中心城区高污染燃料禁燃区的通告》的符合性分析</w:t>
            </w:r>
          </w:p>
          <w:p w14:paraId="1B0D86A7">
            <w:pPr>
              <w:ind w:firstLine="420"/>
            </w:pPr>
            <w:r>
              <w:t>2021</w:t>
            </w:r>
            <w:r>
              <w:rPr>
                <w:rFonts w:hint="eastAsia"/>
              </w:rPr>
              <w:t>年4月8日，巴中市人民政府印发了《巴中市人民政府关于调整划定巴中市中心城区高污染燃料禁燃区的通告》（〔2021〕第1号），文件规定了巴中市中心城区禁燃区范围及禁止燃用的高污染燃料种类，具体如下：</w:t>
            </w:r>
          </w:p>
          <w:p w14:paraId="50057938">
            <w:pPr>
              <w:pStyle w:val="156"/>
            </w:pPr>
            <w:r>
              <w:rPr>
                <w:rFonts w:hint="eastAsia"/>
              </w:rPr>
              <w:t>表1</w:t>
            </w:r>
            <w:r>
              <w:t xml:space="preserve">-11  </w:t>
            </w:r>
            <w:r>
              <w:rPr>
                <w:rFonts w:hint="eastAsia"/>
              </w:rPr>
              <w:t>项目与巴中市高污染燃料禁燃区符合性分析</w:t>
            </w:r>
          </w:p>
          <w:tbl>
            <w:tblPr>
              <w:tblStyle w:val="19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3"/>
              <w:gridCol w:w="4961"/>
              <w:gridCol w:w="1843"/>
              <w:gridCol w:w="647"/>
            </w:tblGrid>
            <w:tr w14:paraId="246D7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983" w:type="dxa"/>
                  <w:vAlign w:val="center"/>
                </w:tcPr>
                <w:p w14:paraId="23881424">
                  <w:pPr>
                    <w:pStyle w:val="135"/>
                    <w:adjustRightInd w:val="0"/>
                    <w:snapToGrid w:val="0"/>
                    <w:rPr>
                      <w:b/>
                      <w:bCs/>
                    </w:rPr>
                  </w:pPr>
                  <w:r>
                    <w:rPr>
                      <w:rFonts w:hint="eastAsia"/>
                      <w:b/>
                      <w:bCs/>
                    </w:rPr>
                    <w:t>类别</w:t>
                  </w:r>
                </w:p>
              </w:tc>
              <w:tc>
                <w:tcPr>
                  <w:tcW w:w="4961" w:type="dxa"/>
                  <w:vAlign w:val="center"/>
                </w:tcPr>
                <w:p w14:paraId="36796B04">
                  <w:pPr>
                    <w:pStyle w:val="135"/>
                    <w:adjustRightInd w:val="0"/>
                    <w:snapToGrid w:val="0"/>
                    <w:rPr>
                      <w:b/>
                      <w:bCs/>
                    </w:rPr>
                  </w:pPr>
                  <w:r>
                    <w:rPr>
                      <w:rFonts w:hint="eastAsia"/>
                      <w:b/>
                      <w:bCs/>
                    </w:rPr>
                    <w:t>具体要求</w:t>
                  </w:r>
                </w:p>
              </w:tc>
              <w:tc>
                <w:tcPr>
                  <w:tcW w:w="1843" w:type="dxa"/>
                  <w:vAlign w:val="center"/>
                </w:tcPr>
                <w:p w14:paraId="6B0B4C4C">
                  <w:pPr>
                    <w:pStyle w:val="135"/>
                    <w:adjustRightInd w:val="0"/>
                    <w:snapToGrid w:val="0"/>
                    <w:rPr>
                      <w:b/>
                      <w:bCs/>
                    </w:rPr>
                  </w:pPr>
                  <w:r>
                    <w:rPr>
                      <w:rFonts w:hint="eastAsia"/>
                      <w:b/>
                      <w:bCs/>
                    </w:rPr>
                    <w:t>本项目情况</w:t>
                  </w:r>
                </w:p>
              </w:tc>
              <w:tc>
                <w:tcPr>
                  <w:tcW w:w="647" w:type="dxa"/>
                  <w:vAlign w:val="center"/>
                </w:tcPr>
                <w:p w14:paraId="2B7AE344">
                  <w:pPr>
                    <w:pStyle w:val="135"/>
                    <w:adjustRightInd w:val="0"/>
                    <w:snapToGrid w:val="0"/>
                    <w:rPr>
                      <w:b/>
                      <w:bCs/>
                    </w:rPr>
                  </w:pPr>
                  <w:r>
                    <w:rPr>
                      <w:rFonts w:hint="eastAsia"/>
                      <w:b/>
                      <w:bCs/>
                    </w:rPr>
                    <w:t>符合性</w:t>
                  </w:r>
                </w:p>
              </w:tc>
            </w:tr>
            <w:tr w14:paraId="64A98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983" w:type="dxa"/>
                  <w:vAlign w:val="center"/>
                </w:tcPr>
                <w:p w14:paraId="15AE1E97">
                  <w:pPr>
                    <w:pStyle w:val="135"/>
                    <w:adjustRightInd w:val="0"/>
                    <w:snapToGrid w:val="0"/>
                  </w:pPr>
                  <w:r>
                    <w:rPr>
                      <w:rFonts w:hint="eastAsia"/>
                    </w:rPr>
                    <w:t>高污染燃料种类</w:t>
                  </w:r>
                </w:p>
              </w:tc>
              <w:tc>
                <w:tcPr>
                  <w:tcW w:w="4961" w:type="dxa"/>
                  <w:vAlign w:val="center"/>
                </w:tcPr>
                <w:p w14:paraId="7CF452BA">
                  <w:pPr>
                    <w:pStyle w:val="135"/>
                    <w:adjustRightInd w:val="0"/>
                    <w:snapToGrid w:val="0"/>
                    <w:jc w:val="both"/>
                  </w:pPr>
                  <w:r>
                    <w:rPr>
                      <w:rFonts w:hint="eastAsia"/>
                    </w:rPr>
                    <w:t>（一）单台出力小于20蒸吨/小时的锅炉和民用燃煤设备燃用的含硫量大于0.5%、灰分大于10%的煤炭及其制品（其中，型煤含硫量大于0.5%、挥发分大于12%，焦炭含硫量大于0.5%、灰分大于10%、挥发分大于5%，兰炭含硫量大于0.5%、灰分大于10%、挥发分大于10%）。</w:t>
                  </w:r>
                </w:p>
                <w:p w14:paraId="4416A474">
                  <w:pPr>
                    <w:pStyle w:val="135"/>
                    <w:adjustRightInd w:val="0"/>
                    <w:snapToGrid w:val="0"/>
                    <w:jc w:val="both"/>
                  </w:pPr>
                  <w:r>
                    <w:rPr>
                      <w:rFonts w:hint="eastAsia"/>
                    </w:rPr>
                    <w:t>（二）石油焦、油页岩、原油、重油、渣油、煤焦油。</w:t>
                  </w:r>
                </w:p>
                <w:p w14:paraId="53D83130">
                  <w:pPr>
                    <w:pStyle w:val="135"/>
                    <w:adjustRightInd w:val="0"/>
                    <w:snapToGrid w:val="0"/>
                    <w:jc w:val="both"/>
                  </w:pPr>
                  <w:r>
                    <w:rPr>
                      <w:rFonts w:hint="eastAsia"/>
                    </w:rPr>
                    <w:t>工业废弃物和垃圾、农林剩余物、餐饮业使用的木炭等辅助性燃料均不纳入禁燃区管控范围。</w:t>
                  </w:r>
                </w:p>
              </w:tc>
              <w:tc>
                <w:tcPr>
                  <w:tcW w:w="1843" w:type="dxa"/>
                  <w:vAlign w:val="center"/>
                </w:tcPr>
                <w:p w14:paraId="27E3F055">
                  <w:pPr>
                    <w:pStyle w:val="135"/>
                    <w:adjustRightInd w:val="0"/>
                    <w:snapToGrid w:val="0"/>
                    <w:jc w:val="both"/>
                  </w:pPr>
                  <w:r>
                    <w:rPr>
                      <w:rFonts w:hint="eastAsia"/>
                    </w:rPr>
                    <w:t>本项目锅炉使用成型颗粒燃料，不涉及文件规定的高污染燃料的使用。</w:t>
                  </w:r>
                </w:p>
              </w:tc>
              <w:tc>
                <w:tcPr>
                  <w:tcW w:w="647" w:type="dxa"/>
                  <w:vMerge w:val="restart"/>
                  <w:vAlign w:val="center"/>
                </w:tcPr>
                <w:p w14:paraId="6E87A3F3">
                  <w:pPr>
                    <w:pStyle w:val="135"/>
                    <w:adjustRightInd w:val="0"/>
                    <w:snapToGrid w:val="0"/>
                  </w:pPr>
                  <w:r>
                    <w:rPr>
                      <w:rFonts w:hint="eastAsia"/>
                    </w:rPr>
                    <w:t>符合</w:t>
                  </w:r>
                </w:p>
              </w:tc>
            </w:tr>
            <w:tr w14:paraId="1DC862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983" w:type="dxa"/>
                  <w:vAlign w:val="center"/>
                </w:tcPr>
                <w:p w14:paraId="57CD7E39">
                  <w:pPr>
                    <w:pStyle w:val="135"/>
                    <w:adjustRightInd w:val="0"/>
                    <w:snapToGrid w:val="0"/>
                  </w:pPr>
                  <w:r>
                    <w:rPr>
                      <w:rFonts w:hint="eastAsia"/>
                    </w:rPr>
                    <w:t>禁燃区范围</w:t>
                  </w:r>
                </w:p>
              </w:tc>
              <w:tc>
                <w:tcPr>
                  <w:tcW w:w="4961" w:type="dxa"/>
                  <w:vAlign w:val="center"/>
                </w:tcPr>
                <w:p w14:paraId="01703EDB">
                  <w:pPr>
                    <w:pStyle w:val="135"/>
                    <w:adjustRightInd w:val="0"/>
                    <w:snapToGrid w:val="0"/>
                    <w:jc w:val="both"/>
                  </w:pPr>
                  <w:r>
                    <w:rPr>
                      <w:rFonts w:hint="eastAsia"/>
                    </w:rPr>
                    <w:t>巴中经开区：东起兴文规划36路至规划56路东段至九寨山公园至北环线东段以西。北起北环线檬子河大桥至北环线东沿线以南；南起龙兴大道至兴文东站以北；西起黄家沟大桥入口至后河桥入口以东。</w:t>
                  </w:r>
                </w:p>
              </w:tc>
              <w:tc>
                <w:tcPr>
                  <w:tcW w:w="1843" w:type="dxa"/>
                  <w:vAlign w:val="center"/>
                </w:tcPr>
                <w:p w14:paraId="4A280B7C">
                  <w:pPr>
                    <w:pStyle w:val="135"/>
                    <w:adjustRightInd w:val="0"/>
                    <w:snapToGrid w:val="0"/>
                  </w:pPr>
                  <w:r>
                    <w:rPr>
                      <w:rFonts w:hint="eastAsia"/>
                    </w:rPr>
                    <w:t>本项目位于巴中经开区兴文街道</w:t>
                  </w:r>
                  <w:r>
                    <w:rPr>
                      <w:rFonts w:hint="eastAsia"/>
                      <w:snapToGrid w:val="0"/>
                      <w:szCs w:val="18"/>
                    </w:rPr>
                    <w:t>，不在禁燃区范围内。</w:t>
                  </w:r>
                </w:p>
              </w:tc>
              <w:tc>
                <w:tcPr>
                  <w:tcW w:w="647" w:type="dxa"/>
                  <w:vMerge w:val="continue"/>
                  <w:vAlign w:val="center"/>
                </w:tcPr>
                <w:p w14:paraId="7D4D692A">
                  <w:pPr>
                    <w:pStyle w:val="135"/>
                    <w:adjustRightInd w:val="0"/>
                    <w:snapToGrid w:val="0"/>
                  </w:pPr>
                </w:p>
              </w:tc>
            </w:tr>
          </w:tbl>
          <w:p w14:paraId="218B9BFF">
            <w:pPr>
              <w:ind w:firstLine="420"/>
            </w:pPr>
            <w:r>
              <w:rPr>
                <w:rFonts w:hint="eastAsia"/>
              </w:rPr>
              <w:t>综上，本项目不在《巴中市人民政府关于调整划定巴中市中心城区高污染燃料禁燃区的通告》划定的禁燃区范围内，不涉及高污染燃料的使用。</w:t>
            </w:r>
          </w:p>
          <w:p w14:paraId="63E44C1B">
            <w:pPr>
              <w:pStyle w:val="157"/>
            </w:pPr>
            <w:r>
              <w:t>8</w:t>
            </w:r>
            <w:r>
              <w:rPr>
                <w:rFonts w:hint="eastAsia"/>
              </w:rPr>
              <w:t>、与大气污染防治相关文件的符合性分析</w:t>
            </w:r>
          </w:p>
          <w:p w14:paraId="55E37E75">
            <w:pPr>
              <w:pStyle w:val="156"/>
            </w:pPr>
            <w:r>
              <w:rPr>
                <w:rFonts w:hint="eastAsia"/>
              </w:rPr>
              <w:t>表1</w:t>
            </w:r>
            <w:r>
              <w:t xml:space="preserve">-12  </w:t>
            </w:r>
            <w:r>
              <w:rPr>
                <w:rFonts w:hint="eastAsia"/>
              </w:rPr>
              <w:t>项目与大气污染防治相关文件的符合性分析表</w:t>
            </w:r>
          </w:p>
          <w:tbl>
            <w:tblPr>
              <w:tblStyle w:val="33"/>
              <w:tblW w:w="498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80"/>
              <w:gridCol w:w="5640"/>
              <w:gridCol w:w="1224"/>
              <w:gridCol w:w="466"/>
            </w:tblGrid>
            <w:tr w14:paraId="0DF7AF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642" w:type="pct"/>
                  <w:shd w:val="clear" w:color="auto" w:fill="auto"/>
                  <w:noWrap/>
                  <w:vAlign w:val="center"/>
                </w:tcPr>
                <w:p w14:paraId="271A0D96">
                  <w:pPr>
                    <w:pStyle w:val="135"/>
                    <w:rPr>
                      <w:b/>
                      <w:bCs/>
                    </w:rPr>
                  </w:pPr>
                  <w:r>
                    <w:rPr>
                      <w:b/>
                      <w:bCs/>
                    </w:rPr>
                    <w:t>大气污染防治规划文件</w:t>
                  </w:r>
                </w:p>
              </w:tc>
              <w:tc>
                <w:tcPr>
                  <w:tcW w:w="3353" w:type="pct"/>
                  <w:shd w:val="clear" w:color="auto" w:fill="auto"/>
                  <w:noWrap/>
                  <w:vAlign w:val="center"/>
                </w:tcPr>
                <w:p w14:paraId="2D87FF2C">
                  <w:pPr>
                    <w:pStyle w:val="135"/>
                    <w:rPr>
                      <w:b/>
                      <w:bCs/>
                    </w:rPr>
                  </w:pPr>
                  <w:r>
                    <w:rPr>
                      <w:b/>
                      <w:bCs/>
                    </w:rPr>
                    <w:t>规划要求</w:t>
                  </w:r>
                </w:p>
              </w:tc>
              <w:tc>
                <w:tcPr>
                  <w:tcW w:w="728" w:type="pct"/>
                  <w:shd w:val="clear" w:color="auto" w:fill="auto"/>
                  <w:noWrap/>
                  <w:vAlign w:val="center"/>
                </w:tcPr>
                <w:p w14:paraId="5554FFFE">
                  <w:pPr>
                    <w:pStyle w:val="135"/>
                    <w:rPr>
                      <w:b/>
                      <w:bCs/>
                    </w:rPr>
                  </w:pPr>
                  <w:r>
                    <w:rPr>
                      <w:b/>
                      <w:bCs/>
                    </w:rPr>
                    <w:t>项目情况</w:t>
                  </w:r>
                </w:p>
              </w:tc>
              <w:tc>
                <w:tcPr>
                  <w:tcW w:w="277" w:type="pct"/>
                  <w:shd w:val="clear" w:color="auto" w:fill="auto"/>
                  <w:noWrap/>
                  <w:vAlign w:val="center"/>
                </w:tcPr>
                <w:p w14:paraId="38ED9847">
                  <w:pPr>
                    <w:pStyle w:val="135"/>
                    <w:rPr>
                      <w:b/>
                      <w:bCs/>
                    </w:rPr>
                  </w:pPr>
                  <w:r>
                    <w:rPr>
                      <w:b/>
                      <w:bCs/>
                    </w:rPr>
                    <w:t>符合性</w:t>
                  </w:r>
                </w:p>
              </w:tc>
            </w:tr>
            <w:tr w14:paraId="3AE4A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642" w:type="pct"/>
                  <w:shd w:val="clear" w:color="auto" w:fill="auto"/>
                  <w:noWrap/>
                  <w:vAlign w:val="center"/>
                </w:tcPr>
                <w:p w14:paraId="72256359">
                  <w:pPr>
                    <w:pStyle w:val="135"/>
                    <w:jc w:val="both"/>
                    <w:rPr>
                      <w:bCs/>
                      <w:snapToGrid w:val="0"/>
                      <w:lang w:bidi="en-US"/>
                    </w:rPr>
                  </w:pPr>
                  <w:r>
                    <w:rPr>
                      <w:snapToGrid w:val="0"/>
                      <w:lang w:bidi="en-US"/>
                    </w:rPr>
                    <w:t>国务院关于印发“十四五”节能减排</w:t>
                  </w:r>
                </w:p>
                <w:p w14:paraId="1F615362">
                  <w:pPr>
                    <w:pStyle w:val="135"/>
                    <w:jc w:val="both"/>
                    <w:rPr>
                      <w:snapToGrid w:val="0"/>
                      <w:lang w:bidi="en-US"/>
                    </w:rPr>
                  </w:pPr>
                  <w:r>
                    <w:rPr>
                      <w:snapToGrid w:val="0"/>
                      <w:lang w:bidi="en-US"/>
                    </w:rPr>
                    <w:t>综合工作方案的通知（国发〔2021〕33号）</w:t>
                  </w:r>
                </w:p>
              </w:tc>
              <w:tc>
                <w:tcPr>
                  <w:tcW w:w="3353" w:type="pct"/>
                  <w:shd w:val="clear" w:color="auto" w:fill="auto"/>
                  <w:noWrap/>
                  <w:vAlign w:val="center"/>
                </w:tcPr>
                <w:p w14:paraId="73C8886D">
                  <w:pPr>
                    <w:pStyle w:val="135"/>
                    <w:jc w:val="both"/>
                    <w:rPr>
                      <w:snapToGrid w:val="0"/>
                      <w:lang w:bidi="en-US"/>
                    </w:rPr>
                  </w:pPr>
                  <w:r>
                    <w:rPr>
                      <w:snapToGrid w:val="0"/>
                      <w:lang w:bidi="en-US"/>
                    </w:rPr>
                    <w:t>（九）挥发性有机物综合整治工程。推进原辅材料和产品源头替代工程，实施全过程污染物治理。以工业涂装、包装印刷等行业为重点，推动使用低挥发性有机物含量的涂料、油墨、胶粘剂、清洗剂。深化石化化工等行业挥发性有机物污染治理，全面提升废气收集率、治理设施同步运行率和去除率。对易挥发有机液体储罐实施改造，对浮顶罐推广采用全接液浮盘和高效双重密封技术，对废水系统高浓度废气实施单独收集处理。加强油船和原油、成品油码头油气回收治理。到2025年，溶剂型工业涂料、油墨使用比例分别降低20个百分点、10个百分点，溶剂型胶粘剂使用量降低20%。</w:t>
                  </w:r>
                </w:p>
              </w:tc>
              <w:tc>
                <w:tcPr>
                  <w:tcW w:w="728" w:type="pct"/>
                  <w:vMerge w:val="restart"/>
                  <w:shd w:val="clear" w:color="auto" w:fill="auto"/>
                  <w:noWrap/>
                  <w:vAlign w:val="center"/>
                </w:tcPr>
                <w:p w14:paraId="6F26B5C8">
                  <w:pPr>
                    <w:pStyle w:val="135"/>
                    <w:jc w:val="both"/>
                  </w:pPr>
                  <w:r>
                    <w:t>项目属于</w:t>
                  </w:r>
                  <w:r>
                    <w:rPr>
                      <w:rFonts w:hint="eastAsia"/>
                      <w:lang w:val="zh-CN"/>
                    </w:rPr>
                    <w:t>加气混凝土砌块加工项目</w:t>
                  </w:r>
                  <w:r>
                    <w:t>，不属于挥发性有机物综合整治工程重点行业，不涉及含VOCs</w:t>
                  </w:r>
                  <w:r>
                    <w:rPr>
                      <w:snapToGrid w:val="0"/>
                      <w:lang w:bidi="en-US"/>
                    </w:rPr>
                    <w:t>涂料、油墨、胶粘剂、清洗剂使用</w:t>
                  </w:r>
                  <w:r>
                    <w:rPr>
                      <w:rFonts w:hint="eastAsia"/>
                      <w:snapToGrid w:val="0"/>
                      <w:lang w:bidi="en-US"/>
                    </w:rPr>
                    <w:t>。</w:t>
                  </w:r>
                </w:p>
              </w:tc>
              <w:tc>
                <w:tcPr>
                  <w:tcW w:w="277" w:type="pct"/>
                  <w:shd w:val="clear" w:color="auto" w:fill="auto"/>
                  <w:noWrap/>
                  <w:vAlign w:val="center"/>
                </w:tcPr>
                <w:p w14:paraId="3B18A0FC">
                  <w:pPr>
                    <w:pStyle w:val="135"/>
                    <w:rPr>
                      <w:snapToGrid w:val="0"/>
                      <w:lang w:bidi="en-US"/>
                    </w:rPr>
                  </w:pPr>
                  <w:r>
                    <w:rPr>
                      <w:snapToGrid w:val="0"/>
                      <w:lang w:bidi="en-US"/>
                    </w:rPr>
                    <w:t>符合</w:t>
                  </w:r>
                </w:p>
              </w:tc>
            </w:tr>
            <w:tr w14:paraId="7F524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642" w:type="pct"/>
                  <w:shd w:val="clear" w:color="auto" w:fill="auto"/>
                  <w:noWrap/>
                  <w:vAlign w:val="center"/>
                </w:tcPr>
                <w:p w14:paraId="714B72C7">
                  <w:pPr>
                    <w:pStyle w:val="135"/>
                    <w:jc w:val="both"/>
                    <w:rPr>
                      <w:bCs/>
                      <w:snapToGrid w:val="0"/>
                      <w:lang w:bidi="en-US"/>
                    </w:rPr>
                  </w:pPr>
                  <w:r>
                    <w:rPr>
                      <w:snapToGrid w:val="0"/>
                      <w:lang w:bidi="en-US"/>
                    </w:rPr>
                    <w:t>四川省人民政府关于印发《四川省“十四五”节能减排综合工作方案》的通知（川府发〔2022〕20号）</w:t>
                  </w:r>
                </w:p>
              </w:tc>
              <w:tc>
                <w:tcPr>
                  <w:tcW w:w="3353" w:type="pct"/>
                  <w:shd w:val="clear" w:color="auto" w:fill="auto"/>
                  <w:noWrap/>
                  <w:vAlign w:val="center"/>
                </w:tcPr>
                <w:p w14:paraId="767F2377">
                  <w:pPr>
                    <w:pStyle w:val="135"/>
                    <w:jc w:val="both"/>
                    <w:rPr>
                      <w:snapToGrid w:val="0"/>
                      <w:lang w:bidi="en-US"/>
                    </w:rPr>
                  </w:pPr>
                  <w:r>
                    <w:rPr>
                      <w:rFonts w:hint="eastAsia"/>
                      <w:snapToGrid w:val="0"/>
                      <w:lang w:bidi="en-US"/>
                    </w:rPr>
                    <w:t>（</w:t>
                  </w:r>
                  <w:r>
                    <w:rPr>
                      <w:snapToGrid w:val="0"/>
                      <w:lang w:bidi="en-US"/>
                    </w:rPr>
                    <w:t>九</w:t>
                  </w:r>
                  <w:r>
                    <w:rPr>
                      <w:rFonts w:hint="eastAsia"/>
                      <w:snapToGrid w:val="0"/>
                      <w:lang w:bidi="en-US"/>
                    </w:rPr>
                    <w:t>）</w:t>
                  </w:r>
                  <w:r>
                    <w:rPr>
                      <w:snapToGrid w:val="0"/>
                      <w:lang w:bidi="en-US"/>
                    </w:rPr>
                    <w:t>挥发性有机物综合整治工程。推进原辅材料和产品源头替代工程实施全过程污染物治理。推动涉挥发性有机物行业落后产能淘汰、产业集群整合升级以工业涂装、包装印刷、家具制造、汽修等行业为重点，推动使用低</w:t>
                  </w:r>
                  <w:r>
                    <w:rPr>
                      <w:rFonts w:hint="eastAsia"/>
                      <w:snapToGrid w:val="0"/>
                      <w:lang w:bidi="en-US"/>
                    </w:rPr>
                    <w:t>（</w:t>
                  </w:r>
                  <w:r>
                    <w:rPr>
                      <w:snapToGrid w:val="0"/>
                      <w:lang w:bidi="en-US"/>
                    </w:rPr>
                    <w:t>无</w:t>
                  </w:r>
                  <w:r>
                    <w:rPr>
                      <w:rFonts w:hint="eastAsia"/>
                      <w:snapToGrid w:val="0"/>
                      <w:lang w:bidi="en-US"/>
                    </w:rPr>
                    <w:t>）</w:t>
                  </w:r>
                  <w:r>
                    <w:rPr>
                      <w:snapToGrid w:val="0"/>
                      <w:lang w:bidi="en-US"/>
                    </w:rPr>
                    <w:t>挥发性有机物含量的涂料、油墨、胶粘剂、清洗剂</w:t>
                  </w:r>
                  <w:r>
                    <w:rPr>
                      <w:rFonts w:eastAsia="等线"/>
                      <w:snapToGrid w:val="0"/>
                      <w:lang w:bidi="en-US"/>
                    </w:rPr>
                    <w:t>。</w:t>
                  </w:r>
                  <w:r>
                    <w:rPr>
                      <w:snapToGrid w:val="0"/>
                      <w:lang w:bidi="en-US"/>
                    </w:rPr>
                    <w:t>深化石化化工等行业挥发性有机物污染治理强化含挥发性有机物物料贮存、转移和运输、工艺过程等环节无组织排放控制</w:t>
                  </w:r>
                  <w:r>
                    <w:rPr>
                      <w:rFonts w:eastAsia="等线"/>
                      <w:snapToGrid w:val="0"/>
                      <w:lang w:bidi="en-US"/>
                    </w:rPr>
                    <w:t>。</w:t>
                  </w:r>
                  <w:r>
                    <w:rPr>
                      <w:snapToGrid w:val="0"/>
                      <w:lang w:bidi="en-US"/>
                    </w:rPr>
                    <w:t>全面提升废气收集率、治理设施同步运行率和去除率</w:t>
                  </w:r>
                  <w:r>
                    <w:rPr>
                      <w:rFonts w:eastAsia="等线"/>
                      <w:snapToGrid w:val="0"/>
                      <w:lang w:bidi="en-US"/>
                    </w:rPr>
                    <w:t>。</w:t>
                  </w:r>
                  <w:r>
                    <w:rPr>
                      <w:snapToGrid w:val="0"/>
                      <w:lang w:bidi="en-US"/>
                    </w:rPr>
                    <w:t>对易挥发有机液体储罐实施改造对浮顶罐推广采用全接液浮盘和高效双重密封技术</w:t>
                  </w:r>
                  <w:r>
                    <w:rPr>
                      <w:rFonts w:eastAsia="Microsoft Yi Baiti"/>
                      <w:snapToGrid w:val="0"/>
                      <w:lang w:bidi="en-US"/>
                    </w:rPr>
                    <w:t>ꎬ</w:t>
                  </w:r>
                  <w:r>
                    <w:rPr>
                      <w:snapToGrid w:val="0"/>
                      <w:lang w:bidi="en-US"/>
                    </w:rPr>
                    <w:t>对废水系统高浓度挥发性有机物废气实施单独收集处理</w:t>
                  </w:r>
                  <w:r>
                    <w:rPr>
                      <w:rFonts w:eastAsia="等线"/>
                      <w:snapToGrid w:val="0"/>
                      <w:lang w:bidi="en-US"/>
                    </w:rPr>
                    <w:t>。</w:t>
                  </w:r>
                </w:p>
              </w:tc>
              <w:tc>
                <w:tcPr>
                  <w:tcW w:w="728" w:type="pct"/>
                  <w:vMerge w:val="continue"/>
                  <w:shd w:val="clear" w:color="auto" w:fill="auto"/>
                  <w:noWrap/>
                  <w:vAlign w:val="center"/>
                </w:tcPr>
                <w:p w14:paraId="06809115">
                  <w:pPr>
                    <w:pStyle w:val="135"/>
                  </w:pPr>
                </w:p>
              </w:tc>
              <w:tc>
                <w:tcPr>
                  <w:tcW w:w="277" w:type="pct"/>
                  <w:shd w:val="clear" w:color="auto" w:fill="auto"/>
                  <w:noWrap/>
                  <w:vAlign w:val="center"/>
                </w:tcPr>
                <w:p w14:paraId="0D4A880E">
                  <w:pPr>
                    <w:pStyle w:val="135"/>
                    <w:rPr>
                      <w:snapToGrid w:val="0"/>
                      <w:lang w:bidi="en-US"/>
                    </w:rPr>
                  </w:pPr>
                  <w:r>
                    <w:rPr>
                      <w:snapToGrid w:val="0"/>
                      <w:lang w:bidi="en-US"/>
                    </w:rPr>
                    <w:t>符合</w:t>
                  </w:r>
                </w:p>
              </w:tc>
            </w:tr>
            <w:tr w14:paraId="3884A4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642" w:type="pct"/>
                  <w:shd w:val="clear" w:color="auto" w:fill="auto"/>
                  <w:noWrap/>
                  <w:vAlign w:val="center"/>
                </w:tcPr>
                <w:p w14:paraId="12A5883C">
                  <w:pPr>
                    <w:pStyle w:val="135"/>
                    <w:jc w:val="both"/>
                    <w:rPr>
                      <w:snapToGrid w:val="0"/>
                      <w:lang w:bidi="en-US"/>
                    </w:rPr>
                  </w:pPr>
                  <w:r>
                    <w:rPr>
                      <w:snapToGrid w:val="0"/>
                      <w:lang w:bidi="en-US"/>
                    </w:rPr>
                    <w:t>《四川省“十四五”生态环境保护规划》</w:t>
                  </w:r>
                </w:p>
              </w:tc>
              <w:tc>
                <w:tcPr>
                  <w:tcW w:w="3353" w:type="pct"/>
                  <w:shd w:val="clear" w:color="auto" w:fill="auto"/>
                  <w:noWrap/>
                  <w:vAlign w:val="center"/>
                </w:tcPr>
                <w:p w14:paraId="73681779">
                  <w:pPr>
                    <w:pStyle w:val="135"/>
                    <w:jc w:val="both"/>
                    <w:rPr>
                      <w:snapToGrid w:val="0"/>
                      <w:lang w:bidi="en-US"/>
                    </w:rPr>
                  </w:pPr>
                  <w:r>
                    <w:rPr>
                      <w:snapToGrid w:val="0"/>
                      <w:lang w:bidi="en-US"/>
                    </w:rPr>
                    <w:t>控制挥发性有机物</w:t>
                  </w:r>
                  <w:r>
                    <w:rPr>
                      <w:rFonts w:hint="eastAsia"/>
                      <w:snapToGrid w:val="0"/>
                      <w:lang w:bidi="en-US"/>
                    </w:rPr>
                    <w:t>（</w:t>
                  </w:r>
                  <w:r>
                    <w:rPr>
                      <w:snapToGrid w:val="0"/>
                      <w:lang w:bidi="en-US"/>
                    </w:rPr>
                    <w:t>VOCs</w:t>
                  </w:r>
                  <w:r>
                    <w:rPr>
                      <w:rFonts w:hint="eastAsia"/>
                      <w:snapToGrid w:val="0"/>
                      <w:lang w:bidi="en-US"/>
                    </w:rPr>
                    <w:t>）</w:t>
                  </w:r>
                  <w:r>
                    <w:rPr>
                      <w:snapToGrid w:val="0"/>
                      <w:lang w:bidi="en-US"/>
                    </w:rPr>
                    <w:t>排放。严格控制VOCs排放总量，新建VOCs项目应实施等量或倍量替代。强化VOCs源头削减，以工业涂装、家具制造、包装印刷等行业为重点，大力推进低</w:t>
                  </w:r>
                  <w:r>
                    <w:rPr>
                      <w:rFonts w:hint="eastAsia"/>
                      <w:snapToGrid w:val="0"/>
                      <w:lang w:bidi="en-US"/>
                    </w:rPr>
                    <w:t>（</w:t>
                  </w:r>
                  <w:r>
                    <w:rPr>
                      <w:snapToGrid w:val="0"/>
                      <w:lang w:bidi="en-US"/>
                    </w:rPr>
                    <w:t>无</w:t>
                  </w:r>
                  <w:r>
                    <w:rPr>
                      <w:rFonts w:hint="eastAsia"/>
                      <w:snapToGrid w:val="0"/>
                      <w:lang w:bidi="en-US"/>
                    </w:rPr>
                    <w:t>）</w:t>
                  </w:r>
                  <w:r>
                    <w:rPr>
                      <w:snapToGrid w:val="0"/>
                      <w:lang w:bidi="en-US"/>
                    </w:rPr>
                    <w:t>VOCs含量原辅材料替代。严格控制生产和使用高VOCs含量溶剂型涂料、油墨、胶粘剂、清洗剂等建设项目。强化VOCs综合治理，以石化、化工、工业涂装、包装印刷、电子、纺织印染、制鞋、家具制造、油品储运销等行业为重点，提升废气收集率、治污设施同步运行率和去除率，科学合理选择治理工艺，推进设施设备提标升级改造。强化无组织排放管控，加大含VOCs物料储存、转移和输送、设备与管线组件泄漏、敞开液面逸散等管控力度，开展泄漏检测与修复工作。强化企业VOCs排放达标监管，实施季节性调控。完善挥发性有机物产品标准体系，建立低挥发性有机物含量产品标识制度。</w:t>
                  </w:r>
                </w:p>
              </w:tc>
              <w:tc>
                <w:tcPr>
                  <w:tcW w:w="728" w:type="pct"/>
                  <w:vMerge w:val="continue"/>
                  <w:shd w:val="clear" w:color="auto" w:fill="auto"/>
                  <w:noWrap/>
                  <w:vAlign w:val="center"/>
                </w:tcPr>
                <w:p w14:paraId="7B596734">
                  <w:pPr>
                    <w:pStyle w:val="135"/>
                    <w:rPr>
                      <w:snapToGrid w:val="0"/>
                      <w:lang w:bidi="en-US"/>
                    </w:rPr>
                  </w:pPr>
                </w:p>
              </w:tc>
              <w:tc>
                <w:tcPr>
                  <w:tcW w:w="277" w:type="pct"/>
                  <w:shd w:val="clear" w:color="auto" w:fill="auto"/>
                  <w:noWrap/>
                  <w:vAlign w:val="center"/>
                </w:tcPr>
                <w:p w14:paraId="2FD9259C">
                  <w:pPr>
                    <w:pStyle w:val="135"/>
                    <w:rPr>
                      <w:snapToGrid w:val="0"/>
                      <w:lang w:bidi="en-US"/>
                    </w:rPr>
                  </w:pPr>
                  <w:r>
                    <w:rPr>
                      <w:snapToGrid w:val="0"/>
                      <w:lang w:bidi="en-US"/>
                    </w:rPr>
                    <w:t>符合</w:t>
                  </w:r>
                </w:p>
              </w:tc>
            </w:tr>
            <w:tr w14:paraId="2C120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642" w:type="pct"/>
                  <w:shd w:val="clear" w:color="auto" w:fill="auto"/>
                  <w:noWrap/>
                  <w:vAlign w:val="center"/>
                </w:tcPr>
                <w:p w14:paraId="53B79DA4">
                  <w:pPr>
                    <w:pStyle w:val="135"/>
                    <w:jc w:val="both"/>
                    <w:rPr>
                      <w:snapToGrid w:val="0"/>
                      <w:lang w:bidi="en-US"/>
                    </w:rPr>
                  </w:pPr>
                  <w:r>
                    <w:rPr>
                      <w:snapToGrid w:val="0"/>
                      <w:lang w:bidi="en-US"/>
                    </w:rPr>
                    <w:t>《巴中市“十四五”生态环境保护规划》</w:t>
                  </w:r>
                </w:p>
              </w:tc>
              <w:tc>
                <w:tcPr>
                  <w:tcW w:w="3353" w:type="pct"/>
                  <w:shd w:val="clear" w:color="auto" w:fill="auto"/>
                  <w:noWrap/>
                  <w:vAlign w:val="center"/>
                </w:tcPr>
                <w:p w14:paraId="4627875A">
                  <w:pPr>
                    <w:pStyle w:val="135"/>
                    <w:jc w:val="both"/>
                    <w:rPr>
                      <w:snapToGrid w:val="0"/>
                      <w:lang w:bidi="en-US"/>
                    </w:rPr>
                  </w:pPr>
                  <w:r>
                    <w:rPr>
                      <w:snapToGrid w:val="0"/>
                      <w:lang w:bidi="en-US"/>
                    </w:rPr>
                    <w:t>强化重点污染源治理。以砖瓦、水泥等建材行业为重点，强化落实污染防治措施。各企业按照“一企一策”要求制定错峰生产方案，并将错峰生产主要指标在厂区显著位置进行公示，确保做到真错峰、真停产、真限产。开展水泥、建材等重点行业的深度治理，持续推进砖瓦企业综合整治，推广高效脱硫脱硝除尘技术，推动水泥行业和工业锅炉超低排放改造，水泥生产全过程有效控制粉尘无组织排放；实施燃气锅炉低氮燃烧改造。</w:t>
                  </w:r>
                </w:p>
                <w:p w14:paraId="75805B50">
                  <w:pPr>
                    <w:pStyle w:val="135"/>
                    <w:jc w:val="both"/>
                    <w:rPr>
                      <w:snapToGrid w:val="0"/>
                      <w:lang w:bidi="en-US"/>
                    </w:rPr>
                  </w:pPr>
                  <w:r>
                    <w:rPr>
                      <w:snapToGrid w:val="0"/>
                      <w:lang w:bidi="en-US"/>
                    </w:rPr>
                    <w:t>严格控制挥发性有机物（VOCs）排放。实施VOCs排放总量控制制度，制定VOCs专项整治方案；加强油气储运过程中油气回收治理检查力度，确保油气回收装置正常稳定运行；推广使用低（无）VOCs含量涂料、油墨和胶黏剂等；推行重点监管企业“一企一策”，建立管理台账；加强对辖区内小、微VOCs排放企业监管，探索实行第三方监督帮扶服务。</w:t>
                  </w:r>
                </w:p>
              </w:tc>
              <w:tc>
                <w:tcPr>
                  <w:tcW w:w="728" w:type="pct"/>
                  <w:shd w:val="clear" w:color="auto" w:fill="auto"/>
                  <w:noWrap/>
                  <w:vAlign w:val="center"/>
                </w:tcPr>
                <w:p w14:paraId="583C012D">
                  <w:pPr>
                    <w:pStyle w:val="135"/>
                    <w:rPr>
                      <w:snapToGrid w:val="0"/>
                      <w:lang w:bidi="en-US"/>
                    </w:rPr>
                  </w:pPr>
                  <w:r>
                    <w:rPr>
                      <w:rFonts w:hint="eastAsia"/>
                      <w:snapToGrid w:val="0"/>
                      <w:lang w:bidi="en-US"/>
                    </w:rPr>
                    <w:t>本项目原料堆场四周封闭，仅留进出口车辆通行，并设置高压喷雾装置；采用生物质专用锅炉，并安装低氮燃烧器和水膜除尘+静电除尘高效除尘装置。</w:t>
                  </w:r>
                </w:p>
              </w:tc>
              <w:tc>
                <w:tcPr>
                  <w:tcW w:w="277" w:type="pct"/>
                  <w:shd w:val="clear" w:color="auto" w:fill="auto"/>
                  <w:noWrap/>
                  <w:vAlign w:val="center"/>
                </w:tcPr>
                <w:p w14:paraId="1105F198">
                  <w:pPr>
                    <w:pStyle w:val="135"/>
                    <w:rPr>
                      <w:snapToGrid w:val="0"/>
                      <w:lang w:bidi="en-US"/>
                    </w:rPr>
                  </w:pPr>
                  <w:r>
                    <w:rPr>
                      <w:snapToGrid w:val="0"/>
                      <w:lang w:bidi="en-US"/>
                    </w:rPr>
                    <w:t>符合</w:t>
                  </w:r>
                </w:p>
              </w:tc>
            </w:tr>
          </w:tbl>
          <w:p w14:paraId="1B505131">
            <w:pPr>
              <w:ind w:firstLine="420"/>
            </w:pPr>
            <w:r>
              <w:rPr>
                <w:rFonts w:hint="eastAsia"/>
              </w:rPr>
              <w:t>因此，</w:t>
            </w:r>
            <w:r>
              <w:rPr>
                <w:bCs/>
              </w:rPr>
              <w:t>项目</w:t>
            </w:r>
            <w:r>
              <w:t>的建设符合国家、地方有关大气污染防治的规</w:t>
            </w:r>
            <w:r>
              <w:rPr>
                <w:rFonts w:hint="eastAsia"/>
              </w:rPr>
              <w:t>范性</w:t>
            </w:r>
            <w:r>
              <w:t>文件中对大气污染物控制的要求。</w:t>
            </w:r>
          </w:p>
          <w:p w14:paraId="67C1F235">
            <w:pPr>
              <w:ind w:firstLine="0" w:firstLineChars="0"/>
              <w:rPr>
                <w:b/>
              </w:rPr>
            </w:pPr>
            <w:r>
              <w:rPr>
                <w:rFonts w:hint="eastAsia"/>
                <w:b/>
              </w:rPr>
              <w:t>9</w:t>
            </w:r>
            <w:r>
              <w:rPr>
                <w:b/>
              </w:rPr>
              <w:t>、外环境及选址合理性分析</w:t>
            </w:r>
          </w:p>
          <w:p w14:paraId="3F7A0B51">
            <w:pPr>
              <w:ind w:firstLine="420"/>
              <w:rPr>
                <w:lang w:bidi="ar"/>
              </w:rPr>
            </w:pPr>
            <w:r>
              <w:rPr>
                <w:rFonts w:hint="eastAsia"/>
                <w:lang w:bidi="ar"/>
              </w:rPr>
              <w:t>（1）外环境关系</w:t>
            </w:r>
          </w:p>
          <w:p w14:paraId="560DA3EE">
            <w:pPr>
              <w:ind w:firstLine="420"/>
              <w:rPr>
                <w:lang w:bidi="ar"/>
              </w:rPr>
            </w:pPr>
            <w:r>
              <w:rPr>
                <w:rFonts w:hint="eastAsia"/>
                <w:lang w:bidi="ar"/>
              </w:rPr>
              <w:t>本项目位于</w:t>
            </w:r>
            <w:r>
              <w:rPr>
                <w:rFonts w:hint="eastAsia"/>
                <w:szCs w:val="21"/>
              </w:rPr>
              <w:t>巴中市巴州区兴文街道（四川巴中经济开发区内）</w:t>
            </w:r>
            <w:r>
              <w:rPr>
                <w:rFonts w:hint="eastAsia"/>
              </w:rPr>
              <w:t>，厂址周边外环境关系见下表</w:t>
            </w:r>
            <w:r>
              <w:rPr>
                <w:rFonts w:hint="eastAsia"/>
                <w:lang w:bidi="ar"/>
              </w:rPr>
              <w:t>。</w:t>
            </w:r>
          </w:p>
          <w:p w14:paraId="50AA375B">
            <w:pPr>
              <w:pStyle w:val="156"/>
              <w:rPr>
                <w:kern w:val="0"/>
                <w:lang w:bidi="ar"/>
              </w:rPr>
            </w:pPr>
            <w:r>
              <w:rPr>
                <w:kern w:val="0"/>
                <w:lang w:bidi="ar"/>
              </w:rPr>
              <w:t xml:space="preserve">表1-13 </w:t>
            </w:r>
            <w:r>
              <w:rPr>
                <w:rFonts w:hint="eastAsia"/>
                <w:kern w:val="0"/>
                <w:lang w:bidi="ar"/>
              </w:rPr>
              <w:t xml:space="preserve"> 本项目周边</w:t>
            </w:r>
            <w:r>
              <w:rPr>
                <w:kern w:val="0"/>
                <w:lang w:bidi="ar"/>
              </w:rPr>
              <w:t>外环境</w:t>
            </w:r>
            <w:r>
              <w:rPr>
                <w:rFonts w:hint="eastAsia"/>
                <w:kern w:val="0"/>
                <w:lang w:bidi="ar"/>
              </w:rPr>
              <w:t>一览</w:t>
            </w:r>
            <w:r>
              <w:rPr>
                <w:kern w:val="0"/>
                <w:lang w:bidi="ar"/>
              </w:rPr>
              <w:t>关系表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547"/>
              <w:gridCol w:w="2846"/>
              <w:gridCol w:w="708"/>
              <w:gridCol w:w="1985"/>
              <w:gridCol w:w="992"/>
              <w:gridCol w:w="1356"/>
            </w:tblGrid>
            <w:tr w14:paraId="3814174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24" w:type="pct"/>
                  <w:vAlign w:val="center"/>
                </w:tcPr>
                <w:p w14:paraId="2D1A72CE">
                  <w:pPr>
                    <w:spacing w:line="360" w:lineRule="exact"/>
                    <w:ind w:firstLine="0" w:firstLineChars="0"/>
                    <w:jc w:val="center"/>
                    <w:rPr>
                      <w:b/>
                      <w:sz w:val="18"/>
                      <w:szCs w:val="18"/>
                    </w:rPr>
                  </w:pPr>
                  <w:r>
                    <w:rPr>
                      <w:b/>
                      <w:sz w:val="18"/>
                      <w:szCs w:val="18"/>
                    </w:rPr>
                    <w:t>序号</w:t>
                  </w:r>
                </w:p>
              </w:tc>
              <w:tc>
                <w:tcPr>
                  <w:tcW w:w="1687" w:type="pct"/>
                  <w:vAlign w:val="center"/>
                </w:tcPr>
                <w:p w14:paraId="6AB30D05">
                  <w:pPr>
                    <w:spacing w:line="360" w:lineRule="exact"/>
                    <w:ind w:firstLine="0" w:firstLineChars="0"/>
                    <w:jc w:val="center"/>
                    <w:rPr>
                      <w:b/>
                      <w:sz w:val="18"/>
                      <w:szCs w:val="18"/>
                    </w:rPr>
                  </w:pPr>
                  <w:r>
                    <w:rPr>
                      <w:rFonts w:hint="eastAsia"/>
                      <w:b/>
                      <w:sz w:val="18"/>
                      <w:szCs w:val="18"/>
                    </w:rPr>
                    <w:t>外环境情况</w:t>
                  </w:r>
                </w:p>
              </w:tc>
              <w:tc>
                <w:tcPr>
                  <w:tcW w:w="420" w:type="pct"/>
                  <w:vAlign w:val="center"/>
                </w:tcPr>
                <w:p w14:paraId="72075DE4">
                  <w:pPr>
                    <w:spacing w:line="360" w:lineRule="exact"/>
                    <w:ind w:firstLine="0" w:firstLineChars="0"/>
                    <w:jc w:val="center"/>
                    <w:rPr>
                      <w:b/>
                      <w:sz w:val="18"/>
                      <w:szCs w:val="18"/>
                    </w:rPr>
                  </w:pPr>
                  <w:r>
                    <w:rPr>
                      <w:b/>
                      <w:sz w:val="18"/>
                      <w:szCs w:val="18"/>
                    </w:rPr>
                    <w:t>方位</w:t>
                  </w:r>
                </w:p>
              </w:tc>
              <w:tc>
                <w:tcPr>
                  <w:tcW w:w="1177" w:type="pct"/>
                  <w:vAlign w:val="center"/>
                </w:tcPr>
                <w:p w14:paraId="1FA9F54E">
                  <w:pPr>
                    <w:spacing w:line="360" w:lineRule="exact"/>
                    <w:ind w:firstLine="0" w:firstLineChars="0"/>
                    <w:jc w:val="center"/>
                    <w:rPr>
                      <w:b/>
                      <w:sz w:val="18"/>
                      <w:szCs w:val="18"/>
                    </w:rPr>
                  </w:pPr>
                  <w:r>
                    <w:rPr>
                      <w:rFonts w:hint="eastAsia"/>
                      <w:b/>
                      <w:sz w:val="18"/>
                      <w:szCs w:val="18"/>
                    </w:rPr>
                    <w:t>距本项目最近</w:t>
                  </w:r>
                  <w:r>
                    <w:rPr>
                      <w:b/>
                      <w:sz w:val="18"/>
                      <w:szCs w:val="18"/>
                    </w:rPr>
                    <w:t>距离（m）</w:t>
                  </w:r>
                </w:p>
              </w:tc>
              <w:tc>
                <w:tcPr>
                  <w:tcW w:w="588" w:type="pct"/>
                  <w:vAlign w:val="center"/>
                </w:tcPr>
                <w:p w14:paraId="56348661">
                  <w:pPr>
                    <w:spacing w:line="360" w:lineRule="exact"/>
                    <w:ind w:firstLine="0" w:firstLineChars="0"/>
                    <w:jc w:val="center"/>
                    <w:rPr>
                      <w:b/>
                      <w:sz w:val="18"/>
                      <w:szCs w:val="18"/>
                    </w:rPr>
                  </w:pPr>
                  <w:r>
                    <w:rPr>
                      <w:rFonts w:hint="eastAsia"/>
                      <w:b/>
                      <w:sz w:val="18"/>
                      <w:szCs w:val="18"/>
                    </w:rPr>
                    <w:t>类别</w:t>
                  </w:r>
                </w:p>
              </w:tc>
              <w:tc>
                <w:tcPr>
                  <w:tcW w:w="804" w:type="pct"/>
                </w:tcPr>
                <w:p w14:paraId="659B2D24">
                  <w:pPr>
                    <w:spacing w:line="360" w:lineRule="exact"/>
                    <w:ind w:firstLine="0" w:firstLineChars="0"/>
                    <w:jc w:val="center"/>
                    <w:rPr>
                      <w:b/>
                      <w:sz w:val="18"/>
                      <w:szCs w:val="18"/>
                    </w:rPr>
                  </w:pPr>
                  <w:r>
                    <w:rPr>
                      <w:rFonts w:hint="eastAsia"/>
                      <w:b/>
                      <w:sz w:val="18"/>
                      <w:szCs w:val="18"/>
                    </w:rPr>
                    <w:t>概况</w:t>
                  </w:r>
                </w:p>
              </w:tc>
            </w:tr>
            <w:tr w14:paraId="2AC740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24" w:type="pct"/>
                  <w:vAlign w:val="center"/>
                </w:tcPr>
                <w:p w14:paraId="75CE9333">
                  <w:pPr>
                    <w:spacing w:line="360" w:lineRule="exact"/>
                    <w:ind w:firstLine="0" w:firstLineChars="0"/>
                    <w:jc w:val="center"/>
                    <w:rPr>
                      <w:sz w:val="18"/>
                      <w:szCs w:val="18"/>
                    </w:rPr>
                  </w:pPr>
                  <w:r>
                    <w:rPr>
                      <w:rFonts w:hint="eastAsia"/>
                      <w:sz w:val="18"/>
                      <w:szCs w:val="18"/>
                    </w:rPr>
                    <w:t>1</w:t>
                  </w:r>
                </w:p>
              </w:tc>
              <w:tc>
                <w:tcPr>
                  <w:tcW w:w="1687" w:type="pct"/>
                  <w:vAlign w:val="center"/>
                </w:tcPr>
                <w:p w14:paraId="10F20E81">
                  <w:pPr>
                    <w:spacing w:line="360" w:lineRule="exact"/>
                    <w:ind w:firstLine="0" w:firstLineChars="0"/>
                    <w:jc w:val="center"/>
                    <w:rPr>
                      <w:sz w:val="18"/>
                      <w:szCs w:val="18"/>
                    </w:rPr>
                  </w:pPr>
                  <w:r>
                    <w:rPr>
                      <w:rFonts w:hint="eastAsia"/>
                      <w:sz w:val="18"/>
                      <w:szCs w:val="18"/>
                    </w:rPr>
                    <w:t>鑫悦建材</w:t>
                  </w:r>
                </w:p>
              </w:tc>
              <w:tc>
                <w:tcPr>
                  <w:tcW w:w="420" w:type="pct"/>
                  <w:vAlign w:val="center"/>
                </w:tcPr>
                <w:p w14:paraId="312331D2">
                  <w:pPr>
                    <w:spacing w:line="360" w:lineRule="exact"/>
                    <w:ind w:firstLine="0" w:firstLineChars="0"/>
                    <w:jc w:val="center"/>
                    <w:rPr>
                      <w:sz w:val="18"/>
                      <w:szCs w:val="18"/>
                    </w:rPr>
                  </w:pPr>
                  <w:r>
                    <w:rPr>
                      <w:rFonts w:hint="eastAsia"/>
                      <w:sz w:val="18"/>
                      <w:szCs w:val="18"/>
                    </w:rPr>
                    <w:t>E</w:t>
                  </w:r>
                </w:p>
              </w:tc>
              <w:tc>
                <w:tcPr>
                  <w:tcW w:w="1177" w:type="pct"/>
                  <w:vAlign w:val="center"/>
                </w:tcPr>
                <w:p w14:paraId="2E3B1FA7">
                  <w:pPr>
                    <w:spacing w:line="360" w:lineRule="exact"/>
                    <w:ind w:firstLine="0" w:firstLineChars="0"/>
                    <w:jc w:val="center"/>
                    <w:rPr>
                      <w:sz w:val="18"/>
                      <w:szCs w:val="18"/>
                    </w:rPr>
                  </w:pPr>
                  <w:r>
                    <w:rPr>
                      <w:rFonts w:hint="eastAsia"/>
                      <w:sz w:val="18"/>
                      <w:szCs w:val="18"/>
                    </w:rPr>
                    <w:t>2</w:t>
                  </w:r>
                  <w:r>
                    <w:rPr>
                      <w:sz w:val="18"/>
                      <w:szCs w:val="18"/>
                    </w:rPr>
                    <w:t>0</w:t>
                  </w:r>
                </w:p>
              </w:tc>
              <w:tc>
                <w:tcPr>
                  <w:tcW w:w="588" w:type="pct"/>
                  <w:vAlign w:val="center"/>
                </w:tcPr>
                <w:p w14:paraId="2D3A25C2">
                  <w:pPr>
                    <w:spacing w:line="360" w:lineRule="exact"/>
                    <w:ind w:firstLine="0" w:firstLineChars="0"/>
                    <w:jc w:val="center"/>
                    <w:rPr>
                      <w:sz w:val="18"/>
                      <w:szCs w:val="18"/>
                    </w:rPr>
                  </w:pPr>
                  <w:r>
                    <w:rPr>
                      <w:rFonts w:hint="eastAsia"/>
                      <w:sz w:val="18"/>
                      <w:szCs w:val="18"/>
                    </w:rPr>
                    <w:t>工业企业</w:t>
                  </w:r>
                </w:p>
              </w:tc>
              <w:tc>
                <w:tcPr>
                  <w:tcW w:w="804" w:type="pct"/>
                  <w:vAlign w:val="center"/>
                </w:tcPr>
                <w:p w14:paraId="14A8AF48">
                  <w:pPr>
                    <w:spacing w:line="360" w:lineRule="exact"/>
                    <w:ind w:firstLine="0" w:firstLineChars="0"/>
                    <w:jc w:val="center"/>
                    <w:rPr>
                      <w:sz w:val="18"/>
                      <w:szCs w:val="18"/>
                    </w:rPr>
                  </w:pPr>
                  <w:r>
                    <w:rPr>
                      <w:rFonts w:hint="eastAsia"/>
                      <w:sz w:val="18"/>
                      <w:szCs w:val="18"/>
                    </w:rPr>
                    <w:t>建材企业</w:t>
                  </w:r>
                </w:p>
              </w:tc>
            </w:tr>
            <w:tr w14:paraId="01CB2F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24" w:type="pct"/>
                  <w:vAlign w:val="center"/>
                </w:tcPr>
                <w:p w14:paraId="247552E7">
                  <w:pPr>
                    <w:spacing w:line="360" w:lineRule="exact"/>
                    <w:ind w:firstLine="0" w:firstLineChars="0"/>
                    <w:jc w:val="center"/>
                    <w:rPr>
                      <w:sz w:val="18"/>
                      <w:szCs w:val="18"/>
                    </w:rPr>
                  </w:pPr>
                  <w:r>
                    <w:rPr>
                      <w:sz w:val="18"/>
                      <w:szCs w:val="18"/>
                    </w:rPr>
                    <w:t>2</w:t>
                  </w:r>
                </w:p>
              </w:tc>
              <w:tc>
                <w:tcPr>
                  <w:tcW w:w="1687" w:type="pct"/>
                  <w:vAlign w:val="center"/>
                </w:tcPr>
                <w:p w14:paraId="43FA31DF">
                  <w:pPr>
                    <w:spacing w:line="360" w:lineRule="exact"/>
                    <w:ind w:firstLine="0" w:firstLineChars="0"/>
                    <w:jc w:val="center"/>
                    <w:rPr>
                      <w:sz w:val="18"/>
                      <w:szCs w:val="18"/>
                    </w:rPr>
                  </w:pPr>
                  <w:r>
                    <w:rPr>
                      <w:rFonts w:hint="eastAsia"/>
                      <w:sz w:val="18"/>
                      <w:szCs w:val="18"/>
                    </w:rPr>
                    <w:t>巴中市新越不锈钢门厂</w:t>
                  </w:r>
                </w:p>
              </w:tc>
              <w:tc>
                <w:tcPr>
                  <w:tcW w:w="420" w:type="pct"/>
                  <w:vAlign w:val="center"/>
                </w:tcPr>
                <w:p w14:paraId="70581C90">
                  <w:pPr>
                    <w:spacing w:line="360" w:lineRule="exact"/>
                    <w:ind w:firstLine="0" w:firstLineChars="0"/>
                    <w:jc w:val="center"/>
                    <w:rPr>
                      <w:sz w:val="18"/>
                      <w:szCs w:val="18"/>
                    </w:rPr>
                  </w:pPr>
                  <w:r>
                    <w:rPr>
                      <w:rFonts w:hint="eastAsia"/>
                      <w:sz w:val="18"/>
                      <w:szCs w:val="18"/>
                    </w:rPr>
                    <w:t>SE</w:t>
                  </w:r>
                </w:p>
              </w:tc>
              <w:tc>
                <w:tcPr>
                  <w:tcW w:w="1177" w:type="pct"/>
                  <w:vAlign w:val="center"/>
                </w:tcPr>
                <w:p w14:paraId="7F4CB75F">
                  <w:pPr>
                    <w:spacing w:line="360" w:lineRule="exact"/>
                    <w:ind w:firstLine="0" w:firstLineChars="0"/>
                    <w:jc w:val="center"/>
                    <w:rPr>
                      <w:sz w:val="18"/>
                      <w:szCs w:val="18"/>
                    </w:rPr>
                  </w:pPr>
                  <w:r>
                    <w:rPr>
                      <w:rFonts w:hint="eastAsia"/>
                      <w:sz w:val="18"/>
                      <w:szCs w:val="18"/>
                    </w:rPr>
                    <w:t>8</w:t>
                  </w:r>
                  <w:r>
                    <w:rPr>
                      <w:sz w:val="18"/>
                      <w:szCs w:val="18"/>
                    </w:rPr>
                    <w:t>0</w:t>
                  </w:r>
                </w:p>
              </w:tc>
              <w:tc>
                <w:tcPr>
                  <w:tcW w:w="588" w:type="pct"/>
                  <w:vAlign w:val="center"/>
                </w:tcPr>
                <w:p w14:paraId="3D23A97A">
                  <w:pPr>
                    <w:spacing w:line="360" w:lineRule="exact"/>
                    <w:ind w:firstLine="0" w:firstLineChars="0"/>
                    <w:jc w:val="center"/>
                    <w:rPr>
                      <w:sz w:val="18"/>
                      <w:szCs w:val="18"/>
                    </w:rPr>
                  </w:pPr>
                  <w:r>
                    <w:rPr>
                      <w:rFonts w:hint="eastAsia"/>
                      <w:sz w:val="18"/>
                      <w:szCs w:val="18"/>
                    </w:rPr>
                    <w:t>工业企业</w:t>
                  </w:r>
                </w:p>
              </w:tc>
              <w:tc>
                <w:tcPr>
                  <w:tcW w:w="804" w:type="pct"/>
                  <w:vAlign w:val="center"/>
                </w:tcPr>
                <w:p w14:paraId="1C2991CD">
                  <w:pPr>
                    <w:spacing w:line="360" w:lineRule="exact"/>
                    <w:ind w:firstLine="0" w:firstLineChars="0"/>
                    <w:jc w:val="center"/>
                    <w:rPr>
                      <w:sz w:val="18"/>
                      <w:szCs w:val="18"/>
                    </w:rPr>
                  </w:pPr>
                  <w:r>
                    <w:rPr>
                      <w:rFonts w:hint="eastAsia"/>
                      <w:sz w:val="18"/>
                      <w:szCs w:val="18"/>
                    </w:rPr>
                    <w:t>机械加工</w:t>
                  </w:r>
                </w:p>
              </w:tc>
            </w:tr>
            <w:tr w14:paraId="5F8078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24" w:type="pct"/>
                  <w:vAlign w:val="center"/>
                </w:tcPr>
                <w:p w14:paraId="38EFD0AA">
                  <w:pPr>
                    <w:spacing w:line="360" w:lineRule="exact"/>
                    <w:ind w:firstLine="0" w:firstLineChars="0"/>
                    <w:jc w:val="center"/>
                    <w:rPr>
                      <w:sz w:val="18"/>
                      <w:szCs w:val="18"/>
                    </w:rPr>
                  </w:pPr>
                  <w:r>
                    <w:rPr>
                      <w:sz w:val="18"/>
                      <w:szCs w:val="18"/>
                    </w:rPr>
                    <w:t>3</w:t>
                  </w:r>
                </w:p>
              </w:tc>
              <w:tc>
                <w:tcPr>
                  <w:tcW w:w="1687" w:type="pct"/>
                  <w:vAlign w:val="center"/>
                </w:tcPr>
                <w:p w14:paraId="6324E338">
                  <w:pPr>
                    <w:spacing w:line="360" w:lineRule="exact"/>
                    <w:ind w:firstLine="0" w:firstLineChars="0"/>
                    <w:jc w:val="center"/>
                    <w:rPr>
                      <w:sz w:val="18"/>
                      <w:szCs w:val="18"/>
                    </w:rPr>
                  </w:pPr>
                  <w:r>
                    <w:rPr>
                      <w:rFonts w:hint="eastAsia"/>
                      <w:sz w:val="18"/>
                      <w:szCs w:val="18"/>
                    </w:rPr>
                    <w:t>巴中市安驰驾校</w:t>
                  </w:r>
                </w:p>
              </w:tc>
              <w:tc>
                <w:tcPr>
                  <w:tcW w:w="420" w:type="pct"/>
                  <w:vAlign w:val="center"/>
                </w:tcPr>
                <w:p w14:paraId="192DD6E7">
                  <w:pPr>
                    <w:spacing w:line="360" w:lineRule="exact"/>
                    <w:ind w:firstLine="0" w:firstLineChars="0"/>
                    <w:jc w:val="center"/>
                    <w:rPr>
                      <w:sz w:val="18"/>
                      <w:szCs w:val="18"/>
                    </w:rPr>
                  </w:pPr>
                  <w:r>
                    <w:rPr>
                      <w:rFonts w:hint="eastAsia"/>
                      <w:sz w:val="18"/>
                      <w:szCs w:val="18"/>
                    </w:rPr>
                    <w:t>S</w:t>
                  </w:r>
                </w:p>
              </w:tc>
              <w:tc>
                <w:tcPr>
                  <w:tcW w:w="1177" w:type="pct"/>
                  <w:vAlign w:val="center"/>
                </w:tcPr>
                <w:p w14:paraId="0E9A238E">
                  <w:pPr>
                    <w:spacing w:line="360" w:lineRule="exact"/>
                    <w:ind w:firstLine="0" w:firstLineChars="0"/>
                    <w:jc w:val="center"/>
                    <w:rPr>
                      <w:sz w:val="18"/>
                      <w:szCs w:val="18"/>
                    </w:rPr>
                  </w:pPr>
                  <w:r>
                    <w:rPr>
                      <w:rFonts w:hint="eastAsia"/>
                      <w:sz w:val="18"/>
                      <w:szCs w:val="18"/>
                    </w:rPr>
                    <w:t>紧邻</w:t>
                  </w:r>
                </w:p>
              </w:tc>
              <w:tc>
                <w:tcPr>
                  <w:tcW w:w="588" w:type="pct"/>
                  <w:vAlign w:val="center"/>
                </w:tcPr>
                <w:p w14:paraId="4A52A493">
                  <w:pPr>
                    <w:spacing w:line="360" w:lineRule="exact"/>
                    <w:ind w:firstLine="0" w:firstLineChars="0"/>
                    <w:jc w:val="center"/>
                    <w:rPr>
                      <w:sz w:val="18"/>
                      <w:szCs w:val="18"/>
                    </w:rPr>
                  </w:pPr>
                  <w:r>
                    <w:rPr>
                      <w:rFonts w:hint="eastAsia"/>
                      <w:sz w:val="18"/>
                      <w:szCs w:val="18"/>
                    </w:rPr>
                    <w:t>工业企业</w:t>
                  </w:r>
                </w:p>
              </w:tc>
              <w:tc>
                <w:tcPr>
                  <w:tcW w:w="804" w:type="pct"/>
                  <w:vAlign w:val="center"/>
                </w:tcPr>
                <w:p w14:paraId="42CB9DEB">
                  <w:pPr>
                    <w:spacing w:line="360" w:lineRule="exact"/>
                    <w:ind w:firstLine="0" w:firstLineChars="0"/>
                    <w:jc w:val="center"/>
                    <w:rPr>
                      <w:sz w:val="18"/>
                      <w:szCs w:val="18"/>
                    </w:rPr>
                  </w:pPr>
                  <w:r>
                    <w:rPr>
                      <w:rFonts w:hint="eastAsia"/>
                      <w:sz w:val="18"/>
                      <w:szCs w:val="18"/>
                    </w:rPr>
                    <w:t>驾校</w:t>
                  </w:r>
                </w:p>
              </w:tc>
            </w:tr>
            <w:tr w14:paraId="48A622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24" w:type="pct"/>
                  <w:vAlign w:val="center"/>
                </w:tcPr>
                <w:p w14:paraId="5EA5B71E">
                  <w:pPr>
                    <w:spacing w:line="360" w:lineRule="exact"/>
                    <w:ind w:firstLine="0" w:firstLineChars="0"/>
                    <w:jc w:val="center"/>
                    <w:rPr>
                      <w:sz w:val="18"/>
                      <w:szCs w:val="18"/>
                    </w:rPr>
                  </w:pPr>
                  <w:r>
                    <w:rPr>
                      <w:sz w:val="18"/>
                      <w:szCs w:val="18"/>
                    </w:rPr>
                    <w:t>4</w:t>
                  </w:r>
                </w:p>
              </w:tc>
              <w:tc>
                <w:tcPr>
                  <w:tcW w:w="1687" w:type="pct"/>
                  <w:vAlign w:val="center"/>
                </w:tcPr>
                <w:p w14:paraId="166ED16B">
                  <w:pPr>
                    <w:spacing w:line="360" w:lineRule="exact"/>
                    <w:ind w:firstLine="0" w:firstLineChars="0"/>
                    <w:jc w:val="center"/>
                    <w:rPr>
                      <w:sz w:val="18"/>
                      <w:szCs w:val="18"/>
                    </w:rPr>
                  </w:pPr>
                  <w:r>
                    <w:rPr>
                      <w:rFonts w:hint="eastAsia"/>
                      <w:sz w:val="18"/>
                      <w:szCs w:val="18"/>
                    </w:rPr>
                    <w:t>四川国药天江药业有限公司</w:t>
                  </w:r>
                </w:p>
              </w:tc>
              <w:tc>
                <w:tcPr>
                  <w:tcW w:w="420" w:type="pct"/>
                  <w:vAlign w:val="center"/>
                </w:tcPr>
                <w:p w14:paraId="3464AF58">
                  <w:pPr>
                    <w:spacing w:line="360" w:lineRule="exact"/>
                    <w:ind w:firstLine="0" w:firstLineChars="0"/>
                    <w:jc w:val="center"/>
                    <w:rPr>
                      <w:sz w:val="18"/>
                      <w:szCs w:val="18"/>
                    </w:rPr>
                  </w:pPr>
                  <w:r>
                    <w:rPr>
                      <w:rFonts w:hint="eastAsia"/>
                      <w:sz w:val="18"/>
                      <w:szCs w:val="18"/>
                    </w:rPr>
                    <w:t>S</w:t>
                  </w:r>
                </w:p>
              </w:tc>
              <w:tc>
                <w:tcPr>
                  <w:tcW w:w="1177" w:type="pct"/>
                  <w:vAlign w:val="center"/>
                </w:tcPr>
                <w:p w14:paraId="15A782A9">
                  <w:pPr>
                    <w:spacing w:line="360" w:lineRule="exact"/>
                    <w:ind w:firstLine="0" w:firstLineChars="0"/>
                    <w:jc w:val="center"/>
                    <w:rPr>
                      <w:sz w:val="18"/>
                      <w:szCs w:val="18"/>
                    </w:rPr>
                  </w:pPr>
                  <w:r>
                    <w:rPr>
                      <w:rFonts w:hint="eastAsia"/>
                      <w:sz w:val="18"/>
                      <w:szCs w:val="18"/>
                    </w:rPr>
                    <w:t>1</w:t>
                  </w:r>
                  <w:r>
                    <w:rPr>
                      <w:sz w:val="18"/>
                      <w:szCs w:val="18"/>
                    </w:rPr>
                    <w:t>80</w:t>
                  </w:r>
                </w:p>
              </w:tc>
              <w:tc>
                <w:tcPr>
                  <w:tcW w:w="588" w:type="pct"/>
                  <w:vAlign w:val="center"/>
                </w:tcPr>
                <w:p w14:paraId="564C5001">
                  <w:pPr>
                    <w:spacing w:line="360" w:lineRule="exact"/>
                    <w:ind w:firstLine="0" w:firstLineChars="0"/>
                    <w:jc w:val="center"/>
                    <w:rPr>
                      <w:sz w:val="18"/>
                      <w:szCs w:val="18"/>
                    </w:rPr>
                  </w:pPr>
                  <w:r>
                    <w:rPr>
                      <w:rFonts w:hint="eastAsia"/>
                      <w:sz w:val="18"/>
                      <w:szCs w:val="18"/>
                    </w:rPr>
                    <w:t>工业企业</w:t>
                  </w:r>
                </w:p>
              </w:tc>
              <w:tc>
                <w:tcPr>
                  <w:tcW w:w="804" w:type="pct"/>
                  <w:vAlign w:val="center"/>
                </w:tcPr>
                <w:p w14:paraId="06E0CF65">
                  <w:pPr>
                    <w:spacing w:line="360" w:lineRule="exact"/>
                    <w:ind w:firstLine="0" w:firstLineChars="0"/>
                    <w:jc w:val="center"/>
                    <w:rPr>
                      <w:sz w:val="18"/>
                      <w:szCs w:val="18"/>
                    </w:rPr>
                  </w:pPr>
                  <w:r>
                    <w:rPr>
                      <w:rFonts w:hint="eastAsia"/>
                      <w:sz w:val="18"/>
                      <w:szCs w:val="18"/>
                    </w:rPr>
                    <w:t>医药企业</w:t>
                  </w:r>
                </w:p>
              </w:tc>
            </w:tr>
            <w:tr w14:paraId="06362C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24" w:type="pct"/>
                  <w:vAlign w:val="center"/>
                </w:tcPr>
                <w:p w14:paraId="72944815">
                  <w:pPr>
                    <w:spacing w:line="360" w:lineRule="exact"/>
                    <w:ind w:firstLine="0" w:firstLineChars="0"/>
                    <w:jc w:val="center"/>
                    <w:rPr>
                      <w:sz w:val="18"/>
                      <w:szCs w:val="18"/>
                    </w:rPr>
                  </w:pPr>
                  <w:r>
                    <w:rPr>
                      <w:sz w:val="18"/>
                      <w:szCs w:val="18"/>
                    </w:rPr>
                    <w:t>5</w:t>
                  </w:r>
                </w:p>
              </w:tc>
              <w:tc>
                <w:tcPr>
                  <w:tcW w:w="1687" w:type="pct"/>
                  <w:vAlign w:val="center"/>
                </w:tcPr>
                <w:p w14:paraId="3D9E3BC6">
                  <w:pPr>
                    <w:spacing w:line="360" w:lineRule="exact"/>
                    <w:ind w:firstLine="0" w:firstLineChars="0"/>
                    <w:jc w:val="center"/>
                    <w:rPr>
                      <w:sz w:val="18"/>
                      <w:szCs w:val="18"/>
                    </w:rPr>
                  </w:pPr>
                  <w:r>
                    <w:rPr>
                      <w:rFonts w:hint="eastAsia"/>
                      <w:sz w:val="18"/>
                      <w:szCs w:val="18"/>
                    </w:rPr>
                    <w:t>四川葛洲坝巴通万高速路有限公司</w:t>
                  </w:r>
                </w:p>
              </w:tc>
              <w:tc>
                <w:tcPr>
                  <w:tcW w:w="420" w:type="pct"/>
                  <w:vAlign w:val="center"/>
                </w:tcPr>
                <w:p w14:paraId="7A67F55D">
                  <w:pPr>
                    <w:spacing w:line="360" w:lineRule="exact"/>
                    <w:ind w:firstLine="0" w:firstLineChars="0"/>
                    <w:jc w:val="center"/>
                    <w:rPr>
                      <w:sz w:val="18"/>
                      <w:szCs w:val="18"/>
                    </w:rPr>
                  </w:pPr>
                  <w:r>
                    <w:rPr>
                      <w:rFonts w:hint="eastAsia"/>
                      <w:sz w:val="18"/>
                      <w:szCs w:val="18"/>
                    </w:rPr>
                    <w:t>SW</w:t>
                  </w:r>
                </w:p>
              </w:tc>
              <w:tc>
                <w:tcPr>
                  <w:tcW w:w="1177" w:type="pct"/>
                  <w:vAlign w:val="center"/>
                </w:tcPr>
                <w:p w14:paraId="013CFA35">
                  <w:pPr>
                    <w:spacing w:line="360" w:lineRule="exact"/>
                    <w:ind w:firstLine="0" w:firstLineChars="0"/>
                    <w:jc w:val="center"/>
                    <w:rPr>
                      <w:sz w:val="18"/>
                      <w:szCs w:val="18"/>
                    </w:rPr>
                  </w:pPr>
                  <w:r>
                    <w:rPr>
                      <w:rFonts w:hint="eastAsia"/>
                      <w:sz w:val="18"/>
                      <w:szCs w:val="18"/>
                    </w:rPr>
                    <w:t>2</w:t>
                  </w:r>
                  <w:r>
                    <w:rPr>
                      <w:sz w:val="18"/>
                      <w:szCs w:val="18"/>
                    </w:rPr>
                    <w:t>80</w:t>
                  </w:r>
                </w:p>
              </w:tc>
              <w:tc>
                <w:tcPr>
                  <w:tcW w:w="588" w:type="pct"/>
                  <w:vAlign w:val="center"/>
                </w:tcPr>
                <w:p w14:paraId="1B577BD4">
                  <w:pPr>
                    <w:spacing w:line="360" w:lineRule="exact"/>
                    <w:ind w:firstLine="0" w:firstLineChars="0"/>
                    <w:jc w:val="center"/>
                    <w:rPr>
                      <w:sz w:val="18"/>
                      <w:szCs w:val="18"/>
                    </w:rPr>
                  </w:pPr>
                  <w:r>
                    <w:rPr>
                      <w:rFonts w:hint="eastAsia"/>
                      <w:sz w:val="18"/>
                      <w:szCs w:val="18"/>
                    </w:rPr>
                    <w:t>工业企业</w:t>
                  </w:r>
                </w:p>
              </w:tc>
              <w:tc>
                <w:tcPr>
                  <w:tcW w:w="804" w:type="pct"/>
                  <w:vAlign w:val="center"/>
                </w:tcPr>
                <w:p w14:paraId="66E4C14F">
                  <w:pPr>
                    <w:spacing w:line="360" w:lineRule="exact"/>
                    <w:ind w:firstLine="0" w:firstLineChars="0"/>
                    <w:jc w:val="center"/>
                    <w:rPr>
                      <w:sz w:val="18"/>
                      <w:szCs w:val="18"/>
                    </w:rPr>
                  </w:pPr>
                  <w:r>
                    <w:rPr>
                      <w:rFonts w:hint="eastAsia"/>
                      <w:sz w:val="18"/>
                      <w:szCs w:val="18"/>
                    </w:rPr>
                    <w:t>/</w:t>
                  </w:r>
                </w:p>
              </w:tc>
            </w:tr>
            <w:tr w14:paraId="5714C3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24" w:type="pct"/>
                  <w:vAlign w:val="center"/>
                </w:tcPr>
                <w:p w14:paraId="2888ACE1">
                  <w:pPr>
                    <w:spacing w:line="360" w:lineRule="exact"/>
                    <w:ind w:firstLine="0" w:firstLineChars="0"/>
                    <w:jc w:val="center"/>
                    <w:rPr>
                      <w:sz w:val="18"/>
                      <w:szCs w:val="18"/>
                    </w:rPr>
                  </w:pPr>
                  <w:r>
                    <w:rPr>
                      <w:rFonts w:hint="eastAsia"/>
                      <w:sz w:val="18"/>
                      <w:szCs w:val="18"/>
                    </w:rPr>
                    <w:t>6</w:t>
                  </w:r>
                </w:p>
              </w:tc>
              <w:tc>
                <w:tcPr>
                  <w:tcW w:w="1687" w:type="pct"/>
                  <w:vAlign w:val="center"/>
                </w:tcPr>
                <w:p w14:paraId="1E5D00EB">
                  <w:pPr>
                    <w:spacing w:line="360" w:lineRule="exact"/>
                    <w:ind w:firstLine="0" w:firstLineChars="0"/>
                    <w:jc w:val="center"/>
                    <w:rPr>
                      <w:sz w:val="18"/>
                      <w:szCs w:val="18"/>
                    </w:rPr>
                  </w:pPr>
                  <w:r>
                    <w:rPr>
                      <w:rFonts w:hint="eastAsia"/>
                      <w:sz w:val="18"/>
                      <w:szCs w:val="18"/>
                    </w:rPr>
                    <w:t>达芙妮公租房</w:t>
                  </w:r>
                </w:p>
              </w:tc>
              <w:tc>
                <w:tcPr>
                  <w:tcW w:w="420" w:type="pct"/>
                  <w:vAlign w:val="center"/>
                </w:tcPr>
                <w:p w14:paraId="70F8EE4A">
                  <w:pPr>
                    <w:spacing w:line="360" w:lineRule="exact"/>
                    <w:ind w:firstLine="0" w:firstLineChars="0"/>
                    <w:jc w:val="center"/>
                    <w:rPr>
                      <w:sz w:val="18"/>
                      <w:szCs w:val="18"/>
                    </w:rPr>
                  </w:pPr>
                  <w:r>
                    <w:rPr>
                      <w:rFonts w:hint="eastAsia"/>
                      <w:sz w:val="18"/>
                      <w:szCs w:val="18"/>
                    </w:rPr>
                    <w:t>NW</w:t>
                  </w:r>
                </w:p>
              </w:tc>
              <w:tc>
                <w:tcPr>
                  <w:tcW w:w="1177" w:type="pct"/>
                  <w:vAlign w:val="center"/>
                </w:tcPr>
                <w:p w14:paraId="18DA928F">
                  <w:pPr>
                    <w:spacing w:line="360" w:lineRule="exact"/>
                    <w:ind w:firstLine="0" w:firstLineChars="0"/>
                    <w:jc w:val="center"/>
                    <w:rPr>
                      <w:sz w:val="18"/>
                      <w:szCs w:val="18"/>
                    </w:rPr>
                  </w:pPr>
                  <w:r>
                    <w:rPr>
                      <w:rFonts w:hint="eastAsia"/>
                      <w:sz w:val="18"/>
                      <w:szCs w:val="18"/>
                    </w:rPr>
                    <w:t>4</w:t>
                  </w:r>
                  <w:r>
                    <w:rPr>
                      <w:sz w:val="18"/>
                      <w:szCs w:val="18"/>
                    </w:rPr>
                    <w:t>50</w:t>
                  </w:r>
                </w:p>
              </w:tc>
              <w:tc>
                <w:tcPr>
                  <w:tcW w:w="588" w:type="pct"/>
                  <w:vAlign w:val="center"/>
                </w:tcPr>
                <w:p w14:paraId="14352D3A">
                  <w:pPr>
                    <w:spacing w:line="360" w:lineRule="exact"/>
                    <w:ind w:firstLine="0" w:firstLineChars="0"/>
                    <w:jc w:val="center"/>
                    <w:rPr>
                      <w:sz w:val="18"/>
                      <w:szCs w:val="18"/>
                    </w:rPr>
                  </w:pPr>
                  <w:r>
                    <w:rPr>
                      <w:rFonts w:hint="eastAsia"/>
                      <w:sz w:val="18"/>
                      <w:szCs w:val="18"/>
                    </w:rPr>
                    <w:t>居住区</w:t>
                  </w:r>
                </w:p>
              </w:tc>
              <w:tc>
                <w:tcPr>
                  <w:tcW w:w="804" w:type="pct"/>
                  <w:vAlign w:val="center"/>
                </w:tcPr>
                <w:p w14:paraId="4965EC64">
                  <w:pPr>
                    <w:spacing w:line="360" w:lineRule="exact"/>
                    <w:ind w:firstLine="0" w:firstLineChars="0"/>
                    <w:jc w:val="center"/>
                    <w:rPr>
                      <w:sz w:val="18"/>
                      <w:szCs w:val="18"/>
                    </w:rPr>
                  </w:pPr>
                  <w:r>
                    <w:rPr>
                      <w:rFonts w:hint="eastAsia"/>
                      <w:sz w:val="18"/>
                      <w:szCs w:val="18"/>
                    </w:rPr>
                    <w:t>约1</w:t>
                  </w:r>
                  <w:r>
                    <w:rPr>
                      <w:sz w:val="18"/>
                      <w:szCs w:val="18"/>
                    </w:rPr>
                    <w:t>500</w:t>
                  </w:r>
                  <w:r>
                    <w:rPr>
                      <w:rFonts w:hint="eastAsia"/>
                      <w:sz w:val="18"/>
                      <w:szCs w:val="18"/>
                    </w:rPr>
                    <w:t>人</w:t>
                  </w:r>
                </w:p>
              </w:tc>
            </w:tr>
            <w:tr w14:paraId="0DF4E0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24" w:type="pct"/>
                  <w:vAlign w:val="center"/>
                </w:tcPr>
                <w:p w14:paraId="52900BD5">
                  <w:pPr>
                    <w:spacing w:line="360" w:lineRule="exact"/>
                    <w:ind w:firstLine="0" w:firstLineChars="0"/>
                    <w:jc w:val="center"/>
                    <w:rPr>
                      <w:sz w:val="18"/>
                      <w:szCs w:val="18"/>
                    </w:rPr>
                  </w:pPr>
                  <w:r>
                    <w:rPr>
                      <w:rFonts w:hint="eastAsia"/>
                      <w:sz w:val="18"/>
                      <w:szCs w:val="18"/>
                    </w:rPr>
                    <w:t>7</w:t>
                  </w:r>
                </w:p>
              </w:tc>
              <w:tc>
                <w:tcPr>
                  <w:tcW w:w="1687" w:type="pct"/>
                  <w:vAlign w:val="center"/>
                </w:tcPr>
                <w:p w14:paraId="7B22C198">
                  <w:pPr>
                    <w:spacing w:line="360" w:lineRule="exact"/>
                    <w:ind w:firstLine="0" w:firstLineChars="0"/>
                    <w:jc w:val="center"/>
                    <w:rPr>
                      <w:sz w:val="18"/>
                      <w:szCs w:val="18"/>
                    </w:rPr>
                  </w:pPr>
                  <w:r>
                    <w:rPr>
                      <w:rFonts w:hint="eastAsia"/>
                      <w:sz w:val="18"/>
                      <w:szCs w:val="18"/>
                    </w:rPr>
                    <w:t>综合性养护基地项目</w:t>
                  </w:r>
                </w:p>
              </w:tc>
              <w:tc>
                <w:tcPr>
                  <w:tcW w:w="420" w:type="pct"/>
                  <w:vAlign w:val="center"/>
                </w:tcPr>
                <w:p w14:paraId="7F69CE8A">
                  <w:pPr>
                    <w:spacing w:line="360" w:lineRule="exact"/>
                    <w:ind w:firstLine="0" w:firstLineChars="0"/>
                    <w:jc w:val="center"/>
                    <w:rPr>
                      <w:sz w:val="18"/>
                      <w:szCs w:val="18"/>
                    </w:rPr>
                  </w:pPr>
                  <w:r>
                    <w:rPr>
                      <w:rFonts w:hint="eastAsia"/>
                      <w:sz w:val="18"/>
                      <w:szCs w:val="18"/>
                    </w:rPr>
                    <w:t>N</w:t>
                  </w:r>
                </w:p>
              </w:tc>
              <w:tc>
                <w:tcPr>
                  <w:tcW w:w="1177" w:type="pct"/>
                  <w:vAlign w:val="center"/>
                </w:tcPr>
                <w:p w14:paraId="19257ABF">
                  <w:pPr>
                    <w:spacing w:line="360" w:lineRule="exact"/>
                    <w:ind w:firstLine="0" w:firstLineChars="0"/>
                    <w:jc w:val="center"/>
                    <w:rPr>
                      <w:sz w:val="18"/>
                      <w:szCs w:val="18"/>
                    </w:rPr>
                  </w:pPr>
                  <w:r>
                    <w:rPr>
                      <w:rFonts w:hint="eastAsia"/>
                      <w:sz w:val="18"/>
                      <w:szCs w:val="18"/>
                    </w:rPr>
                    <w:t>2</w:t>
                  </w:r>
                  <w:r>
                    <w:rPr>
                      <w:sz w:val="18"/>
                      <w:szCs w:val="18"/>
                    </w:rPr>
                    <w:t>50</w:t>
                  </w:r>
                </w:p>
              </w:tc>
              <w:tc>
                <w:tcPr>
                  <w:tcW w:w="588" w:type="pct"/>
                  <w:vAlign w:val="center"/>
                </w:tcPr>
                <w:p w14:paraId="4DE2B98B">
                  <w:pPr>
                    <w:spacing w:line="360" w:lineRule="exact"/>
                    <w:ind w:firstLine="0" w:firstLineChars="0"/>
                    <w:jc w:val="center"/>
                    <w:rPr>
                      <w:sz w:val="18"/>
                      <w:szCs w:val="18"/>
                    </w:rPr>
                  </w:pPr>
                  <w:r>
                    <w:rPr>
                      <w:rFonts w:hint="eastAsia"/>
                      <w:sz w:val="18"/>
                      <w:szCs w:val="18"/>
                    </w:rPr>
                    <w:t>工业企业</w:t>
                  </w:r>
                </w:p>
              </w:tc>
              <w:tc>
                <w:tcPr>
                  <w:tcW w:w="804" w:type="pct"/>
                  <w:vAlign w:val="center"/>
                </w:tcPr>
                <w:p w14:paraId="085EE282">
                  <w:pPr>
                    <w:spacing w:line="360" w:lineRule="exact"/>
                    <w:ind w:firstLine="0" w:firstLineChars="0"/>
                    <w:jc w:val="center"/>
                    <w:rPr>
                      <w:sz w:val="18"/>
                      <w:szCs w:val="18"/>
                    </w:rPr>
                  </w:pPr>
                  <w:r>
                    <w:rPr>
                      <w:rFonts w:hint="eastAsia"/>
                      <w:sz w:val="18"/>
                      <w:szCs w:val="18"/>
                    </w:rPr>
                    <w:t>商砼加工</w:t>
                  </w:r>
                </w:p>
              </w:tc>
            </w:tr>
            <w:tr w14:paraId="6D22E8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24" w:type="pct"/>
                  <w:vAlign w:val="center"/>
                </w:tcPr>
                <w:p w14:paraId="43B87764">
                  <w:pPr>
                    <w:spacing w:line="360" w:lineRule="exact"/>
                    <w:ind w:firstLine="0" w:firstLineChars="0"/>
                    <w:jc w:val="center"/>
                    <w:rPr>
                      <w:sz w:val="18"/>
                      <w:szCs w:val="18"/>
                    </w:rPr>
                  </w:pPr>
                  <w:r>
                    <w:rPr>
                      <w:rFonts w:hint="eastAsia"/>
                      <w:sz w:val="18"/>
                      <w:szCs w:val="18"/>
                    </w:rPr>
                    <w:t>8</w:t>
                  </w:r>
                </w:p>
              </w:tc>
              <w:tc>
                <w:tcPr>
                  <w:tcW w:w="1687" w:type="pct"/>
                  <w:vAlign w:val="center"/>
                </w:tcPr>
                <w:p w14:paraId="16C905B5">
                  <w:pPr>
                    <w:spacing w:line="360" w:lineRule="exact"/>
                    <w:ind w:firstLine="0" w:firstLineChars="0"/>
                    <w:jc w:val="center"/>
                    <w:rPr>
                      <w:sz w:val="18"/>
                      <w:szCs w:val="18"/>
                    </w:rPr>
                  </w:pPr>
                  <w:r>
                    <w:rPr>
                      <w:rFonts w:hint="eastAsia"/>
                      <w:sz w:val="18"/>
                      <w:szCs w:val="18"/>
                    </w:rPr>
                    <w:t>巴中市九兴商砼有限公司</w:t>
                  </w:r>
                </w:p>
              </w:tc>
              <w:tc>
                <w:tcPr>
                  <w:tcW w:w="420" w:type="pct"/>
                  <w:vAlign w:val="center"/>
                </w:tcPr>
                <w:p w14:paraId="38ECA415">
                  <w:pPr>
                    <w:spacing w:line="360" w:lineRule="exact"/>
                    <w:ind w:firstLine="0" w:firstLineChars="0"/>
                    <w:jc w:val="center"/>
                    <w:rPr>
                      <w:sz w:val="18"/>
                      <w:szCs w:val="18"/>
                    </w:rPr>
                  </w:pPr>
                  <w:r>
                    <w:rPr>
                      <w:rFonts w:hint="eastAsia"/>
                      <w:sz w:val="18"/>
                      <w:szCs w:val="18"/>
                    </w:rPr>
                    <w:t>N</w:t>
                  </w:r>
                </w:p>
              </w:tc>
              <w:tc>
                <w:tcPr>
                  <w:tcW w:w="1177" w:type="pct"/>
                  <w:vAlign w:val="center"/>
                </w:tcPr>
                <w:p w14:paraId="695F7D5D">
                  <w:pPr>
                    <w:spacing w:line="360" w:lineRule="exact"/>
                    <w:ind w:firstLine="0" w:firstLineChars="0"/>
                    <w:jc w:val="center"/>
                    <w:rPr>
                      <w:sz w:val="18"/>
                      <w:szCs w:val="18"/>
                    </w:rPr>
                  </w:pPr>
                  <w:r>
                    <w:rPr>
                      <w:rFonts w:hint="eastAsia"/>
                      <w:sz w:val="18"/>
                      <w:szCs w:val="18"/>
                    </w:rPr>
                    <w:t>7</w:t>
                  </w:r>
                  <w:r>
                    <w:rPr>
                      <w:sz w:val="18"/>
                      <w:szCs w:val="18"/>
                    </w:rPr>
                    <w:t>0</w:t>
                  </w:r>
                </w:p>
              </w:tc>
              <w:tc>
                <w:tcPr>
                  <w:tcW w:w="588" w:type="pct"/>
                  <w:vAlign w:val="center"/>
                </w:tcPr>
                <w:p w14:paraId="0F593A6C">
                  <w:pPr>
                    <w:spacing w:line="360" w:lineRule="exact"/>
                    <w:ind w:firstLine="0" w:firstLineChars="0"/>
                    <w:jc w:val="center"/>
                    <w:rPr>
                      <w:sz w:val="18"/>
                      <w:szCs w:val="18"/>
                    </w:rPr>
                  </w:pPr>
                  <w:r>
                    <w:rPr>
                      <w:rFonts w:hint="eastAsia"/>
                      <w:sz w:val="18"/>
                      <w:szCs w:val="18"/>
                    </w:rPr>
                    <w:t>工业企业</w:t>
                  </w:r>
                </w:p>
              </w:tc>
              <w:tc>
                <w:tcPr>
                  <w:tcW w:w="804" w:type="pct"/>
                  <w:vAlign w:val="center"/>
                </w:tcPr>
                <w:p w14:paraId="77C14D2F">
                  <w:pPr>
                    <w:spacing w:line="360" w:lineRule="exact"/>
                    <w:ind w:firstLine="0" w:firstLineChars="0"/>
                    <w:jc w:val="center"/>
                    <w:rPr>
                      <w:sz w:val="18"/>
                      <w:szCs w:val="18"/>
                    </w:rPr>
                  </w:pPr>
                  <w:r>
                    <w:rPr>
                      <w:rFonts w:hint="eastAsia"/>
                      <w:sz w:val="18"/>
                      <w:szCs w:val="18"/>
                    </w:rPr>
                    <w:t>商砼加工</w:t>
                  </w:r>
                </w:p>
              </w:tc>
            </w:tr>
            <w:tr w14:paraId="152E0E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24" w:type="pct"/>
                  <w:vAlign w:val="center"/>
                </w:tcPr>
                <w:p w14:paraId="42FE58E2">
                  <w:pPr>
                    <w:spacing w:line="360" w:lineRule="exact"/>
                    <w:ind w:firstLine="0" w:firstLineChars="0"/>
                    <w:jc w:val="center"/>
                    <w:rPr>
                      <w:sz w:val="18"/>
                      <w:szCs w:val="18"/>
                    </w:rPr>
                  </w:pPr>
                  <w:r>
                    <w:rPr>
                      <w:rFonts w:hint="eastAsia"/>
                      <w:sz w:val="18"/>
                      <w:szCs w:val="18"/>
                    </w:rPr>
                    <w:t>9</w:t>
                  </w:r>
                </w:p>
              </w:tc>
              <w:tc>
                <w:tcPr>
                  <w:tcW w:w="1687" w:type="pct"/>
                  <w:vAlign w:val="center"/>
                </w:tcPr>
                <w:p w14:paraId="32A4AF58">
                  <w:pPr>
                    <w:spacing w:line="360" w:lineRule="exact"/>
                    <w:ind w:firstLine="0" w:firstLineChars="0"/>
                    <w:jc w:val="center"/>
                    <w:rPr>
                      <w:sz w:val="18"/>
                      <w:szCs w:val="18"/>
                    </w:rPr>
                  </w:pPr>
                  <w:r>
                    <w:rPr>
                      <w:rFonts w:hint="eastAsia"/>
                      <w:sz w:val="18"/>
                      <w:szCs w:val="18"/>
                    </w:rPr>
                    <w:t>巴中国兴公路工程有限公司</w:t>
                  </w:r>
                </w:p>
              </w:tc>
              <w:tc>
                <w:tcPr>
                  <w:tcW w:w="420" w:type="pct"/>
                  <w:vAlign w:val="center"/>
                </w:tcPr>
                <w:p w14:paraId="72E78341">
                  <w:pPr>
                    <w:spacing w:line="360" w:lineRule="exact"/>
                    <w:ind w:firstLine="0" w:firstLineChars="0"/>
                    <w:jc w:val="center"/>
                    <w:rPr>
                      <w:sz w:val="18"/>
                      <w:szCs w:val="18"/>
                    </w:rPr>
                  </w:pPr>
                  <w:r>
                    <w:rPr>
                      <w:rFonts w:hint="eastAsia"/>
                      <w:sz w:val="18"/>
                      <w:szCs w:val="18"/>
                    </w:rPr>
                    <w:t>NE</w:t>
                  </w:r>
                </w:p>
              </w:tc>
              <w:tc>
                <w:tcPr>
                  <w:tcW w:w="1177" w:type="pct"/>
                  <w:vAlign w:val="center"/>
                </w:tcPr>
                <w:p w14:paraId="36A34EF9">
                  <w:pPr>
                    <w:spacing w:line="360" w:lineRule="exact"/>
                    <w:ind w:firstLine="0" w:firstLineChars="0"/>
                    <w:jc w:val="center"/>
                    <w:rPr>
                      <w:sz w:val="18"/>
                      <w:szCs w:val="18"/>
                    </w:rPr>
                  </w:pPr>
                  <w:r>
                    <w:rPr>
                      <w:rFonts w:hint="eastAsia"/>
                      <w:sz w:val="18"/>
                      <w:szCs w:val="18"/>
                    </w:rPr>
                    <w:t>3</w:t>
                  </w:r>
                  <w:r>
                    <w:rPr>
                      <w:sz w:val="18"/>
                      <w:szCs w:val="18"/>
                    </w:rPr>
                    <w:t>00</w:t>
                  </w:r>
                </w:p>
              </w:tc>
              <w:tc>
                <w:tcPr>
                  <w:tcW w:w="588" w:type="pct"/>
                  <w:vAlign w:val="center"/>
                </w:tcPr>
                <w:p w14:paraId="321971C3">
                  <w:pPr>
                    <w:spacing w:line="360" w:lineRule="exact"/>
                    <w:ind w:firstLine="0" w:firstLineChars="0"/>
                    <w:jc w:val="center"/>
                    <w:rPr>
                      <w:sz w:val="18"/>
                      <w:szCs w:val="18"/>
                    </w:rPr>
                  </w:pPr>
                  <w:r>
                    <w:rPr>
                      <w:rFonts w:hint="eastAsia"/>
                      <w:sz w:val="18"/>
                      <w:szCs w:val="18"/>
                    </w:rPr>
                    <w:t>工业企业</w:t>
                  </w:r>
                </w:p>
              </w:tc>
              <w:tc>
                <w:tcPr>
                  <w:tcW w:w="804" w:type="pct"/>
                </w:tcPr>
                <w:p w14:paraId="18D3FE3C">
                  <w:pPr>
                    <w:spacing w:line="360" w:lineRule="exact"/>
                    <w:ind w:firstLine="0" w:firstLineChars="0"/>
                    <w:jc w:val="center"/>
                    <w:rPr>
                      <w:sz w:val="18"/>
                      <w:szCs w:val="18"/>
                    </w:rPr>
                  </w:pPr>
                  <w:r>
                    <w:rPr>
                      <w:rFonts w:hint="eastAsia"/>
                      <w:sz w:val="18"/>
                      <w:szCs w:val="18"/>
                    </w:rPr>
                    <w:t>/</w:t>
                  </w:r>
                </w:p>
              </w:tc>
            </w:tr>
            <w:tr w14:paraId="6ECE55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24" w:type="pct"/>
                  <w:vAlign w:val="center"/>
                </w:tcPr>
                <w:p w14:paraId="064C5138">
                  <w:pPr>
                    <w:spacing w:line="360" w:lineRule="exact"/>
                    <w:ind w:firstLine="0" w:firstLineChars="0"/>
                    <w:jc w:val="center"/>
                    <w:rPr>
                      <w:sz w:val="18"/>
                      <w:szCs w:val="18"/>
                    </w:rPr>
                  </w:pPr>
                  <w:r>
                    <w:rPr>
                      <w:rFonts w:hint="eastAsia"/>
                      <w:sz w:val="18"/>
                      <w:szCs w:val="18"/>
                    </w:rPr>
                    <w:t>1</w:t>
                  </w:r>
                  <w:r>
                    <w:rPr>
                      <w:sz w:val="18"/>
                      <w:szCs w:val="18"/>
                    </w:rPr>
                    <w:t>0</w:t>
                  </w:r>
                </w:p>
              </w:tc>
              <w:tc>
                <w:tcPr>
                  <w:tcW w:w="1687" w:type="pct"/>
                  <w:vAlign w:val="center"/>
                </w:tcPr>
                <w:p w14:paraId="38D493E1">
                  <w:pPr>
                    <w:spacing w:line="360" w:lineRule="exact"/>
                    <w:ind w:firstLine="0" w:firstLineChars="0"/>
                    <w:jc w:val="center"/>
                    <w:rPr>
                      <w:sz w:val="18"/>
                      <w:szCs w:val="18"/>
                    </w:rPr>
                  </w:pPr>
                  <w:r>
                    <w:rPr>
                      <w:rFonts w:hint="eastAsia"/>
                      <w:sz w:val="18"/>
                      <w:szCs w:val="18"/>
                    </w:rPr>
                    <w:t>杨家沟居民</w:t>
                  </w:r>
                </w:p>
              </w:tc>
              <w:tc>
                <w:tcPr>
                  <w:tcW w:w="420" w:type="pct"/>
                  <w:vAlign w:val="center"/>
                </w:tcPr>
                <w:p w14:paraId="4E3A03F7">
                  <w:pPr>
                    <w:spacing w:line="360" w:lineRule="exact"/>
                    <w:ind w:firstLine="0" w:firstLineChars="0"/>
                    <w:jc w:val="center"/>
                    <w:rPr>
                      <w:sz w:val="18"/>
                      <w:szCs w:val="18"/>
                    </w:rPr>
                  </w:pPr>
                  <w:r>
                    <w:rPr>
                      <w:rFonts w:hint="eastAsia"/>
                      <w:sz w:val="18"/>
                      <w:szCs w:val="18"/>
                    </w:rPr>
                    <w:t>NE</w:t>
                  </w:r>
                </w:p>
              </w:tc>
              <w:tc>
                <w:tcPr>
                  <w:tcW w:w="1177" w:type="pct"/>
                  <w:vAlign w:val="center"/>
                </w:tcPr>
                <w:p w14:paraId="22B703C8">
                  <w:pPr>
                    <w:spacing w:line="360" w:lineRule="exact"/>
                    <w:ind w:firstLine="0" w:firstLineChars="0"/>
                    <w:jc w:val="center"/>
                    <w:rPr>
                      <w:sz w:val="18"/>
                      <w:szCs w:val="18"/>
                    </w:rPr>
                  </w:pPr>
                  <w:r>
                    <w:rPr>
                      <w:rFonts w:hint="eastAsia"/>
                      <w:sz w:val="18"/>
                      <w:szCs w:val="18"/>
                    </w:rPr>
                    <w:t>2</w:t>
                  </w:r>
                  <w:r>
                    <w:rPr>
                      <w:sz w:val="18"/>
                      <w:szCs w:val="18"/>
                    </w:rPr>
                    <w:t>75</w:t>
                  </w:r>
                </w:p>
              </w:tc>
              <w:tc>
                <w:tcPr>
                  <w:tcW w:w="588" w:type="pct"/>
                  <w:vAlign w:val="center"/>
                </w:tcPr>
                <w:p w14:paraId="6218DC75">
                  <w:pPr>
                    <w:spacing w:line="360" w:lineRule="exact"/>
                    <w:ind w:firstLine="0" w:firstLineChars="0"/>
                    <w:jc w:val="center"/>
                    <w:rPr>
                      <w:sz w:val="18"/>
                      <w:szCs w:val="18"/>
                    </w:rPr>
                  </w:pPr>
                  <w:r>
                    <w:rPr>
                      <w:rFonts w:hint="eastAsia"/>
                      <w:sz w:val="18"/>
                      <w:szCs w:val="18"/>
                    </w:rPr>
                    <w:t>居民</w:t>
                  </w:r>
                </w:p>
              </w:tc>
              <w:tc>
                <w:tcPr>
                  <w:tcW w:w="804" w:type="pct"/>
                </w:tcPr>
                <w:p w14:paraId="2F451270">
                  <w:pPr>
                    <w:spacing w:line="360" w:lineRule="exact"/>
                    <w:ind w:firstLine="0" w:firstLineChars="0"/>
                    <w:jc w:val="center"/>
                    <w:rPr>
                      <w:sz w:val="18"/>
                      <w:szCs w:val="18"/>
                    </w:rPr>
                  </w:pPr>
                  <w:r>
                    <w:rPr>
                      <w:rFonts w:hint="eastAsia"/>
                      <w:sz w:val="18"/>
                      <w:szCs w:val="18"/>
                    </w:rPr>
                    <w:t>约1</w:t>
                  </w:r>
                  <w:r>
                    <w:rPr>
                      <w:sz w:val="18"/>
                      <w:szCs w:val="18"/>
                    </w:rPr>
                    <w:t>2</w:t>
                  </w:r>
                  <w:r>
                    <w:rPr>
                      <w:rFonts w:hint="eastAsia"/>
                      <w:sz w:val="18"/>
                      <w:szCs w:val="18"/>
                    </w:rPr>
                    <w:t>人</w:t>
                  </w:r>
                </w:p>
              </w:tc>
            </w:tr>
            <w:tr w14:paraId="7E7E22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24" w:type="pct"/>
                  <w:vAlign w:val="center"/>
                </w:tcPr>
                <w:p w14:paraId="1A79EE25">
                  <w:pPr>
                    <w:spacing w:line="360" w:lineRule="exact"/>
                    <w:ind w:firstLine="0" w:firstLineChars="0"/>
                    <w:jc w:val="center"/>
                    <w:rPr>
                      <w:sz w:val="18"/>
                      <w:szCs w:val="18"/>
                    </w:rPr>
                  </w:pPr>
                  <w:r>
                    <w:rPr>
                      <w:rFonts w:hint="eastAsia"/>
                      <w:sz w:val="18"/>
                      <w:szCs w:val="18"/>
                    </w:rPr>
                    <w:t>1</w:t>
                  </w:r>
                  <w:r>
                    <w:rPr>
                      <w:sz w:val="18"/>
                      <w:szCs w:val="18"/>
                    </w:rPr>
                    <w:t>1</w:t>
                  </w:r>
                </w:p>
              </w:tc>
              <w:tc>
                <w:tcPr>
                  <w:tcW w:w="1687" w:type="pct"/>
                  <w:vAlign w:val="center"/>
                </w:tcPr>
                <w:p w14:paraId="52B1CCBE">
                  <w:pPr>
                    <w:spacing w:line="360" w:lineRule="exact"/>
                    <w:ind w:firstLine="0" w:firstLineChars="0"/>
                    <w:jc w:val="center"/>
                    <w:rPr>
                      <w:sz w:val="18"/>
                      <w:szCs w:val="18"/>
                    </w:rPr>
                  </w:pPr>
                  <w:r>
                    <w:rPr>
                      <w:rFonts w:hint="eastAsia"/>
                      <w:sz w:val="18"/>
                      <w:szCs w:val="18"/>
                    </w:rPr>
                    <w:t>巴中市恒强节能建材有限公司</w:t>
                  </w:r>
                </w:p>
              </w:tc>
              <w:tc>
                <w:tcPr>
                  <w:tcW w:w="420" w:type="pct"/>
                  <w:vAlign w:val="center"/>
                </w:tcPr>
                <w:p w14:paraId="0A0883EC">
                  <w:pPr>
                    <w:spacing w:line="360" w:lineRule="exact"/>
                    <w:ind w:firstLine="0" w:firstLineChars="0"/>
                    <w:jc w:val="center"/>
                    <w:rPr>
                      <w:sz w:val="18"/>
                      <w:szCs w:val="18"/>
                    </w:rPr>
                  </w:pPr>
                  <w:r>
                    <w:rPr>
                      <w:rFonts w:hint="eastAsia"/>
                      <w:sz w:val="18"/>
                      <w:szCs w:val="18"/>
                    </w:rPr>
                    <w:t>N</w:t>
                  </w:r>
                </w:p>
              </w:tc>
              <w:tc>
                <w:tcPr>
                  <w:tcW w:w="1177" w:type="pct"/>
                  <w:vAlign w:val="center"/>
                </w:tcPr>
                <w:p w14:paraId="03B9A19F">
                  <w:pPr>
                    <w:spacing w:line="360" w:lineRule="exact"/>
                    <w:ind w:firstLine="0" w:firstLineChars="0"/>
                    <w:jc w:val="center"/>
                    <w:rPr>
                      <w:sz w:val="18"/>
                      <w:szCs w:val="18"/>
                    </w:rPr>
                  </w:pPr>
                  <w:r>
                    <w:rPr>
                      <w:rFonts w:hint="eastAsia"/>
                      <w:sz w:val="18"/>
                      <w:szCs w:val="18"/>
                    </w:rPr>
                    <w:t>紧邻</w:t>
                  </w:r>
                </w:p>
              </w:tc>
              <w:tc>
                <w:tcPr>
                  <w:tcW w:w="588" w:type="pct"/>
                  <w:vAlign w:val="center"/>
                </w:tcPr>
                <w:p w14:paraId="0379FCAC">
                  <w:pPr>
                    <w:spacing w:line="360" w:lineRule="exact"/>
                    <w:ind w:firstLine="0" w:firstLineChars="0"/>
                    <w:jc w:val="center"/>
                    <w:rPr>
                      <w:sz w:val="18"/>
                      <w:szCs w:val="18"/>
                    </w:rPr>
                  </w:pPr>
                  <w:r>
                    <w:rPr>
                      <w:rFonts w:hint="eastAsia"/>
                      <w:sz w:val="18"/>
                      <w:szCs w:val="18"/>
                    </w:rPr>
                    <w:t>工业企业</w:t>
                  </w:r>
                </w:p>
              </w:tc>
              <w:tc>
                <w:tcPr>
                  <w:tcW w:w="804" w:type="pct"/>
                </w:tcPr>
                <w:p w14:paraId="79DF16E4">
                  <w:pPr>
                    <w:spacing w:line="360" w:lineRule="exact"/>
                    <w:ind w:firstLine="0" w:firstLineChars="0"/>
                    <w:jc w:val="center"/>
                    <w:rPr>
                      <w:sz w:val="18"/>
                      <w:szCs w:val="18"/>
                    </w:rPr>
                  </w:pPr>
                  <w:r>
                    <w:rPr>
                      <w:rFonts w:hint="eastAsia"/>
                      <w:sz w:val="18"/>
                      <w:szCs w:val="18"/>
                    </w:rPr>
                    <w:t>建材企业</w:t>
                  </w:r>
                </w:p>
              </w:tc>
            </w:tr>
          </w:tbl>
          <w:p w14:paraId="60AA5B83">
            <w:pPr>
              <w:ind w:firstLine="420"/>
            </w:pPr>
            <w:r>
              <w:rPr>
                <w:rFonts w:hint="eastAsia"/>
              </w:rPr>
              <w:t>（</w:t>
            </w:r>
            <w:r>
              <w:t>2</w:t>
            </w:r>
            <w:r>
              <w:rPr>
                <w:rFonts w:hint="eastAsia"/>
              </w:rPr>
              <w:t>）选址合理性</w:t>
            </w:r>
          </w:p>
          <w:p w14:paraId="0F715D4D">
            <w:pPr>
              <w:ind w:firstLine="420"/>
            </w:pPr>
            <w:r>
              <w:rPr>
                <w:rFonts w:hint="eastAsia"/>
              </w:rPr>
              <w:t>根据现场踏勘，项目厂界500m范围内分布有散居农户</w:t>
            </w:r>
            <w:r>
              <w:t>4</w:t>
            </w:r>
            <w:r>
              <w:rPr>
                <w:rFonts w:hint="eastAsia"/>
              </w:rPr>
              <w:t>户、达芙妮公租房以及同类型生产企业，项目废气经治理后，对敏感目标影响较小。项目通过合理平面布局，项目生产车间及堆场均为密闭厂房，厂区布设于周边环境保护目标下风向或侧风向，项目废气经治理后可实现达标排放，对周边环境影响较小。项目不涉及自然保护区、风景名胜区、世界文化和自然遗产地、饮用水水源保护区、基本农田保护区、重点文物古迹等，沿线无古树名木分布。</w:t>
            </w:r>
          </w:p>
          <w:p w14:paraId="56FDAC60">
            <w:pPr>
              <w:ind w:firstLine="420"/>
            </w:pPr>
            <w:r>
              <w:t>区域规划有完善的市政配套设施（供水、供电、雨污管网），项目用水、用电能够满足要求，生活污水可接入市政污水管网。</w:t>
            </w:r>
          </w:p>
          <w:p w14:paraId="01970A06">
            <w:pPr>
              <w:ind w:firstLine="420"/>
            </w:pPr>
            <w:r>
              <w:t>综上所述，项目用地符合当地规划，与外环境较为相容，故项目选址</w:t>
            </w:r>
            <w:r>
              <w:rPr>
                <w:rFonts w:hint="eastAsia"/>
              </w:rPr>
              <w:t>从环境保护的角度分析是</w:t>
            </w:r>
            <w:r>
              <w:t>合理的。</w:t>
            </w:r>
          </w:p>
        </w:tc>
      </w:tr>
    </w:tbl>
    <w:p w14:paraId="4D758344">
      <w:pPr>
        <w:spacing w:line="288" w:lineRule="auto"/>
        <w:ind w:firstLine="420"/>
        <w:jc w:val="center"/>
        <w:sectPr>
          <w:pgSz w:w="11906" w:h="16838"/>
          <w:pgMar w:top="1440" w:right="1797" w:bottom="1440" w:left="1797" w:header="851" w:footer="958" w:gutter="0"/>
          <w:pgNumType w:fmt="numberInDash"/>
          <w:cols w:space="720" w:num="1"/>
          <w:docGrid w:linePitch="312" w:charSpace="0"/>
        </w:sectPr>
      </w:pPr>
    </w:p>
    <w:p w14:paraId="6DF8FB68">
      <w:pPr>
        <w:pStyle w:val="29"/>
        <w:spacing w:before="0" w:beforeAutospacing="0" w:after="0" w:afterAutospacing="0" w:line="240" w:lineRule="auto"/>
        <w:ind w:firstLine="0" w:firstLineChars="0"/>
        <w:jc w:val="center"/>
        <w:outlineLvl w:val="0"/>
        <w:rPr>
          <w:rFonts w:ascii="Times New Roman" w:hAnsi="Times New Roman"/>
          <w:snapToGrid w:val="0"/>
        </w:rPr>
      </w:pPr>
      <w:bookmarkStart w:id="3" w:name="_Toc171001978"/>
      <w:r>
        <w:rPr>
          <w:rFonts w:cs="宋体"/>
          <w:b/>
          <w:bCs/>
          <w:snapToGrid w:val="0"/>
          <w:sz w:val="30"/>
          <w:szCs w:val="30"/>
        </w:rPr>
        <w:t>二、建设项目工程分析</w:t>
      </w:r>
      <w:bookmarkEnd w:id="3"/>
    </w:p>
    <w:tbl>
      <w:tblPr>
        <w:tblStyle w:val="33"/>
        <w:tblW w:w="893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51"/>
        <w:gridCol w:w="8679"/>
      </w:tblGrid>
      <w:tr w14:paraId="531FAB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251" w:type="dxa"/>
            <w:vAlign w:val="center"/>
          </w:tcPr>
          <w:p w14:paraId="03D1C31D">
            <w:pPr>
              <w:pStyle w:val="29"/>
              <w:spacing w:before="0" w:beforeAutospacing="0" w:after="0" w:afterAutospacing="0"/>
              <w:ind w:firstLine="0" w:firstLineChars="0"/>
              <w:jc w:val="center"/>
              <w:rPr>
                <w:rFonts w:ascii="Times New Roman" w:hAnsi="Times New Roman"/>
                <w:szCs w:val="21"/>
              </w:rPr>
            </w:pPr>
            <w:r>
              <w:rPr>
                <w:rFonts w:ascii="Times New Roman" w:hAnsi="Times New Roman"/>
                <w:szCs w:val="21"/>
              </w:rPr>
              <w:t>建设内容</w:t>
            </w:r>
          </w:p>
        </w:tc>
        <w:tc>
          <w:tcPr>
            <w:tcW w:w="8679" w:type="dxa"/>
            <w:vAlign w:val="center"/>
          </w:tcPr>
          <w:p w14:paraId="24123CB7">
            <w:pPr>
              <w:ind w:firstLine="0" w:firstLineChars="0"/>
              <w:rPr>
                <w:b/>
                <w:bCs/>
                <w:szCs w:val="21"/>
              </w:rPr>
            </w:pPr>
            <w:r>
              <w:rPr>
                <w:b/>
                <w:bCs/>
                <w:szCs w:val="21"/>
              </w:rPr>
              <w:t>1</w:t>
            </w:r>
            <w:r>
              <w:rPr>
                <w:rFonts w:hint="eastAsia"/>
                <w:b/>
                <w:bCs/>
                <w:szCs w:val="21"/>
              </w:rPr>
              <w:t>、项目由来</w:t>
            </w:r>
          </w:p>
          <w:p w14:paraId="54D50015">
            <w:pPr>
              <w:ind w:firstLine="420"/>
            </w:pPr>
            <w:r>
              <w:rPr>
                <w:rFonts w:hint="eastAsia"/>
              </w:rPr>
              <w:t>加气混凝土砌块是一种用于非承重内墙的轻质建筑构件,它是以硅砂为主要原料，加水泥、生石灰、铝粉等，经加水搅拌、浇筑成型和干燥工艺制成的轻质建筑制品，它具有强度高、自重轻、外形整齐、表面光滑、防震、防火、隔热、隔音、加工性能好、施工方便，在使用过程中不会产生对人体有害的物质,同时它还对室内环境湿度有良好的调节作用，并增大使用面积。按国家土地资源保护政策，国家在“住宅建设中逐步限时禁止使用实心粘土砖”的规定中，凡经设计部门设计的建筑物均不准采用实心粘土砖。因此，研制和开发实心粘士砖的代用品是墙体建筑材料改革的当务之急。</w:t>
            </w:r>
          </w:p>
          <w:p w14:paraId="7ED64F8A">
            <w:pPr>
              <w:ind w:firstLine="420"/>
            </w:pPr>
            <w:r>
              <w:rPr>
                <w:rFonts w:hint="eastAsia"/>
                <w:szCs w:val="21"/>
              </w:rPr>
              <w:t>巴中市浙胜节能建材有限公司根据市场情况，拟投资8</w:t>
            </w:r>
            <w:r>
              <w:rPr>
                <w:szCs w:val="21"/>
              </w:rPr>
              <w:t>00</w:t>
            </w:r>
            <w:r>
              <w:rPr>
                <w:rFonts w:hint="eastAsia"/>
                <w:szCs w:val="21"/>
              </w:rPr>
              <w:t>万元实施“巴中市浙胜节能建材有限公司年产15万立方米加气混凝土生产线项目”，主要建设内容为：</w:t>
            </w:r>
            <w:r>
              <w:rPr>
                <w:rFonts w:hint="eastAsia"/>
              </w:rPr>
              <w:t>购买巴中恒强节能建材有限公司现有厂房，建设年产15万立方米加气混凝土生产线，配套建设公辅工程、环保工程等。</w:t>
            </w:r>
            <w:r>
              <w:t xml:space="preserve"> </w:t>
            </w:r>
          </w:p>
          <w:p w14:paraId="1DE1572F">
            <w:pPr>
              <w:ind w:firstLine="420"/>
              <w:rPr>
                <w:szCs w:val="21"/>
              </w:rPr>
            </w:pPr>
            <w:r>
              <w:rPr>
                <w:rFonts w:hint="eastAsia"/>
              </w:rPr>
              <w:t>根据《中华人民共和国环境影响评价法》《建设项目环境保护管理条例》，一切新建、扩建、技改项目需进行环境影响评价。根据《建设项目环境影响评价分类管理名录（2</w:t>
            </w:r>
            <w:r>
              <w:t>021</w:t>
            </w:r>
            <w:r>
              <w:rPr>
                <w:rFonts w:hint="eastAsia"/>
              </w:rPr>
              <w:t>年版）》，本项目属于名录“</w:t>
            </w:r>
            <w:r>
              <w:rPr>
                <w:rFonts w:hint="eastAsia"/>
                <w:szCs w:val="21"/>
              </w:rPr>
              <w:t>二十七、非金属矿物制品业5</w:t>
            </w:r>
            <w:r>
              <w:rPr>
                <w:szCs w:val="21"/>
              </w:rPr>
              <w:t>6.</w:t>
            </w:r>
            <w:r>
              <w:rPr>
                <w:rFonts w:hint="eastAsia"/>
                <w:szCs w:val="21"/>
              </w:rPr>
              <w:t>砖瓦、石材等建筑材料制造</w:t>
            </w:r>
            <w:r>
              <w:rPr>
                <w:rFonts w:hint="eastAsia"/>
              </w:rPr>
              <w:t>” ，应编制环境影响报告表。</w:t>
            </w:r>
          </w:p>
          <w:p w14:paraId="6F8F85F7">
            <w:pPr>
              <w:ind w:firstLine="420"/>
            </w:pPr>
            <w:r>
              <w:rPr>
                <w:rFonts w:hint="eastAsia"/>
              </w:rPr>
              <w:t>为此，</w:t>
            </w:r>
            <w:r>
              <w:rPr>
                <w:rFonts w:hint="eastAsia"/>
                <w:szCs w:val="21"/>
              </w:rPr>
              <w:t>巴中市浙胜节能建材有限公司</w:t>
            </w:r>
            <w:r>
              <w:rPr>
                <w:rFonts w:hint="eastAsia"/>
              </w:rPr>
              <w:t>委托四川省众诚瀚蓝环保服务有限公司承担本项目环境影响评价工作，我公司接受委托后，立即组织技术人员对现场情况及其周边环境进行实地勘察和相关资料的收集、核实与分析工作，并按照国家有关规范要求，编制完成本项目环境影响报告表。</w:t>
            </w:r>
          </w:p>
          <w:p w14:paraId="5144D522">
            <w:pPr>
              <w:ind w:firstLine="0" w:firstLineChars="0"/>
              <w:rPr>
                <w:b/>
                <w:bCs/>
                <w:szCs w:val="21"/>
              </w:rPr>
            </w:pPr>
            <w:r>
              <w:rPr>
                <w:b/>
                <w:bCs/>
                <w:szCs w:val="21"/>
              </w:rPr>
              <w:t>2、项目基本情况</w:t>
            </w:r>
          </w:p>
          <w:p w14:paraId="2F2134F2">
            <w:pPr>
              <w:ind w:firstLine="420"/>
            </w:pPr>
            <w:r>
              <w:t>（1）</w:t>
            </w:r>
            <w:r>
              <w:rPr>
                <w:rFonts w:hint="eastAsia"/>
              </w:rPr>
              <w:t>项目名称：</w:t>
            </w:r>
            <w:r>
              <w:rPr>
                <w:rFonts w:hint="eastAsia"/>
                <w:szCs w:val="21"/>
              </w:rPr>
              <w:t>巴中市浙胜节能建材有限公司年产15万立方米加气混凝土生产线项目</w:t>
            </w:r>
          </w:p>
          <w:p w14:paraId="27F90760">
            <w:pPr>
              <w:ind w:firstLine="420"/>
            </w:pPr>
            <w:r>
              <w:t>（2）建设单位：</w:t>
            </w:r>
            <w:r>
              <w:rPr>
                <w:rFonts w:hint="eastAsia"/>
                <w:szCs w:val="21"/>
              </w:rPr>
              <w:t>巴中市浙胜节能建材有限公司</w:t>
            </w:r>
          </w:p>
          <w:p w14:paraId="179CB117">
            <w:pPr>
              <w:ind w:firstLine="420"/>
            </w:pPr>
            <w:r>
              <w:t>（3）建设地点：</w:t>
            </w:r>
            <w:r>
              <w:rPr>
                <w:rFonts w:hint="eastAsia"/>
              </w:rPr>
              <w:t>四川巴中经济开发区兴文街道</w:t>
            </w:r>
          </w:p>
          <w:p w14:paraId="71427035">
            <w:pPr>
              <w:ind w:firstLine="420"/>
            </w:pPr>
            <w:r>
              <w:rPr>
                <w:rFonts w:hint="eastAsia"/>
              </w:rPr>
              <w:t>（4）建设性质：新建</w:t>
            </w:r>
          </w:p>
          <w:p w14:paraId="14127D04">
            <w:pPr>
              <w:ind w:firstLine="420"/>
            </w:pPr>
            <w:r>
              <w:t>（5）总投资：</w:t>
            </w:r>
            <w:r>
              <w:rPr>
                <w:rFonts w:hint="eastAsia"/>
              </w:rPr>
              <w:t>8</w:t>
            </w:r>
            <w:r>
              <w:t>00</w:t>
            </w:r>
            <w:r>
              <w:rPr>
                <w:rFonts w:hint="eastAsia"/>
              </w:rPr>
              <w:t>万元</w:t>
            </w:r>
          </w:p>
          <w:p w14:paraId="2452CA89">
            <w:pPr>
              <w:ind w:firstLine="420"/>
            </w:pPr>
            <w:r>
              <w:t>（6）建设内容：</w:t>
            </w:r>
            <w:r>
              <w:rPr>
                <w:rFonts w:hint="eastAsia"/>
              </w:rPr>
              <w:t>本项目购买巴中恒强节能建材有限公司现有厂房，建设年产15万立方米加气混凝土生产线，配套建设公辅工程、环保工程等。</w:t>
            </w:r>
          </w:p>
          <w:p w14:paraId="5E35BE17">
            <w:pPr>
              <w:ind w:firstLine="0" w:firstLineChars="0"/>
              <w:rPr>
                <w:b/>
                <w:bCs/>
                <w:szCs w:val="21"/>
              </w:rPr>
            </w:pPr>
            <w:r>
              <w:rPr>
                <w:rFonts w:hint="eastAsia"/>
                <w:b/>
                <w:bCs/>
                <w:szCs w:val="21"/>
              </w:rPr>
              <w:t>3、产品方案</w:t>
            </w:r>
          </w:p>
          <w:p w14:paraId="22ADDB6B">
            <w:pPr>
              <w:ind w:firstLine="420"/>
            </w:pPr>
            <w:r>
              <w:rPr>
                <w:rFonts w:hint="eastAsia"/>
              </w:rPr>
              <w:t>本项目产品方案如下表所示：</w:t>
            </w:r>
          </w:p>
          <w:p w14:paraId="02C757DD">
            <w:pPr>
              <w:pStyle w:val="156"/>
            </w:pPr>
            <w:r>
              <w:rPr>
                <w:rFonts w:hint="eastAsia"/>
              </w:rPr>
              <w:t>表2.1-</w:t>
            </w:r>
            <w:r>
              <w:t xml:space="preserve">1  </w:t>
            </w:r>
            <w:r>
              <w:rPr>
                <w:rFonts w:hint="eastAsia"/>
              </w:rPr>
              <w:t>本项目产品方案一览表</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32"/>
              <w:gridCol w:w="1780"/>
              <w:gridCol w:w="1923"/>
              <w:gridCol w:w="3829"/>
            </w:tblGrid>
            <w:tr w14:paraId="13D6B4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53" w:type="pct"/>
                  <w:vAlign w:val="center"/>
                </w:tcPr>
                <w:p w14:paraId="34827168">
                  <w:pPr>
                    <w:pStyle w:val="135"/>
                    <w:adjustRightInd w:val="0"/>
                    <w:snapToGrid w:val="0"/>
                    <w:rPr>
                      <w:b/>
                      <w:bCs/>
                    </w:rPr>
                  </w:pPr>
                  <w:r>
                    <w:rPr>
                      <w:rFonts w:hint="eastAsia"/>
                      <w:b/>
                      <w:bCs/>
                    </w:rPr>
                    <w:t>序号</w:t>
                  </w:r>
                </w:p>
              </w:tc>
              <w:tc>
                <w:tcPr>
                  <w:tcW w:w="1027" w:type="pct"/>
                  <w:vAlign w:val="center"/>
                </w:tcPr>
                <w:p w14:paraId="0B457E80">
                  <w:pPr>
                    <w:pStyle w:val="135"/>
                    <w:adjustRightInd w:val="0"/>
                    <w:snapToGrid w:val="0"/>
                    <w:rPr>
                      <w:b/>
                      <w:bCs/>
                    </w:rPr>
                  </w:pPr>
                  <w:r>
                    <w:rPr>
                      <w:rFonts w:hint="eastAsia"/>
                      <w:b/>
                      <w:bCs/>
                    </w:rPr>
                    <w:t>产品名称</w:t>
                  </w:r>
                </w:p>
              </w:tc>
              <w:tc>
                <w:tcPr>
                  <w:tcW w:w="1110" w:type="pct"/>
                  <w:vAlign w:val="center"/>
                </w:tcPr>
                <w:p w14:paraId="0412A535">
                  <w:pPr>
                    <w:pStyle w:val="135"/>
                    <w:adjustRightInd w:val="0"/>
                    <w:snapToGrid w:val="0"/>
                    <w:rPr>
                      <w:b/>
                      <w:bCs/>
                    </w:rPr>
                  </w:pPr>
                  <w:r>
                    <w:rPr>
                      <w:rFonts w:hint="eastAsia"/>
                      <w:b/>
                      <w:bCs/>
                    </w:rPr>
                    <w:t>生产规模</w:t>
                  </w:r>
                </w:p>
              </w:tc>
              <w:tc>
                <w:tcPr>
                  <w:tcW w:w="2211" w:type="pct"/>
                  <w:vAlign w:val="center"/>
                </w:tcPr>
                <w:p w14:paraId="5A589847">
                  <w:pPr>
                    <w:pStyle w:val="135"/>
                    <w:adjustRightInd w:val="0"/>
                    <w:snapToGrid w:val="0"/>
                    <w:rPr>
                      <w:b/>
                      <w:bCs/>
                    </w:rPr>
                  </w:pPr>
                  <w:r>
                    <w:rPr>
                      <w:rFonts w:hint="eastAsia"/>
                      <w:b/>
                      <w:bCs/>
                    </w:rPr>
                    <w:t>产品质量标准</w:t>
                  </w:r>
                </w:p>
              </w:tc>
            </w:tr>
            <w:tr w14:paraId="1F0CFC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53" w:type="pct"/>
                  <w:vAlign w:val="center"/>
                </w:tcPr>
                <w:p w14:paraId="2ECC3BFB">
                  <w:pPr>
                    <w:pStyle w:val="135"/>
                    <w:adjustRightInd w:val="0"/>
                    <w:snapToGrid w:val="0"/>
                  </w:pPr>
                  <w:r>
                    <w:rPr>
                      <w:rFonts w:hint="eastAsia"/>
                    </w:rPr>
                    <w:t>1</w:t>
                  </w:r>
                </w:p>
              </w:tc>
              <w:tc>
                <w:tcPr>
                  <w:tcW w:w="1027" w:type="pct"/>
                  <w:vAlign w:val="center"/>
                </w:tcPr>
                <w:p w14:paraId="6C25E725">
                  <w:pPr>
                    <w:pStyle w:val="135"/>
                    <w:adjustRightInd w:val="0"/>
                    <w:snapToGrid w:val="0"/>
                  </w:pPr>
                  <w:r>
                    <w:rPr>
                      <w:rFonts w:hint="eastAsia"/>
                    </w:rPr>
                    <w:t>加气混凝土砌块</w:t>
                  </w:r>
                </w:p>
              </w:tc>
              <w:tc>
                <w:tcPr>
                  <w:tcW w:w="1110" w:type="pct"/>
                  <w:vAlign w:val="center"/>
                </w:tcPr>
                <w:p w14:paraId="052163EA">
                  <w:pPr>
                    <w:pStyle w:val="135"/>
                    <w:adjustRightInd w:val="0"/>
                    <w:snapToGrid w:val="0"/>
                  </w:pPr>
                  <w:r>
                    <w:rPr>
                      <w:rFonts w:hint="eastAsia"/>
                    </w:rPr>
                    <w:t>1</w:t>
                  </w:r>
                  <w:r>
                    <w:t>5</w:t>
                  </w:r>
                  <w:r>
                    <w:rPr>
                      <w:rFonts w:hint="eastAsia"/>
                    </w:rPr>
                    <w:t>万m</w:t>
                  </w:r>
                  <w:r>
                    <w:rPr>
                      <w:vertAlign w:val="superscript"/>
                    </w:rPr>
                    <w:t>3</w:t>
                  </w:r>
                  <w:r>
                    <w:t>/</w:t>
                  </w:r>
                  <w:r>
                    <w:rPr>
                      <w:rFonts w:hint="eastAsia"/>
                    </w:rPr>
                    <w:t>a</w:t>
                  </w:r>
                </w:p>
              </w:tc>
              <w:tc>
                <w:tcPr>
                  <w:tcW w:w="2211" w:type="pct"/>
                  <w:vAlign w:val="center"/>
                </w:tcPr>
                <w:p w14:paraId="6D02CA04">
                  <w:pPr>
                    <w:pStyle w:val="135"/>
                    <w:adjustRightInd w:val="0"/>
                    <w:snapToGrid w:val="0"/>
                  </w:pPr>
                  <w:r>
                    <w:rPr>
                      <w:rFonts w:hint="eastAsia"/>
                    </w:rPr>
                    <w:t>《蒸压加气混凝土砌块》（GB/T 11968-2020）</w:t>
                  </w:r>
                </w:p>
              </w:tc>
            </w:tr>
          </w:tbl>
          <w:p w14:paraId="1CEAA639">
            <w:pPr>
              <w:ind w:firstLine="0" w:firstLineChars="0"/>
              <w:rPr>
                <w:b/>
                <w:bCs/>
                <w:szCs w:val="21"/>
              </w:rPr>
            </w:pPr>
            <w:r>
              <w:rPr>
                <w:rFonts w:hint="eastAsia"/>
                <w:b/>
                <w:bCs/>
                <w:szCs w:val="21"/>
              </w:rPr>
              <w:t>4</w:t>
            </w:r>
            <w:r>
              <w:rPr>
                <w:b/>
                <w:bCs/>
                <w:szCs w:val="21"/>
              </w:rPr>
              <w:t>、项目组成</w:t>
            </w:r>
          </w:p>
          <w:p w14:paraId="7F46BF95">
            <w:pPr>
              <w:ind w:firstLine="420"/>
            </w:pPr>
            <w:r>
              <w:t>本项目具体项目组成如下表所示：</w:t>
            </w:r>
          </w:p>
          <w:p w14:paraId="5830B681">
            <w:pPr>
              <w:pStyle w:val="156"/>
            </w:pPr>
            <w:r>
              <w:t>表2.1-2  项目组成表及主要环境影响</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54"/>
              <w:gridCol w:w="1060"/>
              <w:gridCol w:w="5178"/>
              <w:gridCol w:w="591"/>
              <w:gridCol w:w="593"/>
              <w:gridCol w:w="788"/>
            </w:tblGrid>
            <w:tr w14:paraId="5D793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0" w:hRule="atLeast"/>
              </w:trPr>
              <w:tc>
                <w:tcPr>
                  <w:tcW w:w="874" w:type="pct"/>
                  <w:gridSpan w:val="2"/>
                  <w:vMerge w:val="restart"/>
                  <w:vAlign w:val="center"/>
                </w:tcPr>
                <w:p w14:paraId="5FD66AF9">
                  <w:pPr>
                    <w:pStyle w:val="135"/>
                    <w:adjustRightInd w:val="0"/>
                    <w:snapToGrid w:val="0"/>
                    <w:rPr>
                      <w:b/>
                      <w:bCs/>
                    </w:rPr>
                  </w:pPr>
                  <w:r>
                    <w:rPr>
                      <w:rFonts w:hint="eastAsia"/>
                      <w:b/>
                      <w:bCs/>
                    </w:rPr>
                    <w:t>项目组成</w:t>
                  </w:r>
                </w:p>
              </w:tc>
              <w:tc>
                <w:tcPr>
                  <w:tcW w:w="2988" w:type="pct"/>
                  <w:vMerge w:val="restart"/>
                  <w:vAlign w:val="center"/>
                </w:tcPr>
                <w:p w14:paraId="3FD2B2D1">
                  <w:pPr>
                    <w:pStyle w:val="135"/>
                    <w:adjustRightInd w:val="0"/>
                    <w:snapToGrid w:val="0"/>
                    <w:rPr>
                      <w:b/>
                      <w:bCs/>
                    </w:rPr>
                  </w:pPr>
                  <w:r>
                    <w:rPr>
                      <w:rFonts w:hint="eastAsia"/>
                      <w:b/>
                      <w:bCs/>
                    </w:rPr>
                    <w:t>建设内容</w:t>
                  </w:r>
                </w:p>
              </w:tc>
              <w:tc>
                <w:tcPr>
                  <w:tcW w:w="683" w:type="pct"/>
                  <w:gridSpan w:val="2"/>
                  <w:vAlign w:val="center"/>
                </w:tcPr>
                <w:p w14:paraId="1122C608">
                  <w:pPr>
                    <w:pStyle w:val="135"/>
                    <w:adjustRightInd w:val="0"/>
                    <w:snapToGrid w:val="0"/>
                    <w:rPr>
                      <w:b/>
                      <w:bCs/>
                    </w:rPr>
                  </w:pPr>
                  <w:r>
                    <w:rPr>
                      <w:rFonts w:hint="eastAsia"/>
                      <w:b/>
                      <w:bCs/>
                    </w:rPr>
                    <w:t>环境影响</w:t>
                  </w:r>
                </w:p>
              </w:tc>
              <w:tc>
                <w:tcPr>
                  <w:tcW w:w="455" w:type="pct"/>
                  <w:vMerge w:val="restart"/>
                  <w:vAlign w:val="center"/>
                </w:tcPr>
                <w:p w14:paraId="7E13ED08">
                  <w:pPr>
                    <w:pStyle w:val="135"/>
                    <w:adjustRightInd w:val="0"/>
                    <w:snapToGrid w:val="0"/>
                    <w:rPr>
                      <w:b/>
                      <w:bCs/>
                    </w:rPr>
                  </w:pPr>
                  <w:r>
                    <w:rPr>
                      <w:rFonts w:hint="eastAsia"/>
                      <w:b/>
                      <w:bCs/>
                    </w:rPr>
                    <w:t>备注</w:t>
                  </w:r>
                </w:p>
              </w:tc>
            </w:tr>
            <w:tr w14:paraId="72A65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0" w:hRule="atLeast"/>
              </w:trPr>
              <w:tc>
                <w:tcPr>
                  <w:tcW w:w="874" w:type="pct"/>
                  <w:gridSpan w:val="2"/>
                  <w:vMerge w:val="continue"/>
                  <w:vAlign w:val="center"/>
                </w:tcPr>
                <w:p w14:paraId="0ECEBDED">
                  <w:pPr>
                    <w:pStyle w:val="135"/>
                    <w:adjustRightInd w:val="0"/>
                    <w:snapToGrid w:val="0"/>
                  </w:pPr>
                </w:p>
              </w:tc>
              <w:tc>
                <w:tcPr>
                  <w:tcW w:w="2988" w:type="pct"/>
                  <w:vMerge w:val="continue"/>
                  <w:vAlign w:val="center"/>
                </w:tcPr>
                <w:p w14:paraId="2C58E419">
                  <w:pPr>
                    <w:pStyle w:val="135"/>
                    <w:adjustRightInd w:val="0"/>
                    <w:snapToGrid w:val="0"/>
                  </w:pPr>
                </w:p>
              </w:tc>
              <w:tc>
                <w:tcPr>
                  <w:tcW w:w="341" w:type="pct"/>
                  <w:vAlign w:val="center"/>
                </w:tcPr>
                <w:p w14:paraId="693352FE">
                  <w:pPr>
                    <w:pStyle w:val="135"/>
                    <w:adjustRightInd w:val="0"/>
                    <w:snapToGrid w:val="0"/>
                    <w:rPr>
                      <w:b/>
                      <w:bCs/>
                    </w:rPr>
                  </w:pPr>
                  <w:r>
                    <w:rPr>
                      <w:rFonts w:hint="eastAsia"/>
                      <w:b/>
                      <w:bCs/>
                    </w:rPr>
                    <w:t>施工期</w:t>
                  </w:r>
                </w:p>
              </w:tc>
              <w:tc>
                <w:tcPr>
                  <w:tcW w:w="342" w:type="pct"/>
                  <w:vAlign w:val="center"/>
                </w:tcPr>
                <w:p w14:paraId="7103D826">
                  <w:pPr>
                    <w:pStyle w:val="135"/>
                    <w:adjustRightInd w:val="0"/>
                    <w:snapToGrid w:val="0"/>
                    <w:rPr>
                      <w:b/>
                      <w:bCs/>
                    </w:rPr>
                  </w:pPr>
                  <w:r>
                    <w:rPr>
                      <w:rFonts w:hint="eastAsia"/>
                      <w:b/>
                      <w:bCs/>
                    </w:rPr>
                    <w:t>运营期</w:t>
                  </w:r>
                </w:p>
              </w:tc>
              <w:tc>
                <w:tcPr>
                  <w:tcW w:w="455" w:type="pct"/>
                  <w:vMerge w:val="continue"/>
                  <w:vAlign w:val="center"/>
                </w:tcPr>
                <w:p w14:paraId="3B883000">
                  <w:pPr>
                    <w:pStyle w:val="135"/>
                    <w:adjustRightInd w:val="0"/>
                    <w:snapToGrid w:val="0"/>
                  </w:pPr>
                </w:p>
              </w:tc>
            </w:tr>
            <w:tr w14:paraId="5C4526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2" w:type="pct"/>
                  <w:vAlign w:val="center"/>
                </w:tcPr>
                <w:p w14:paraId="7242F991">
                  <w:pPr>
                    <w:pStyle w:val="135"/>
                    <w:adjustRightInd w:val="0"/>
                    <w:snapToGrid w:val="0"/>
                  </w:pPr>
                  <w:r>
                    <w:rPr>
                      <w:rFonts w:hint="eastAsia"/>
                    </w:rPr>
                    <w:t>主体工程</w:t>
                  </w:r>
                </w:p>
              </w:tc>
              <w:tc>
                <w:tcPr>
                  <w:tcW w:w="612" w:type="pct"/>
                  <w:vAlign w:val="center"/>
                </w:tcPr>
                <w:p w14:paraId="0E6D17E8">
                  <w:pPr>
                    <w:pStyle w:val="135"/>
                    <w:adjustRightInd w:val="0"/>
                    <w:snapToGrid w:val="0"/>
                  </w:pPr>
                  <w:r>
                    <w:rPr>
                      <w:rFonts w:hint="eastAsia"/>
                    </w:rPr>
                    <w:t>加气混凝土砌块生产线</w:t>
                  </w:r>
                </w:p>
              </w:tc>
              <w:tc>
                <w:tcPr>
                  <w:tcW w:w="2988" w:type="pct"/>
                  <w:vAlign w:val="center"/>
                </w:tcPr>
                <w:p w14:paraId="0A3AC5DF">
                  <w:pPr>
                    <w:pStyle w:val="135"/>
                    <w:adjustRightInd w:val="0"/>
                    <w:snapToGrid w:val="0"/>
                    <w:jc w:val="both"/>
                  </w:pPr>
                  <w:r>
                    <w:rPr>
                      <w:rFonts w:hint="eastAsia"/>
                    </w:rPr>
                    <w:t>位于项目中部生产车间，占地面积约8272.73m</w:t>
                  </w:r>
                  <w:r>
                    <w:rPr>
                      <w:rFonts w:hint="eastAsia"/>
                      <w:vertAlign w:val="superscript"/>
                    </w:rPr>
                    <w:t>2</w:t>
                  </w:r>
                  <w:r>
                    <w:rPr>
                      <w:rFonts w:hint="eastAsia"/>
                    </w:rPr>
                    <w:t>，内设有浆料球磨生产线、搅拌车间、切割车间以及蒸压釜车间，年产加气混凝土砌块</w:t>
                  </w:r>
                  <w:r>
                    <w:t>15</w:t>
                  </w:r>
                  <w:r>
                    <w:rPr>
                      <w:rFonts w:hint="eastAsia"/>
                    </w:rPr>
                    <w:t>万m</w:t>
                  </w:r>
                  <w:r>
                    <w:rPr>
                      <w:rFonts w:hint="eastAsia"/>
                      <w:vertAlign w:val="superscript"/>
                    </w:rPr>
                    <w:t>3</w:t>
                  </w:r>
                  <w:r>
                    <w:rPr>
                      <w:rFonts w:hint="eastAsia"/>
                    </w:rPr>
                    <w:t>。</w:t>
                  </w:r>
                </w:p>
              </w:tc>
              <w:tc>
                <w:tcPr>
                  <w:tcW w:w="341" w:type="pct"/>
                  <w:vMerge w:val="restart"/>
                  <w:vAlign w:val="center"/>
                </w:tcPr>
                <w:p w14:paraId="0BC5C465">
                  <w:pPr>
                    <w:pStyle w:val="135"/>
                    <w:adjustRightInd w:val="0"/>
                    <w:snapToGrid w:val="0"/>
                  </w:pPr>
                  <w:r>
                    <w:rPr>
                      <w:rFonts w:hint="eastAsia"/>
                    </w:rPr>
                    <w:t>/</w:t>
                  </w:r>
                </w:p>
              </w:tc>
              <w:tc>
                <w:tcPr>
                  <w:tcW w:w="342" w:type="pct"/>
                  <w:vAlign w:val="center"/>
                </w:tcPr>
                <w:p w14:paraId="3D0C1C00">
                  <w:pPr>
                    <w:pStyle w:val="135"/>
                    <w:adjustRightInd w:val="0"/>
                    <w:snapToGrid w:val="0"/>
                  </w:pPr>
                  <w:r>
                    <w:rPr>
                      <w:rFonts w:hint="eastAsia"/>
                    </w:rPr>
                    <w:t>噪声</w:t>
                  </w:r>
                </w:p>
                <w:p w14:paraId="149B0684">
                  <w:pPr>
                    <w:pStyle w:val="135"/>
                    <w:adjustRightInd w:val="0"/>
                    <w:snapToGrid w:val="0"/>
                  </w:pPr>
                  <w:r>
                    <w:rPr>
                      <w:rFonts w:hint="eastAsia"/>
                    </w:rPr>
                    <w:t>粉尘</w:t>
                  </w:r>
                </w:p>
                <w:p w14:paraId="1A55B99E">
                  <w:pPr>
                    <w:pStyle w:val="135"/>
                    <w:adjustRightInd w:val="0"/>
                    <w:snapToGrid w:val="0"/>
                  </w:pPr>
                  <w:r>
                    <w:rPr>
                      <w:rFonts w:hint="eastAsia"/>
                    </w:rPr>
                    <w:t>废水</w:t>
                  </w:r>
                </w:p>
                <w:p w14:paraId="65BE96B2">
                  <w:pPr>
                    <w:pStyle w:val="135"/>
                    <w:adjustRightInd w:val="0"/>
                    <w:snapToGrid w:val="0"/>
                  </w:pPr>
                  <w:r>
                    <w:rPr>
                      <w:rFonts w:hint="eastAsia"/>
                    </w:rPr>
                    <w:t>固废</w:t>
                  </w:r>
                </w:p>
              </w:tc>
              <w:tc>
                <w:tcPr>
                  <w:tcW w:w="455" w:type="pct"/>
                  <w:vAlign w:val="center"/>
                </w:tcPr>
                <w:p w14:paraId="5BA8229F">
                  <w:pPr>
                    <w:pStyle w:val="135"/>
                    <w:adjustRightInd w:val="0"/>
                    <w:snapToGrid w:val="0"/>
                  </w:pPr>
                  <w:r>
                    <w:rPr>
                      <w:rFonts w:hint="eastAsia"/>
                    </w:rPr>
                    <w:t>新建</w:t>
                  </w:r>
                </w:p>
              </w:tc>
            </w:tr>
            <w:tr w14:paraId="483C4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2" w:type="pct"/>
                  <w:vMerge w:val="restart"/>
                  <w:vAlign w:val="center"/>
                </w:tcPr>
                <w:p w14:paraId="63E49B34">
                  <w:pPr>
                    <w:pStyle w:val="135"/>
                    <w:adjustRightInd w:val="0"/>
                    <w:snapToGrid w:val="0"/>
                  </w:pPr>
                  <w:r>
                    <w:rPr>
                      <w:rFonts w:hint="eastAsia"/>
                    </w:rPr>
                    <w:t>仓储工程</w:t>
                  </w:r>
                </w:p>
              </w:tc>
              <w:tc>
                <w:tcPr>
                  <w:tcW w:w="612" w:type="pct"/>
                  <w:vAlign w:val="center"/>
                </w:tcPr>
                <w:p w14:paraId="54230BA2">
                  <w:pPr>
                    <w:pStyle w:val="135"/>
                    <w:adjustRightInd w:val="0"/>
                    <w:snapToGrid w:val="0"/>
                  </w:pPr>
                  <w:r>
                    <w:rPr>
                      <w:rFonts w:hint="eastAsia"/>
                    </w:rPr>
                    <w:t>原料堆场</w:t>
                  </w:r>
                </w:p>
              </w:tc>
              <w:tc>
                <w:tcPr>
                  <w:tcW w:w="2988" w:type="pct"/>
                  <w:vAlign w:val="center"/>
                </w:tcPr>
                <w:p w14:paraId="5F821559">
                  <w:pPr>
                    <w:pStyle w:val="135"/>
                    <w:adjustRightInd w:val="0"/>
                    <w:snapToGrid w:val="0"/>
                    <w:jc w:val="both"/>
                  </w:pPr>
                  <w:r>
                    <w:rPr>
                      <w:rFonts w:hint="eastAsia"/>
                    </w:rPr>
                    <w:t>位于项目西北侧，占地面积约1</w:t>
                  </w:r>
                  <w:r>
                    <w:t>300</w:t>
                  </w:r>
                  <w:r>
                    <w:rPr>
                      <w:rFonts w:hint="eastAsia"/>
                    </w:rPr>
                    <w:t>m</w:t>
                  </w:r>
                  <w:r>
                    <w:rPr>
                      <w:vertAlign w:val="superscript"/>
                    </w:rPr>
                    <w:t>2</w:t>
                  </w:r>
                  <w:r>
                    <w:rPr>
                      <w:rFonts w:hint="eastAsia"/>
                    </w:rPr>
                    <w:t>，内部设置砂石破碎车间，用于堆放和破碎砂石料。</w:t>
                  </w:r>
                </w:p>
              </w:tc>
              <w:tc>
                <w:tcPr>
                  <w:tcW w:w="341" w:type="pct"/>
                  <w:vMerge w:val="continue"/>
                  <w:vAlign w:val="center"/>
                </w:tcPr>
                <w:p w14:paraId="1C79ECD2">
                  <w:pPr>
                    <w:pStyle w:val="135"/>
                    <w:adjustRightInd w:val="0"/>
                    <w:snapToGrid w:val="0"/>
                  </w:pPr>
                </w:p>
              </w:tc>
              <w:tc>
                <w:tcPr>
                  <w:tcW w:w="342" w:type="pct"/>
                  <w:vMerge w:val="restart"/>
                  <w:vAlign w:val="center"/>
                </w:tcPr>
                <w:p w14:paraId="153ADD2F">
                  <w:pPr>
                    <w:pStyle w:val="135"/>
                    <w:adjustRightInd w:val="0"/>
                    <w:snapToGrid w:val="0"/>
                  </w:pPr>
                  <w:r>
                    <w:rPr>
                      <w:rFonts w:hint="eastAsia"/>
                    </w:rPr>
                    <w:t>噪声</w:t>
                  </w:r>
                </w:p>
                <w:p w14:paraId="0C7F06F0">
                  <w:pPr>
                    <w:pStyle w:val="135"/>
                    <w:adjustRightInd w:val="0"/>
                    <w:snapToGrid w:val="0"/>
                  </w:pPr>
                  <w:r>
                    <w:rPr>
                      <w:rFonts w:hint="eastAsia"/>
                    </w:rPr>
                    <w:t>粉尘</w:t>
                  </w:r>
                </w:p>
              </w:tc>
              <w:tc>
                <w:tcPr>
                  <w:tcW w:w="455" w:type="pct"/>
                  <w:vAlign w:val="center"/>
                </w:tcPr>
                <w:p w14:paraId="0039E614">
                  <w:pPr>
                    <w:pStyle w:val="135"/>
                    <w:adjustRightInd w:val="0"/>
                    <w:snapToGrid w:val="0"/>
                  </w:pPr>
                  <w:r>
                    <w:rPr>
                      <w:rFonts w:hint="eastAsia"/>
                    </w:rPr>
                    <w:t>新建</w:t>
                  </w:r>
                </w:p>
              </w:tc>
            </w:tr>
            <w:tr w14:paraId="07ED3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2" w:type="pct"/>
                  <w:vMerge w:val="continue"/>
                  <w:vAlign w:val="center"/>
                </w:tcPr>
                <w:p w14:paraId="0953FC69">
                  <w:pPr>
                    <w:pStyle w:val="135"/>
                    <w:adjustRightInd w:val="0"/>
                    <w:snapToGrid w:val="0"/>
                  </w:pPr>
                </w:p>
              </w:tc>
              <w:tc>
                <w:tcPr>
                  <w:tcW w:w="612" w:type="pct"/>
                  <w:vAlign w:val="center"/>
                </w:tcPr>
                <w:p w14:paraId="7606F46D">
                  <w:pPr>
                    <w:pStyle w:val="135"/>
                    <w:adjustRightInd w:val="0"/>
                    <w:snapToGrid w:val="0"/>
                  </w:pPr>
                  <w:r>
                    <w:rPr>
                      <w:rFonts w:hint="eastAsia"/>
                    </w:rPr>
                    <w:t>浆池及浆料储罐</w:t>
                  </w:r>
                </w:p>
              </w:tc>
              <w:tc>
                <w:tcPr>
                  <w:tcW w:w="2988" w:type="pct"/>
                  <w:vAlign w:val="center"/>
                </w:tcPr>
                <w:p w14:paraId="03DBE0DA">
                  <w:pPr>
                    <w:pStyle w:val="135"/>
                    <w:adjustRightInd w:val="0"/>
                    <w:snapToGrid w:val="0"/>
                    <w:jc w:val="both"/>
                  </w:pPr>
                  <w:r>
                    <w:rPr>
                      <w:rFonts w:hint="eastAsia"/>
                    </w:rPr>
                    <w:t>位于生产车间内，设置有1个浆池、3座浆料储罐，总容积约5</w:t>
                  </w:r>
                  <w:r>
                    <w:t>00</w:t>
                  </w:r>
                  <w:r>
                    <w:rPr>
                      <w:rFonts w:hint="eastAsia"/>
                    </w:rPr>
                    <w:t>m</w:t>
                  </w:r>
                  <w:r>
                    <w:rPr>
                      <w:vertAlign w:val="superscript"/>
                    </w:rPr>
                    <w:t>3</w:t>
                  </w:r>
                  <w:r>
                    <w:rPr>
                      <w:rFonts w:hint="eastAsia"/>
                    </w:rPr>
                    <w:t>，用于储存球磨好的砂石浆料。</w:t>
                  </w:r>
                </w:p>
              </w:tc>
              <w:tc>
                <w:tcPr>
                  <w:tcW w:w="341" w:type="pct"/>
                  <w:vMerge w:val="continue"/>
                  <w:vAlign w:val="center"/>
                </w:tcPr>
                <w:p w14:paraId="254DCA5D">
                  <w:pPr>
                    <w:pStyle w:val="135"/>
                    <w:adjustRightInd w:val="0"/>
                    <w:snapToGrid w:val="0"/>
                  </w:pPr>
                </w:p>
              </w:tc>
              <w:tc>
                <w:tcPr>
                  <w:tcW w:w="342" w:type="pct"/>
                  <w:vMerge w:val="continue"/>
                  <w:vAlign w:val="center"/>
                </w:tcPr>
                <w:p w14:paraId="345909FB">
                  <w:pPr>
                    <w:pStyle w:val="135"/>
                    <w:adjustRightInd w:val="0"/>
                    <w:snapToGrid w:val="0"/>
                  </w:pPr>
                </w:p>
              </w:tc>
              <w:tc>
                <w:tcPr>
                  <w:tcW w:w="455" w:type="pct"/>
                  <w:vAlign w:val="center"/>
                </w:tcPr>
                <w:p w14:paraId="56E0C4DD">
                  <w:pPr>
                    <w:pStyle w:val="135"/>
                    <w:adjustRightInd w:val="0"/>
                    <w:snapToGrid w:val="0"/>
                  </w:pPr>
                  <w:r>
                    <w:rPr>
                      <w:rFonts w:hint="eastAsia"/>
                    </w:rPr>
                    <w:t>新建</w:t>
                  </w:r>
                </w:p>
              </w:tc>
            </w:tr>
            <w:tr w14:paraId="606A4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2" w:type="pct"/>
                  <w:vMerge w:val="continue"/>
                  <w:vAlign w:val="center"/>
                </w:tcPr>
                <w:p w14:paraId="4EA24EA1">
                  <w:pPr>
                    <w:pStyle w:val="135"/>
                    <w:adjustRightInd w:val="0"/>
                    <w:snapToGrid w:val="0"/>
                  </w:pPr>
                </w:p>
              </w:tc>
              <w:tc>
                <w:tcPr>
                  <w:tcW w:w="612" w:type="pct"/>
                  <w:vAlign w:val="top"/>
                </w:tcPr>
                <w:p w14:paraId="43AF49E2">
                  <w:pPr>
                    <w:pStyle w:val="135"/>
                    <w:adjustRightInd w:val="0"/>
                    <w:snapToGrid w:val="0"/>
                  </w:pPr>
                  <w:r>
                    <w:rPr>
                      <w:rFonts w:hint="eastAsia"/>
                    </w:rPr>
                    <w:t>粉料筒仓</w:t>
                  </w:r>
                </w:p>
              </w:tc>
              <w:tc>
                <w:tcPr>
                  <w:tcW w:w="2988" w:type="pct"/>
                  <w:vAlign w:val="top"/>
                </w:tcPr>
                <w:p w14:paraId="36B2434F">
                  <w:pPr>
                    <w:pStyle w:val="135"/>
                    <w:adjustRightInd w:val="0"/>
                    <w:snapToGrid w:val="0"/>
                    <w:jc w:val="both"/>
                  </w:pPr>
                  <w:r>
                    <w:rPr>
                      <w:rFonts w:hint="eastAsia"/>
                    </w:rPr>
                    <w:t>项目设置2个1</w:t>
                  </w:r>
                  <w:r>
                    <w:t>40</w:t>
                  </w:r>
                  <w:r>
                    <w:rPr>
                      <w:rFonts w:hint="eastAsia"/>
                    </w:rPr>
                    <w:t>t粉料筒仓，分别用于储存水泥和石灰粉。</w:t>
                  </w:r>
                </w:p>
              </w:tc>
              <w:tc>
                <w:tcPr>
                  <w:tcW w:w="341" w:type="pct"/>
                  <w:vMerge w:val="continue"/>
                  <w:vAlign w:val="center"/>
                </w:tcPr>
                <w:p w14:paraId="6FCD103A">
                  <w:pPr>
                    <w:pStyle w:val="135"/>
                    <w:adjustRightInd w:val="0"/>
                    <w:snapToGrid w:val="0"/>
                  </w:pPr>
                </w:p>
              </w:tc>
              <w:tc>
                <w:tcPr>
                  <w:tcW w:w="342" w:type="pct"/>
                  <w:vMerge w:val="continue"/>
                  <w:vAlign w:val="center"/>
                </w:tcPr>
                <w:p w14:paraId="28F47BCE">
                  <w:pPr>
                    <w:pStyle w:val="135"/>
                    <w:adjustRightInd w:val="0"/>
                    <w:snapToGrid w:val="0"/>
                  </w:pPr>
                </w:p>
              </w:tc>
              <w:tc>
                <w:tcPr>
                  <w:tcW w:w="455" w:type="pct"/>
                  <w:vAlign w:val="center"/>
                </w:tcPr>
                <w:p w14:paraId="463E55B1">
                  <w:pPr>
                    <w:pStyle w:val="135"/>
                    <w:adjustRightInd w:val="0"/>
                    <w:snapToGrid w:val="0"/>
                  </w:pPr>
                  <w:r>
                    <w:rPr>
                      <w:rFonts w:hint="eastAsia"/>
                    </w:rPr>
                    <w:t>新建</w:t>
                  </w:r>
                </w:p>
              </w:tc>
            </w:tr>
            <w:tr w14:paraId="1FFC53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2" w:type="pct"/>
                  <w:vMerge w:val="continue"/>
                  <w:vAlign w:val="center"/>
                </w:tcPr>
                <w:p w14:paraId="4C4736C8">
                  <w:pPr>
                    <w:pStyle w:val="135"/>
                    <w:adjustRightInd w:val="0"/>
                    <w:snapToGrid w:val="0"/>
                  </w:pPr>
                </w:p>
              </w:tc>
              <w:tc>
                <w:tcPr>
                  <w:tcW w:w="612" w:type="pct"/>
                  <w:vAlign w:val="center"/>
                </w:tcPr>
                <w:p w14:paraId="630D699A">
                  <w:pPr>
                    <w:pStyle w:val="135"/>
                    <w:adjustRightInd w:val="0"/>
                    <w:snapToGrid w:val="0"/>
                  </w:pPr>
                  <w:r>
                    <w:rPr>
                      <w:rFonts w:hint="eastAsia"/>
                    </w:rPr>
                    <w:t>成品堆场</w:t>
                  </w:r>
                </w:p>
              </w:tc>
              <w:tc>
                <w:tcPr>
                  <w:tcW w:w="2988" w:type="pct"/>
                  <w:vAlign w:val="center"/>
                </w:tcPr>
                <w:p w14:paraId="149915B6">
                  <w:pPr>
                    <w:pStyle w:val="135"/>
                    <w:adjustRightInd w:val="0"/>
                    <w:snapToGrid w:val="0"/>
                    <w:jc w:val="both"/>
                  </w:pPr>
                  <w:r>
                    <w:rPr>
                      <w:rFonts w:hint="eastAsia"/>
                    </w:rPr>
                    <w:t>位于项目西北侧，占地面积约</w:t>
                  </w:r>
                  <w:r>
                    <w:t>1100</w:t>
                  </w:r>
                  <w:r>
                    <w:rPr>
                      <w:rFonts w:hint="eastAsia"/>
                    </w:rPr>
                    <w:t>m²，用于堆放成品。</w:t>
                  </w:r>
                </w:p>
              </w:tc>
              <w:tc>
                <w:tcPr>
                  <w:tcW w:w="341" w:type="pct"/>
                  <w:vMerge w:val="continue"/>
                  <w:vAlign w:val="center"/>
                </w:tcPr>
                <w:p w14:paraId="4FE295A6">
                  <w:pPr>
                    <w:pStyle w:val="135"/>
                    <w:adjustRightInd w:val="0"/>
                    <w:snapToGrid w:val="0"/>
                  </w:pPr>
                </w:p>
              </w:tc>
              <w:tc>
                <w:tcPr>
                  <w:tcW w:w="342" w:type="pct"/>
                  <w:vMerge w:val="continue"/>
                  <w:vAlign w:val="center"/>
                </w:tcPr>
                <w:p w14:paraId="4293D36D">
                  <w:pPr>
                    <w:pStyle w:val="135"/>
                    <w:adjustRightInd w:val="0"/>
                    <w:snapToGrid w:val="0"/>
                  </w:pPr>
                </w:p>
              </w:tc>
              <w:tc>
                <w:tcPr>
                  <w:tcW w:w="455" w:type="pct"/>
                  <w:vAlign w:val="center"/>
                </w:tcPr>
                <w:p w14:paraId="3C22D96F">
                  <w:pPr>
                    <w:pStyle w:val="135"/>
                    <w:adjustRightInd w:val="0"/>
                    <w:snapToGrid w:val="0"/>
                  </w:pPr>
                  <w:r>
                    <w:rPr>
                      <w:rFonts w:hint="eastAsia"/>
                    </w:rPr>
                    <w:t>新建</w:t>
                  </w:r>
                </w:p>
              </w:tc>
            </w:tr>
            <w:tr w14:paraId="6D01E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2" w:type="pct"/>
                  <w:vMerge w:val="restart"/>
                  <w:vAlign w:val="center"/>
                </w:tcPr>
                <w:p w14:paraId="22811B16">
                  <w:pPr>
                    <w:pStyle w:val="135"/>
                    <w:adjustRightInd w:val="0"/>
                    <w:snapToGrid w:val="0"/>
                  </w:pPr>
                  <w:r>
                    <w:rPr>
                      <w:rFonts w:hint="eastAsia"/>
                    </w:rPr>
                    <w:t>公辅工程</w:t>
                  </w:r>
                </w:p>
              </w:tc>
              <w:tc>
                <w:tcPr>
                  <w:tcW w:w="612" w:type="pct"/>
                  <w:vAlign w:val="center"/>
                </w:tcPr>
                <w:p w14:paraId="4DF8D98F">
                  <w:pPr>
                    <w:pStyle w:val="135"/>
                    <w:adjustRightInd w:val="0"/>
                    <w:snapToGrid w:val="0"/>
                  </w:pPr>
                  <w:r>
                    <w:rPr>
                      <w:rFonts w:hint="eastAsia"/>
                    </w:rPr>
                    <w:t>锅炉</w:t>
                  </w:r>
                </w:p>
              </w:tc>
              <w:tc>
                <w:tcPr>
                  <w:tcW w:w="2988" w:type="pct"/>
                  <w:vAlign w:val="center"/>
                </w:tcPr>
                <w:p w14:paraId="5EBF1020">
                  <w:pPr>
                    <w:pStyle w:val="135"/>
                    <w:adjustRightInd w:val="0"/>
                    <w:snapToGrid w:val="0"/>
                    <w:jc w:val="both"/>
                  </w:pPr>
                  <w:r>
                    <w:rPr>
                      <w:rFonts w:hint="eastAsia"/>
                    </w:rPr>
                    <w:t>新建1台1</w:t>
                  </w:r>
                  <w:r>
                    <w:t>0</w:t>
                  </w:r>
                  <w:r>
                    <w:rPr>
                      <w:rFonts w:hint="eastAsia"/>
                    </w:rPr>
                    <w:t>t</w:t>
                  </w:r>
                  <w:r>
                    <w:t>/</w:t>
                  </w:r>
                  <w:r>
                    <w:rPr>
                      <w:rFonts w:hint="eastAsia"/>
                    </w:rPr>
                    <w:t>h生物质燃料专用锅炉。</w:t>
                  </w:r>
                </w:p>
              </w:tc>
              <w:tc>
                <w:tcPr>
                  <w:tcW w:w="341" w:type="pct"/>
                  <w:vAlign w:val="center"/>
                </w:tcPr>
                <w:p w14:paraId="4A3F931A">
                  <w:pPr>
                    <w:pStyle w:val="135"/>
                    <w:adjustRightInd w:val="0"/>
                    <w:snapToGrid w:val="0"/>
                  </w:pPr>
                  <w:r>
                    <w:rPr>
                      <w:rFonts w:hint="eastAsia"/>
                    </w:rPr>
                    <w:t>固废</w:t>
                  </w:r>
                </w:p>
                <w:p w14:paraId="62DA78E9">
                  <w:pPr>
                    <w:pStyle w:val="135"/>
                    <w:adjustRightInd w:val="0"/>
                    <w:snapToGrid w:val="0"/>
                  </w:pPr>
                  <w:r>
                    <w:rPr>
                      <w:rFonts w:hint="eastAsia"/>
                    </w:rPr>
                    <w:t>噪声</w:t>
                  </w:r>
                </w:p>
              </w:tc>
              <w:tc>
                <w:tcPr>
                  <w:tcW w:w="342" w:type="pct"/>
                  <w:vAlign w:val="center"/>
                </w:tcPr>
                <w:p w14:paraId="18590E99">
                  <w:pPr>
                    <w:pStyle w:val="135"/>
                    <w:adjustRightInd w:val="0"/>
                    <w:snapToGrid w:val="0"/>
                  </w:pPr>
                  <w:r>
                    <w:rPr>
                      <w:rFonts w:hint="eastAsia"/>
                    </w:rPr>
                    <w:t>废气</w:t>
                  </w:r>
                </w:p>
                <w:p w14:paraId="56BA50F7">
                  <w:pPr>
                    <w:pStyle w:val="135"/>
                    <w:adjustRightInd w:val="0"/>
                    <w:snapToGrid w:val="0"/>
                  </w:pPr>
                  <w:r>
                    <w:rPr>
                      <w:rFonts w:hint="eastAsia"/>
                    </w:rPr>
                    <w:t>废水</w:t>
                  </w:r>
                </w:p>
                <w:p w14:paraId="725D61F3">
                  <w:pPr>
                    <w:pStyle w:val="135"/>
                    <w:adjustRightInd w:val="0"/>
                    <w:snapToGrid w:val="0"/>
                  </w:pPr>
                  <w:r>
                    <w:rPr>
                      <w:rFonts w:hint="eastAsia"/>
                    </w:rPr>
                    <w:t>固废</w:t>
                  </w:r>
                </w:p>
              </w:tc>
              <w:tc>
                <w:tcPr>
                  <w:tcW w:w="455" w:type="pct"/>
                  <w:vAlign w:val="center"/>
                </w:tcPr>
                <w:p w14:paraId="0383A948">
                  <w:pPr>
                    <w:pStyle w:val="135"/>
                    <w:adjustRightInd w:val="0"/>
                    <w:snapToGrid w:val="0"/>
                  </w:pPr>
                  <w:r>
                    <w:rPr>
                      <w:rFonts w:hint="eastAsia"/>
                    </w:rPr>
                    <w:t>新建</w:t>
                  </w:r>
                </w:p>
              </w:tc>
            </w:tr>
            <w:tr w14:paraId="56E1E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2" w:type="pct"/>
                  <w:vMerge w:val="continue"/>
                  <w:vAlign w:val="center"/>
                </w:tcPr>
                <w:p w14:paraId="5426CAD4">
                  <w:pPr>
                    <w:pStyle w:val="135"/>
                    <w:adjustRightInd w:val="0"/>
                    <w:snapToGrid w:val="0"/>
                  </w:pPr>
                </w:p>
              </w:tc>
              <w:tc>
                <w:tcPr>
                  <w:tcW w:w="612" w:type="pct"/>
                  <w:vAlign w:val="top"/>
                </w:tcPr>
                <w:p w14:paraId="6F400FC3">
                  <w:pPr>
                    <w:pStyle w:val="135"/>
                    <w:adjustRightInd w:val="0"/>
                    <w:snapToGrid w:val="0"/>
                  </w:pPr>
                  <w:r>
                    <w:rPr>
                      <w:rFonts w:hint="eastAsia"/>
                    </w:rPr>
                    <w:t>供水</w:t>
                  </w:r>
                </w:p>
              </w:tc>
              <w:tc>
                <w:tcPr>
                  <w:tcW w:w="2988" w:type="pct"/>
                  <w:vAlign w:val="top"/>
                </w:tcPr>
                <w:p w14:paraId="07A9A980">
                  <w:pPr>
                    <w:pStyle w:val="135"/>
                    <w:adjustRightInd w:val="0"/>
                    <w:snapToGrid w:val="0"/>
                    <w:jc w:val="both"/>
                  </w:pPr>
                  <w:r>
                    <w:rPr>
                      <w:rFonts w:hint="eastAsia"/>
                    </w:rPr>
                    <w:t>由市政接入自来水管网。</w:t>
                  </w:r>
                </w:p>
              </w:tc>
              <w:tc>
                <w:tcPr>
                  <w:tcW w:w="341" w:type="pct"/>
                  <w:vMerge w:val="restart"/>
                  <w:vAlign w:val="center"/>
                </w:tcPr>
                <w:p w14:paraId="12D83825">
                  <w:pPr>
                    <w:pStyle w:val="135"/>
                    <w:adjustRightInd w:val="0"/>
                    <w:snapToGrid w:val="0"/>
                  </w:pPr>
                  <w:r>
                    <w:rPr>
                      <w:rFonts w:hint="eastAsia"/>
                    </w:rPr>
                    <w:t>/</w:t>
                  </w:r>
                </w:p>
              </w:tc>
              <w:tc>
                <w:tcPr>
                  <w:tcW w:w="342" w:type="pct"/>
                  <w:vAlign w:val="center"/>
                </w:tcPr>
                <w:p w14:paraId="0BEE901A">
                  <w:pPr>
                    <w:pStyle w:val="135"/>
                    <w:adjustRightInd w:val="0"/>
                    <w:snapToGrid w:val="0"/>
                  </w:pPr>
                  <w:r>
                    <w:rPr>
                      <w:rFonts w:hint="eastAsia"/>
                    </w:rPr>
                    <w:t>/</w:t>
                  </w:r>
                </w:p>
              </w:tc>
              <w:tc>
                <w:tcPr>
                  <w:tcW w:w="455" w:type="pct"/>
                  <w:vAlign w:val="center"/>
                </w:tcPr>
                <w:p w14:paraId="5A1AF2CF">
                  <w:pPr>
                    <w:pStyle w:val="135"/>
                    <w:adjustRightInd w:val="0"/>
                    <w:snapToGrid w:val="0"/>
                  </w:pPr>
                  <w:r>
                    <w:rPr>
                      <w:rFonts w:hint="eastAsia"/>
                    </w:rPr>
                    <w:t>依托</w:t>
                  </w:r>
                </w:p>
              </w:tc>
            </w:tr>
            <w:tr w14:paraId="6B70DE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2" w:type="pct"/>
                  <w:vMerge w:val="continue"/>
                  <w:vAlign w:val="center"/>
                </w:tcPr>
                <w:p w14:paraId="334E43BD">
                  <w:pPr>
                    <w:pStyle w:val="135"/>
                    <w:adjustRightInd w:val="0"/>
                    <w:snapToGrid w:val="0"/>
                  </w:pPr>
                </w:p>
              </w:tc>
              <w:tc>
                <w:tcPr>
                  <w:tcW w:w="612" w:type="pct"/>
                  <w:vAlign w:val="top"/>
                </w:tcPr>
                <w:p w14:paraId="5C8982F9">
                  <w:pPr>
                    <w:pStyle w:val="135"/>
                    <w:adjustRightInd w:val="0"/>
                    <w:snapToGrid w:val="0"/>
                  </w:pPr>
                  <w:r>
                    <w:rPr>
                      <w:rFonts w:hint="eastAsia"/>
                    </w:rPr>
                    <w:t>排水</w:t>
                  </w:r>
                </w:p>
              </w:tc>
              <w:tc>
                <w:tcPr>
                  <w:tcW w:w="2988" w:type="pct"/>
                  <w:vAlign w:val="top"/>
                </w:tcPr>
                <w:p w14:paraId="22727814">
                  <w:pPr>
                    <w:pStyle w:val="135"/>
                    <w:adjustRightInd w:val="0"/>
                    <w:snapToGrid w:val="0"/>
                    <w:jc w:val="both"/>
                  </w:pPr>
                  <w:r>
                    <w:rPr>
                      <w:rFonts w:hint="eastAsia"/>
                    </w:rPr>
                    <w:t>生产废水全部回用，生活污水外委清运处理。</w:t>
                  </w:r>
                </w:p>
              </w:tc>
              <w:tc>
                <w:tcPr>
                  <w:tcW w:w="341" w:type="pct"/>
                  <w:vMerge w:val="continue"/>
                  <w:vAlign w:val="center"/>
                </w:tcPr>
                <w:p w14:paraId="1C756724">
                  <w:pPr>
                    <w:pStyle w:val="135"/>
                    <w:adjustRightInd w:val="0"/>
                    <w:snapToGrid w:val="0"/>
                  </w:pPr>
                </w:p>
              </w:tc>
              <w:tc>
                <w:tcPr>
                  <w:tcW w:w="342" w:type="pct"/>
                  <w:vAlign w:val="center"/>
                </w:tcPr>
                <w:p w14:paraId="5F029BAE">
                  <w:pPr>
                    <w:pStyle w:val="135"/>
                    <w:adjustRightInd w:val="0"/>
                    <w:snapToGrid w:val="0"/>
                  </w:pPr>
                  <w:r>
                    <w:rPr>
                      <w:rFonts w:hint="eastAsia"/>
                    </w:rPr>
                    <w:t>/</w:t>
                  </w:r>
                </w:p>
              </w:tc>
              <w:tc>
                <w:tcPr>
                  <w:tcW w:w="455" w:type="pct"/>
                  <w:vAlign w:val="center"/>
                </w:tcPr>
                <w:p w14:paraId="021B469E">
                  <w:pPr>
                    <w:pStyle w:val="135"/>
                    <w:adjustRightInd w:val="0"/>
                    <w:snapToGrid w:val="0"/>
                  </w:pPr>
                  <w:r>
                    <w:rPr>
                      <w:rFonts w:hint="eastAsia"/>
                    </w:rPr>
                    <w:t>依托</w:t>
                  </w:r>
                </w:p>
              </w:tc>
            </w:tr>
            <w:tr w14:paraId="225E4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2" w:type="pct"/>
                  <w:vMerge w:val="restart"/>
                  <w:vAlign w:val="center"/>
                </w:tcPr>
                <w:p w14:paraId="006F1FF1">
                  <w:pPr>
                    <w:pStyle w:val="135"/>
                    <w:adjustRightInd w:val="0"/>
                    <w:snapToGrid w:val="0"/>
                  </w:pPr>
                  <w:r>
                    <w:rPr>
                      <w:rFonts w:hint="eastAsia"/>
                    </w:rPr>
                    <w:t>办公设施</w:t>
                  </w:r>
                </w:p>
              </w:tc>
              <w:tc>
                <w:tcPr>
                  <w:tcW w:w="612" w:type="pct"/>
                  <w:vAlign w:val="center"/>
                </w:tcPr>
                <w:p w14:paraId="42292124">
                  <w:pPr>
                    <w:pStyle w:val="135"/>
                    <w:adjustRightInd w:val="0"/>
                    <w:snapToGrid w:val="0"/>
                  </w:pPr>
                  <w:r>
                    <w:rPr>
                      <w:rFonts w:hint="eastAsia"/>
                    </w:rPr>
                    <w:t>办公室</w:t>
                  </w:r>
                </w:p>
              </w:tc>
              <w:tc>
                <w:tcPr>
                  <w:tcW w:w="2988" w:type="pct"/>
                  <w:vAlign w:val="center"/>
                </w:tcPr>
                <w:p w14:paraId="3EE92B96">
                  <w:pPr>
                    <w:pStyle w:val="135"/>
                    <w:adjustRightInd w:val="0"/>
                    <w:snapToGrid w:val="0"/>
                    <w:jc w:val="both"/>
                  </w:pPr>
                  <w:r>
                    <w:rPr>
                      <w:rFonts w:hint="eastAsia"/>
                    </w:rPr>
                    <w:t>位于厂区北侧，占地面积约4</w:t>
                  </w:r>
                  <w:r>
                    <w:t>50</w:t>
                  </w:r>
                  <w:r>
                    <w:rPr>
                      <w:rFonts w:hint="eastAsia"/>
                    </w:rPr>
                    <w:t>m</w:t>
                  </w:r>
                  <w:r>
                    <w:rPr>
                      <w:vertAlign w:val="superscript"/>
                    </w:rPr>
                    <w:t>2</w:t>
                  </w:r>
                  <w:r>
                    <w:rPr>
                      <w:rFonts w:hint="eastAsia"/>
                    </w:rPr>
                    <w:t>。</w:t>
                  </w:r>
                </w:p>
              </w:tc>
              <w:tc>
                <w:tcPr>
                  <w:tcW w:w="341" w:type="pct"/>
                  <w:vMerge w:val="continue"/>
                  <w:vAlign w:val="center"/>
                </w:tcPr>
                <w:p w14:paraId="1239DFB4">
                  <w:pPr>
                    <w:pStyle w:val="135"/>
                    <w:adjustRightInd w:val="0"/>
                    <w:snapToGrid w:val="0"/>
                  </w:pPr>
                </w:p>
              </w:tc>
              <w:tc>
                <w:tcPr>
                  <w:tcW w:w="342" w:type="pct"/>
                  <w:vMerge w:val="restart"/>
                  <w:vAlign w:val="center"/>
                </w:tcPr>
                <w:p w14:paraId="03FF1B82">
                  <w:pPr>
                    <w:pStyle w:val="135"/>
                    <w:adjustRightInd w:val="0"/>
                    <w:snapToGrid w:val="0"/>
                  </w:pPr>
                  <w:r>
                    <w:rPr>
                      <w:rFonts w:hint="eastAsia"/>
                    </w:rPr>
                    <w:t>固废</w:t>
                  </w:r>
                </w:p>
                <w:p w14:paraId="286AED0A">
                  <w:pPr>
                    <w:pStyle w:val="135"/>
                    <w:adjustRightInd w:val="0"/>
                    <w:snapToGrid w:val="0"/>
                  </w:pPr>
                  <w:r>
                    <w:rPr>
                      <w:rFonts w:hint="eastAsia"/>
                    </w:rPr>
                    <w:t>废水</w:t>
                  </w:r>
                </w:p>
                <w:p w14:paraId="5147B76F">
                  <w:pPr>
                    <w:pStyle w:val="135"/>
                    <w:adjustRightInd w:val="0"/>
                    <w:snapToGrid w:val="0"/>
                  </w:pPr>
                  <w:r>
                    <w:rPr>
                      <w:rFonts w:hint="eastAsia"/>
                    </w:rPr>
                    <w:t>废气</w:t>
                  </w:r>
                </w:p>
              </w:tc>
              <w:tc>
                <w:tcPr>
                  <w:tcW w:w="455" w:type="pct"/>
                  <w:vMerge w:val="restart"/>
                  <w:vAlign w:val="center"/>
                </w:tcPr>
                <w:p w14:paraId="4754FC42">
                  <w:pPr>
                    <w:pStyle w:val="135"/>
                    <w:adjustRightInd w:val="0"/>
                    <w:snapToGrid w:val="0"/>
                  </w:pPr>
                  <w:r>
                    <w:rPr>
                      <w:rFonts w:hint="eastAsia"/>
                    </w:rPr>
                    <w:t>依托</w:t>
                  </w:r>
                </w:p>
              </w:tc>
            </w:tr>
            <w:tr w14:paraId="6BED6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2" w:type="pct"/>
                  <w:vMerge w:val="continue"/>
                  <w:vAlign w:val="center"/>
                </w:tcPr>
                <w:p w14:paraId="0CEBCD13">
                  <w:pPr>
                    <w:pStyle w:val="135"/>
                    <w:adjustRightInd w:val="0"/>
                    <w:snapToGrid w:val="0"/>
                  </w:pPr>
                </w:p>
              </w:tc>
              <w:tc>
                <w:tcPr>
                  <w:tcW w:w="612" w:type="pct"/>
                  <w:vAlign w:val="center"/>
                </w:tcPr>
                <w:p w14:paraId="4D2714D0">
                  <w:pPr>
                    <w:pStyle w:val="135"/>
                    <w:adjustRightInd w:val="0"/>
                    <w:snapToGrid w:val="0"/>
                  </w:pPr>
                  <w:r>
                    <w:rPr>
                      <w:rFonts w:hint="eastAsia"/>
                    </w:rPr>
                    <w:t>食堂及宿舍</w:t>
                  </w:r>
                </w:p>
              </w:tc>
              <w:tc>
                <w:tcPr>
                  <w:tcW w:w="2988" w:type="pct"/>
                  <w:vAlign w:val="center"/>
                </w:tcPr>
                <w:p w14:paraId="6F565144">
                  <w:pPr>
                    <w:pStyle w:val="135"/>
                    <w:adjustRightInd w:val="0"/>
                    <w:snapToGrid w:val="0"/>
                    <w:jc w:val="both"/>
                  </w:pPr>
                  <w:r>
                    <w:rPr>
                      <w:rFonts w:hint="eastAsia"/>
                    </w:rPr>
                    <w:t>位于厂区西侧，占地面积约7</w:t>
                  </w:r>
                  <w:r>
                    <w:t>50</w:t>
                  </w:r>
                  <w:r>
                    <w:rPr>
                      <w:rFonts w:hint="eastAsia"/>
                    </w:rPr>
                    <w:t>m</w:t>
                  </w:r>
                  <w:r>
                    <w:rPr>
                      <w:vertAlign w:val="superscript"/>
                    </w:rPr>
                    <w:t>2</w:t>
                  </w:r>
                  <w:r>
                    <w:rPr>
                      <w:rFonts w:hint="eastAsia"/>
                    </w:rPr>
                    <w:t>。</w:t>
                  </w:r>
                </w:p>
              </w:tc>
              <w:tc>
                <w:tcPr>
                  <w:tcW w:w="341" w:type="pct"/>
                  <w:vMerge w:val="continue"/>
                  <w:vAlign w:val="center"/>
                </w:tcPr>
                <w:p w14:paraId="5D789882">
                  <w:pPr>
                    <w:pStyle w:val="135"/>
                    <w:adjustRightInd w:val="0"/>
                    <w:snapToGrid w:val="0"/>
                  </w:pPr>
                </w:p>
              </w:tc>
              <w:tc>
                <w:tcPr>
                  <w:tcW w:w="342" w:type="pct"/>
                  <w:vMerge w:val="continue"/>
                  <w:vAlign w:val="center"/>
                </w:tcPr>
                <w:p w14:paraId="767FA856">
                  <w:pPr>
                    <w:pStyle w:val="135"/>
                    <w:adjustRightInd w:val="0"/>
                    <w:snapToGrid w:val="0"/>
                  </w:pPr>
                </w:p>
              </w:tc>
              <w:tc>
                <w:tcPr>
                  <w:tcW w:w="455" w:type="pct"/>
                  <w:vMerge w:val="continue"/>
                  <w:vAlign w:val="center"/>
                </w:tcPr>
                <w:p w14:paraId="1A69E7C7">
                  <w:pPr>
                    <w:pStyle w:val="135"/>
                    <w:adjustRightInd w:val="0"/>
                    <w:snapToGrid w:val="0"/>
                  </w:pPr>
                </w:p>
              </w:tc>
            </w:tr>
            <w:tr w14:paraId="2306DC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2" w:type="pct"/>
                  <w:vMerge w:val="restart"/>
                  <w:vAlign w:val="center"/>
                </w:tcPr>
                <w:p w14:paraId="2FBBB505">
                  <w:pPr>
                    <w:pStyle w:val="135"/>
                    <w:adjustRightInd w:val="0"/>
                    <w:snapToGrid w:val="0"/>
                  </w:pPr>
                  <w:r>
                    <w:rPr>
                      <w:rFonts w:hint="eastAsia"/>
                    </w:rPr>
                    <w:t>环保工程</w:t>
                  </w:r>
                </w:p>
              </w:tc>
              <w:tc>
                <w:tcPr>
                  <w:tcW w:w="612" w:type="pct"/>
                  <w:vMerge w:val="restart"/>
                  <w:vAlign w:val="center"/>
                </w:tcPr>
                <w:p w14:paraId="4F1C5316">
                  <w:pPr>
                    <w:pStyle w:val="135"/>
                    <w:adjustRightInd w:val="0"/>
                    <w:snapToGrid w:val="0"/>
                  </w:pPr>
                  <w:r>
                    <w:rPr>
                      <w:rFonts w:hint="eastAsia"/>
                    </w:rPr>
                    <w:t>废水</w:t>
                  </w:r>
                </w:p>
              </w:tc>
              <w:tc>
                <w:tcPr>
                  <w:tcW w:w="2988" w:type="pct"/>
                  <w:vAlign w:val="center"/>
                </w:tcPr>
                <w:p w14:paraId="0CAC5DC5">
                  <w:pPr>
                    <w:pStyle w:val="135"/>
                    <w:adjustRightInd w:val="0"/>
                    <w:snapToGrid w:val="0"/>
                    <w:jc w:val="both"/>
                  </w:pPr>
                  <w:r>
                    <w:rPr>
                      <w:rFonts w:hint="eastAsia"/>
                    </w:rPr>
                    <w:t>生活污水：生活污水经化粪池处理后采用吸污车清运至污水处理厂，后期管网接通后，通过管网排入污水处理厂处理</w:t>
                  </w:r>
                  <w:r>
                    <w:t>。</w:t>
                  </w:r>
                </w:p>
              </w:tc>
              <w:tc>
                <w:tcPr>
                  <w:tcW w:w="341" w:type="pct"/>
                  <w:vMerge w:val="continue"/>
                  <w:vAlign w:val="center"/>
                </w:tcPr>
                <w:p w14:paraId="4B95FBD3">
                  <w:pPr>
                    <w:pStyle w:val="135"/>
                    <w:adjustRightInd w:val="0"/>
                    <w:snapToGrid w:val="0"/>
                  </w:pPr>
                </w:p>
              </w:tc>
              <w:tc>
                <w:tcPr>
                  <w:tcW w:w="342" w:type="pct"/>
                  <w:vMerge w:val="restart"/>
                  <w:vAlign w:val="center"/>
                </w:tcPr>
                <w:p w14:paraId="51DD5D9F">
                  <w:pPr>
                    <w:pStyle w:val="135"/>
                    <w:adjustRightInd w:val="0"/>
                    <w:snapToGrid w:val="0"/>
                  </w:pPr>
                  <w:r>
                    <w:rPr>
                      <w:rFonts w:hint="eastAsia"/>
                    </w:rPr>
                    <w:t>废水</w:t>
                  </w:r>
                </w:p>
                <w:p w14:paraId="53EA9C67">
                  <w:pPr>
                    <w:pStyle w:val="135"/>
                    <w:adjustRightInd w:val="0"/>
                    <w:snapToGrid w:val="0"/>
                  </w:pPr>
                  <w:r>
                    <w:rPr>
                      <w:rFonts w:hint="eastAsia"/>
                    </w:rPr>
                    <w:t>固废</w:t>
                  </w:r>
                </w:p>
              </w:tc>
              <w:tc>
                <w:tcPr>
                  <w:tcW w:w="455" w:type="pct"/>
                  <w:vMerge w:val="restart"/>
                  <w:vAlign w:val="center"/>
                </w:tcPr>
                <w:p w14:paraId="6A7EF195">
                  <w:pPr>
                    <w:pStyle w:val="135"/>
                    <w:adjustRightInd w:val="0"/>
                    <w:snapToGrid w:val="0"/>
                  </w:pPr>
                  <w:r>
                    <w:rPr>
                      <w:rFonts w:hint="eastAsia"/>
                    </w:rPr>
                    <w:t>新建</w:t>
                  </w:r>
                </w:p>
              </w:tc>
            </w:tr>
            <w:tr w14:paraId="1EFCB6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2" w:type="pct"/>
                  <w:vMerge w:val="continue"/>
                  <w:vAlign w:val="center"/>
                </w:tcPr>
                <w:p w14:paraId="5958930D">
                  <w:pPr>
                    <w:pStyle w:val="135"/>
                    <w:adjustRightInd w:val="0"/>
                    <w:snapToGrid w:val="0"/>
                  </w:pPr>
                </w:p>
              </w:tc>
              <w:tc>
                <w:tcPr>
                  <w:tcW w:w="612" w:type="pct"/>
                  <w:vMerge w:val="continue"/>
                  <w:vAlign w:val="center"/>
                </w:tcPr>
                <w:p w14:paraId="360E3BF4">
                  <w:pPr>
                    <w:pStyle w:val="135"/>
                    <w:adjustRightInd w:val="0"/>
                    <w:snapToGrid w:val="0"/>
                  </w:pPr>
                </w:p>
              </w:tc>
              <w:tc>
                <w:tcPr>
                  <w:tcW w:w="2988" w:type="pct"/>
                  <w:vAlign w:val="center"/>
                </w:tcPr>
                <w:p w14:paraId="5B1EDE80">
                  <w:pPr>
                    <w:pStyle w:val="135"/>
                    <w:adjustRightInd w:val="0"/>
                    <w:snapToGrid w:val="0"/>
                    <w:jc w:val="both"/>
                  </w:pPr>
                  <w:r>
                    <w:rPr>
                      <w:rFonts w:hint="eastAsia"/>
                    </w:rPr>
                    <w:t>生产废水：生产废水排入废浆池回用于砂石球磨工序，不外排。蒸压釜凝水排入1</w:t>
                  </w:r>
                  <w:r>
                    <w:t>0</w:t>
                  </w:r>
                  <w:r>
                    <w:rPr>
                      <w:rFonts w:hint="eastAsia"/>
                    </w:rPr>
                    <w:t>m</w:t>
                  </w:r>
                  <w:r>
                    <w:rPr>
                      <w:vertAlign w:val="superscript"/>
                    </w:rPr>
                    <w:t>3</w:t>
                  </w:r>
                  <w:r>
                    <w:rPr>
                      <w:rFonts w:hint="eastAsia"/>
                    </w:rPr>
                    <w:t>集水池回用于生产。</w:t>
                  </w:r>
                </w:p>
              </w:tc>
              <w:tc>
                <w:tcPr>
                  <w:tcW w:w="341" w:type="pct"/>
                  <w:vMerge w:val="continue"/>
                  <w:vAlign w:val="center"/>
                </w:tcPr>
                <w:p w14:paraId="4A4AACB1">
                  <w:pPr>
                    <w:pStyle w:val="135"/>
                    <w:adjustRightInd w:val="0"/>
                    <w:snapToGrid w:val="0"/>
                  </w:pPr>
                </w:p>
              </w:tc>
              <w:tc>
                <w:tcPr>
                  <w:tcW w:w="342" w:type="pct"/>
                  <w:vMerge w:val="continue"/>
                  <w:vAlign w:val="center"/>
                </w:tcPr>
                <w:p w14:paraId="2DCFD420">
                  <w:pPr>
                    <w:pStyle w:val="135"/>
                    <w:adjustRightInd w:val="0"/>
                    <w:snapToGrid w:val="0"/>
                  </w:pPr>
                </w:p>
              </w:tc>
              <w:tc>
                <w:tcPr>
                  <w:tcW w:w="455" w:type="pct"/>
                  <w:vMerge w:val="continue"/>
                  <w:vAlign w:val="center"/>
                </w:tcPr>
                <w:p w14:paraId="19099097">
                  <w:pPr>
                    <w:pStyle w:val="135"/>
                    <w:adjustRightInd w:val="0"/>
                    <w:snapToGrid w:val="0"/>
                  </w:pPr>
                </w:p>
              </w:tc>
            </w:tr>
            <w:tr w14:paraId="0E8EA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2" w:type="pct"/>
                  <w:vMerge w:val="continue"/>
                  <w:vAlign w:val="center"/>
                </w:tcPr>
                <w:p w14:paraId="0A5D2E5B">
                  <w:pPr>
                    <w:pStyle w:val="135"/>
                    <w:adjustRightInd w:val="0"/>
                    <w:snapToGrid w:val="0"/>
                  </w:pPr>
                </w:p>
              </w:tc>
              <w:tc>
                <w:tcPr>
                  <w:tcW w:w="612" w:type="pct"/>
                  <w:vMerge w:val="restart"/>
                  <w:vAlign w:val="center"/>
                </w:tcPr>
                <w:p w14:paraId="33C80258">
                  <w:pPr>
                    <w:pStyle w:val="135"/>
                    <w:adjustRightInd w:val="0"/>
                    <w:snapToGrid w:val="0"/>
                  </w:pPr>
                  <w:r>
                    <w:rPr>
                      <w:rFonts w:hint="eastAsia"/>
                    </w:rPr>
                    <w:t>废气</w:t>
                  </w:r>
                </w:p>
              </w:tc>
              <w:tc>
                <w:tcPr>
                  <w:tcW w:w="2988" w:type="pct"/>
                  <w:vAlign w:val="center"/>
                </w:tcPr>
                <w:p w14:paraId="1B0EC708">
                  <w:pPr>
                    <w:pStyle w:val="135"/>
                    <w:adjustRightInd w:val="0"/>
                    <w:snapToGrid w:val="0"/>
                    <w:jc w:val="both"/>
                  </w:pPr>
                  <w:r>
                    <w:rPr>
                      <w:rFonts w:hint="eastAsia"/>
                    </w:rPr>
                    <w:t>破碎粉尘：项目砂石料破碎机设置在封闭原料堆场内，采用湿法破碎工艺，粉尘在车间内无组织排放，原料堆场顶部安装喷雾降尘装置。</w:t>
                  </w:r>
                </w:p>
              </w:tc>
              <w:tc>
                <w:tcPr>
                  <w:tcW w:w="341" w:type="pct"/>
                  <w:vMerge w:val="continue"/>
                  <w:vAlign w:val="center"/>
                </w:tcPr>
                <w:p w14:paraId="20F64850">
                  <w:pPr>
                    <w:pStyle w:val="135"/>
                    <w:adjustRightInd w:val="0"/>
                    <w:snapToGrid w:val="0"/>
                  </w:pPr>
                </w:p>
              </w:tc>
              <w:tc>
                <w:tcPr>
                  <w:tcW w:w="342" w:type="pct"/>
                  <w:vAlign w:val="center"/>
                </w:tcPr>
                <w:p w14:paraId="2340E6B4">
                  <w:pPr>
                    <w:pStyle w:val="135"/>
                    <w:adjustRightInd w:val="0"/>
                    <w:snapToGrid w:val="0"/>
                  </w:pPr>
                  <w:r>
                    <w:rPr>
                      <w:rFonts w:hint="eastAsia"/>
                    </w:rPr>
                    <w:t>废气</w:t>
                  </w:r>
                </w:p>
              </w:tc>
              <w:tc>
                <w:tcPr>
                  <w:tcW w:w="455" w:type="pct"/>
                  <w:vMerge w:val="restart"/>
                  <w:vAlign w:val="center"/>
                </w:tcPr>
                <w:p w14:paraId="0BDF3F5E">
                  <w:pPr>
                    <w:pStyle w:val="135"/>
                    <w:adjustRightInd w:val="0"/>
                    <w:snapToGrid w:val="0"/>
                  </w:pPr>
                  <w:r>
                    <w:rPr>
                      <w:rFonts w:hint="eastAsia"/>
                    </w:rPr>
                    <w:t>新建</w:t>
                  </w:r>
                </w:p>
              </w:tc>
            </w:tr>
            <w:tr w14:paraId="37E0F0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2" w:type="pct"/>
                  <w:vMerge w:val="continue"/>
                  <w:vAlign w:val="center"/>
                </w:tcPr>
                <w:p w14:paraId="303B811F">
                  <w:pPr>
                    <w:pStyle w:val="135"/>
                    <w:adjustRightInd w:val="0"/>
                    <w:snapToGrid w:val="0"/>
                  </w:pPr>
                </w:p>
              </w:tc>
              <w:tc>
                <w:tcPr>
                  <w:tcW w:w="612" w:type="pct"/>
                  <w:vMerge w:val="continue"/>
                  <w:vAlign w:val="center"/>
                </w:tcPr>
                <w:p w14:paraId="75D54219">
                  <w:pPr>
                    <w:pStyle w:val="135"/>
                    <w:adjustRightInd w:val="0"/>
                    <w:snapToGrid w:val="0"/>
                  </w:pPr>
                </w:p>
              </w:tc>
              <w:tc>
                <w:tcPr>
                  <w:tcW w:w="2988" w:type="pct"/>
                  <w:vAlign w:val="center"/>
                </w:tcPr>
                <w:p w14:paraId="1155AFFF">
                  <w:pPr>
                    <w:pStyle w:val="135"/>
                    <w:adjustRightInd w:val="0"/>
                    <w:snapToGrid w:val="0"/>
                    <w:jc w:val="both"/>
                  </w:pPr>
                  <w:r>
                    <w:rPr>
                      <w:rFonts w:hint="eastAsia"/>
                    </w:rPr>
                    <w:t>原料堆场装卸粉尘：设置封闭原料堆场，仅保留车辆出入口，堆场顶部设置喷雾降尘装置。</w:t>
                  </w:r>
                </w:p>
              </w:tc>
              <w:tc>
                <w:tcPr>
                  <w:tcW w:w="341" w:type="pct"/>
                  <w:vMerge w:val="continue"/>
                  <w:vAlign w:val="center"/>
                </w:tcPr>
                <w:p w14:paraId="1F4D874E">
                  <w:pPr>
                    <w:pStyle w:val="135"/>
                    <w:adjustRightInd w:val="0"/>
                    <w:snapToGrid w:val="0"/>
                  </w:pPr>
                </w:p>
              </w:tc>
              <w:tc>
                <w:tcPr>
                  <w:tcW w:w="342" w:type="pct"/>
                  <w:vAlign w:val="center"/>
                </w:tcPr>
                <w:p w14:paraId="7C4C819E">
                  <w:pPr>
                    <w:pStyle w:val="135"/>
                    <w:adjustRightInd w:val="0"/>
                    <w:snapToGrid w:val="0"/>
                  </w:pPr>
                  <w:r>
                    <w:rPr>
                      <w:rFonts w:hint="eastAsia"/>
                    </w:rPr>
                    <w:t>废气</w:t>
                  </w:r>
                </w:p>
              </w:tc>
              <w:tc>
                <w:tcPr>
                  <w:tcW w:w="455" w:type="pct"/>
                  <w:vMerge w:val="continue"/>
                  <w:vAlign w:val="center"/>
                </w:tcPr>
                <w:p w14:paraId="1E1572C7">
                  <w:pPr>
                    <w:pStyle w:val="135"/>
                    <w:adjustRightInd w:val="0"/>
                    <w:snapToGrid w:val="0"/>
                  </w:pPr>
                </w:p>
              </w:tc>
            </w:tr>
            <w:tr w14:paraId="0FDD17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2" w:type="pct"/>
                  <w:vMerge w:val="continue"/>
                  <w:vAlign w:val="center"/>
                </w:tcPr>
                <w:p w14:paraId="63BD187D">
                  <w:pPr>
                    <w:pStyle w:val="135"/>
                    <w:adjustRightInd w:val="0"/>
                    <w:snapToGrid w:val="0"/>
                  </w:pPr>
                </w:p>
              </w:tc>
              <w:tc>
                <w:tcPr>
                  <w:tcW w:w="612" w:type="pct"/>
                  <w:vMerge w:val="continue"/>
                  <w:vAlign w:val="center"/>
                </w:tcPr>
                <w:p w14:paraId="6861587C">
                  <w:pPr>
                    <w:pStyle w:val="135"/>
                    <w:adjustRightInd w:val="0"/>
                    <w:snapToGrid w:val="0"/>
                  </w:pPr>
                </w:p>
              </w:tc>
              <w:tc>
                <w:tcPr>
                  <w:tcW w:w="2988" w:type="pct"/>
                  <w:vAlign w:val="center"/>
                </w:tcPr>
                <w:p w14:paraId="798C8E85">
                  <w:pPr>
                    <w:pStyle w:val="135"/>
                    <w:adjustRightInd w:val="0"/>
                    <w:snapToGrid w:val="0"/>
                    <w:jc w:val="both"/>
                  </w:pPr>
                  <w:r>
                    <w:rPr>
                      <w:rFonts w:hint="eastAsia"/>
                    </w:rPr>
                    <w:t>筒仓粉尘：粉料筒仓顶部均安装有布袋除尘器，粉尘经处理后无组织排放。</w:t>
                  </w:r>
                </w:p>
              </w:tc>
              <w:tc>
                <w:tcPr>
                  <w:tcW w:w="341" w:type="pct"/>
                  <w:vMerge w:val="continue"/>
                  <w:vAlign w:val="center"/>
                </w:tcPr>
                <w:p w14:paraId="20447FBA">
                  <w:pPr>
                    <w:pStyle w:val="135"/>
                    <w:adjustRightInd w:val="0"/>
                    <w:snapToGrid w:val="0"/>
                  </w:pPr>
                </w:p>
              </w:tc>
              <w:tc>
                <w:tcPr>
                  <w:tcW w:w="342" w:type="pct"/>
                  <w:vAlign w:val="center"/>
                </w:tcPr>
                <w:p w14:paraId="7EE4BC56">
                  <w:pPr>
                    <w:pStyle w:val="135"/>
                    <w:adjustRightInd w:val="0"/>
                    <w:snapToGrid w:val="0"/>
                  </w:pPr>
                  <w:r>
                    <w:rPr>
                      <w:rFonts w:hint="eastAsia"/>
                    </w:rPr>
                    <w:t>废气</w:t>
                  </w:r>
                </w:p>
              </w:tc>
              <w:tc>
                <w:tcPr>
                  <w:tcW w:w="455" w:type="pct"/>
                  <w:vMerge w:val="restart"/>
                  <w:vAlign w:val="center"/>
                </w:tcPr>
                <w:p w14:paraId="281A312B">
                  <w:pPr>
                    <w:pStyle w:val="135"/>
                    <w:adjustRightInd w:val="0"/>
                    <w:snapToGrid w:val="0"/>
                  </w:pPr>
                  <w:r>
                    <w:rPr>
                      <w:rFonts w:hint="eastAsia"/>
                    </w:rPr>
                    <w:t>新建</w:t>
                  </w:r>
                </w:p>
              </w:tc>
            </w:tr>
            <w:tr w14:paraId="395D5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2" w:type="pct"/>
                  <w:vMerge w:val="continue"/>
                  <w:vAlign w:val="center"/>
                </w:tcPr>
                <w:p w14:paraId="51AA8A22">
                  <w:pPr>
                    <w:pStyle w:val="135"/>
                    <w:adjustRightInd w:val="0"/>
                    <w:snapToGrid w:val="0"/>
                  </w:pPr>
                </w:p>
              </w:tc>
              <w:tc>
                <w:tcPr>
                  <w:tcW w:w="612" w:type="pct"/>
                  <w:vMerge w:val="continue"/>
                  <w:vAlign w:val="center"/>
                </w:tcPr>
                <w:p w14:paraId="16820D86">
                  <w:pPr>
                    <w:pStyle w:val="135"/>
                    <w:adjustRightInd w:val="0"/>
                    <w:snapToGrid w:val="0"/>
                  </w:pPr>
                </w:p>
              </w:tc>
              <w:tc>
                <w:tcPr>
                  <w:tcW w:w="2988" w:type="pct"/>
                  <w:vAlign w:val="center"/>
                </w:tcPr>
                <w:p w14:paraId="164D98FC">
                  <w:pPr>
                    <w:pStyle w:val="135"/>
                    <w:adjustRightInd w:val="0"/>
                    <w:snapToGrid w:val="0"/>
                    <w:jc w:val="both"/>
                  </w:pPr>
                  <w:r>
                    <w:rPr>
                      <w:rFonts w:hint="eastAsia"/>
                    </w:rPr>
                    <w:t>投料粉尘：浆料球磨机进料口上方安装喷雾降尘装置。</w:t>
                  </w:r>
                </w:p>
              </w:tc>
              <w:tc>
                <w:tcPr>
                  <w:tcW w:w="341" w:type="pct"/>
                  <w:vMerge w:val="continue"/>
                  <w:vAlign w:val="center"/>
                </w:tcPr>
                <w:p w14:paraId="39F2C414">
                  <w:pPr>
                    <w:pStyle w:val="135"/>
                    <w:adjustRightInd w:val="0"/>
                    <w:snapToGrid w:val="0"/>
                  </w:pPr>
                </w:p>
              </w:tc>
              <w:tc>
                <w:tcPr>
                  <w:tcW w:w="342" w:type="pct"/>
                  <w:vAlign w:val="center"/>
                </w:tcPr>
                <w:p w14:paraId="31590683">
                  <w:pPr>
                    <w:pStyle w:val="135"/>
                    <w:adjustRightInd w:val="0"/>
                    <w:snapToGrid w:val="0"/>
                  </w:pPr>
                  <w:r>
                    <w:rPr>
                      <w:rFonts w:hint="eastAsia"/>
                    </w:rPr>
                    <w:t>废气</w:t>
                  </w:r>
                </w:p>
              </w:tc>
              <w:tc>
                <w:tcPr>
                  <w:tcW w:w="455" w:type="pct"/>
                  <w:vMerge w:val="continue"/>
                  <w:vAlign w:val="center"/>
                </w:tcPr>
                <w:p w14:paraId="3F5BA1DD">
                  <w:pPr>
                    <w:pStyle w:val="135"/>
                    <w:adjustRightInd w:val="0"/>
                    <w:snapToGrid w:val="0"/>
                  </w:pPr>
                </w:p>
              </w:tc>
            </w:tr>
            <w:tr w14:paraId="5425CB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2" w:type="pct"/>
                  <w:vMerge w:val="continue"/>
                  <w:vAlign w:val="center"/>
                </w:tcPr>
                <w:p w14:paraId="3DA1BA82">
                  <w:pPr>
                    <w:pStyle w:val="135"/>
                    <w:adjustRightInd w:val="0"/>
                    <w:snapToGrid w:val="0"/>
                  </w:pPr>
                </w:p>
              </w:tc>
              <w:tc>
                <w:tcPr>
                  <w:tcW w:w="612" w:type="pct"/>
                  <w:vMerge w:val="continue"/>
                  <w:vAlign w:val="center"/>
                </w:tcPr>
                <w:p w14:paraId="007CE319">
                  <w:pPr>
                    <w:pStyle w:val="135"/>
                    <w:adjustRightInd w:val="0"/>
                    <w:snapToGrid w:val="0"/>
                  </w:pPr>
                </w:p>
              </w:tc>
              <w:tc>
                <w:tcPr>
                  <w:tcW w:w="2988" w:type="pct"/>
                  <w:vAlign w:val="center"/>
                </w:tcPr>
                <w:p w14:paraId="5220EFB3">
                  <w:pPr>
                    <w:pStyle w:val="135"/>
                    <w:adjustRightInd w:val="0"/>
                    <w:snapToGrid w:val="0"/>
                    <w:jc w:val="both"/>
                  </w:pPr>
                  <w:r>
                    <w:rPr>
                      <w:rFonts w:hint="eastAsia"/>
                    </w:rPr>
                    <w:t>锅炉废气：采用专用生物质锅炉，安装低氮燃烧装置及“水膜除尘+静电除尘”，废气经处理后通过4</w:t>
                  </w:r>
                  <w:r>
                    <w:t>0</w:t>
                  </w:r>
                  <w:r>
                    <w:rPr>
                      <w:rFonts w:hint="eastAsia"/>
                    </w:rPr>
                    <w:t>m排气筒排放。</w:t>
                  </w:r>
                </w:p>
              </w:tc>
              <w:tc>
                <w:tcPr>
                  <w:tcW w:w="341" w:type="pct"/>
                  <w:vMerge w:val="continue"/>
                  <w:vAlign w:val="center"/>
                </w:tcPr>
                <w:p w14:paraId="54989A04">
                  <w:pPr>
                    <w:pStyle w:val="135"/>
                    <w:adjustRightInd w:val="0"/>
                    <w:snapToGrid w:val="0"/>
                  </w:pPr>
                </w:p>
              </w:tc>
              <w:tc>
                <w:tcPr>
                  <w:tcW w:w="342" w:type="pct"/>
                  <w:vAlign w:val="center"/>
                </w:tcPr>
                <w:p w14:paraId="7D5977A5">
                  <w:pPr>
                    <w:pStyle w:val="135"/>
                    <w:adjustRightInd w:val="0"/>
                    <w:snapToGrid w:val="0"/>
                  </w:pPr>
                  <w:r>
                    <w:rPr>
                      <w:rFonts w:hint="eastAsia"/>
                    </w:rPr>
                    <w:t>废气</w:t>
                  </w:r>
                </w:p>
              </w:tc>
              <w:tc>
                <w:tcPr>
                  <w:tcW w:w="455" w:type="pct"/>
                  <w:vAlign w:val="center"/>
                </w:tcPr>
                <w:p w14:paraId="6C50003B">
                  <w:pPr>
                    <w:pStyle w:val="135"/>
                    <w:adjustRightInd w:val="0"/>
                    <w:snapToGrid w:val="0"/>
                  </w:pPr>
                  <w:r>
                    <w:rPr>
                      <w:rFonts w:hint="eastAsia"/>
                    </w:rPr>
                    <w:t>新建</w:t>
                  </w:r>
                </w:p>
              </w:tc>
            </w:tr>
            <w:tr w14:paraId="066D8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2" w:type="pct"/>
                  <w:vMerge w:val="continue"/>
                  <w:vAlign w:val="center"/>
                </w:tcPr>
                <w:p w14:paraId="13E16FDA">
                  <w:pPr>
                    <w:pStyle w:val="135"/>
                    <w:adjustRightInd w:val="0"/>
                    <w:snapToGrid w:val="0"/>
                  </w:pPr>
                </w:p>
              </w:tc>
              <w:tc>
                <w:tcPr>
                  <w:tcW w:w="612" w:type="pct"/>
                  <w:vMerge w:val="continue"/>
                  <w:vAlign w:val="center"/>
                </w:tcPr>
                <w:p w14:paraId="4A8CC8D3">
                  <w:pPr>
                    <w:pStyle w:val="135"/>
                    <w:adjustRightInd w:val="0"/>
                    <w:snapToGrid w:val="0"/>
                  </w:pPr>
                </w:p>
              </w:tc>
              <w:tc>
                <w:tcPr>
                  <w:tcW w:w="2988" w:type="pct"/>
                  <w:vAlign w:val="center"/>
                </w:tcPr>
                <w:p w14:paraId="16011D33">
                  <w:pPr>
                    <w:pStyle w:val="135"/>
                    <w:adjustRightInd w:val="0"/>
                    <w:snapToGrid w:val="0"/>
                    <w:jc w:val="both"/>
                  </w:pPr>
                  <w:r>
                    <w:rPr>
                      <w:rFonts w:hint="eastAsia"/>
                    </w:rPr>
                    <w:t>食堂油烟：食堂安装油烟净化器，废气经处理后通过烟囱排放。</w:t>
                  </w:r>
                </w:p>
              </w:tc>
              <w:tc>
                <w:tcPr>
                  <w:tcW w:w="341" w:type="pct"/>
                  <w:vMerge w:val="continue"/>
                  <w:vAlign w:val="center"/>
                </w:tcPr>
                <w:p w14:paraId="43C9D923">
                  <w:pPr>
                    <w:pStyle w:val="135"/>
                    <w:adjustRightInd w:val="0"/>
                    <w:snapToGrid w:val="0"/>
                  </w:pPr>
                </w:p>
              </w:tc>
              <w:tc>
                <w:tcPr>
                  <w:tcW w:w="342" w:type="pct"/>
                  <w:vAlign w:val="center"/>
                </w:tcPr>
                <w:p w14:paraId="319BE29E">
                  <w:pPr>
                    <w:pStyle w:val="135"/>
                    <w:adjustRightInd w:val="0"/>
                    <w:snapToGrid w:val="0"/>
                  </w:pPr>
                  <w:r>
                    <w:rPr>
                      <w:rFonts w:hint="eastAsia"/>
                    </w:rPr>
                    <w:t>废气</w:t>
                  </w:r>
                </w:p>
              </w:tc>
              <w:tc>
                <w:tcPr>
                  <w:tcW w:w="455" w:type="pct"/>
                  <w:vMerge w:val="restart"/>
                  <w:vAlign w:val="center"/>
                </w:tcPr>
                <w:p w14:paraId="44518524">
                  <w:pPr>
                    <w:pStyle w:val="135"/>
                    <w:adjustRightInd w:val="0"/>
                    <w:snapToGrid w:val="0"/>
                  </w:pPr>
                  <w:r>
                    <w:rPr>
                      <w:rFonts w:hint="eastAsia"/>
                    </w:rPr>
                    <w:t>新建</w:t>
                  </w:r>
                </w:p>
              </w:tc>
            </w:tr>
            <w:tr w14:paraId="31C7D9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2" w:type="pct"/>
                  <w:vMerge w:val="continue"/>
                  <w:vAlign w:val="center"/>
                </w:tcPr>
                <w:p w14:paraId="0F92E525">
                  <w:pPr>
                    <w:pStyle w:val="135"/>
                    <w:adjustRightInd w:val="0"/>
                    <w:snapToGrid w:val="0"/>
                  </w:pPr>
                </w:p>
              </w:tc>
              <w:tc>
                <w:tcPr>
                  <w:tcW w:w="612" w:type="pct"/>
                  <w:vMerge w:val="restart"/>
                  <w:vAlign w:val="center"/>
                </w:tcPr>
                <w:p w14:paraId="116D7145">
                  <w:pPr>
                    <w:pStyle w:val="135"/>
                    <w:adjustRightInd w:val="0"/>
                    <w:snapToGrid w:val="0"/>
                  </w:pPr>
                  <w:r>
                    <w:rPr>
                      <w:rFonts w:hint="eastAsia"/>
                    </w:rPr>
                    <w:t>固废</w:t>
                  </w:r>
                </w:p>
              </w:tc>
              <w:tc>
                <w:tcPr>
                  <w:tcW w:w="2988" w:type="pct"/>
                  <w:vAlign w:val="center"/>
                </w:tcPr>
                <w:p w14:paraId="2E9F19B7">
                  <w:pPr>
                    <w:pStyle w:val="135"/>
                    <w:adjustRightInd w:val="0"/>
                    <w:snapToGrid w:val="0"/>
                    <w:jc w:val="both"/>
                  </w:pPr>
                  <w:r>
                    <w:rPr>
                      <w:rFonts w:hint="eastAsia"/>
                    </w:rPr>
                    <w:t>生活垃圾：由当地环卫部门清运处理。</w:t>
                  </w:r>
                </w:p>
              </w:tc>
              <w:tc>
                <w:tcPr>
                  <w:tcW w:w="341" w:type="pct"/>
                  <w:vMerge w:val="continue"/>
                  <w:vAlign w:val="center"/>
                </w:tcPr>
                <w:p w14:paraId="28AA5D6B">
                  <w:pPr>
                    <w:pStyle w:val="135"/>
                    <w:adjustRightInd w:val="0"/>
                    <w:snapToGrid w:val="0"/>
                  </w:pPr>
                </w:p>
              </w:tc>
              <w:tc>
                <w:tcPr>
                  <w:tcW w:w="342" w:type="pct"/>
                  <w:vAlign w:val="center"/>
                </w:tcPr>
                <w:p w14:paraId="2ACEA6D7">
                  <w:pPr>
                    <w:pStyle w:val="135"/>
                    <w:adjustRightInd w:val="0"/>
                    <w:snapToGrid w:val="0"/>
                  </w:pPr>
                  <w:r>
                    <w:rPr>
                      <w:rFonts w:hint="eastAsia"/>
                    </w:rPr>
                    <w:t>固废</w:t>
                  </w:r>
                </w:p>
              </w:tc>
              <w:tc>
                <w:tcPr>
                  <w:tcW w:w="455" w:type="pct"/>
                  <w:vMerge w:val="continue"/>
                  <w:vAlign w:val="center"/>
                </w:tcPr>
                <w:p w14:paraId="54E35F32">
                  <w:pPr>
                    <w:pStyle w:val="135"/>
                    <w:adjustRightInd w:val="0"/>
                    <w:snapToGrid w:val="0"/>
                  </w:pPr>
                </w:p>
              </w:tc>
            </w:tr>
            <w:tr w14:paraId="7D6B33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2" w:type="pct"/>
                  <w:vMerge w:val="continue"/>
                  <w:vAlign w:val="center"/>
                </w:tcPr>
                <w:p w14:paraId="19BBD3DE">
                  <w:pPr>
                    <w:pStyle w:val="135"/>
                    <w:adjustRightInd w:val="0"/>
                    <w:snapToGrid w:val="0"/>
                  </w:pPr>
                </w:p>
              </w:tc>
              <w:tc>
                <w:tcPr>
                  <w:tcW w:w="612" w:type="pct"/>
                  <w:vMerge w:val="continue"/>
                  <w:vAlign w:val="center"/>
                </w:tcPr>
                <w:p w14:paraId="55BBA544">
                  <w:pPr>
                    <w:pStyle w:val="135"/>
                    <w:adjustRightInd w:val="0"/>
                    <w:snapToGrid w:val="0"/>
                  </w:pPr>
                </w:p>
              </w:tc>
              <w:tc>
                <w:tcPr>
                  <w:tcW w:w="2988" w:type="pct"/>
                  <w:vAlign w:val="center"/>
                </w:tcPr>
                <w:p w14:paraId="1AC015B2">
                  <w:pPr>
                    <w:pStyle w:val="135"/>
                    <w:adjustRightInd w:val="0"/>
                    <w:snapToGrid w:val="0"/>
                    <w:jc w:val="both"/>
                  </w:pPr>
                  <w:r>
                    <w:rPr>
                      <w:rFonts w:hint="eastAsia"/>
                    </w:rPr>
                    <w:t>废边角料、不合格产品、炉渣等回用作为生产原料。</w:t>
                  </w:r>
                </w:p>
              </w:tc>
              <w:tc>
                <w:tcPr>
                  <w:tcW w:w="341" w:type="pct"/>
                  <w:vMerge w:val="continue"/>
                  <w:vAlign w:val="center"/>
                </w:tcPr>
                <w:p w14:paraId="560D0808">
                  <w:pPr>
                    <w:pStyle w:val="135"/>
                    <w:adjustRightInd w:val="0"/>
                    <w:snapToGrid w:val="0"/>
                  </w:pPr>
                </w:p>
              </w:tc>
              <w:tc>
                <w:tcPr>
                  <w:tcW w:w="342" w:type="pct"/>
                  <w:vAlign w:val="center"/>
                </w:tcPr>
                <w:p w14:paraId="4CFA07DA">
                  <w:pPr>
                    <w:pStyle w:val="135"/>
                    <w:adjustRightInd w:val="0"/>
                    <w:snapToGrid w:val="0"/>
                  </w:pPr>
                  <w:r>
                    <w:rPr>
                      <w:rFonts w:hint="eastAsia"/>
                    </w:rPr>
                    <w:t>固废</w:t>
                  </w:r>
                </w:p>
              </w:tc>
              <w:tc>
                <w:tcPr>
                  <w:tcW w:w="455" w:type="pct"/>
                  <w:vMerge w:val="continue"/>
                  <w:vAlign w:val="center"/>
                </w:tcPr>
                <w:p w14:paraId="2F0C1415">
                  <w:pPr>
                    <w:pStyle w:val="135"/>
                    <w:adjustRightInd w:val="0"/>
                    <w:snapToGrid w:val="0"/>
                  </w:pPr>
                </w:p>
              </w:tc>
            </w:tr>
            <w:tr w14:paraId="38901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2" w:type="pct"/>
                  <w:vMerge w:val="continue"/>
                  <w:vAlign w:val="center"/>
                </w:tcPr>
                <w:p w14:paraId="48482E13">
                  <w:pPr>
                    <w:pStyle w:val="135"/>
                    <w:adjustRightInd w:val="0"/>
                    <w:snapToGrid w:val="0"/>
                  </w:pPr>
                </w:p>
              </w:tc>
              <w:tc>
                <w:tcPr>
                  <w:tcW w:w="612" w:type="pct"/>
                  <w:vMerge w:val="continue"/>
                  <w:vAlign w:val="center"/>
                </w:tcPr>
                <w:p w14:paraId="141C62E6">
                  <w:pPr>
                    <w:pStyle w:val="135"/>
                    <w:adjustRightInd w:val="0"/>
                    <w:snapToGrid w:val="0"/>
                  </w:pPr>
                </w:p>
              </w:tc>
              <w:tc>
                <w:tcPr>
                  <w:tcW w:w="2988" w:type="pct"/>
                  <w:vAlign w:val="center"/>
                </w:tcPr>
                <w:p w14:paraId="200ADCC9">
                  <w:pPr>
                    <w:pStyle w:val="135"/>
                    <w:adjustRightInd w:val="0"/>
                    <w:snapToGrid w:val="0"/>
                    <w:jc w:val="both"/>
                  </w:pPr>
                  <w:r>
                    <w:rPr>
                      <w:rFonts w:hint="eastAsia"/>
                    </w:rPr>
                    <w:t>危险废物：在生产车间内建有1座5m</w:t>
                  </w:r>
                  <w:r>
                    <w:rPr>
                      <w:vertAlign w:val="superscript"/>
                    </w:rPr>
                    <w:t>2</w:t>
                  </w:r>
                  <w:r>
                    <w:rPr>
                      <w:rFonts w:hint="eastAsia"/>
                    </w:rPr>
                    <w:t>危废暂存间，危险废物定期委托有危险废物处置资质的单位清运处理。</w:t>
                  </w:r>
                </w:p>
              </w:tc>
              <w:tc>
                <w:tcPr>
                  <w:tcW w:w="341" w:type="pct"/>
                  <w:vMerge w:val="continue"/>
                  <w:vAlign w:val="center"/>
                </w:tcPr>
                <w:p w14:paraId="5BC4CC95">
                  <w:pPr>
                    <w:pStyle w:val="135"/>
                    <w:adjustRightInd w:val="0"/>
                    <w:snapToGrid w:val="0"/>
                  </w:pPr>
                </w:p>
              </w:tc>
              <w:tc>
                <w:tcPr>
                  <w:tcW w:w="342" w:type="pct"/>
                  <w:vAlign w:val="center"/>
                </w:tcPr>
                <w:p w14:paraId="27E9477F">
                  <w:pPr>
                    <w:pStyle w:val="135"/>
                    <w:adjustRightInd w:val="0"/>
                    <w:snapToGrid w:val="0"/>
                  </w:pPr>
                  <w:r>
                    <w:rPr>
                      <w:rFonts w:hint="eastAsia"/>
                    </w:rPr>
                    <w:t>固废</w:t>
                  </w:r>
                </w:p>
              </w:tc>
              <w:tc>
                <w:tcPr>
                  <w:tcW w:w="455" w:type="pct"/>
                  <w:vMerge w:val="continue"/>
                  <w:vAlign w:val="center"/>
                </w:tcPr>
                <w:p w14:paraId="3B68A509">
                  <w:pPr>
                    <w:pStyle w:val="135"/>
                    <w:adjustRightInd w:val="0"/>
                    <w:snapToGrid w:val="0"/>
                  </w:pPr>
                </w:p>
              </w:tc>
            </w:tr>
            <w:tr w14:paraId="62CBA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62" w:type="pct"/>
                  <w:vMerge w:val="continue"/>
                  <w:vAlign w:val="center"/>
                </w:tcPr>
                <w:p w14:paraId="5AFE68F9">
                  <w:pPr>
                    <w:pStyle w:val="135"/>
                    <w:adjustRightInd w:val="0"/>
                    <w:snapToGrid w:val="0"/>
                  </w:pPr>
                </w:p>
              </w:tc>
              <w:tc>
                <w:tcPr>
                  <w:tcW w:w="612" w:type="pct"/>
                  <w:vAlign w:val="center"/>
                </w:tcPr>
                <w:p w14:paraId="6D0E094C">
                  <w:pPr>
                    <w:pStyle w:val="135"/>
                    <w:adjustRightInd w:val="0"/>
                    <w:snapToGrid w:val="0"/>
                  </w:pPr>
                  <w:r>
                    <w:rPr>
                      <w:rFonts w:hint="eastAsia"/>
                    </w:rPr>
                    <w:t>噪声</w:t>
                  </w:r>
                </w:p>
              </w:tc>
              <w:tc>
                <w:tcPr>
                  <w:tcW w:w="2988" w:type="pct"/>
                  <w:vAlign w:val="center"/>
                </w:tcPr>
                <w:p w14:paraId="4E879794">
                  <w:pPr>
                    <w:pStyle w:val="135"/>
                    <w:adjustRightInd w:val="0"/>
                    <w:snapToGrid w:val="0"/>
                    <w:jc w:val="both"/>
                  </w:pPr>
                  <w:r>
                    <w:rPr>
                      <w:rFonts w:hint="eastAsia"/>
                    </w:rPr>
                    <w:t>产噪设备安装减振基座，并采取厂房隔声。</w:t>
                  </w:r>
                </w:p>
              </w:tc>
              <w:tc>
                <w:tcPr>
                  <w:tcW w:w="341" w:type="pct"/>
                  <w:vMerge w:val="continue"/>
                  <w:vAlign w:val="center"/>
                </w:tcPr>
                <w:p w14:paraId="42CEE30E">
                  <w:pPr>
                    <w:pStyle w:val="135"/>
                    <w:adjustRightInd w:val="0"/>
                    <w:snapToGrid w:val="0"/>
                  </w:pPr>
                </w:p>
              </w:tc>
              <w:tc>
                <w:tcPr>
                  <w:tcW w:w="342" w:type="pct"/>
                  <w:vAlign w:val="center"/>
                </w:tcPr>
                <w:p w14:paraId="15E96535">
                  <w:pPr>
                    <w:pStyle w:val="135"/>
                    <w:adjustRightInd w:val="0"/>
                    <w:snapToGrid w:val="0"/>
                  </w:pPr>
                  <w:r>
                    <w:rPr>
                      <w:rFonts w:hint="eastAsia"/>
                    </w:rPr>
                    <w:t>噪声</w:t>
                  </w:r>
                </w:p>
              </w:tc>
              <w:tc>
                <w:tcPr>
                  <w:tcW w:w="455" w:type="pct"/>
                  <w:vMerge w:val="continue"/>
                  <w:vAlign w:val="center"/>
                </w:tcPr>
                <w:p w14:paraId="35DC62EB">
                  <w:pPr>
                    <w:pStyle w:val="135"/>
                    <w:adjustRightInd w:val="0"/>
                    <w:snapToGrid w:val="0"/>
                  </w:pPr>
                </w:p>
              </w:tc>
            </w:tr>
          </w:tbl>
          <w:p w14:paraId="48E7023A">
            <w:pPr>
              <w:ind w:firstLine="0" w:firstLineChars="0"/>
              <w:rPr>
                <w:b/>
              </w:rPr>
            </w:pPr>
            <w:r>
              <w:rPr>
                <w:rFonts w:hint="eastAsia"/>
                <w:b/>
              </w:rPr>
              <w:t>5、劳动定员及工作制度</w:t>
            </w:r>
          </w:p>
          <w:p w14:paraId="1D793269">
            <w:pPr>
              <w:ind w:firstLine="420"/>
            </w:pPr>
            <w:r>
              <w:rPr>
                <w:rFonts w:hint="eastAsia"/>
              </w:rPr>
              <w:t>项目劳动定员1</w:t>
            </w:r>
            <w:r>
              <w:t>5</w:t>
            </w:r>
            <w:r>
              <w:rPr>
                <w:rFonts w:hint="eastAsia"/>
              </w:rPr>
              <w:t>人，项目每天工作</w:t>
            </w:r>
            <w:r>
              <w:t>8</w:t>
            </w:r>
            <w:r>
              <w:rPr>
                <w:rFonts w:hint="eastAsia"/>
              </w:rPr>
              <w:t>h，不在夜间（2</w:t>
            </w:r>
            <w:r>
              <w:t>2</w:t>
            </w:r>
            <w:r>
              <w:rPr>
                <w:rFonts w:hint="eastAsia"/>
              </w:rPr>
              <w:t>:</w:t>
            </w:r>
            <w:r>
              <w:t>00</w:t>
            </w:r>
            <w:r>
              <w:rPr>
                <w:rFonts w:hint="eastAsia"/>
              </w:rPr>
              <w:t>~</w:t>
            </w:r>
            <w:r>
              <w:t>6</w:t>
            </w:r>
            <w:r>
              <w:rPr>
                <w:rFonts w:hint="eastAsia"/>
              </w:rPr>
              <w:t>:</w:t>
            </w:r>
            <w:r>
              <w:t>00</w:t>
            </w:r>
            <w:r>
              <w:rPr>
                <w:rFonts w:hint="eastAsia"/>
              </w:rPr>
              <w:t>）生产，年工作</w:t>
            </w:r>
            <w:r>
              <w:t>300</w:t>
            </w:r>
            <w:r>
              <w:rPr>
                <w:rFonts w:hint="eastAsia"/>
              </w:rPr>
              <w:t>天。</w:t>
            </w:r>
          </w:p>
          <w:p w14:paraId="7D0D93D5">
            <w:pPr>
              <w:ind w:firstLine="0" w:firstLineChars="0"/>
              <w:rPr>
                <w:b/>
              </w:rPr>
            </w:pPr>
            <w:r>
              <w:rPr>
                <w:rFonts w:hint="eastAsia"/>
                <w:b/>
              </w:rPr>
              <w:t>6</w:t>
            </w:r>
            <w:r>
              <w:rPr>
                <w:b/>
              </w:rPr>
              <w:t>、主要设备清单</w:t>
            </w:r>
          </w:p>
          <w:p w14:paraId="4A1AB930">
            <w:pPr>
              <w:ind w:firstLine="420"/>
            </w:pPr>
            <w:r>
              <w:t>项目主要设备见下表：</w:t>
            </w:r>
          </w:p>
          <w:p w14:paraId="2C762502">
            <w:pPr>
              <w:pStyle w:val="156"/>
            </w:pPr>
            <w:r>
              <w:t>表2.1-3  主要工艺设备一览表</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38"/>
              <w:gridCol w:w="2457"/>
              <w:gridCol w:w="2182"/>
              <w:gridCol w:w="1390"/>
              <w:gridCol w:w="2097"/>
            </w:tblGrid>
            <w:tr w14:paraId="3E4299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1" w:type="pct"/>
                  <w:vAlign w:val="center"/>
                </w:tcPr>
                <w:p w14:paraId="25526320">
                  <w:pPr>
                    <w:pStyle w:val="135"/>
                    <w:adjustRightInd w:val="0"/>
                    <w:snapToGrid w:val="0"/>
                    <w:rPr>
                      <w:b/>
                      <w:bCs/>
                    </w:rPr>
                  </w:pPr>
                  <w:r>
                    <w:rPr>
                      <w:rFonts w:hint="eastAsia"/>
                      <w:b/>
                      <w:bCs/>
                    </w:rPr>
                    <w:t>序号</w:t>
                  </w:r>
                </w:p>
              </w:tc>
              <w:tc>
                <w:tcPr>
                  <w:tcW w:w="1418" w:type="pct"/>
                  <w:vAlign w:val="center"/>
                </w:tcPr>
                <w:p w14:paraId="64B176D9">
                  <w:pPr>
                    <w:pStyle w:val="135"/>
                    <w:adjustRightInd w:val="0"/>
                    <w:snapToGrid w:val="0"/>
                    <w:rPr>
                      <w:b/>
                      <w:bCs/>
                    </w:rPr>
                  </w:pPr>
                  <w:r>
                    <w:rPr>
                      <w:rFonts w:hint="eastAsia"/>
                      <w:b/>
                      <w:bCs/>
                    </w:rPr>
                    <w:t>设备名称</w:t>
                  </w:r>
                </w:p>
              </w:tc>
              <w:tc>
                <w:tcPr>
                  <w:tcW w:w="1259" w:type="pct"/>
                  <w:vAlign w:val="center"/>
                </w:tcPr>
                <w:p w14:paraId="072953D4">
                  <w:pPr>
                    <w:pStyle w:val="135"/>
                    <w:adjustRightInd w:val="0"/>
                    <w:snapToGrid w:val="0"/>
                    <w:rPr>
                      <w:b/>
                      <w:bCs/>
                    </w:rPr>
                  </w:pPr>
                  <w:r>
                    <w:rPr>
                      <w:rFonts w:hint="eastAsia"/>
                      <w:b/>
                      <w:bCs/>
                    </w:rPr>
                    <w:t>型号</w:t>
                  </w:r>
                </w:p>
              </w:tc>
              <w:tc>
                <w:tcPr>
                  <w:tcW w:w="802" w:type="pct"/>
                  <w:vAlign w:val="center"/>
                </w:tcPr>
                <w:p w14:paraId="59F8E390">
                  <w:pPr>
                    <w:pStyle w:val="135"/>
                    <w:adjustRightInd w:val="0"/>
                    <w:snapToGrid w:val="0"/>
                    <w:rPr>
                      <w:b/>
                      <w:bCs/>
                    </w:rPr>
                  </w:pPr>
                  <w:r>
                    <w:rPr>
                      <w:rFonts w:hint="eastAsia"/>
                      <w:b/>
                      <w:bCs/>
                    </w:rPr>
                    <w:t>数量</w:t>
                  </w:r>
                </w:p>
              </w:tc>
              <w:tc>
                <w:tcPr>
                  <w:tcW w:w="1210" w:type="pct"/>
                  <w:vAlign w:val="center"/>
                </w:tcPr>
                <w:p w14:paraId="2251FC23">
                  <w:pPr>
                    <w:pStyle w:val="135"/>
                    <w:adjustRightInd w:val="0"/>
                    <w:snapToGrid w:val="0"/>
                    <w:rPr>
                      <w:b/>
                      <w:bCs/>
                    </w:rPr>
                  </w:pPr>
                  <w:r>
                    <w:rPr>
                      <w:rFonts w:hint="eastAsia"/>
                      <w:b/>
                      <w:bCs/>
                    </w:rPr>
                    <w:t>备注</w:t>
                  </w:r>
                </w:p>
              </w:tc>
            </w:tr>
            <w:tr w14:paraId="4F6DA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1" w:type="pct"/>
                  <w:vAlign w:val="center"/>
                </w:tcPr>
                <w:p w14:paraId="2C978461">
                  <w:pPr>
                    <w:pStyle w:val="135"/>
                    <w:adjustRightInd w:val="0"/>
                    <w:snapToGrid w:val="0"/>
                  </w:pPr>
                  <w:r>
                    <w:t>1</w:t>
                  </w:r>
                </w:p>
              </w:tc>
              <w:tc>
                <w:tcPr>
                  <w:tcW w:w="1418" w:type="pct"/>
                  <w:vAlign w:val="center"/>
                </w:tcPr>
                <w:p w14:paraId="4BBE4146">
                  <w:pPr>
                    <w:pStyle w:val="135"/>
                    <w:adjustRightInd w:val="0"/>
                    <w:snapToGrid w:val="0"/>
                  </w:pPr>
                  <w:r>
                    <w:rPr>
                      <w:rFonts w:hint="eastAsia"/>
                    </w:rPr>
                    <w:t>生物质燃料专用锅炉</w:t>
                  </w:r>
                </w:p>
              </w:tc>
              <w:tc>
                <w:tcPr>
                  <w:tcW w:w="1259" w:type="pct"/>
                  <w:vAlign w:val="center"/>
                </w:tcPr>
                <w:p w14:paraId="5CDAF192">
                  <w:pPr>
                    <w:pStyle w:val="135"/>
                    <w:adjustRightInd w:val="0"/>
                    <w:snapToGrid w:val="0"/>
                  </w:pPr>
                  <w:r>
                    <w:rPr>
                      <w:rFonts w:hint="eastAsia"/>
                    </w:rPr>
                    <w:t>1</w:t>
                  </w:r>
                  <w:r>
                    <w:t>0</w:t>
                  </w:r>
                  <w:r>
                    <w:rPr>
                      <w:rFonts w:hint="eastAsia"/>
                    </w:rPr>
                    <w:t>t</w:t>
                  </w:r>
                  <w:r>
                    <w:t>/</w:t>
                  </w:r>
                  <w:r>
                    <w:rPr>
                      <w:rFonts w:hint="eastAsia"/>
                    </w:rPr>
                    <w:t>h</w:t>
                  </w:r>
                </w:p>
              </w:tc>
              <w:tc>
                <w:tcPr>
                  <w:tcW w:w="802" w:type="pct"/>
                  <w:vAlign w:val="center"/>
                </w:tcPr>
                <w:p w14:paraId="532F033F">
                  <w:pPr>
                    <w:pStyle w:val="135"/>
                    <w:adjustRightInd w:val="0"/>
                    <w:snapToGrid w:val="0"/>
                  </w:pPr>
                  <w:r>
                    <w:t xml:space="preserve">1 </w:t>
                  </w:r>
                  <w:r>
                    <w:rPr>
                      <w:rFonts w:hint="eastAsia"/>
                    </w:rPr>
                    <w:t>台</w:t>
                  </w:r>
                </w:p>
              </w:tc>
              <w:tc>
                <w:tcPr>
                  <w:tcW w:w="1210" w:type="pct"/>
                  <w:vAlign w:val="center"/>
                </w:tcPr>
                <w:p w14:paraId="7AA963FC">
                  <w:pPr>
                    <w:pStyle w:val="135"/>
                    <w:adjustRightInd w:val="0"/>
                    <w:snapToGrid w:val="0"/>
                  </w:pPr>
                </w:p>
              </w:tc>
            </w:tr>
            <w:tr w14:paraId="79253B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1" w:type="pct"/>
                  <w:vAlign w:val="center"/>
                </w:tcPr>
                <w:p w14:paraId="3BDF34BF">
                  <w:pPr>
                    <w:pStyle w:val="135"/>
                    <w:adjustRightInd w:val="0"/>
                    <w:snapToGrid w:val="0"/>
                  </w:pPr>
                  <w:r>
                    <w:t>2</w:t>
                  </w:r>
                </w:p>
              </w:tc>
              <w:tc>
                <w:tcPr>
                  <w:tcW w:w="1418" w:type="pct"/>
                  <w:vAlign w:val="center"/>
                </w:tcPr>
                <w:p w14:paraId="7CF75C40">
                  <w:pPr>
                    <w:pStyle w:val="135"/>
                    <w:adjustRightInd w:val="0"/>
                    <w:snapToGrid w:val="0"/>
                  </w:pPr>
                  <w:r>
                    <w:t>压力容器-分气缸</w:t>
                  </w:r>
                </w:p>
              </w:tc>
              <w:tc>
                <w:tcPr>
                  <w:tcW w:w="1259" w:type="pct"/>
                  <w:vAlign w:val="center"/>
                </w:tcPr>
                <w:p w14:paraId="389AED6D">
                  <w:pPr>
                    <w:pStyle w:val="135"/>
                    <w:adjustRightInd w:val="0"/>
                    <w:snapToGrid w:val="0"/>
                  </w:pPr>
                  <w:r>
                    <w:t>DN500X10</w:t>
                  </w:r>
                </w:p>
              </w:tc>
              <w:tc>
                <w:tcPr>
                  <w:tcW w:w="802" w:type="pct"/>
                  <w:vAlign w:val="center"/>
                </w:tcPr>
                <w:p w14:paraId="0332D030">
                  <w:pPr>
                    <w:pStyle w:val="135"/>
                    <w:adjustRightInd w:val="0"/>
                    <w:snapToGrid w:val="0"/>
                  </w:pPr>
                  <w:r>
                    <w:t>1 个</w:t>
                  </w:r>
                </w:p>
              </w:tc>
              <w:tc>
                <w:tcPr>
                  <w:tcW w:w="1210" w:type="pct"/>
                  <w:vAlign w:val="center"/>
                </w:tcPr>
                <w:p w14:paraId="6BC82AF7">
                  <w:pPr>
                    <w:pStyle w:val="135"/>
                    <w:adjustRightInd w:val="0"/>
                    <w:snapToGrid w:val="0"/>
                  </w:pPr>
                  <w:r>
                    <w:t>容积 0.64m³</w:t>
                  </w:r>
                </w:p>
              </w:tc>
            </w:tr>
            <w:tr w14:paraId="25CF1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1" w:type="pct"/>
                  <w:vAlign w:val="center"/>
                </w:tcPr>
                <w:p w14:paraId="245AC632">
                  <w:pPr>
                    <w:pStyle w:val="135"/>
                    <w:adjustRightInd w:val="0"/>
                    <w:snapToGrid w:val="0"/>
                  </w:pPr>
                  <w:r>
                    <w:t>3</w:t>
                  </w:r>
                </w:p>
              </w:tc>
              <w:tc>
                <w:tcPr>
                  <w:tcW w:w="1418" w:type="pct"/>
                  <w:vAlign w:val="center"/>
                </w:tcPr>
                <w:p w14:paraId="49723837">
                  <w:pPr>
                    <w:pStyle w:val="135"/>
                    <w:adjustRightInd w:val="0"/>
                    <w:snapToGrid w:val="0"/>
                  </w:pPr>
                  <w:r>
                    <w:t>压力容器-分气缸</w:t>
                  </w:r>
                </w:p>
              </w:tc>
              <w:tc>
                <w:tcPr>
                  <w:tcW w:w="1259" w:type="pct"/>
                  <w:vAlign w:val="center"/>
                </w:tcPr>
                <w:p w14:paraId="3DE37DD5">
                  <w:pPr>
                    <w:pStyle w:val="135"/>
                    <w:adjustRightInd w:val="0"/>
                    <w:snapToGrid w:val="0"/>
                  </w:pPr>
                  <w:r>
                    <w:t>DN400X4950</w:t>
                  </w:r>
                </w:p>
              </w:tc>
              <w:tc>
                <w:tcPr>
                  <w:tcW w:w="802" w:type="pct"/>
                  <w:vAlign w:val="center"/>
                </w:tcPr>
                <w:p w14:paraId="1969C132">
                  <w:pPr>
                    <w:pStyle w:val="135"/>
                    <w:adjustRightInd w:val="0"/>
                    <w:snapToGrid w:val="0"/>
                  </w:pPr>
                  <w:r>
                    <w:t>3 个</w:t>
                  </w:r>
                </w:p>
              </w:tc>
              <w:tc>
                <w:tcPr>
                  <w:tcW w:w="1210" w:type="pct"/>
                  <w:vAlign w:val="center"/>
                </w:tcPr>
                <w:p w14:paraId="6C12BC4F">
                  <w:pPr>
                    <w:pStyle w:val="135"/>
                    <w:adjustRightInd w:val="0"/>
                    <w:snapToGrid w:val="0"/>
                  </w:pPr>
                  <w:r>
                    <w:t>容积 0.64m³</w:t>
                  </w:r>
                </w:p>
              </w:tc>
            </w:tr>
            <w:tr w14:paraId="580B3E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1" w:type="pct"/>
                  <w:vAlign w:val="center"/>
                </w:tcPr>
                <w:p w14:paraId="13BD6939">
                  <w:pPr>
                    <w:pStyle w:val="135"/>
                    <w:adjustRightInd w:val="0"/>
                    <w:snapToGrid w:val="0"/>
                  </w:pPr>
                  <w:r>
                    <w:t>4</w:t>
                  </w:r>
                </w:p>
              </w:tc>
              <w:tc>
                <w:tcPr>
                  <w:tcW w:w="1418" w:type="pct"/>
                  <w:vAlign w:val="center"/>
                </w:tcPr>
                <w:p w14:paraId="647A71CB">
                  <w:pPr>
                    <w:pStyle w:val="135"/>
                    <w:adjustRightInd w:val="0"/>
                    <w:snapToGrid w:val="0"/>
                  </w:pPr>
                  <w:r>
                    <w:t>压力容器-分气缸</w:t>
                  </w:r>
                </w:p>
              </w:tc>
              <w:tc>
                <w:tcPr>
                  <w:tcW w:w="1259" w:type="pct"/>
                  <w:vAlign w:val="center"/>
                </w:tcPr>
                <w:p w14:paraId="486C5A87">
                  <w:pPr>
                    <w:pStyle w:val="135"/>
                    <w:adjustRightInd w:val="0"/>
                    <w:snapToGrid w:val="0"/>
                  </w:pPr>
                  <w:r>
                    <w:t>DN400X2380</w:t>
                  </w:r>
                </w:p>
              </w:tc>
              <w:tc>
                <w:tcPr>
                  <w:tcW w:w="802" w:type="pct"/>
                  <w:vAlign w:val="center"/>
                </w:tcPr>
                <w:p w14:paraId="7AC792E6">
                  <w:pPr>
                    <w:pStyle w:val="135"/>
                    <w:adjustRightInd w:val="0"/>
                    <w:snapToGrid w:val="0"/>
                  </w:pPr>
                  <w:r>
                    <w:t>1 个</w:t>
                  </w:r>
                </w:p>
              </w:tc>
              <w:tc>
                <w:tcPr>
                  <w:tcW w:w="1210" w:type="pct"/>
                  <w:vAlign w:val="center"/>
                </w:tcPr>
                <w:p w14:paraId="60EBFB0E">
                  <w:pPr>
                    <w:pStyle w:val="135"/>
                    <w:adjustRightInd w:val="0"/>
                    <w:snapToGrid w:val="0"/>
                  </w:pPr>
                  <w:r>
                    <w:t>容积 0.31m³</w:t>
                  </w:r>
                </w:p>
              </w:tc>
            </w:tr>
            <w:tr w14:paraId="13152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1" w:type="pct"/>
                  <w:vAlign w:val="center"/>
                </w:tcPr>
                <w:p w14:paraId="425A2225">
                  <w:pPr>
                    <w:pStyle w:val="135"/>
                    <w:adjustRightInd w:val="0"/>
                    <w:snapToGrid w:val="0"/>
                  </w:pPr>
                  <w:r>
                    <w:t>5</w:t>
                  </w:r>
                </w:p>
              </w:tc>
              <w:tc>
                <w:tcPr>
                  <w:tcW w:w="1418" w:type="pct"/>
                  <w:vAlign w:val="center"/>
                </w:tcPr>
                <w:p w14:paraId="16DCAFD9">
                  <w:pPr>
                    <w:pStyle w:val="135"/>
                    <w:adjustRightInd w:val="0"/>
                    <w:snapToGrid w:val="0"/>
                  </w:pPr>
                  <w:r>
                    <w:t>压力容器-分气缸</w:t>
                  </w:r>
                </w:p>
              </w:tc>
              <w:tc>
                <w:tcPr>
                  <w:tcW w:w="1259" w:type="pct"/>
                  <w:vAlign w:val="center"/>
                </w:tcPr>
                <w:p w14:paraId="2B52D979">
                  <w:pPr>
                    <w:pStyle w:val="135"/>
                    <w:adjustRightInd w:val="0"/>
                    <w:snapToGrid w:val="0"/>
                  </w:pPr>
                  <w:r>
                    <w:t>DN400X4150</w:t>
                  </w:r>
                </w:p>
              </w:tc>
              <w:tc>
                <w:tcPr>
                  <w:tcW w:w="802" w:type="pct"/>
                  <w:vAlign w:val="center"/>
                </w:tcPr>
                <w:p w14:paraId="2F85A425">
                  <w:pPr>
                    <w:pStyle w:val="135"/>
                    <w:adjustRightInd w:val="0"/>
                    <w:snapToGrid w:val="0"/>
                  </w:pPr>
                  <w:r>
                    <w:t>1 个</w:t>
                  </w:r>
                </w:p>
              </w:tc>
              <w:tc>
                <w:tcPr>
                  <w:tcW w:w="1210" w:type="pct"/>
                  <w:vAlign w:val="center"/>
                </w:tcPr>
                <w:p w14:paraId="1EDCAE3D">
                  <w:pPr>
                    <w:pStyle w:val="135"/>
                    <w:adjustRightInd w:val="0"/>
                    <w:snapToGrid w:val="0"/>
                  </w:pPr>
                  <w:r>
                    <w:t>容积 0.54m³</w:t>
                  </w:r>
                </w:p>
              </w:tc>
            </w:tr>
            <w:tr w14:paraId="22BA4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1" w:type="pct"/>
                  <w:vAlign w:val="center"/>
                </w:tcPr>
                <w:p w14:paraId="2CD813F0">
                  <w:pPr>
                    <w:pStyle w:val="135"/>
                    <w:adjustRightInd w:val="0"/>
                    <w:snapToGrid w:val="0"/>
                  </w:pPr>
                  <w:r>
                    <w:t>6</w:t>
                  </w:r>
                </w:p>
              </w:tc>
              <w:tc>
                <w:tcPr>
                  <w:tcW w:w="1418" w:type="pct"/>
                  <w:vAlign w:val="center"/>
                </w:tcPr>
                <w:p w14:paraId="78819675">
                  <w:pPr>
                    <w:pStyle w:val="135"/>
                    <w:adjustRightInd w:val="0"/>
                    <w:snapToGrid w:val="0"/>
                  </w:pPr>
                  <w:r>
                    <w:t>压力容器-蒸压釜</w:t>
                  </w:r>
                </w:p>
              </w:tc>
              <w:tc>
                <w:tcPr>
                  <w:tcW w:w="1259" w:type="pct"/>
                  <w:vAlign w:val="center"/>
                </w:tcPr>
                <w:p w14:paraId="1E75F028">
                  <w:pPr>
                    <w:pStyle w:val="135"/>
                    <w:adjustRightInd w:val="0"/>
                    <w:snapToGrid w:val="0"/>
                  </w:pPr>
                  <w:r>
                    <w:t>FGZSQ1.5-2.5×31</w:t>
                  </w:r>
                </w:p>
              </w:tc>
              <w:tc>
                <w:tcPr>
                  <w:tcW w:w="802" w:type="pct"/>
                  <w:vAlign w:val="center"/>
                </w:tcPr>
                <w:p w14:paraId="7D062788">
                  <w:pPr>
                    <w:pStyle w:val="135"/>
                    <w:adjustRightInd w:val="0"/>
                    <w:snapToGrid w:val="0"/>
                  </w:pPr>
                  <w:r>
                    <w:t>5 个</w:t>
                  </w:r>
                </w:p>
              </w:tc>
              <w:tc>
                <w:tcPr>
                  <w:tcW w:w="1210" w:type="pct"/>
                  <w:vAlign w:val="center"/>
                </w:tcPr>
                <w:p w14:paraId="44B9B0A4">
                  <w:pPr>
                    <w:pStyle w:val="135"/>
                    <w:adjustRightInd w:val="0"/>
                    <w:snapToGrid w:val="0"/>
                  </w:pPr>
                  <w:r>
                    <w:rPr>
                      <w:rFonts w:hint="eastAsia"/>
                    </w:rPr>
                    <w:t>可蒸压产品1</w:t>
                  </w:r>
                  <w:r>
                    <w:t>00</w:t>
                  </w:r>
                  <w:r>
                    <w:rPr>
                      <w:rFonts w:hint="eastAsia"/>
                    </w:rPr>
                    <w:t>m</w:t>
                  </w:r>
                  <w:r>
                    <w:rPr>
                      <w:vertAlign w:val="superscript"/>
                    </w:rPr>
                    <w:t>3</w:t>
                  </w:r>
                </w:p>
              </w:tc>
            </w:tr>
            <w:tr w14:paraId="478C7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1" w:type="pct"/>
                  <w:vAlign w:val="center"/>
                </w:tcPr>
                <w:p w14:paraId="5FFE01CE">
                  <w:pPr>
                    <w:pStyle w:val="135"/>
                    <w:adjustRightInd w:val="0"/>
                    <w:snapToGrid w:val="0"/>
                  </w:pPr>
                  <w:r>
                    <w:t>7</w:t>
                  </w:r>
                </w:p>
              </w:tc>
              <w:tc>
                <w:tcPr>
                  <w:tcW w:w="1418" w:type="pct"/>
                  <w:vAlign w:val="center"/>
                </w:tcPr>
                <w:p w14:paraId="2E981A79">
                  <w:pPr>
                    <w:pStyle w:val="135"/>
                    <w:adjustRightInd w:val="0"/>
                    <w:snapToGrid w:val="0"/>
                  </w:pPr>
                  <w:r>
                    <w:rPr>
                      <w:rFonts w:hint="eastAsia"/>
                    </w:rPr>
                    <w:t>搅拌机</w:t>
                  </w:r>
                </w:p>
              </w:tc>
              <w:tc>
                <w:tcPr>
                  <w:tcW w:w="1259" w:type="pct"/>
                  <w:vAlign w:val="center"/>
                </w:tcPr>
                <w:p w14:paraId="1C3C573F">
                  <w:pPr>
                    <w:pStyle w:val="135"/>
                    <w:adjustRightInd w:val="0"/>
                    <w:snapToGrid w:val="0"/>
                  </w:pPr>
                  <w:r>
                    <w:rPr>
                      <w:rFonts w:hint="eastAsia"/>
                    </w:rPr>
                    <w:t>/</w:t>
                  </w:r>
                </w:p>
              </w:tc>
              <w:tc>
                <w:tcPr>
                  <w:tcW w:w="802" w:type="pct"/>
                  <w:vAlign w:val="center"/>
                </w:tcPr>
                <w:p w14:paraId="34FFD463">
                  <w:pPr>
                    <w:pStyle w:val="135"/>
                    <w:adjustRightInd w:val="0"/>
                    <w:snapToGrid w:val="0"/>
                  </w:pPr>
                  <w:r>
                    <w:rPr>
                      <w:rFonts w:hint="eastAsia"/>
                    </w:rPr>
                    <w:t>8台</w:t>
                  </w:r>
                </w:p>
              </w:tc>
              <w:tc>
                <w:tcPr>
                  <w:tcW w:w="1210" w:type="pct"/>
                  <w:vAlign w:val="center"/>
                </w:tcPr>
                <w:p w14:paraId="5CBFDCF4">
                  <w:pPr>
                    <w:pStyle w:val="135"/>
                    <w:adjustRightInd w:val="0"/>
                    <w:snapToGrid w:val="0"/>
                  </w:pPr>
                  <w:r>
                    <w:rPr>
                      <w:rFonts w:hint="eastAsia"/>
                    </w:rPr>
                    <w:t>/</w:t>
                  </w:r>
                </w:p>
              </w:tc>
            </w:tr>
            <w:tr w14:paraId="2F71F6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1" w:type="pct"/>
                  <w:vAlign w:val="center"/>
                </w:tcPr>
                <w:p w14:paraId="7239CC2D">
                  <w:pPr>
                    <w:pStyle w:val="135"/>
                    <w:adjustRightInd w:val="0"/>
                    <w:snapToGrid w:val="0"/>
                  </w:pPr>
                  <w:r>
                    <w:t>8</w:t>
                  </w:r>
                </w:p>
              </w:tc>
              <w:tc>
                <w:tcPr>
                  <w:tcW w:w="1418" w:type="pct"/>
                  <w:vAlign w:val="center"/>
                </w:tcPr>
                <w:p w14:paraId="2E5AC007">
                  <w:pPr>
                    <w:pStyle w:val="135"/>
                    <w:adjustRightInd w:val="0"/>
                    <w:snapToGrid w:val="0"/>
                  </w:pPr>
                  <w:r>
                    <w:t>内燃平衡重式叉车</w:t>
                  </w:r>
                </w:p>
              </w:tc>
              <w:tc>
                <w:tcPr>
                  <w:tcW w:w="1259" w:type="pct"/>
                  <w:vAlign w:val="center"/>
                </w:tcPr>
                <w:p w14:paraId="6A8592C0">
                  <w:pPr>
                    <w:pStyle w:val="135"/>
                    <w:adjustRightInd w:val="0"/>
                    <w:snapToGrid w:val="0"/>
                  </w:pPr>
                  <w:r>
                    <w:t>CPC30</w:t>
                  </w:r>
                </w:p>
              </w:tc>
              <w:tc>
                <w:tcPr>
                  <w:tcW w:w="802" w:type="pct"/>
                  <w:vAlign w:val="center"/>
                </w:tcPr>
                <w:p w14:paraId="3798C2E4">
                  <w:pPr>
                    <w:pStyle w:val="135"/>
                    <w:adjustRightInd w:val="0"/>
                    <w:snapToGrid w:val="0"/>
                  </w:pPr>
                  <w:r>
                    <w:t>2 辆</w:t>
                  </w:r>
                </w:p>
              </w:tc>
              <w:tc>
                <w:tcPr>
                  <w:tcW w:w="1210" w:type="pct"/>
                  <w:vAlign w:val="center"/>
                </w:tcPr>
                <w:p w14:paraId="55A82A77">
                  <w:pPr>
                    <w:pStyle w:val="135"/>
                    <w:adjustRightInd w:val="0"/>
                    <w:snapToGrid w:val="0"/>
                  </w:pPr>
                  <w:r>
                    <w:t>起重量 3000KG</w:t>
                  </w:r>
                </w:p>
              </w:tc>
            </w:tr>
            <w:tr w14:paraId="1CA54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1" w:type="pct"/>
                  <w:vAlign w:val="center"/>
                </w:tcPr>
                <w:p w14:paraId="42062807">
                  <w:pPr>
                    <w:pStyle w:val="135"/>
                    <w:adjustRightInd w:val="0"/>
                    <w:snapToGrid w:val="0"/>
                  </w:pPr>
                  <w:r>
                    <w:t>9</w:t>
                  </w:r>
                </w:p>
              </w:tc>
              <w:tc>
                <w:tcPr>
                  <w:tcW w:w="1418" w:type="pct"/>
                  <w:vAlign w:val="center"/>
                </w:tcPr>
                <w:p w14:paraId="013A7C3F">
                  <w:pPr>
                    <w:pStyle w:val="135"/>
                    <w:adjustRightInd w:val="0"/>
                    <w:snapToGrid w:val="0"/>
                  </w:pPr>
                  <w:r>
                    <w:t>球磨机</w:t>
                  </w:r>
                </w:p>
              </w:tc>
              <w:tc>
                <w:tcPr>
                  <w:tcW w:w="1259" w:type="pct"/>
                  <w:vAlign w:val="center"/>
                </w:tcPr>
                <w:p w14:paraId="3BBD3F59">
                  <w:pPr>
                    <w:pStyle w:val="135"/>
                    <w:adjustRightInd w:val="0"/>
                    <w:snapToGrid w:val="0"/>
                  </w:pPr>
                  <w:r>
                    <w:t>22X9M</w:t>
                  </w:r>
                </w:p>
              </w:tc>
              <w:tc>
                <w:tcPr>
                  <w:tcW w:w="802" w:type="pct"/>
                  <w:vAlign w:val="center"/>
                </w:tcPr>
                <w:p w14:paraId="1EC71CC8">
                  <w:pPr>
                    <w:pStyle w:val="135"/>
                    <w:adjustRightInd w:val="0"/>
                    <w:snapToGrid w:val="0"/>
                  </w:pPr>
                  <w:r>
                    <w:t>1 台</w:t>
                  </w:r>
                </w:p>
              </w:tc>
              <w:tc>
                <w:tcPr>
                  <w:tcW w:w="1210" w:type="pct"/>
                  <w:vAlign w:val="center"/>
                </w:tcPr>
                <w:p w14:paraId="7779F47D">
                  <w:pPr>
                    <w:pStyle w:val="135"/>
                    <w:adjustRightInd w:val="0"/>
                    <w:snapToGrid w:val="0"/>
                  </w:pPr>
                  <w:r>
                    <w:t>额定功率 475KW</w:t>
                  </w:r>
                </w:p>
              </w:tc>
            </w:tr>
            <w:tr w14:paraId="65719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311" w:type="pct"/>
                  <w:vAlign w:val="center"/>
                </w:tcPr>
                <w:p w14:paraId="0C1BC0C6">
                  <w:pPr>
                    <w:pStyle w:val="135"/>
                    <w:adjustRightInd w:val="0"/>
                    <w:snapToGrid w:val="0"/>
                  </w:pPr>
                  <w:r>
                    <w:t>10</w:t>
                  </w:r>
                </w:p>
              </w:tc>
              <w:tc>
                <w:tcPr>
                  <w:tcW w:w="1418" w:type="pct"/>
                  <w:vAlign w:val="center"/>
                </w:tcPr>
                <w:p w14:paraId="1FBF1B49">
                  <w:pPr>
                    <w:pStyle w:val="135"/>
                    <w:adjustRightInd w:val="0"/>
                    <w:snapToGrid w:val="0"/>
                  </w:pPr>
                  <w:r>
                    <w:t>4.8m 固定式切割机组</w:t>
                  </w:r>
                </w:p>
              </w:tc>
              <w:tc>
                <w:tcPr>
                  <w:tcW w:w="1259" w:type="pct"/>
                  <w:vAlign w:val="center"/>
                </w:tcPr>
                <w:p w14:paraId="01869192">
                  <w:pPr>
                    <w:pStyle w:val="135"/>
                    <w:adjustRightInd w:val="0"/>
                    <w:snapToGrid w:val="0"/>
                  </w:pPr>
                  <w:r>
                    <w:t>RGQGJ—4.8</w:t>
                  </w:r>
                </w:p>
              </w:tc>
              <w:tc>
                <w:tcPr>
                  <w:tcW w:w="802" w:type="pct"/>
                  <w:vAlign w:val="center"/>
                </w:tcPr>
                <w:p w14:paraId="6131B2F2">
                  <w:pPr>
                    <w:pStyle w:val="135"/>
                    <w:adjustRightInd w:val="0"/>
                    <w:snapToGrid w:val="0"/>
                  </w:pPr>
                  <w:r>
                    <w:t>1 套</w:t>
                  </w:r>
                </w:p>
              </w:tc>
              <w:tc>
                <w:tcPr>
                  <w:tcW w:w="1210" w:type="pct"/>
                  <w:vAlign w:val="center"/>
                </w:tcPr>
                <w:p w14:paraId="52C4DD7B">
                  <w:pPr>
                    <w:pStyle w:val="135"/>
                    <w:adjustRightInd w:val="0"/>
                    <w:snapToGrid w:val="0"/>
                  </w:pPr>
                  <w:r>
                    <w:t>额定功率 22.7KW</w:t>
                  </w:r>
                </w:p>
              </w:tc>
            </w:tr>
            <w:tr w14:paraId="074CDB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1" w:type="pct"/>
                  <w:vAlign w:val="center"/>
                </w:tcPr>
                <w:p w14:paraId="50CD448B">
                  <w:pPr>
                    <w:pStyle w:val="135"/>
                    <w:adjustRightInd w:val="0"/>
                    <w:snapToGrid w:val="0"/>
                  </w:pPr>
                  <w:r>
                    <w:t>11</w:t>
                  </w:r>
                </w:p>
              </w:tc>
              <w:tc>
                <w:tcPr>
                  <w:tcW w:w="1418" w:type="pct"/>
                  <w:vAlign w:val="center"/>
                </w:tcPr>
                <w:p w14:paraId="6DCB5F30">
                  <w:pPr>
                    <w:pStyle w:val="135"/>
                    <w:adjustRightInd w:val="0"/>
                    <w:snapToGrid w:val="0"/>
                  </w:pPr>
                  <w:r>
                    <w:t>自动浇注摆渡车</w:t>
                  </w:r>
                </w:p>
              </w:tc>
              <w:tc>
                <w:tcPr>
                  <w:tcW w:w="1259" w:type="pct"/>
                  <w:vAlign w:val="center"/>
                </w:tcPr>
                <w:p w14:paraId="2E0F9459">
                  <w:pPr>
                    <w:pStyle w:val="135"/>
                    <w:adjustRightInd w:val="0"/>
                    <w:snapToGrid w:val="0"/>
                  </w:pPr>
                  <w:r>
                    <w:t>RGZDJB—4.8</w:t>
                  </w:r>
                </w:p>
              </w:tc>
              <w:tc>
                <w:tcPr>
                  <w:tcW w:w="802" w:type="pct"/>
                  <w:vAlign w:val="center"/>
                </w:tcPr>
                <w:p w14:paraId="19D70E13">
                  <w:pPr>
                    <w:pStyle w:val="135"/>
                    <w:adjustRightInd w:val="0"/>
                    <w:snapToGrid w:val="0"/>
                  </w:pPr>
                  <w:r>
                    <w:t>1 台</w:t>
                  </w:r>
                </w:p>
              </w:tc>
              <w:tc>
                <w:tcPr>
                  <w:tcW w:w="1210" w:type="pct"/>
                  <w:vAlign w:val="center"/>
                </w:tcPr>
                <w:p w14:paraId="6A562EC3">
                  <w:pPr>
                    <w:pStyle w:val="135"/>
                    <w:adjustRightInd w:val="0"/>
                    <w:snapToGrid w:val="0"/>
                  </w:pPr>
                  <w:r>
                    <w:t>额定功率 8.2KW</w:t>
                  </w:r>
                </w:p>
              </w:tc>
            </w:tr>
            <w:tr w14:paraId="6209A7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1" w:type="pct"/>
                  <w:vAlign w:val="center"/>
                </w:tcPr>
                <w:p w14:paraId="2A8A2C8E">
                  <w:pPr>
                    <w:pStyle w:val="135"/>
                    <w:adjustRightInd w:val="0"/>
                    <w:snapToGrid w:val="0"/>
                  </w:pPr>
                  <w:r>
                    <w:t>12</w:t>
                  </w:r>
                </w:p>
              </w:tc>
              <w:tc>
                <w:tcPr>
                  <w:tcW w:w="1418" w:type="pct"/>
                  <w:vAlign w:val="center"/>
                </w:tcPr>
                <w:p w14:paraId="11DBFC29">
                  <w:pPr>
                    <w:pStyle w:val="135"/>
                    <w:adjustRightInd w:val="0"/>
                    <w:snapToGrid w:val="0"/>
                  </w:pPr>
                  <w:r>
                    <w:t>模具</w:t>
                  </w:r>
                </w:p>
              </w:tc>
              <w:tc>
                <w:tcPr>
                  <w:tcW w:w="1259" w:type="pct"/>
                  <w:vAlign w:val="center"/>
                </w:tcPr>
                <w:p w14:paraId="3F6569B1">
                  <w:pPr>
                    <w:pStyle w:val="135"/>
                    <w:adjustRightInd w:val="0"/>
                    <w:snapToGrid w:val="0"/>
                  </w:pPr>
                  <w:r>
                    <w:t>RGMJ—4.8</w:t>
                  </w:r>
                </w:p>
              </w:tc>
              <w:tc>
                <w:tcPr>
                  <w:tcW w:w="802" w:type="pct"/>
                  <w:vAlign w:val="center"/>
                </w:tcPr>
                <w:p w14:paraId="40FB266D">
                  <w:pPr>
                    <w:pStyle w:val="135"/>
                    <w:adjustRightInd w:val="0"/>
                    <w:snapToGrid w:val="0"/>
                  </w:pPr>
                  <w:r>
                    <w:t>30 只</w:t>
                  </w:r>
                </w:p>
              </w:tc>
              <w:tc>
                <w:tcPr>
                  <w:tcW w:w="1210" w:type="pct"/>
                  <w:vAlign w:val="center"/>
                </w:tcPr>
                <w:p w14:paraId="4AF2DCB3">
                  <w:pPr>
                    <w:pStyle w:val="135"/>
                    <w:adjustRightInd w:val="0"/>
                    <w:snapToGrid w:val="0"/>
                  </w:pPr>
                  <w:r>
                    <w:t>4800X1200X600</w:t>
                  </w:r>
                </w:p>
              </w:tc>
            </w:tr>
            <w:tr w14:paraId="068374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1" w:type="pct"/>
                  <w:vAlign w:val="center"/>
                </w:tcPr>
                <w:p w14:paraId="27793475">
                  <w:pPr>
                    <w:pStyle w:val="135"/>
                    <w:adjustRightInd w:val="0"/>
                    <w:snapToGrid w:val="0"/>
                  </w:pPr>
                  <w:r>
                    <w:t>13</w:t>
                  </w:r>
                </w:p>
              </w:tc>
              <w:tc>
                <w:tcPr>
                  <w:tcW w:w="1418" w:type="pct"/>
                  <w:vAlign w:val="center"/>
                </w:tcPr>
                <w:p w14:paraId="6FDE334F">
                  <w:pPr>
                    <w:pStyle w:val="135"/>
                    <w:adjustRightInd w:val="0"/>
                    <w:snapToGrid w:val="0"/>
                  </w:pPr>
                  <w:r>
                    <w:t>浇筑升降头带震动棒</w:t>
                  </w:r>
                </w:p>
              </w:tc>
              <w:tc>
                <w:tcPr>
                  <w:tcW w:w="1259" w:type="pct"/>
                  <w:vAlign w:val="center"/>
                </w:tcPr>
                <w:p w14:paraId="3A63507D">
                  <w:pPr>
                    <w:pStyle w:val="135"/>
                    <w:adjustRightInd w:val="0"/>
                    <w:snapToGrid w:val="0"/>
                  </w:pPr>
                  <w:r>
                    <w:t>RGJZZ—4.8</w:t>
                  </w:r>
                </w:p>
              </w:tc>
              <w:tc>
                <w:tcPr>
                  <w:tcW w:w="802" w:type="pct"/>
                  <w:vAlign w:val="center"/>
                </w:tcPr>
                <w:p w14:paraId="13B14635">
                  <w:pPr>
                    <w:pStyle w:val="135"/>
                    <w:adjustRightInd w:val="0"/>
                    <w:snapToGrid w:val="0"/>
                  </w:pPr>
                  <w:r>
                    <w:t>1 台</w:t>
                  </w:r>
                </w:p>
              </w:tc>
              <w:tc>
                <w:tcPr>
                  <w:tcW w:w="1210" w:type="pct"/>
                  <w:vAlign w:val="center"/>
                </w:tcPr>
                <w:p w14:paraId="0149C7D2">
                  <w:pPr>
                    <w:pStyle w:val="135"/>
                    <w:adjustRightInd w:val="0"/>
                    <w:snapToGrid w:val="0"/>
                  </w:pPr>
                  <w:r>
                    <w:t>额定功率 8KW</w:t>
                  </w:r>
                </w:p>
              </w:tc>
            </w:tr>
            <w:tr w14:paraId="583C9C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1" w:type="pct"/>
                  <w:vAlign w:val="center"/>
                </w:tcPr>
                <w:p w14:paraId="7C25523C">
                  <w:pPr>
                    <w:pStyle w:val="135"/>
                    <w:adjustRightInd w:val="0"/>
                    <w:snapToGrid w:val="0"/>
                  </w:pPr>
                  <w:r>
                    <w:t>14</w:t>
                  </w:r>
                </w:p>
              </w:tc>
              <w:tc>
                <w:tcPr>
                  <w:tcW w:w="1418" w:type="pct"/>
                  <w:vAlign w:val="center"/>
                </w:tcPr>
                <w:p w14:paraId="3ED0CB1B">
                  <w:pPr>
                    <w:pStyle w:val="135"/>
                    <w:adjustRightInd w:val="0"/>
                    <w:snapToGrid w:val="0"/>
                  </w:pPr>
                  <w:r>
                    <w:t>输送带</w:t>
                  </w:r>
                </w:p>
              </w:tc>
              <w:tc>
                <w:tcPr>
                  <w:tcW w:w="1259" w:type="pct"/>
                  <w:vAlign w:val="center"/>
                </w:tcPr>
                <w:p w14:paraId="6B0C9669">
                  <w:pPr>
                    <w:pStyle w:val="135"/>
                    <w:adjustRightInd w:val="0"/>
                    <w:snapToGrid w:val="0"/>
                  </w:pPr>
                  <w:r>
                    <w:t>RGSSD—4.8</w:t>
                  </w:r>
                </w:p>
              </w:tc>
              <w:tc>
                <w:tcPr>
                  <w:tcW w:w="802" w:type="pct"/>
                  <w:vAlign w:val="center"/>
                </w:tcPr>
                <w:p w14:paraId="14E3CA54">
                  <w:pPr>
                    <w:pStyle w:val="135"/>
                    <w:adjustRightInd w:val="0"/>
                    <w:snapToGrid w:val="0"/>
                  </w:pPr>
                  <w:r>
                    <w:t>3 台</w:t>
                  </w:r>
                </w:p>
              </w:tc>
              <w:tc>
                <w:tcPr>
                  <w:tcW w:w="1210" w:type="pct"/>
                  <w:vAlign w:val="center"/>
                </w:tcPr>
                <w:p w14:paraId="75E7C9FB">
                  <w:pPr>
                    <w:pStyle w:val="135"/>
                    <w:adjustRightInd w:val="0"/>
                    <w:snapToGrid w:val="0"/>
                  </w:pPr>
                  <w:r>
                    <w:t>额定功率 13KW</w:t>
                  </w:r>
                </w:p>
              </w:tc>
            </w:tr>
            <w:tr w14:paraId="6E5A0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1" w:type="pct"/>
                  <w:vAlign w:val="center"/>
                </w:tcPr>
                <w:p w14:paraId="2845AC44">
                  <w:pPr>
                    <w:pStyle w:val="135"/>
                    <w:adjustRightInd w:val="0"/>
                    <w:snapToGrid w:val="0"/>
                  </w:pPr>
                  <w:r>
                    <w:t>15</w:t>
                  </w:r>
                </w:p>
              </w:tc>
              <w:tc>
                <w:tcPr>
                  <w:tcW w:w="1418" w:type="pct"/>
                  <w:vAlign w:val="center"/>
                </w:tcPr>
                <w:p w14:paraId="13EE6234">
                  <w:pPr>
                    <w:pStyle w:val="135"/>
                    <w:adjustRightInd w:val="0"/>
                    <w:snapToGrid w:val="0"/>
                  </w:pPr>
                  <w:r>
                    <w:rPr>
                      <w:rFonts w:hint="eastAsia"/>
                    </w:rPr>
                    <w:t>石灰筒仓</w:t>
                  </w:r>
                </w:p>
              </w:tc>
              <w:tc>
                <w:tcPr>
                  <w:tcW w:w="1259" w:type="pct"/>
                  <w:vAlign w:val="center"/>
                </w:tcPr>
                <w:p w14:paraId="3B3A32E4">
                  <w:pPr>
                    <w:pStyle w:val="135"/>
                    <w:adjustRightInd w:val="0"/>
                    <w:snapToGrid w:val="0"/>
                  </w:pPr>
                  <w:r>
                    <w:rPr>
                      <w:rFonts w:hint="eastAsia"/>
                    </w:rPr>
                    <w:t>1</w:t>
                  </w:r>
                  <w:r>
                    <w:t>40</w:t>
                  </w:r>
                  <w:r>
                    <w:rPr>
                      <w:rFonts w:hint="eastAsia"/>
                    </w:rPr>
                    <w:t>t</w:t>
                  </w:r>
                </w:p>
              </w:tc>
              <w:tc>
                <w:tcPr>
                  <w:tcW w:w="802" w:type="pct"/>
                  <w:vAlign w:val="center"/>
                </w:tcPr>
                <w:p w14:paraId="00F415C1">
                  <w:pPr>
                    <w:pStyle w:val="135"/>
                    <w:adjustRightInd w:val="0"/>
                    <w:snapToGrid w:val="0"/>
                  </w:pPr>
                  <w:r>
                    <w:rPr>
                      <w:rFonts w:hint="eastAsia"/>
                    </w:rPr>
                    <w:t>1座</w:t>
                  </w:r>
                </w:p>
              </w:tc>
              <w:tc>
                <w:tcPr>
                  <w:tcW w:w="1210" w:type="pct"/>
                  <w:vAlign w:val="center"/>
                </w:tcPr>
                <w:p w14:paraId="3BEF81F9">
                  <w:pPr>
                    <w:pStyle w:val="135"/>
                    <w:adjustRightInd w:val="0"/>
                    <w:snapToGrid w:val="0"/>
                  </w:pPr>
                  <w:r>
                    <w:rPr>
                      <w:rFonts w:hint="eastAsia"/>
                    </w:rPr>
                    <w:t>/</w:t>
                  </w:r>
                </w:p>
              </w:tc>
            </w:tr>
            <w:tr w14:paraId="75128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1" w:type="pct"/>
                  <w:vAlign w:val="center"/>
                </w:tcPr>
                <w:p w14:paraId="0FB9D611">
                  <w:pPr>
                    <w:pStyle w:val="135"/>
                    <w:adjustRightInd w:val="0"/>
                    <w:snapToGrid w:val="0"/>
                  </w:pPr>
                  <w:r>
                    <w:t>16</w:t>
                  </w:r>
                </w:p>
              </w:tc>
              <w:tc>
                <w:tcPr>
                  <w:tcW w:w="1418" w:type="pct"/>
                  <w:vAlign w:val="center"/>
                </w:tcPr>
                <w:p w14:paraId="675610FB">
                  <w:pPr>
                    <w:pStyle w:val="135"/>
                    <w:adjustRightInd w:val="0"/>
                    <w:snapToGrid w:val="0"/>
                  </w:pPr>
                  <w:r>
                    <w:rPr>
                      <w:rFonts w:hint="eastAsia"/>
                    </w:rPr>
                    <w:t>水泥筒仓</w:t>
                  </w:r>
                </w:p>
              </w:tc>
              <w:tc>
                <w:tcPr>
                  <w:tcW w:w="1259" w:type="pct"/>
                  <w:vAlign w:val="center"/>
                </w:tcPr>
                <w:p w14:paraId="6BD65FF9">
                  <w:pPr>
                    <w:pStyle w:val="135"/>
                    <w:adjustRightInd w:val="0"/>
                    <w:snapToGrid w:val="0"/>
                  </w:pPr>
                  <w:r>
                    <w:rPr>
                      <w:rFonts w:hint="eastAsia"/>
                    </w:rPr>
                    <w:t>1</w:t>
                  </w:r>
                  <w:r>
                    <w:t>40</w:t>
                  </w:r>
                  <w:r>
                    <w:rPr>
                      <w:rFonts w:hint="eastAsia"/>
                    </w:rPr>
                    <w:t>t</w:t>
                  </w:r>
                </w:p>
              </w:tc>
              <w:tc>
                <w:tcPr>
                  <w:tcW w:w="802" w:type="pct"/>
                  <w:vAlign w:val="center"/>
                </w:tcPr>
                <w:p w14:paraId="45A2C248">
                  <w:pPr>
                    <w:pStyle w:val="135"/>
                    <w:adjustRightInd w:val="0"/>
                    <w:snapToGrid w:val="0"/>
                  </w:pPr>
                  <w:r>
                    <w:rPr>
                      <w:rFonts w:hint="eastAsia"/>
                    </w:rPr>
                    <w:t>1座</w:t>
                  </w:r>
                </w:p>
              </w:tc>
              <w:tc>
                <w:tcPr>
                  <w:tcW w:w="1210" w:type="pct"/>
                  <w:vAlign w:val="center"/>
                </w:tcPr>
                <w:p w14:paraId="40937C40">
                  <w:pPr>
                    <w:pStyle w:val="135"/>
                    <w:adjustRightInd w:val="0"/>
                    <w:snapToGrid w:val="0"/>
                  </w:pPr>
                  <w:r>
                    <w:rPr>
                      <w:rFonts w:hint="eastAsia"/>
                    </w:rPr>
                    <w:t>/</w:t>
                  </w:r>
                </w:p>
              </w:tc>
            </w:tr>
            <w:tr w14:paraId="2E4611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1" w:type="pct"/>
                  <w:vAlign w:val="center"/>
                </w:tcPr>
                <w:p w14:paraId="6216445C">
                  <w:pPr>
                    <w:pStyle w:val="135"/>
                    <w:adjustRightInd w:val="0"/>
                    <w:snapToGrid w:val="0"/>
                  </w:pPr>
                  <w:r>
                    <w:t>17</w:t>
                  </w:r>
                </w:p>
              </w:tc>
              <w:tc>
                <w:tcPr>
                  <w:tcW w:w="1418" w:type="pct"/>
                  <w:vAlign w:val="center"/>
                </w:tcPr>
                <w:p w14:paraId="0B4975AF">
                  <w:pPr>
                    <w:pStyle w:val="135"/>
                    <w:adjustRightInd w:val="0"/>
                    <w:snapToGrid w:val="0"/>
                  </w:pPr>
                  <w:r>
                    <w:rPr>
                      <w:rFonts w:hint="eastAsia"/>
                    </w:rPr>
                    <w:t>破碎机</w:t>
                  </w:r>
                </w:p>
              </w:tc>
              <w:tc>
                <w:tcPr>
                  <w:tcW w:w="1259" w:type="pct"/>
                  <w:vAlign w:val="center"/>
                </w:tcPr>
                <w:p w14:paraId="1C348282">
                  <w:pPr>
                    <w:pStyle w:val="135"/>
                    <w:adjustRightInd w:val="0"/>
                    <w:snapToGrid w:val="0"/>
                  </w:pPr>
                  <w:r>
                    <w:rPr>
                      <w:rFonts w:hint="eastAsia"/>
                    </w:rPr>
                    <w:t>/</w:t>
                  </w:r>
                </w:p>
              </w:tc>
              <w:tc>
                <w:tcPr>
                  <w:tcW w:w="802" w:type="pct"/>
                  <w:vAlign w:val="center"/>
                </w:tcPr>
                <w:p w14:paraId="0A5CD1A3">
                  <w:pPr>
                    <w:pStyle w:val="135"/>
                    <w:adjustRightInd w:val="0"/>
                    <w:snapToGrid w:val="0"/>
                  </w:pPr>
                  <w:r>
                    <w:rPr>
                      <w:rFonts w:hint="eastAsia"/>
                    </w:rPr>
                    <w:t>1台</w:t>
                  </w:r>
                </w:p>
              </w:tc>
              <w:tc>
                <w:tcPr>
                  <w:tcW w:w="1210" w:type="pct"/>
                  <w:vAlign w:val="center"/>
                </w:tcPr>
                <w:p w14:paraId="26087A3C">
                  <w:pPr>
                    <w:pStyle w:val="135"/>
                    <w:adjustRightInd w:val="0"/>
                    <w:snapToGrid w:val="0"/>
                  </w:pPr>
                  <w:r>
                    <w:rPr>
                      <w:rFonts w:hint="eastAsia"/>
                    </w:rPr>
                    <w:t>砂石破碎</w:t>
                  </w:r>
                </w:p>
              </w:tc>
            </w:tr>
            <w:tr w14:paraId="40F03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11" w:type="pct"/>
                  <w:vAlign w:val="center"/>
                </w:tcPr>
                <w:p w14:paraId="30C18417">
                  <w:pPr>
                    <w:pStyle w:val="135"/>
                    <w:adjustRightInd w:val="0"/>
                    <w:snapToGrid w:val="0"/>
                  </w:pPr>
                  <w:r>
                    <w:rPr>
                      <w:rFonts w:hint="eastAsia"/>
                    </w:rPr>
                    <w:t>1</w:t>
                  </w:r>
                  <w:r>
                    <w:t>8</w:t>
                  </w:r>
                </w:p>
              </w:tc>
              <w:tc>
                <w:tcPr>
                  <w:tcW w:w="1418" w:type="pct"/>
                  <w:vAlign w:val="center"/>
                </w:tcPr>
                <w:p w14:paraId="0AF53E1A">
                  <w:pPr>
                    <w:pStyle w:val="135"/>
                    <w:adjustRightInd w:val="0"/>
                    <w:snapToGrid w:val="0"/>
                  </w:pPr>
                  <w:r>
                    <w:rPr>
                      <w:rFonts w:hint="eastAsia"/>
                    </w:rPr>
                    <w:t>装载机</w:t>
                  </w:r>
                </w:p>
              </w:tc>
              <w:tc>
                <w:tcPr>
                  <w:tcW w:w="1259" w:type="pct"/>
                  <w:vAlign w:val="center"/>
                </w:tcPr>
                <w:p w14:paraId="7D5C1374">
                  <w:pPr>
                    <w:pStyle w:val="135"/>
                    <w:adjustRightInd w:val="0"/>
                    <w:snapToGrid w:val="0"/>
                  </w:pPr>
                  <w:r>
                    <w:rPr>
                      <w:rFonts w:hint="eastAsia"/>
                    </w:rPr>
                    <w:t>/</w:t>
                  </w:r>
                </w:p>
              </w:tc>
              <w:tc>
                <w:tcPr>
                  <w:tcW w:w="802" w:type="pct"/>
                  <w:vAlign w:val="center"/>
                </w:tcPr>
                <w:p w14:paraId="0BFBC6FA">
                  <w:pPr>
                    <w:pStyle w:val="135"/>
                    <w:adjustRightInd w:val="0"/>
                    <w:snapToGrid w:val="0"/>
                  </w:pPr>
                  <w:r>
                    <w:rPr>
                      <w:rFonts w:hint="eastAsia"/>
                    </w:rPr>
                    <w:t>1台</w:t>
                  </w:r>
                </w:p>
              </w:tc>
              <w:tc>
                <w:tcPr>
                  <w:tcW w:w="1210" w:type="pct"/>
                  <w:vAlign w:val="center"/>
                </w:tcPr>
                <w:p w14:paraId="74A033CD">
                  <w:pPr>
                    <w:pStyle w:val="135"/>
                    <w:adjustRightInd w:val="0"/>
                    <w:snapToGrid w:val="0"/>
                  </w:pPr>
                  <w:r>
                    <w:rPr>
                      <w:rFonts w:hint="eastAsia"/>
                    </w:rPr>
                    <w:t>物料装卸</w:t>
                  </w:r>
                </w:p>
              </w:tc>
            </w:tr>
          </w:tbl>
          <w:p w14:paraId="0965EEEE">
            <w:pPr>
              <w:pStyle w:val="157"/>
            </w:pPr>
            <w:r>
              <w:rPr>
                <w:rFonts w:hint="eastAsia"/>
              </w:rPr>
              <w:t>7</w:t>
            </w:r>
            <w:r>
              <w:t>、主要原辅料</w:t>
            </w:r>
            <w:r>
              <w:rPr>
                <w:rFonts w:hint="eastAsia"/>
              </w:rPr>
              <w:t>、耗材</w:t>
            </w:r>
            <w:r>
              <w:t>、水、动力消耗</w:t>
            </w:r>
          </w:p>
          <w:p w14:paraId="268BC541">
            <w:pPr>
              <w:ind w:firstLine="420"/>
            </w:pPr>
            <w:r>
              <w:rPr>
                <w:rFonts w:hint="eastAsia"/>
              </w:rPr>
              <w:t>项目</w:t>
            </w:r>
            <w:r>
              <w:t>主要原辅材料、水、动力消耗</w:t>
            </w:r>
            <w:r>
              <w:rPr>
                <w:rFonts w:hint="eastAsia"/>
              </w:rPr>
              <w:t>情况</w:t>
            </w:r>
            <w:r>
              <w:t>见下表：</w:t>
            </w:r>
          </w:p>
          <w:p w14:paraId="5B1B0935">
            <w:pPr>
              <w:pStyle w:val="156"/>
            </w:pPr>
            <w:r>
              <w:t>表2.1-4  项目主要原辅材料、耗材及能源消耗统计表</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98"/>
              <w:gridCol w:w="1347"/>
              <w:gridCol w:w="757"/>
              <w:gridCol w:w="1366"/>
              <w:gridCol w:w="1754"/>
              <w:gridCol w:w="1321"/>
              <w:gridCol w:w="1321"/>
            </w:tblGrid>
            <w:tr w14:paraId="04250C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38" w:type="pct"/>
                  <w:gridSpan w:val="2"/>
                  <w:vAlign w:val="center"/>
                </w:tcPr>
                <w:p w14:paraId="1279588D">
                  <w:pPr>
                    <w:pStyle w:val="135"/>
                    <w:adjustRightInd w:val="0"/>
                    <w:snapToGrid w:val="0"/>
                    <w:rPr>
                      <w:b/>
                      <w:bCs/>
                    </w:rPr>
                  </w:pPr>
                  <w:r>
                    <w:rPr>
                      <w:b/>
                      <w:bCs/>
                    </w:rPr>
                    <w:t>名称</w:t>
                  </w:r>
                </w:p>
              </w:tc>
              <w:tc>
                <w:tcPr>
                  <w:tcW w:w="437" w:type="pct"/>
                  <w:vAlign w:val="center"/>
                </w:tcPr>
                <w:p w14:paraId="5446E161">
                  <w:pPr>
                    <w:pStyle w:val="135"/>
                    <w:adjustRightInd w:val="0"/>
                    <w:snapToGrid w:val="0"/>
                    <w:rPr>
                      <w:b/>
                      <w:bCs/>
                    </w:rPr>
                  </w:pPr>
                  <w:r>
                    <w:rPr>
                      <w:b/>
                      <w:bCs/>
                      <w:spacing w:val="-1"/>
                    </w:rPr>
                    <w:t>单位</w:t>
                  </w:r>
                </w:p>
              </w:tc>
              <w:tc>
                <w:tcPr>
                  <w:tcW w:w="788" w:type="pct"/>
                  <w:vAlign w:val="center"/>
                </w:tcPr>
                <w:p w14:paraId="3E411D01">
                  <w:pPr>
                    <w:pStyle w:val="135"/>
                    <w:adjustRightInd w:val="0"/>
                    <w:snapToGrid w:val="0"/>
                    <w:rPr>
                      <w:b/>
                      <w:bCs/>
                    </w:rPr>
                  </w:pPr>
                  <w:r>
                    <w:rPr>
                      <w:b/>
                      <w:bCs/>
                    </w:rPr>
                    <w:t>形态</w:t>
                  </w:r>
                </w:p>
              </w:tc>
              <w:tc>
                <w:tcPr>
                  <w:tcW w:w="1012" w:type="pct"/>
                  <w:vAlign w:val="center"/>
                </w:tcPr>
                <w:p w14:paraId="754A8B0F">
                  <w:pPr>
                    <w:pStyle w:val="135"/>
                    <w:adjustRightInd w:val="0"/>
                    <w:snapToGrid w:val="0"/>
                    <w:rPr>
                      <w:b/>
                      <w:bCs/>
                    </w:rPr>
                  </w:pPr>
                  <w:r>
                    <w:rPr>
                      <w:rFonts w:hint="eastAsia"/>
                      <w:b/>
                      <w:bCs/>
                    </w:rPr>
                    <w:t>年耗量</w:t>
                  </w:r>
                </w:p>
              </w:tc>
              <w:tc>
                <w:tcPr>
                  <w:tcW w:w="762" w:type="pct"/>
                  <w:vAlign w:val="center"/>
                </w:tcPr>
                <w:p w14:paraId="2E1093BA">
                  <w:pPr>
                    <w:pStyle w:val="135"/>
                    <w:adjustRightInd w:val="0"/>
                    <w:snapToGrid w:val="0"/>
                    <w:rPr>
                      <w:b/>
                      <w:bCs/>
                    </w:rPr>
                  </w:pPr>
                  <w:r>
                    <w:rPr>
                      <w:rFonts w:hint="eastAsia"/>
                      <w:b/>
                      <w:bCs/>
                    </w:rPr>
                    <w:t>储存位置</w:t>
                  </w:r>
                </w:p>
              </w:tc>
              <w:tc>
                <w:tcPr>
                  <w:tcW w:w="762" w:type="pct"/>
                  <w:vAlign w:val="center"/>
                </w:tcPr>
                <w:p w14:paraId="5CF2DD89">
                  <w:pPr>
                    <w:pStyle w:val="135"/>
                    <w:adjustRightInd w:val="0"/>
                    <w:snapToGrid w:val="0"/>
                    <w:rPr>
                      <w:b/>
                      <w:bCs/>
                    </w:rPr>
                  </w:pPr>
                  <w:r>
                    <w:rPr>
                      <w:rFonts w:hint="eastAsia"/>
                      <w:b/>
                      <w:bCs/>
                    </w:rPr>
                    <w:t>储存量</w:t>
                  </w:r>
                </w:p>
              </w:tc>
            </w:tr>
            <w:tr w14:paraId="2B91E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1" w:type="pct"/>
                  <w:vMerge w:val="restart"/>
                  <w:vAlign w:val="center"/>
                </w:tcPr>
                <w:p w14:paraId="1C6F803B">
                  <w:pPr>
                    <w:pStyle w:val="135"/>
                    <w:adjustRightInd w:val="0"/>
                    <w:snapToGrid w:val="0"/>
                  </w:pPr>
                  <w:r>
                    <w:t>原辅料</w:t>
                  </w:r>
                </w:p>
              </w:tc>
              <w:tc>
                <w:tcPr>
                  <w:tcW w:w="777" w:type="pct"/>
                  <w:vAlign w:val="center"/>
                </w:tcPr>
                <w:p w14:paraId="7C970DC1">
                  <w:pPr>
                    <w:pStyle w:val="135"/>
                    <w:adjustRightInd w:val="0"/>
                    <w:snapToGrid w:val="0"/>
                    <w:rPr>
                      <w:spacing w:val="-1"/>
                    </w:rPr>
                  </w:pPr>
                  <w:r>
                    <w:rPr>
                      <w:spacing w:val="-1"/>
                    </w:rPr>
                    <w:t>石灰</w:t>
                  </w:r>
                </w:p>
              </w:tc>
              <w:tc>
                <w:tcPr>
                  <w:tcW w:w="437" w:type="pct"/>
                  <w:vAlign w:val="center"/>
                </w:tcPr>
                <w:p w14:paraId="49F79967">
                  <w:pPr>
                    <w:pStyle w:val="135"/>
                    <w:adjustRightInd w:val="0"/>
                    <w:snapToGrid w:val="0"/>
                    <w:rPr>
                      <w:spacing w:val="-1"/>
                    </w:rPr>
                  </w:pPr>
                  <w:r>
                    <w:rPr>
                      <w:spacing w:val="-1"/>
                    </w:rPr>
                    <w:t>t/a</w:t>
                  </w:r>
                </w:p>
              </w:tc>
              <w:tc>
                <w:tcPr>
                  <w:tcW w:w="788" w:type="pct"/>
                  <w:vAlign w:val="center"/>
                </w:tcPr>
                <w:p w14:paraId="3AC4DAA9">
                  <w:pPr>
                    <w:pStyle w:val="135"/>
                    <w:adjustRightInd w:val="0"/>
                    <w:snapToGrid w:val="0"/>
                    <w:rPr>
                      <w:spacing w:val="-1"/>
                    </w:rPr>
                  </w:pPr>
                  <w:r>
                    <w:rPr>
                      <w:spacing w:val="-1"/>
                    </w:rPr>
                    <w:t>粉末</w:t>
                  </w:r>
                </w:p>
              </w:tc>
              <w:tc>
                <w:tcPr>
                  <w:tcW w:w="1012" w:type="pct"/>
                  <w:vAlign w:val="center"/>
                </w:tcPr>
                <w:p w14:paraId="4287EDF1">
                  <w:pPr>
                    <w:pStyle w:val="135"/>
                    <w:adjustRightInd w:val="0"/>
                    <w:snapToGrid w:val="0"/>
                  </w:pPr>
                  <w:r>
                    <w:rPr>
                      <w:rFonts w:hint="eastAsia"/>
                    </w:rPr>
                    <w:t>1</w:t>
                  </w:r>
                  <w:r>
                    <w:t>2000</w:t>
                  </w:r>
                </w:p>
              </w:tc>
              <w:tc>
                <w:tcPr>
                  <w:tcW w:w="762" w:type="pct"/>
                  <w:vAlign w:val="center"/>
                </w:tcPr>
                <w:p w14:paraId="1516D9CA">
                  <w:pPr>
                    <w:pStyle w:val="135"/>
                    <w:adjustRightInd w:val="0"/>
                    <w:snapToGrid w:val="0"/>
                  </w:pPr>
                  <w:r>
                    <w:rPr>
                      <w:rFonts w:hint="eastAsia"/>
                    </w:rPr>
                    <w:t>石灰仓</w:t>
                  </w:r>
                </w:p>
              </w:tc>
              <w:tc>
                <w:tcPr>
                  <w:tcW w:w="762" w:type="pct"/>
                  <w:vAlign w:val="center"/>
                </w:tcPr>
                <w:p w14:paraId="17F5AF28">
                  <w:pPr>
                    <w:pStyle w:val="135"/>
                    <w:adjustRightInd w:val="0"/>
                    <w:snapToGrid w:val="0"/>
                  </w:pPr>
                  <w:r>
                    <w:rPr>
                      <w:rFonts w:hint="eastAsia"/>
                    </w:rPr>
                    <w:t>1</w:t>
                  </w:r>
                  <w:r>
                    <w:t>40</w:t>
                  </w:r>
                  <w:r>
                    <w:rPr>
                      <w:rFonts w:hint="eastAsia"/>
                    </w:rPr>
                    <w:t>t</w:t>
                  </w:r>
                </w:p>
              </w:tc>
            </w:tr>
            <w:tr w14:paraId="2E71E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1" w:type="pct"/>
                  <w:vMerge w:val="continue"/>
                  <w:vAlign w:val="center"/>
                </w:tcPr>
                <w:p w14:paraId="1885A4AD">
                  <w:pPr>
                    <w:pStyle w:val="135"/>
                    <w:adjustRightInd w:val="0"/>
                    <w:snapToGrid w:val="0"/>
                  </w:pPr>
                </w:p>
              </w:tc>
              <w:tc>
                <w:tcPr>
                  <w:tcW w:w="777" w:type="pct"/>
                  <w:vAlign w:val="center"/>
                </w:tcPr>
                <w:p w14:paraId="5A0B3525">
                  <w:pPr>
                    <w:pStyle w:val="135"/>
                    <w:adjustRightInd w:val="0"/>
                    <w:snapToGrid w:val="0"/>
                  </w:pPr>
                  <w:r>
                    <w:rPr>
                      <w:rFonts w:hint="eastAsia"/>
                    </w:rPr>
                    <w:t>砂石</w:t>
                  </w:r>
                </w:p>
              </w:tc>
              <w:tc>
                <w:tcPr>
                  <w:tcW w:w="437" w:type="pct"/>
                  <w:vAlign w:val="center"/>
                </w:tcPr>
                <w:p w14:paraId="7B02C466">
                  <w:pPr>
                    <w:pStyle w:val="135"/>
                    <w:adjustRightInd w:val="0"/>
                    <w:snapToGrid w:val="0"/>
                    <w:rPr>
                      <w:rFonts w:eastAsia="Times New Roman"/>
                    </w:rPr>
                  </w:pPr>
                  <w:r>
                    <w:rPr>
                      <w:spacing w:val="-1"/>
                    </w:rPr>
                    <w:t>t/a</w:t>
                  </w:r>
                </w:p>
              </w:tc>
              <w:tc>
                <w:tcPr>
                  <w:tcW w:w="788" w:type="pct"/>
                  <w:vAlign w:val="center"/>
                </w:tcPr>
                <w:p w14:paraId="343575D7">
                  <w:pPr>
                    <w:pStyle w:val="135"/>
                    <w:adjustRightInd w:val="0"/>
                    <w:snapToGrid w:val="0"/>
                  </w:pPr>
                  <w:r>
                    <w:rPr>
                      <w:rFonts w:hint="eastAsia"/>
                      <w:spacing w:val="-1"/>
                    </w:rPr>
                    <w:t>颗粒、块状</w:t>
                  </w:r>
                </w:p>
              </w:tc>
              <w:tc>
                <w:tcPr>
                  <w:tcW w:w="1012" w:type="pct"/>
                  <w:vAlign w:val="center"/>
                </w:tcPr>
                <w:p w14:paraId="6A50AC84">
                  <w:pPr>
                    <w:pStyle w:val="135"/>
                    <w:adjustRightInd w:val="0"/>
                    <w:snapToGrid w:val="0"/>
                  </w:pPr>
                  <w:r>
                    <w:rPr>
                      <w:rFonts w:hint="eastAsia"/>
                    </w:rPr>
                    <w:t>6万</w:t>
                  </w:r>
                </w:p>
              </w:tc>
              <w:tc>
                <w:tcPr>
                  <w:tcW w:w="762" w:type="pct"/>
                  <w:vAlign w:val="center"/>
                </w:tcPr>
                <w:p w14:paraId="31B060B6">
                  <w:pPr>
                    <w:pStyle w:val="135"/>
                    <w:adjustRightInd w:val="0"/>
                    <w:snapToGrid w:val="0"/>
                  </w:pPr>
                  <w:r>
                    <w:rPr>
                      <w:rFonts w:hint="eastAsia"/>
                    </w:rPr>
                    <w:t>原料堆场</w:t>
                  </w:r>
                </w:p>
              </w:tc>
              <w:tc>
                <w:tcPr>
                  <w:tcW w:w="762" w:type="pct"/>
                  <w:vAlign w:val="center"/>
                </w:tcPr>
                <w:p w14:paraId="7C4B9927">
                  <w:pPr>
                    <w:pStyle w:val="135"/>
                    <w:adjustRightInd w:val="0"/>
                    <w:snapToGrid w:val="0"/>
                  </w:pPr>
                  <w:r>
                    <w:rPr>
                      <w:rFonts w:hint="eastAsia"/>
                    </w:rPr>
                    <w:t>5</w:t>
                  </w:r>
                  <w:r>
                    <w:t>000</w:t>
                  </w:r>
                  <w:r>
                    <w:rPr>
                      <w:rFonts w:hint="eastAsia"/>
                    </w:rPr>
                    <w:t>t</w:t>
                  </w:r>
                </w:p>
              </w:tc>
            </w:tr>
            <w:tr w14:paraId="11828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1" w:type="pct"/>
                  <w:vMerge w:val="continue"/>
                  <w:vAlign w:val="center"/>
                </w:tcPr>
                <w:p w14:paraId="639FFBAA">
                  <w:pPr>
                    <w:pStyle w:val="135"/>
                    <w:adjustRightInd w:val="0"/>
                    <w:snapToGrid w:val="0"/>
                  </w:pPr>
                </w:p>
              </w:tc>
              <w:tc>
                <w:tcPr>
                  <w:tcW w:w="777" w:type="pct"/>
                  <w:vAlign w:val="center"/>
                </w:tcPr>
                <w:p w14:paraId="0B8690D6">
                  <w:pPr>
                    <w:pStyle w:val="135"/>
                    <w:adjustRightInd w:val="0"/>
                    <w:snapToGrid w:val="0"/>
                  </w:pPr>
                  <w:r>
                    <w:rPr>
                      <w:spacing w:val="-1"/>
                    </w:rPr>
                    <w:t>水泥</w:t>
                  </w:r>
                </w:p>
              </w:tc>
              <w:tc>
                <w:tcPr>
                  <w:tcW w:w="437" w:type="pct"/>
                  <w:vAlign w:val="center"/>
                </w:tcPr>
                <w:p w14:paraId="446F20AF">
                  <w:pPr>
                    <w:pStyle w:val="135"/>
                    <w:adjustRightInd w:val="0"/>
                    <w:snapToGrid w:val="0"/>
                    <w:rPr>
                      <w:rFonts w:eastAsia="Times New Roman"/>
                    </w:rPr>
                  </w:pPr>
                  <w:r>
                    <w:rPr>
                      <w:spacing w:val="-1"/>
                    </w:rPr>
                    <w:t>t/a</w:t>
                  </w:r>
                </w:p>
              </w:tc>
              <w:tc>
                <w:tcPr>
                  <w:tcW w:w="788" w:type="pct"/>
                  <w:vAlign w:val="center"/>
                </w:tcPr>
                <w:p w14:paraId="7645A33A">
                  <w:pPr>
                    <w:pStyle w:val="135"/>
                    <w:adjustRightInd w:val="0"/>
                    <w:snapToGrid w:val="0"/>
                  </w:pPr>
                  <w:r>
                    <w:rPr>
                      <w:spacing w:val="-1"/>
                    </w:rPr>
                    <w:t>粉末</w:t>
                  </w:r>
                </w:p>
              </w:tc>
              <w:tc>
                <w:tcPr>
                  <w:tcW w:w="1012" w:type="pct"/>
                  <w:vAlign w:val="center"/>
                </w:tcPr>
                <w:p w14:paraId="0AB054DF">
                  <w:pPr>
                    <w:pStyle w:val="135"/>
                    <w:adjustRightInd w:val="0"/>
                    <w:snapToGrid w:val="0"/>
                    <w:rPr>
                      <w:rFonts w:eastAsiaTheme="minorEastAsia"/>
                    </w:rPr>
                  </w:pPr>
                  <w:r>
                    <w:rPr>
                      <w:rFonts w:hint="eastAsia" w:eastAsiaTheme="minorEastAsia"/>
                    </w:rPr>
                    <w:t>1</w:t>
                  </w:r>
                  <w:r>
                    <w:rPr>
                      <w:rFonts w:eastAsiaTheme="minorEastAsia"/>
                    </w:rPr>
                    <w:t>6500</w:t>
                  </w:r>
                </w:p>
              </w:tc>
              <w:tc>
                <w:tcPr>
                  <w:tcW w:w="762" w:type="pct"/>
                  <w:vAlign w:val="center"/>
                </w:tcPr>
                <w:p w14:paraId="46D43606">
                  <w:pPr>
                    <w:pStyle w:val="135"/>
                    <w:adjustRightInd w:val="0"/>
                    <w:snapToGrid w:val="0"/>
                  </w:pPr>
                  <w:r>
                    <w:rPr>
                      <w:rFonts w:hint="eastAsia"/>
                    </w:rPr>
                    <w:t>水泥仓</w:t>
                  </w:r>
                </w:p>
              </w:tc>
              <w:tc>
                <w:tcPr>
                  <w:tcW w:w="762" w:type="pct"/>
                  <w:vAlign w:val="center"/>
                </w:tcPr>
                <w:p w14:paraId="48850797">
                  <w:pPr>
                    <w:pStyle w:val="135"/>
                    <w:adjustRightInd w:val="0"/>
                    <w:snapToGrid w:val="0"/>
                  </w:pPr>
                  <w:r>
                    <w:rPr>
                      <w:rFonts w:hint="eastAsia"/>
                    </w:rPr>
                    <w:t>1</w:t>
                  </w:r>
                  <w:r>
                    <w:t>40</w:t>
                  </w:r>
                  <w:r>
                    <w:rPr>
                      <w:rFonts w:hint="eastAsia"/>
                    </w:rPr>
                    <w:t>t</w:t>
                  </w:r>
                </w:p>
              </w:tc>
            </w:tr>
            <w:tr w14:paraId="7CC03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1" w:type="pct"/>
                  <w:vMerge w:val="continue"/>
                  <w:vAlign w:val="center"/>
                </w:tcPr>
                <w:p w14:paraId="580112C0">
                  <w:pPr>
                    <w:pStyle w:val="135"/>
                    <w:adjustRightInd w:val="0"/>
                    <w:snapToGrid w:val="0"/>
                  </w:pPr>
                </w:p>
              </w:tc>
              <w:tc>
                <w:tcPr>
                  <w:tcW w:w="777" w:type="pct"/>
                  <w:vAlign w:val="center"/>
                </w:tcPr>
                <w:p w14:paraId="3C393AF9">
                  <w:pPr>
                    <w:pStyle w:val="135"/>
                    <w:adjustRightInd w:val="0"/>
                    <w:snapToGrid w:val="0"/>
                  </w:pPr>
                  <w:r>
                    <w:rPr>
                      <w:spacing w:val="-1"/>
                    </w:rPr>
                    <w:t>铝粉</w:t>
                  </w:r>
                </w:p>
              </w:tc>
              <w:tc>
                <w:tcPr>
                  <w:tcW w:w="437" w:type="pct"/>
                  <w:vAlign w:val="center"/>
                </w:tcPr>
                <w:p w14:paraId="7A983985">
                  <w:pPr>
                    <w:pStyle w:val="135"/>
                    <w:adjustRightInd w:val="0"/>
                    <w:snapToGrid w:val="0"/>
                    <w:rPr>
                      <w:rFonts w:eastAsia="Times New Roman"/>
                    </w:rPr>
                  </w:pPr>
                  <w:r>
                    <w:rPr>
                      <w:spacing w:val="-1"/>
                    </w:rPr>
                    <w:t>t/a</w:t>
                  </w:r>
                </w:p>
              </w:tc>
              <w:tc>
                <w:tcPr>
                  <w:tcW w:w="788" w:type="pct"/>
                  <w:vAlign w:val="center"/>
                </w:tcPr>
                <w:p w14:paraId="3CE3A611">
                  <w:pPr>
                    <w:pStyle w:val="135"/>
                    <w:adjustRightInd w:val="0"/>
                    <w:snapToGrid w:val="0"/>
                  </w:pPr>
                  <w:r>
                    <w:rPr>
                      <w:spacing w:val="-1"/>
                    </w:rPr>
                    <w:t>粉末</w:t>
                  </w:r>
                </w:p>
              </w:tc>
              <w:tc>
                <w:tcPr>
                  <w:tcW w:w="1012" w:type="pct"/>
                  <w:vAlign w:val="center"/>
                </w:tcPr>
                <w:p w14:paraId="72E11173">
                  <w:pPr>
                    <w:pStyle w:val="135"/>
                    <w:adjustRightInd w:val="0"/>
                    <w:snapToGrid w:val="0"/>
                    <w:rPr>
                      <w:rFonts w:eastAsiaTheme="minorEastAsia"/>
                    </w:rPr>
                  </w:pPr>
                  <w:r>
                    <w:rPr>
                      <w:rFonts w:hint="eastAsia" w:eastAsiaTheme="minorEastAsia"/>
                    </w:rPr>
                    <w:t>1</w:t>
                  </w:r>
                  <w:r>
                    <w:rPr>
                      <w:rFonts w:eastAsiaTheme="minorEastAsia"/>
                    </w:rPr>
                    <w:t>50</w:t>
                  </w:r>
                </w:p>
              </w:tc>
              <w:tc>
                <w:tcPr>
                  <w:tcW w:w="762" w:type="pct"/>
                  <w:vAlign w:val="center"/>
                </w:tcPr>
                <w:p w14:paraId="09A1932B">
                  <w:pPr>
                    <w:pStyle w:val="135"/>
                    <w:adjustRightInd w:val="0"/>
                    <w:snapToGrid w:val="0"/>
                  </w:pPr>
                  <w:r>
                    <w:rPr>
                      <w:rFonts w:hint="eastAsia"/>
                    </w:rPr>
                    <w:t>桶装</w:t>
                  </w:r>
                </w:p>
              </w:tc>
              <w:tc>
                <w:tcPr>
                  <w:tcW w:w="762" w:type="pct"/>
                  <w:vAlign w:val="center"/>
                </w:tcPr>
                <w:p w14:paraId="1AEC8D87">
                  <w:pPr>
                    <w:pStyle w:val="135"/>
                    <w:adjustRightInd w:val="0"/>
                    <w:snapToGrid w:val="0"/>
                  </w:pPr>
                  <w:r>
                    <w:rPr>
                      <w:rFonts w:hint="eastAsia"/>
                    </w:rPr>
                    <w:t>1</w:t>
                  </w:r>
                  <w:r>
                    <w:t>5</w:t>
                  </w:r>
                </w:p>
              </w:tc>
            </w:tr>
            <w:tr w14:paraId="58390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1" w:type="pct"/>
                  <w:vMerge w:val="continue"/>
                  <w:vAlign w:val="center"/>
                </w:tcPr>
                <w:p w14:paraId="49DEAEFC">
                  <w:pPr>
                    <w:pStyle w:val="135"/>
                    <w:adjustRightInd w:val="0"/>
                    <w:snapToGrid w:val="0"/>
                  </w:pPr>
                </w:p>
              </w:tc>
              <w:tc>
                <w:tcPr>
                  <w:tcW w:w="777" w:type="pct"/>
                  <w:vAlign w:val="center"/>
                </w:tcPr>
                <w:p w14:paraId="7EEBE344">
                  <w:pPr>
                    <w:pStyle w:val="135"/>
                    <w:adjustRightInd w:val="0"/>
                    <w:snapToGrid w:val="0"/>
                    <w:rPr>
                      <w:spacing w:val="-1"/>
                    </w:rPr>
                  </w:pPr>
                  <w:r>
                    <w:rPr>
                      <w:rFonts w:hint="eastAsia"/>
                      <w:spacing w:val="-1"/>
                    </w:rPr>
                    <w:t>脱模剂</w:t>
                  </w:r>
                </w:p>
              </w:tc>
              <w:tc>
                <w:tcPr>
                  <w:tcW w:w="437" w:type="pct"/>
                  <w:vAlign w:val="center"/>
                </w:tcPr>
                <w:p w14:paraId="3A7AB338">
                  <w:pPr>
                    <w:pStyle w:val="135"/>
                    <w:adjustRightInd w:val="0"/>
                    <w:snapToGrid w:val="0"/>
                    <w:rPr>
                      <w:spacing w:val="-1"/>
                    </w:rPr>
                  </w:pPr>
                  <w:r>
                    <w:rPr>
                      <w:rFonts w:hint="eastAsia"/>
                      <w:spacing w:val="-1"/>
                    </w:rPr>
                    <w:t>t</w:t>
                  </w:r>
                  <w:r>
                    <w:rPr>
                      <w:spacing w:val="-1"/>
                    </w:rPr>
                    <w:t>/</w:t>
                  </w:r>
                  <w:r>
                    <w:rPr>
                      <w:rFonts w:hint="eastAsia"/>
                      <w:spacing w:val="-1"/>
                    </w:rPr>
                    <w:t>a</w:t>
                  </w:r>
                </w:p>
              </w:tc>
              <w:tc>
                <w:tcPr>
                  <w:tcW w:w="788" w:type="pct"/>
                  <w:vAlign w:val="center"/>
                </w:tcPr>
                <w:p w14:paraId="103A4D94">
                  <w:pPr>
                    <w:pStyle w:val="135"/>
                    <w:adjustRightInd w:val="0"/>
                    <w:snapToGrid w:val="0"/>
                    <w:rPr>
                      <w:spacing w:val="-1"/>
                    </w:rPr>
                  </w:pPr>
                  <w:r>
                    <w:rPr>
                      <w:rFonts w:hint="eastAsia"/>
                      <w:spacing w:val="-1"/>
                    </w:rPr>
                    <w:t>液体</w:t>
                  </w:r>
                </w:p>
              </w:tc>
              <w:tc>
                <w:tcPr>
                  <w:tcW w:w="1012" w:type="pct"/>
                  <w:vAlign w:val="center"/>
                </w:tcPr>
                <w:p w14:paraId="6087E587">
                  <w:pPr>
                    <w:pStyle w:val="135"/>
                    <w:adjustRightInd w:val="0"/>
                    <w:snapToGrid w:val="0"/>
                    <w:rPr>
                      <w:rFonts w:eastAsiaTheme="minorEastAsia"/>
                    </w:rPr>
                  </w:pPr>
                  <w:r>
                    <w:rPr>
                      <w:rFonts w:hint="eastAsia" w:eastAsiaTheme="minorEastAsia"/>
                    </w:rPr>
                    <w:t>1</w:t>
                  </w:r>
                  <w:r>
                    <w:rPr>
                      <w:rFonts w:eastAsiaTheme="minorEastAsia"/>
                    </w:rPr>
                    <w:t>0</w:t>
                  </w:r>
                </w:p>
              </w:tc>
              <w:tc>
                <w:tcPr>
                  <w:tcW w:w="762" w:type="pct"/>
                  <w:vAlign w:val="center"/>
                </w:tcPr>
                <w:p w14:paraId="5D7AEC65">
                  <w:pPr>
                    <w:pStyle w:val="135"/>
                    <w:adjustRightInd w:val="0"/>
                    <w:snapToGrid w:val="0"/>
                  </w:pPr>
                  <w:r>
                    <w:rPr>
                      <w:rFonts w:hint="eastAsia"/>
                    </w:rPr>
                    <w:t>瓶装</w:t>
                  </w:r>
                </w:p>
              </w:tc>
              <w:tc>
                <w:tcPr>
                  <w:tcW w:w="762" w:type="pct"/>
                  <w:vAlign w:val="center"/>
                </w:tcPr>
                <w:p w14:paraId="4FCBCB09">
                  <w:pPr>
                    <w:pStyle w:val="135"/>
                    <w:adjustRightInd w:val="0"/>
                    <w:snapToGrid w:val="0"/>
                  </w:pPr>
                  <w:r>
                    <w:rPr>
                      <w:rFonts w:hint="eastAsia"/>
                    </w:rPr>
                    <w:t>0</w:t>
                  </w:r>
                  <w:r>
                    <w:t>.5</w:t>
                  </w:r>
                  <w:r>
                    <w:rPr>
                      <w:rFonts w:hint="eastAsia"/>
                    </w:rPr>
                    <w:t>t</w:t>
                  </w:r>
                </w:p>
              </w:tc>
            </w:tr>
            <w:tr w14:paraId="239168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1" w:type="pct"/>
                  <w:vMerge w:val="restart"/>
                  <w:vAlign w:val="center"/>
                </w:tcPr>
                <w:p w14:paraId="5DC878E3">
                  <w:pPr>
                    <w:pStyle w:val="135"/>
                    <w:adjustRightInd w:val="0"/>
                    <w:snapToGrid w:val="0"/>
                  </w:pPr>
                  <w:r>
                    <w:rPr>
                      <w:spacing w:val="-1"/>
                    </w:rPr>
                    <w:t>能源</w:t>
                  </w:r>
                </w:p>
              </w:tc>
              <w:tc>
                <w:tcPr>
                  <w:tcW w:w="777" w:type="pct"/>
                  <w:vAlign w:val="center"/>
                </w:tcPr>
                <w:p w14:paraId="6ED2775A">
                  <w:pPr>
                    <w:pStyle w:val="135"/>
                    <w:adjustRightInd w:val="0"/>
                    <w:snapToGrid w:val="0"/>
                  </w:pPr>
                  <w:r>
                    <w:t>电</w:t>
                  </w:r>
                </w:p>
              </w:tc>
              <w:tc>
                <w:tcPr>
                  <w:tcW w:w="437" w:type="pct"/>
                  <w:vAlign w:val="center"/>
                </w:tcPr>
                <w:p w14:paraId="1B399E33">
                  <w:pPr>
                    <w:pStyle w:val="135"/>
                    <w:adjustRightInd w:val="0"/>
                    <w:snapToGrid w:val="0"/>
                    <w:rPr>
                      <w:rFonts w:eastAsia="Times New Roman"/>
                    </w:rPr>
                  </w:pPr>
                  <w:r>
                    <w:rPr>
                      <w:rFonts w:eastAsia="Times New Roman"/>
                      <w:spacing w:val="-1"/>
                    </w:rPr>
                    <w:t>Kw∙h</w:t>
                  </w:r>
                </w:p>
              </w:tc>
              <w:tc>
                <w:tcPr>
                  <w:tcW w:w="788" w:type="pct"/>
                  <w:vAlign w:val="center"/>
                </w:tcPr>
                <w:p w14:paraId="0C76D097">
                  <w:pPr>
                    <w:pStyle w:val="135"/>
                    <w:adjustRightInd w:val="0"/>
                    <w:snapToGrid w:val="0"/>
                    <w:rPr>
                      <w:rFonts w:eastAsia="Times New Roman"/>
                    </w:rPr>
                  </w:pPr>
                  <w:r>
                    <w:t>/</w:t>
                  </w:r>
                </w:p>
              </w:tc>
              <w:tc>
                <w:tcPr>
                  <w:tcW w:w="1012" w:type="pct"/>
                  <w:vAlign w:val="center"/>
                </w:tcPr>
                <w:p w14:paraId="654C0D8B">
                  <w:pPr>
                    <w:pStyle w:val="135"/>
                    <w:adjustRightInd w:val="0"/>
                    <w:snapToGrid w:val="0"/>
                  </w:pPr>
                  <w:r>
                    <w:rPr>
                      <w:rFonts w:hint="eastAsia"/>
                    </w:rPr>
                    <w:t>1</w:t>
                  </w:r>
                  <w:r>
                    <w:t>00</w:t>
                  </w:r>
                  <w:r>
                    <w:rPr>
                      <w:rFonts w:hint="eastAsia"/>
                    </w:rPr>
                    <w:t>万</w:t>
                  </w:r>
                </w:p>
              </w:tc>
              <w:tc>
                <w:tcPr>
                  <w:tcW w:w="762" w:type="pct"/>
                  <w:vAlign w:val="center"/>
                </w:tcPr>
                <w:p w14:paraId="299DBDA8">
                  <w:pPr>
                    <w:pStyle w:val="135"/>
                    <w:adjustRightInd w:val="0"/>
                    <w:snapToGrid w:val="0"/>
                    <w:rPr>
                      <w:rFonts w:eastAsiaTheme="minorEastAsia"/>
                    </w:rPr>
                  </w:pPr>
                  <w:r>
                    <w:rPr>
                      <w:rFonts w:hint="eastAsia" w:eastAsiaTheme="minorEastAsia"/>
                    </w:rPr>
                    <w:t>/</w:t>
                  </w:r>
                </w:p>
              </w:tc>
              <w:tc>
                <w:tcPr>
                  <w:tcW w:w="762" w:type="pct"/>
                  <w:vAlign w:val="center"/>
                </w:tcPr>
                <w:p w14:paraId="65965B39">
                  <w:pPr>
                    <w:pStyle w:val="135"/>
                    <w:adjustRightInd w:val="0"/>
                    <w:snapToGrid w:val="0"/>
                    <w:rPr>
                      <w:rFonts w:eastAsiaTheme="minorEastAsia"/>
                    </w:rPr>
                  </w:pPr>
                  <w:r>
                    <w:rPr>
                      <w:rFonts w:hint="eastAsia" w:eastAsiaTheme="minorEastAsia"/>
                    </w:rPr>
                    <w:t>/</w:t>
                  </w:r>
                </w:p>
              </w:tc>
            </w:tr>
            <w:tr w14:paraId="5C608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1" w:type="pct"/>
                  <w:vMerge w:val="continue"/>
                  <w:vAlign w:val="center"/>
                </w:tcPr>
                <w:p w14:paraId="1C6B8CA7">
                  <w:pPr>
                    <w:pStyle w:val="135"/>
                    <w:adjustRightInd w:val="0"/>
                    <w:snapToGrid w:val="0"/>
                  </w:pPr>
                </w:p>
              </w:tc>
              <w:tc>
                <w:tcPr>
                  <w:tcW w:w="777" w:type="pct"/>
                  <w:vAlign w:val="center"/>
                </w:tcPr>
                <w:p w14:paraId="64FF976A">
                  <w:pPr>
                    <w:pStyle w:val="135"/>
                    <w:adjustRightInd w:val="0"/>
                    <w:snapToGrid w:val="0"/>
                  </w:pPr>
                  <w:r>
                    <w:t>自来水</w:t>
                  </w:r>
                </w:p>
              </w:tc>
              <w:tc>
                <w:tcPr>
                  <w:tcW w:w="437" w:type="pct"/>
                  <w:vAlign w:val="center"/>
                </w:tcPr>
                <w:p w14:paraId="3C60B8EA">
                  <w:pPr>
                    <w:pStyle w:val="135"/>
                    <w:adjustRightInd w:val="0"/>
                    <w:snapToGrid w:val="0"/>
                    <w:rPr>
                      <w:rFonts w:eastAsia="Times New Roman"/>
                    </w:rPr>
                  </w:pPr>
                  <w:r>
                    <w:t>m³/a</w:t>
                  </w:r>
                </w:p>
              </w:tc>
              <w:tc>
                <w:tcPr>
                  <w:tcW w:w="788" w:type="pct"/>
                  <w:vAlign w:val="center"/>
                </w:tcPr>
                <w:p w14:paraId="65A2C910">
                  <w:pPr>
                    <w:pStyle w:val="135"/>
                    <w:adjustRightInd w:val="0"/>
                    <w:snapToGrid w:val="0"/>
                    <w:rPr>
                      <w:rFonts w:eastAsia="Times New Roman"/>
                    </w:rPr>
                  </w:pPr>
                  <w:r>
                    <w:rPr>
                      <w:rFonts w:hint="eastAsia"/>
                    </w:rPr>
                    <w:t>液态</w:t>
                  </w:r>
                </w:p>
              </w:tc>
              <w:tc>
                <w:tcPr>
                  <w:tcW w:w="1012" w:type="pct"/>
                  <w:vAlign w:val="center"/>
                </w:tcPr>
                <w:p w14:paraId="2A35132E">
                  <w:pPr>
                    <w:pStyle w:val="135"/>
                    <w:adjustRightInd w:val="0"/>
                    <w:snapToGrid w:val="0"/>
                    <w:rPr>
                      <w:rFonts w:eastAsiaTheme="minorEastAsia"/>
                    </w:rPr>
                  </w:pPr>
                  <w:r>
                    <w:rPr>
                      <w:rFonts w:eastAsiaTheme="minorEastAsia"/>
                    </w:rPr>
                    <w:t>33081</w:t>
                  </w:r>
                </w:p>
              </w:tc>
              <w:tc>
                <w:tcPr>
                  <w:tcW w:w="762" w:type="pct"/>
                  <w:vAlign w:val="center"/>
                </w:tcPr>
                <w:p w14:paraId="3FBDE146">
                  <w:pPr>
                    <w:pStyle w:val="135"/>
                    <w:adjustRightInd w:val="0"/>
                    <w:snapToGrid w:val="0"/>
                    <w:rPr>
                      <w:rFonts w:eastAsiaTheme="minorEastAsia"/>
                    </w:rPr>
                  </w:pPr>
                  <w:r>
                    <w:rPr>
                      <w:rFonts w:hint="eastAsia" w:eastAsiaTheme="minorEastAsia"/>
                    </w:rPr>
                    <w:t>/</w:t>
                  </w:r>
                </w:p>
              </w:tc>
              <w:tc>
                <w:tcPr>
                  <w:tcW w:w="762" w:type="pct"/>
                  <w:vAlign w:val="center"/>
                </w:tcPr>
                <w:p w14:paraId="4BBBA856">
                  <w:pPr>
                    <w:pStyle w:val="135"/>
                    <w:adjustRightInd w:val="0"/>
                    <w:snapToGrid w:val="0"/>
                    <w:rPr>
                      <w:rFonts w:eastAsiaTheme="minorEastAsia"/>
                    </w:rPr>
                  </w:pPr>
                  <w:r>
                    <w:rPr>
                      <w:rFonts w:hint="eastAsia" w:eastAsiaTheme="minorEastAsia"/>
                    </w:rPr>
                    <w:t>/</w:t>
                  </w:r>
                </w:p>
              </w:tc>
            </w:tr>
            <w:tr w14:paraId="51BE3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1" w:type="pct"/>
                  <w:vMerge w:val="continue"/>
                  <w:vAlign w:val="center"/>
                </w:tcPr>
                <w:p w14:paraId="7DC76521">
                  <w:pPr>
                    <w:pStyle w:val="135"/>
                    <w:adjustRightInd w:val="0"/>
                    <w:snapToGrid w:val="0"/>
                  </w:pPr>
                </w:p>
              </w:tc>
              <w:tc>
                <w:tcPr>
                  <w:tcW w:w="777" w:type="pct"/>
                  <w:vAlign w:val="center"/>
                </w:tcPr>
                <w:p w14:paraId="657FAC41">
                  <w:pPr>
                    <w:pStyle w:val="135"/>
                    <w:adjustRightInd w:val="0"/>
                    <w:snapToGrid w:val="0"/>
                  </w:pPr>
                  <w:r>
                    <w:t>天然气</w:t>
                  </w:r>
                </w:p>
              </w:tc>
              <w:tc>
                <w:tcPr>
                  <w:tcW w:w="437" w:type="pct"/>
                  <w:vAlign w:val="center"/>
                </w:tcPr>
                <w:p w14:paraId="6E0030D2">
                  <w:pPr>
                    <w:pStyle w:val="135"/>
                    <w:adjustRightInd w:val="0"/>
                    <w:snapToGrid w:val="0"/>
                    <w:rPr>
                      <w:rFonts w:eastAsia="Times New Roman"/>
                    </w:rPr>
                  </w:pPr>
                  <w:r>
                    <w:t>m³/a</w:t>
                  </w:r>
                </w:p>
              </w:tc>
              <w:tc>
                <w:tcPr>
                  <w:tcW w:w="788" w:type="pct"/>
                  <w:vAlign w:val="center"/>
                </w:tcPr>
                <w:p w14:paraId="185DE81F">
                  <w:pPr>
                    <w:pStyle w:val="135"/>
                    <w:adjustRightInd w:val="0"/>
                    <w:snapToGrid w:val="0"/>
                    <w:rPr>
                      <w:rFonts w:eastAsia="Times New Roman"/>
                    </w:rPr>
                  </w:pPr>
                  <w:r>
                    <w:rPr>
                      <w:rFonts w:hint="eastAsia"/>
                    </w:rPr>
                    <w:t>气态</w:t>
                  </w:r>
                </w:p>
              </w:tc>
              <w:tc>
                <w:tcPr>
                  <w:tcW w:w="1012" w:type="pct"/>
                  <w:vAlign w:val="center"/>
                </w:tcPr>
                <w:p w14:paraId="10DCCC18">
                  <w:pPr>
                    <w:pStyle w:val="135"/>
                    <w:adjustRightInd w:val="0"/>
                    <w:snapToGrid w:val="0"/>
                  </w:pPr>
                  <w:r>
                    <w:rPr>
                      <w:rFonts w:hint="eastAsia"/>
                    </w:rPr>
                    <w:t>0</w:t>
                  </w:r>
                </w:p>
              </w:tc>
              <w:tc>
                <w:tcPr>
                  <w:tcW w:w="762" w:type="pct"/>
                  <w:vAlign w:val="center"/>
                </w:tcPr>
                <w:p w14:paraId="015E4762">
                  <w:pPr>
                    <w:pStyle w:val="135"/>
                    <w:adjustRightInd w:val="0"/>
                    <w:snapToGrid w:val="0"/>
                    <w:rPr>
                      <w:rFonts w:eastAsiaTheme="minorEastAsia"/>
                    </w:rPr>
                  </w:pPr>
                  <w:r>
                    <w:rPr>
                      <w:rFonts w:hint="eastAsia" w:eastAsiaTheme="minorEastAsia"/>
                    </w:rPr>
                    <w:t>/</w:t>
                  </w:r>
                </w:p>
              </w:tc>
              <w:tc>
                <w:tcPr>
                  <w:tcW w:w="762" w:type="pct"/>
                  <w:vAlign w:val="center"/>
                </w:tcPr>
                <w:p w14:paraId="1F778110">
                  <w:pPr>
                    <w:pStyle w:val="135"/>
                    <w:adjustRightInd w:val="0"/>
                    <w:snapToGrid w:val="0"/>
                    <w:rPr>
                      <w:rFonts w:eastAsiaTheme="minorEastAsia"/>
                    </w:rPr>
                  </w:pPr>
                  <w:r>
                    <w:rPr>
                      <w:rFonts w:hint="eastAsia" w:eastAsiaTheme="minorEastAsia"/>
                    </w:rPr>
                    <w:t>/</w:t>
                  </w:r>
                </w:p>
              </w:tc>
            </w:tr>
            <w:tr w14:paraId="144329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61" w:type="pct"/>
                  <w:vMerge w:val="continue"/>
                  <w:vAlign w:val="center"/>
                </w:tcPr>
                <w:p w14:paraId="3254F9B6">
                  <w:pPr>
                    <w:pStyle w:val="135"/>
                    <w:adjustRightInd w:val="0"/>
                    <w:snapToGrid w:val="0"/>
                  </w:pPr>
                </w:p>
              </w:tc>
              <w:tc>
                <w:tcPr>
                  <w:tcW w:w="777" w:type="pct"/>
                  <w:vAlign w:val="center"/>
                </w:tcPr>
                <w:p w14:paraId="00FC7724">
                  <w:pPr>
                    <w:pStyle w:val="135"/>
                    <w:adjustRightInd w:val="0"/>
                    <w:snapToGrid w:val="0"/>
                  </w:pPr>
                  <w:r>
                    <w:rPr>
                      <w:rFonts w:hint="eastAsia"/>
                    </w:rPr>
                    <w:t>生物质燃料</w:t>
                  </w:r>
                </w:p>
              </w:tc>
              <w:tc>
                <w:tcPr>
                  <w:tcW w:w="437" w:type="pct"/>
                  <w:vAlign w:val="center"/>
                </w:tcPr>
                <w:p w14:paraId="70734025">
                  <w:pPr>
                    <w:pStyle w:val="135"/>
                    <w:adjustRightInd w:val="0"/>
                    <w:snapToGrid w:val="0"/>
                  </w:pPr>
                  <w:r>
                    <w:rPr>
                      <w:rFonts w:hint="eastAsia"/>
                    </w:rPr>
                    <w:t>t</w:t>
                  </w:r>
                  <w:r>
                    <w:t>/</w:t>
                  </w:r>
                  <w:r>
                    <w:rPr>
                      <w:rFonts w:hint="eastAsia"/>
                    </w:rPr>
                    <w:t>a</w:t>
                  </w:r>
                </w:p>
              </w:tc>
              <w:tc>
                <w:tcPr>
                  <w:tcW w:w="788" w:type="pct"/>
                  <w:vAlign w:val="center"/>
                </w:tcPr>
                <w:p w14:paraId="1070C1C2">
                  <w:pPr>
                    <w:pStyle w:val="135"/>
                    <w:adjustRightInd w:val="0"/>
                    <w:snapToGrid w:val="0"/>
                  </w:pPr>
                  <w:r>
                    <w:rPr>
                      <w:rFonts w:hint="eastAsia"/>
                    </w:rPr>
                    <w:t>固态</w:t>
                  </w:r>
                </w:p>
              </w:tc>
              <w:tc>
                <w:tcPr>
                  <w:tcW w:w="1012" w:type="pct"/>
                  <w:vAlign w:val="center"/>
                </w:tcPr>
                <w:p w14:paraId="534734D0">
                  <w:pPr>
                    <w:pStyle w:val="135"/>
                    <w:adjustRightInd w:val="0"/>
                    <w:snapToGrid w:val="0"/>
                  </w:pPr>
                  <w:r>
                    <w:rPr>
                      <w:rFonts w:hint="eastAsia"/>
                    </w:rPr>
                    <w:t>2</w:t>
                  </w:r>
                  <w:r>
                    <w:t>310</w:t>
                  </w:r>
                </w:p>
              </w:tc>
              <w:tc>
                <w:tcPr>
                  <w:tcW w:w="762" w:type="pct"/>
                  <w:vAlign w:val="center"/>
                </w:tcPr>
                <w:p w14:paraId="41BF7620">
                  <w:pPr>
                    <w:pStyle w:val="135"/>
                    <w:adjustRightInd w:val="0"/>
                    <w:snapToGrid w:val="0"/>
                  </w:pPr>
                  <w:r>
                    <w:rPr>
                      <w:rFonts w:hint="eastAsia"/>
                    </w:rPr>
                    <w:t>锅炉房</w:t>
                  </w:r>
                </w:p>
              </w:tc>
              <w:tc>
                <w:tcPr>
                  <w:tcW w:w="762" w:type="pct"/>
                  <w:vAlign w:val="center"/>
                </w:tcPr>
                <w:p w14:paraId="69238F73">
                  <w:pPr>
                    <w:pStyle w:val="135"/>
                    <w:adjustRightInd w:val="0"/>
                    <w:snapToGrid w:val="0"/>
                    <w:rPr>
                      <w:rFonts w:eastAsiaTheme="minorEastAsia"/>
                    </w:rPr>
                  </w:pPr>
                  <w:r>
                    <w:rPr>
                      <w:rFonts w:hint="eastAsia" w:eastAsiaTheme="minorEastAsia"/>
                    </w:rPr>
                    <w:t>8</w:t>
                  </w:r>
                  <w:r>
                    <w:rPr>
                      <w:rFonts w:eastAsiaTheme="minorEastAsia"/>
                    </w:rPr>
                    <w:t>0</w:t>
                  </w:r>
                  <w:r>
                    <w:rPr>
                      <w:rFonts w:hint="eastAsia" w:eastAsiaTheme="minorEastAsia"/>
                    </w:rPr>
                    <w:t>t</w:t>
                  </w:r>
                </w:p>
              </w:tc>
            </w:tr>
          </w:tbl>
          <w:p w14:paraId="39A37DFD">
            <w:pPr>
              <w:ind w:firstLine="422"/>
            </w:pPr>
            <w:r>
              <w:rPr>
                <w:rFonts w:hint="eastAsia"/>
                <w:b/>
                <w:bCs/>
              </w:rPr>
              <w:t>主要原辅材料成分及特性见下表</w:t>
            </w:r>
            <w:r>
              <w:rPr>
                <w:rFonts w:hint="eastAsia"/>
              </w:rPr>
              <w:t>：</w:t>
            </w:r>
          </w:p>
          <w:p w14:paraId="2BCB43D2">
            <w:pPr>
              <w:ind w:firstLine="420"/>
              <w:rPr>
                <w:bCs/>
              </w:rPr>
            </w:pPr>
            <w:r>
              <w:rPr>
                <w:rFonts w:hint="eastAsia"/>
                <w:bCs/>
              </w:rPr>
              <w:t>石灰：主要成分为氧化钙（化学式：CaO，即生石灰，又称云石），外形为白色（或灰色、棕白），无定形，在空气中吸收水和二氧化碳。氧化钙与水作用生成氢氧化钙，并放出热量。溶于酸水，不溶于醇。系无机碱性物品。生石灰与水会发生化学反应，反应过程会放出热量。本项外购散装石灰粉用于生产，不进行石灰粉球磨加工。</w:t>
            </w:r>
          </w:p>
          <w:p w14:paraId="2972A4D3">
            <w:pPr>
              <w:ind w:firstLine="420"/>
              <w:rPr>
                <w:bCs/>
              </w:rPr>
            </w:pPr>
            <w:r>
              <w:rPr>
                <w:rFonts w:hint="eastAsia"/>
                <w:bCs/>
              </w:rPr>
              <w:t>水泥：本项目使用散装的普通水泥，主要成分名称、化学式依次为硅酸三钙3CaO·SiO</w:t>
            </w:r>
            <w:r>
              <w:rPr>
                <w:rFonts w:hint="eastAsia"/>
                <w:bCs/>
                <w:vertAlign w:val="subscript"/>
              </w:rPr>
              <w:t>2</w:t>
            </w:r>
            <w:r>
              <w:rPr>
                <w:rFonts w:hint="eastAsia"/>
                <w:bCs/>
              </w:rPr>
              <w:t>、硅酸二钙2CaO·SiO</w:t>
            </w:r>
            <w:r>
              <w:rPr>
                <w:rFonts w:hint="eastAsia"/>
                <w:bCs/>
                <w:vertAlign w:val="subscript"/>
              </w:rPr>
              <w:t>2</w:t>
            </w:r>
            <w:r>
              <w:rPr>
                <w:rFonts w:hint="eastAsia"/>
                <w:bCs/>
              </w:rPr>
              <w:t>、铝酸三钙、石膏等成分，其质量要求满足《通用硅酸盐水泥》（08175-2007）标准。</w:t>
            </w:r>
          </w:p>
          <w:p w14:paraId="40D1450E">
            <w:pPr>
              <w:ind w:firstLine="420"/>
              <w:rPr>
                <w:bCs/>
              </w:rPr>
            </w:pPr>
            <w:r>
              <w:rPr>
                <w:rFonts w:hint="eastAsia"/>
                <w:bCs/>
              </w:rPr>
              <w:t>铝粉：俗称“银粉”，即银色的金属颜料，以纯铝箔加入少量润滑剂，经捣击压碎为鳞状粉末，再经抛光而成。铝粉质轻，漂浮力高，遮盖力强，对光和热的反射性能均好。经处理，也可成为非浮型铝粉。铝粉可以用来鉴别指纹，还可以做烟花。铝粉由于用途广、需求量大、品种多，所以是金属颜料中的一大类。无气味。银白色金属粉末，自燃温度：5900℃，粉尘爆炸下限：40mg/m</w:t>
            </w:r>
            <w:r>
              <w:rPr>
                <w:rFonts w:hint="eastAsia"/>
                <w:bCs/>
                <w:vertAlign w:val="superscript"/>
              </w:rPr>
              <w:t>3</w:t>
            </w:r>
            <w:r>
              <w:rPr>
                <w:rFonts w:hint="eastAsia"/>
                <w:bCs/>
              </w:rPr>
              <w:t>，用来制造：油漆、油墨、颜料和焰火，也可用作多孔混凝土的添加剂。</w:t>
            </w:r>
          </w:p>
          <w:p w14:paraId="2054ABF9">
            <w:pPr>
              <w:ind w:firstLine="420"/>
              <w:rPr>
                <w:bCs/>
              </w:rPr>
            </w:pPr>
            <w:r>
              <w:rPr>
                <w:rFonts w:hint="eastAsia"/>
                <w:bCs/>
              </w:rPr>
              <w:t>脱模剂：混凝土脱模剂是指在混凝土浇注前涂抹在施工用模板上的一种物质，以使浇注后模板不致粘在混凝土表面上、不易拆模，或影响混凝土表面的光洁度。其主要作用为在模板与混凝土表面形成一层膜将两者隔离开故又称隔离剂。本项目采用水溶性环保脱模剂，主要成分为脂肪酸皂等表面活性剂和水。根据建设单位提供的脱模剂成分检测报告，脱模剂中不含铅、镉、汞、六价铬、多溴联苯、多溴二苯醚等有毒有害成分。</w:t>
            </w:r>
          </w:p>
          <w:p w14:paraId="631A899B">
            <w:pPr>
              <w:ind w:firstLine="420"/>
              <w:rPr>
                <w:bCs/>
              </w:rPr>
            </w:pPr>
            <w:r>
              <w:rPr>
                <w:rFonts w:hint="eastAsia"/>
                <w:bCs/>
              </w:rPr>
              <w:t>生物质燃料：项目采用生物质成型颗粒燃料，主要采用秸秆、零散木材、枯枝树叶等农林生物质材料制造而成。根据建设单位提供的生物质燃料质量检测报告，本项目拟采用的生物质燃料主要技术参数如下表所示：</w:t>
            </w:r>
          </w:p>
          <w:p w14:paraId="3D76AF25">
            <w:pPr>
              <w:pStyle w:val="156"/>
            </w:pPr>
            <w:r>
              <w:rPr>
                <w:rFonts w:hint="eastAsia"/>
              </w:rPr>
              <w:t>表2</w:t>
            </w:r>
            <w:r>
              <w:t xml:space="preserve">.1-5  </w:t>
            </w:r>
            <w:r>
              <w:rPr>
                <w:rFonts w:hint="eastAsia"/>
              </w:rPr>
              <w:t>生物质颗粒燃料技术参数一览表</w:t>
            </w:r>
          </w:p>
          <w:tbl>
            <w:tblPr>
              <w:tblStyle w:val="19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05"/>
              <w:gridCol w:w="1220"/>
              <w:gridCol w:w="1185"/>
              <w:gridCol w:w="1185"/>
              <w:gridCol w:w="1372"/>
              <w:gridCol w:w="806"/>
              <w:gridCol w:w="946"/>
              <w:gridCol w:w="945"/>
            </w:tblGrid>
            <w:tr w14:paraId="61273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05" w:type="dxa"/>
                  <w:vAlign w:val="center"/>
                </w:tcPr>
                <w:p w14:paraId="6495D8F0">
                  <w:pPr>
                    <w:pStyle w:val="135"/>
                    <w:adjustRightInd w:val="0"/>
                    <w:snapToGrid w:val="0"/>
                    <w:rPr>
                      <w:b/>
                      <w:bCs/>
                    </w:rPr>
                  </w:pPr>
                  <w:r>
                    <w:rPr>
                      <w:rFonts w:hint="eastAsia"/>
                      <w:b/>
                      <w:bCs/>
                    </w:rPr>
                    <w:t>项目</w:t>
                  </w:r>
                </w:p>
              </w:tc>
              <w:tc>
                <w:tcPr>
                  <w:tcW w:w="1220" w:type="dxa"/>
                  <w:vAlign w:val="center"/>
                </w:tcPr>
                <w:p w14:paraId="63B05444">
                  <w:pPr>
                    <w:pStyle w:val="135"/>
                    <w:adjustRightInd w:val="0"/>
                    <w:snapToGrid w:val="0"/>
                    <w:rPr>
                      <w:b/>
                      <w:bCs/>
                    </w:rPr>
                  </w:pPr>
                  <w:r>
                    <w:rPr>
                      <w:rFonts w:hint="eastAsia"/>
                      <w:b/>
                      <w:bCs/>
                    </w:rPr>
                    <w:t>堆积密度（kg</w:t>
                  </w:r>
                  <w:r>
                    <w:rPr>
                      <w:b/>
                      <w:bCs/>
                    </w:rPr>
                    <w:t>/</w:t>
                  </w:r>
                  <w:r>
                    <w:rPr>
                      <w:rFonts w:hint="eastAsia"/>
                      <w:b/>
                      <w:bCs/>
                    </w:rPr>
                    <w:t>m</w:t>
                  </w:r>
                  <w:r>
                    <w:rPr>
                      <w:b/>
                      <w:bCs/>
                      <w:vertAlign w:val="superscript"/>
                    </w:rPr>
                    <w:t>3</w:t>
                  </w:r>
                  <w:r>
                    <w:rPr>
                      <w:rFonts w:hint="eastAsia"/>
                      <w:b/>
                      <w:bCs/>
                    </w:rPr>
                    <w:t>）</w:t>
                  </w:r>
                </w:p>
              </w:tc>
              <w:tc>
                <w:tcPr>
                  <w:tcW w:w="1185" w:type="dxa"/>
                  <w:vAlign w:val="center"/>
                </w:tcPr>
                <w:p w14:paraId="7E9D8FD0">
                  <w:pPr>
                    <w:pStyle w:val="135"/>
                    <w:adjustRightInd w:val="0"/>
                    <w:snapToGrid w:val="0"/>
                    <w:rPr>
                      <w:b/>
                      <w:bCs/>
                    </w:rPr>
                  </w:pPr>
                  <w:r>
                    <w:rPr>
                      <w:rFonts w:hint="eastAsia"/>
                      <w:b/>
                      <w:bCs/>
                    </w:rPr>
                    <w:t>全水分（收到基，%）</w:t>
                  </w:r>
                </w:p>
              </w:tc>
              <w:tc>
                <w:tcPr>
                  <w:tcW w:w="1185" w:type="dxa"/>
                  <w:vAlign w:val="center"/>
                </w:tcPr>
                <w:p w14:paraId="7DA319F7">
                  <w:pPr>
                    <w:pStyle w:val="135"/>
                    <w:adjustRightInd w:val="0"/>
                    <w:snapToGrid w:val="0"/>
                    <w:rPr>
                      <w:b/>
                      <w:bCs/>
                    </w:rPr>
                  </w:pPr>
                  <w:r>
                    <w:rPr>
                      <w:rFonts w:hint="eastAsia"/>
                      <w:b/>
                      <w:bCs/>
                    </w:rPr>
                    <w:t>灰分（干燥基，%）</w:t>
                  </w:r>
                </w:p>
              </w:tc>
              <w:tc>
                <w:tcPr>
                  <w:tcW w:w="1372" w:type="dxa"/>
                  <w:vAlign w:val="center"/>
                </w:tcPr>
                <w:p w14:paraId="75281F39">
                  <w:pPr>
                    <w:pStyle w:val="135"/>
                    <w:adjustRightInd w:val="0"/>
                    <w:snapToGrid w:val="0"/>
                    <w:rPr>
                      <w:b/>
                      <w:bCs/>
                    </w:rPr>
                  </w:pPr>
                  <w:r>
                    <w:rPr>
                      <w:rFonts w:hint="eastAsia"/>
                      <w:b/>
                      <w:bCs/>
                    </w:rPr>
                    <w:t>收到基低位发热量（MJ</w:t>
                  </w:r>
                  <w:r>
                    <w:rPr>
                      <w:b/>
                      <w:bCs/>
                    </w:rPr>
                    <w:t>/</w:t>
                  </w:r>
                  <w:r>
                    <w:rPr>
                      <w:rFonts w:hint="eastAsia"/>
                      <w:b/>
                      <w:bCs/>
                    </w:rPr>
                    <w:t>kg）</w:t>
                  </w:r>
                </w:p>
              </w:tc>
              <w:tc>
                <w:tcPr>
                  <w:tcW w:w="806" w:type="dxa"/>
                  <w:vAlign w:val="center"/>
                </w:tcPr>
                <w:p w14:paraId="1F42CFB6">
                  <w:pPr>
                    <w:pStyle w:val="135"/>
                    <w:adjustRightInd w:val="0"/>
                    <w:snapToGrid w:val="0"/>
                    <w:rPr>
                      <w:b/>
                      <w:bCs/>
                    </w:rPr>
                  </w:pPr>
                  <w:r>
                    <w:rPr>
                      <w:rFonts w:hint="eastAsia"/>
                      <w:b/>
                      <w:bCs/>
                    </w:rPr>
                    <w:t>氮（干基，%）</w:t>
                  </w:r>
                </w:p>
              </w:tc>
              <w:tc>
                <w:tcPr>
                  <w:tcW w:w="946" w:type="dxa"/>
                  <w:vAlign w:val="center"/>
                </w:tcPr>
                <w:p w14:paraId="3CD31F24">
                  <w:pPr>
                    <w:pStyle w:val="135"/>
                    <w:adjustRightInd w:val="0"/>
                    <w:snapToGrid w:val="0"/>
                    <w:rPr>
                      <w:b/>
                      <w:bCs/>
                    </w:rPr>
                  </w:pPr>
                  <w:r>
                    <w:rPr>
                      <w:rFonts w:hint="eastAsia"/>
                      <w:b/>
                      <w:bCs/>
                    </w:rPr>
                    <w:t>硫（干基，%）</w:t>
                  </w:r>
                </w:p>
              </w:tc>
              <w:tc>
                <w:tcPr>
                  <w:tcW w:w="945" w:type="dxa"/>
                  <w:vAlign w:val="center"/>
                </w:tcPr>
                <w:p w14:paraId="040DCF11">
                  <w:pPr>
                    <w:pStyle w:val="135"/>
                    <w:adjustRightInd w:val="0"/>
                    <w:snapToGrid w:val="0"/>
                    <w:rPr>
                      <w:b/>
                      <w:bCs/>
                    </w:rPr>
                  </w:pPr>
                  <w:r>
                    <w:rPr>
                      <w:rFonts w:hint="eastAsia"/>
                      <w:b/>
                      <w:bCs/>
                    </w:rPr>
                    <w:t>氯（干基，%）</w:t>
                  </w:r>
                </w:p>
              </w:tc>
            </w:tr>
            <w:tr w14:paraId="559114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05" w:type="dxa"/>
                  <w:vAlign w:val="center"/>
                </w:tcPr>
                <w:p w14:paraId="37C10B10">
                  <w:pPr>
                    <w:pStyle w:val="135"/>
                    <w:adjustRightInd w:val="0"/>
                    <w:snapToGrid w:val="0"/>
                  </w:pPr>
                  <w:r>
                    <w:rPr>
                      <w:rFonts w:hint="eastAsia"/>
                    </w:rPr>
                    <w:t>技术要求</w:t>
                  </w:r>
                </w:p>
              </w:tc>
              <w:tc>
                <w:tcPr>
                  <w:tcW w:w="1220" w:type="dxa"/>
                  <w:vAlign w:val="center"/>
                </w:tcPr>
                <w:p w14:paraId="03D237E9">
                  <w:pPr>
                    <w:pStyle w:val="135"/>
                    <w:adjustRightInd w:val="0"/>
                    <w:snapToGrid w:val="0"/>
                  </w:pPr>
                  <w:r>
                    <w:rPr>
                      <w:rFonts w:hint="eastAsia"/>
                    </w:rPr>
                    <w:t>≥5</w:t>
                  </w:r>
                  <w:r>
                    <w:t>00</w:t>
                  </w:r>
                </w:p>
              </w:tc>
              <w:tc>
                <w:tcPr>
                  <w:tcW w:w="1185" w:type="dxa"/>
                  <w:vAlign w:val="center"/>
                </w:tcPr>
                <w:p w14:paraId="32B7A9FB">
                  <w:pPr>
                    <w:pStyle w:val="135"/>
                    <w:adjustRightInd w:val="0"/>
                    <w:snapToGrid w:val="0"/>
                  </w:pPr>
                  <w:r>
                    <w:rPr>
                      <w:rFonts w:hint="eastAsia"/>
                    </w:rPr>
                    <w:t>≤1</w:t>
                  </w:r>
                  <w:r>
                    <w:t>5</w:t>
                  </w:r>
                </w:p>
              </w:tc>
              <w:tc>
                <w:tcPr>
                  <w:tcW w:w="1185" w:type="dxa"/>
                  <w:vAlign w:val="center"/>
                </w:tcPr>
                <w:p w14:paraId="4B00CED6">
                  <w:pPr>
                    <w:pStyle w:val="135"/>
                    <w:adjustRightInd w:val="0"/>
                    <w:snapToGrid w:val="0"/>
                  </w:pPr>
                  <w:r>
                    <w:rPr>
                      <w:rFonts w:hint="eastAsia"/>
                    </w:rPr>
                    <w:t>≤1</w:t>
                  </w:r>
                  <w:r>
                    <w:t>2</w:t>
                  </w:r>
                </w:p>
              </w:tc>
              <w:tc>
                <w:tcPr>
                  <w:tcW w:w="1372" w:type="dxa"/>
                  <w:vAlign w:val="center"/>
                </w:tcPr>
                <w:p w14:paraId="790BBA9C">
                  <w:pPr>
                    <w:pStyle w:val="135"/>
                    <w:adjustRightInd w:val="0"/>
                    <w:snapToGrid w:val="0"/>
                  </w:pPr>
                  <w:r>
                    <w:rPr>
                      <w:rFonts w:hint="eastAsia"/>
                    </w:rPr>
                    <w:t>≥1</w:t>
                  </w:r>
                  <w:r>
                    <w:t>2.6</w:t>
                  </w:r>
                </w:p>
              </w:tc>
              <w:tc>
                <w:tcPr>
                  <w:tcW w:w="806" w:type="dxa"/>
                  <w:vAlign w:val="center"/>
                </w:tcPr>
                <w:p w14:paraId="5202EED4">
                  <w:pPr>
                    <w:pStyle w:val="135"/>
                    <w:adjustRightInd w:val="0"/>
                    <w:snapToGrid w:val="0"/>
                  </w:pPr>
                  <w:r>
                    <w:rPr>
                      <w:rFonts w:hint="eastAsia"/>
                    </w:rPr>
                    <w:t>≤2</w:t>
                  </w:r>
                  <w:r>
                    <w:t>.0</w:t>
                  </w:r>
                </w:p>
              </w:tc>
              <w:tc>
                <w:tcPr>
                  <w:tcW w:w="946" w:type="dxa"/>
                  <w:vAlign w:val="center"/>
                </w:tcPr>
                <w:p w14:paraId="65B0D14B">
                  <w:pPr>
                    <w:pStyle w:val="135"/>
                    <w:adjustRightInd w:val="0"/>
                    <w:snapToGrid w:val="0"/>
                  </w:pPr>
                  <w:r>
                    <w:rPr>
                      <w:rFonts w:hint="eastAsia"/>
                    </w:rPr>
                    <w:t>≤0</w:t>
                  </w:r>
                  <w:r>
                    <w:t>.2</w:t>
                  </w:r>
                </w:p>
              </w:tc>
              <w:tc>
                <w:tcPr>
                  <w:tcW w:w="945" w:type="dxa"/>
                  <w:vAlign w:val="center"/>
                </w:tcPr>
                <w:p w14:paraId="02C2F8B8">
                  <w:pPr>
                    <w:pStyle w:val="135"/>
                    <w:adjustRightInd w:val="0"/>
                    <w:snapToGrid w:val="0"/>
                  </w:pPr>
                  <w:r>
                    <w:rPr>
                      <w:rFonts w:hint="eastAsia"/>
                    </w:rPr>
                    <w:t>≤0</w:t>
                  </w:r>
                  <w:r>
                    <w:t>.3</w:t>
                  </w:r>
                </w:p>
              </w:tc>
            </w:tr>
            <w:tr w14:paraId="1534BE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05" w:type="dxa"/>
                  <w:vAlign w:val="center"/>
                </w:tcPr>
                <w:p w14:paraId="10BE0206">
                  <w:pPr>
                    <w:pStyle w:val="135"/>
                    <w:adjustRightInd w:val="0"/>
                    <w:snapToGrid w:val="0"/>
                  </w:pPr>
                  <w:r>
                    <w:rPr>
                      <w:rFonts w:hint="eastAsia"/>
                    </w:rPr>
                    <w:t>检测值</w:t>
                  </w:r>
                </w:p>
              </w:tc>
              <w:tc>
                <w:tcPr>
                  <w:tcW w:w="1220" w:type="dxa"/>
                  <w:vAlign w:val="center"/>
                </w:tcPr>
                <w:p w14:paraId="646068DC">
                  <w:pPr>
                    <w:pStyle w:val="135"/>
                    <w:adjustRightInd w:val="0"/>
                    <w:snapToGrid w:val="0"/>
                  </w:pPr>
                  <w:r>
                    <w:rPr>
                      <w:rFonts w:hint="eastAsia"/>
                    </w:rPr>
                    <w:t>5</w:t>
                  </w:r>
                  <w:r>
                    <w:t>98.5</w:t>
                  </w:r>
                </w:p>
              </w:tc>
              <w:tc>
                <w:tcPr>
                  <w:tcW w:w="1185" w:type="dxa"/>
                  <w:vAlign w:val="center"/>
                </w:tcPr>
                <w:p w14:paraId="61A3A11A">
                  <w:pPr>
                    <w:pStyle w:val="135"/>
                    <w:adjustRightInd w:val="0"/>
                    <w:snapToGrid w:val="0"/>
                  </w:pPr>
                  <w:r>
                    <w:rPr>
                      <w:rFonts w:hint="eastAsia"/>
                    </w:rPr>
                    <w:t>6</w:t>
                  </w:r>
                  <w:r>
                    <w:t>.74</w:t>
                  </w:r>
                </w:p>
              </w:tc>
              <w:tc>
                <w:tcPr>
                  <w:tcW w:w="1185" w:type="dxa"/>
                  <w:vAlign w:val="center"/>
                </w:tcPr>
                <w:p w14:paraId="5D6852D6">
                  <w:pPr>
                    <w:pStyle w:val="135"/>
                    <w:adjustRightInd w:val="0"/>
                    <w:snapToGrid w:val="0"/>
                  </w:pPr>
                  <w:r>
                    <w:rPr>
                      <w:rFonts w:hint="eastAsia"/>
                    </w:rPr>
                    <w:t>2</w:t>
                  </w:r>
                  <w:r>
                    <w:t>.2</w:t>
                  </w:r>
                </w:p>
              </w:tc>
              <w:tc>
                <w:tcPr>
                  <w:tcW w:w="1372" w:type="dxa"/>
                  <w:vAlign w:val="center"/>
                </w:tcPr>
                <w:p w14:paraId="063EC745">
                  <w:pPr>
                    <w:pStyle w:val="135"/>
                    <w:adjustRightInd w:val="0"/>
                    <w:snapToGrid w:val="0"/>
                  </w:pPr>
                  <w:r>
                    <w:rPr>
                      <w:rFonts w:hint="eastAsia"/>
                    </w:rPr>
                    <w:t>1</w:t>
                  </w:r>
                  <w:r>
                    <w:t>5.61</w:t>
                  </w:r>
                </w:p>
              </w:tc>
              <w:tc>
                <w:tcPr>
                  <w:tcW w:w="806" w:type="dxa"/>
                  <w:vAlign w:val="center"/>
                </w:tcPr>
                <w:p w14:paraId="316F4848">
                  <w:pPr>
                    <w:pStyle w:val="135"/>
                    <w:adjustRightInd w:val="0"/>
                    <w:snapToGrid w:val="0"/>
                  </w:pPr>
                  <w:r>
                    <w:rPr>
                      <w:rFonts w:hint="eastAsia"/>
                    </w:rPr>
                    <w:t>0</w:t>
                  </w:r>
                  <w:r>
                    <w:t>.39</w:t>
                  </w:r>
                </w:p>
              </w:tc>
              <w:tc>
                <w:tcPr>
                  <w:tcW w:w="946" w:type="dxa"/>
                  <w:vAlign w:val="center"/>
                </w:tcPr>
                <w:p w14:paraId="59471B8C">
                  <w:pPr>
                    <w:pStyle w:val="135"/>
                    <w:adjustRightInd w:val="0"/>
                    <w:snapToGrid w:val="0"/>
                  </w:pPr>
                  <w:r>
                    <w:rPr>
                      <w:rFonts w:hint="eastAsia"/>
                    </w:rPr>
                    <w:t>0</w:t>
                  </w:r>
                  <w:r>
                    <w:t>.03</w:t>
                  </w:r>
                </w:p>
              </w:tc>
              <w:tc>
                <w:tcPr>
                  <w:tcW w:w="945" w:type="dxa"/>
                  <w:vAlign w:val="center"/>
                </w:tcPr>
                <w:p w14:paraId="14D5BDCA">
                  <w:pPr>
                    <w:pStyle w:val="135"/>
                    <w:adjustRightInd w:val="0"/>
                    <w:snapToGrid w:val="0"/>
                  </w:pPr>
                  <w:r>
                    <w:rPr>
                      <w:rFonts w:hint="eastAsia"/>
                    </w:rPr>
                    <w:t>0</w:t>
                  </w:r>
                  <w:r>
                    <w:t>.133</w:t>
                  </w:r>
                </w:p>
              </w:tc>
            </w:tr>
          </w:tbl>
          <w:p w14:paraId="1127F60A">
            <w:pPr>
              <w:ind w:firstLine="422"/>
              <w:rPr>
                <w:b/>
                <w:bCs/>
              </w:rPr>
            </w:pPr>
            <w:r>
              <w:rPr>
                <w:rFonts w:hint="eastAsia"/>
                <w:b/>
                <w:bCs/>
              </w:rPr>
              <w:t>生物质燃料消耗计算：</w:t>
            </w:r>
          </w:p>
          <w:p w14:paraId="7A918774">
            <w:pPr>
              <w:ind w:firstLine="420"/>
            </w:pPr>
            <w:r>
              <w:rPr>
                <w:rFonts w:hint="eastAsia"/>
              </w:rPr>
              <w:t>根据《大气环境工程工程师实用手册》（王玉彬主编，中国环境科学出版社，2003 年10 月），锅炉燃料耗量与锅炉的蒸发量（或热负荷）、热效率、燃料的发热量等因素有关。对于产生饱和蒸汽的锅炉，可采用下式计算：</w:t>
            </w:r>
          </w:p>
          <w:p w14:paraId="06313ED6">
            <w:pPr>
              <w:ind w:firstLine="420"/>
            </w:pPr>
            <m:oMathPara>
              <m:oMath>
                <m:r>
                  <m:rPr/>
                  <w:rPr>
                    <w:rFonts w:hint="eastAsia" w:ascii="Cambria Math" w:hAnsi="Cambria Math"/>
                  </w:rPr>
                  <m:t>B</m:t>
                </m:r>
                <m:r>
                  <m:rPr/>
                  <w:rPr>
                    <w:rFonts w:ascii="Cambria Math" w:hAnsi="Cambria Math"/>
                  </w:rPr>
                  <m:t>=</m:t>
                </m:r>
                <m:f>
                  <m:fPr>
                    <m:ctrlPr>
                      <w:rPr>
                        <w:rFonts w:ascii="Cambria Math" w:hAnsi="Cambria Math"/>
                        <w:i/>
                      </w:rPr>
                    </m:ctrlPr>
                  </m:fPr>
                  <m:num>
                    <m:r>
                      <m:rPr/>
                      <w:rPr>
                        <w:rFonts w:hint="eastAsia" w:ascii="Cambria Math" w:hAnsi="Cambria Math"/>
                      </w:rPr>
                      <m:t>D（</m:t>
                    </m:r>
                    <m:sSup>
                      <m:sSupPr>
                        <m:ctrlPr>
                          <w:rPr>
                            <w:rFonts w:ascii="Cambria Math" w:hAnsi="Cambria Math"/>
                            <w:i/>
                          </w:rPr>
                        </m:ctrlPr>
                      </m:sSupPr>
                      <m:e>
                        <m:r>
                          <m:rPr/>
                          <w:rPr>
                            <w:rFonts w:hint="eastAsia" w:ascii="Cambria Math" w:hAnsi="Cambria Math"/>
                          </w:rPr>
                          <m:t>i</m:t>
                        </m:r>
                        <m:ctrlPr>
                          <w:rPr>
                            <w:rFonts w:ascii="Cambria Math" w:hAnsi="Cambria Math"/>
                            <w:i/>
                          </w:rPr>
                        </m:ctrlPr>
                      </m:e>
                      <m:sup>
                        <m:r>
                          <m:rPr/>
                          <w:rPr>
                            <w:rFonts w:ascii="Cambria Math" w:hAnsi="Cambria Math"/>
                          </w:rPr>
                          <m:t>'</m:t>
                        </m:r>
                        <m:ctrlPr>
                          <w:rPr>
                            <w:rFonts w:ascii="Cambria Math" w:hAnsi="Cambria Math"/>
                            <w:i/>
                          </w:rPr>
                        </m:ctrlPr>
                      </m:sup>
                    </m:sSup>
                    <m:r>
                      <m:rPr/>
                      <w:rPr>
                        <w:rFonts w:ascii="Cambria Math" w:hAnsi="Cambria Math"/>
                      </w:rPr>
                      <m:t>−i''</m:t>
                    </m:r>
                    <m:r>
                      <m:rPr/>
                      <w:rPr>
                        <w:rFonts w:hint="eastAsia" w:ascii="Cambria Math" w:hAnsi="Cambria Math"/>
                      </w:rPr>
                      <m:t>）</m:t>
                    </m:r>
                    <m:ctrlPr>
                      <w:rPr>
                        <w:rFonts w:ascii="Cambria Math" w:hAnsi="Cambria Math"/>
                        <w:i/>
                      </w:rPr>
                    </m:ctrlPr>
                  </m:num>
                  <m:den>
                    <m:sSub>
                      <m:sSubPr>
                        <m:ctrlPr>
                          <w:rPr>
                            <w:rFonts w:ascii="Cambria Math" w:hAnsi="Cambria Math"/>
                            <w:i/>
                          </w:rPr>
                        </m:ctrlPr>
                      </m:sSubPr>
                      <m:e>
                        <m:r>
                          <m:rPr/>
                          <w:rPr>
                            <w:rFonts w:ascii="Cambria Math" w:hAnsi="Cambria Math"/>
                          </w:rPr>
                          <m:t>Q</m:t>
                        </m:r>
                        <m:ctrlPr>
                          <w:rPr>
                            <w:rFonts w:ascii="Cambria Math" w:hAnsi="Cambria Math"/>
                            <w:i/>
                          </w:rPr>
                        </m:ctrlPr>
                      </m:e>
                      <m:sub>
                        <m:r>
                          <m:rPr/>
                          <w:rPr>
                            <w:rFonts w:ascii="Cambria Math" w:hAnsi="Cambria Math"/>
                          </w:rPr>
                          <m:t>L</m:t>
                        </m:r>
                        <m:ctrlPr>
                          <w:rPr>
                            <w:rFonts w:ascii="Cambria Math" w:hAnsi="Cambria Math"/>
                            <w:i/>
                          </w:rPr>
                        </m:ctrlPr>
                      </m:sub>
                    </m:sSub>
                    <m:r>
                      <m:rPr/>
                      <w:rPr>
                        <w:rFonts w:ascii="Cambria Math" w:hAnsi="Cambria Math"/>
                      </w:rPr>
                      <m:t>n</m:t>
                    </m:r>
                    <m:ctrlPr>
                      <w:rPr>
                        <w:rFonts w:ascii="Cambria Math" w:hAnsi="Cambria Math"/>
                        <w:i/>
                      </w:rPr>
                    </m:ctrlPr>
                  </m:den>
                </m:f>
              </m:oMath>
            </m:oMathPara>
          </w:p>
          <w:p w14:paraId="10C36E93">
            <w:pPr>
              <w:ind w:firstLine="420"/>
            </w:pPr>
            <w:r>
              <w:rPr>
                <w:rFonts w:hint="eastAsia"/>
              </w:rPr>
              <w:t>式中：B-锅炉的燃料耗量（kg/h）；</w:t>
            </w:r>
          </w:p>
          <w:p w14:paraId="09520E16">
            <w:pPr>
              <w:ind w:left="594" w:leftChars="283" w:firstLine="420"/>
            </w:pPr>
            <w:r>
              <w:rPr>
                <w:rFonts w:hint="eastAsia"/>
              </w:rPr>
              <w:t>D</w:t>
            </w:r>
            <w:r>
              <w:t>-</w:t>
            </w:r>
            <w:r>
              <w:rPr>
                <w:rFonts w:hint="eastAsia"/>
              </w:rPr>
              <w:t>锅炉每小时的产汽量（kg</w:t>
            </w:r>
            <w:r>
              <w:t>/</w:t>
            </w:r>
            <w:r>
              <w:rPr>
                <w:rFonts w:hint="eastAsia"/>
              </w:rPr>
              <w:t>h），1</w:t>
            </w:r>
            <w:r>
              <w:t>0000</w:t>
            </w:r>
            <w:r>
              <w:rPr>
                <w:rFonts w:hint="eastAsia"/>
              </w:rPr>
              <w:t>kg</w:t>
            </w:r>
            <w:r>
              <w:t>/</w:t>
            </w:r>
            <w:r>
              <w:rPr>
                <w:rFonts w:hint="eastAsia"/>
              </w:rPr>
              <w:t>h；</w:t>
            </w:r>
          </w:p>
          <w:p w14:paraId="1B36BA95">
            <w:pPr>
              <w:ind w:left="594" w:leftChars="283" w:firstLine="420"/>
            </w:pPr>
            <w:r>
              <w:rPr>
                <w:rFonts w:hint="eastAsia"/>
              </w:rPr>
              <w:t>Q</w:t>
            </w:r>
            <w:r>
              <w:rPr>
                <w:rFonts w:hint="eastAsia"/>
                <w:vertAlign w:val="subscript"/>
              </w:rPr>
              <w:t>L</w:t>
            </w:r>
            <w:r>
              <w:t>-</w:t>
            </w:r>
            <w:r>
              <w:rPr>
                <w:rFonts w:hint="eastAsia"/>
              </w:rPr>
              <w:t>燃料的低位发热量（kJ</w:t>
            </w:r>
            <w:r>
              <w:t>/</w:t>
            </w:r>
            <w:r>
              <w:rPr>
                <w:rFonts w:hint="eastAsia"/>
              </w:rPr>
              <w:t>kg），1</w:t>
            </w:r>
            <w:r>
              <w:t>5.61×10</w:t>
            </w:r>
            <w:r>
              <w:rPr>
                <w:vertAlign w:val="superscript"/>
              </w:rPr>
              <w:t>3</w:t>
            </w:r>
            <w:r>
              <w:rPr>
                <w:rFonts w:hint="eastAsia"/>
              </w:rPr>
              <w:t xml:space="preserve"> kJ</w:t>
            </w:r>
            <w:r>
              <w:t>/</w:t>
            </w:r>
            <w:r>
              <w:rPr>
                <w:rFonts w:hint="eastAsia"/>
              </w:rPr>
              <w:t>kg；</w:t>
            </w:r>
          </w:p>
          <w:p w14:paraId="266E7801">
            <w:pPr>
              <w:ind w:left="594" w:leftChars="283" w:firstLine="420"/>
            </w:pPr>
            <w:r>
              <w:rPr>
                <w:rFonts w:hint="eastAsia"/>
              </w:rPr>
              <w:t>n</w:t>
            </w:r>
            <w:r>
              <w:t>-</w:t>
            </w:r>
            <w:r>
              <w:rPr>
                <w:rFonts w:hint="eastAsia"/>
              </w:rPr>
              <w:t>锅炉的热效率（%），取8</w:t>
            </w:r>
            <w:r>
              <w:t>8%</w:t>
            </w:r>
            <w:r>
              <w:rPr>
                <w:rFonts w:hint="eastAsia"/>
              </w:rPr>
              <w:t>；</w:t>
            </w:r>
          </w:p>
          <w:p w14:paraId="1F73F445">
            <w:pPr>
              <w:ind w:left="594" w:leftChars="283" w:firstLine="420"/>
            </w:pPr>
            <w:r>
              <w:t>i’</w:t>
            </w:r>
            <w:r>
              <w:rPr>
                <w:rFonts w:hint="eastAsia"/>
              </w:rPr>
              <w:t>-锅炉在某绝对工作压力下的饱和蒸汽热焓值（kJ/kg），项目的蒸汽热焓值取</w:t>
            </w:r>
            <w:r>
              <w:t>272.2</w:t>
            </w:r>
            <w:r>
              <w:rPr>
                <w:rFonts w:hint="eastAsia"/>
              </w:rPr>
              <w:t>kJ/kg；</w:t>
            </w:r>
          </w:p>
          <w:p w14:paraId="26C98D07">
            <w:pPr>
              <w:ind w:left="594" w:leftChars="283" w:firstLine="420"/>
            </w:pPr>
            <w:r>
              <w:t>i’’</w:t>
            </w:r>
            <w:r>
              <w:rPr>
                <w:rFonts w:hint="eastAsia"/>
              </w:rPr>
              <w:t>-锅炉给水热焓值（kJ/kg），项目给水焓值取</w:t>
            </w:r>
            <w:r>
              <w:t>148.07</w:t>
            </w:r>
            <w:r>
              <w:rPr>
                <w:rFonts w:hint="eastAsia"/>
              </w:rPr>
              <w:t>kJ/kg。</w:t>
            </w:r>
          </w:p>
          <w:p w14:paraId="2DC69F1F">
            <w:pPr>
              <w:ind w:firstLine="420"/>
            </w:pPr>
            <w:r>
              <w:rPr>
                <w:rFonts w:hint="eastAsia"/>
              </w:rPr>
              <w:t>结合建设单位提供的燃料质量检测报告，根据上式计算可知，本项目锅炉燃料消耗量为1</w:t>
            </w:r>
            <w:r>
              <w:t>925</w:t>
            </w:r>
            <w:r>
              <w:rPr>
                <w:rFonts w:hint="eastAsia"/>
              </w:rPr>
              <w:t>kg</w:t>
            </w:r>
            <w:r>
              <w:t>/</w:t>
            </w:r>
            <w:r>
              <w:rPr>
                <w:rFonts w:hint="eastAsia"/>
              </w:rPr>
              <w:t>h。</w:t>
            </w:r>
          </w:p>
          <w:p w14:paraId="6A5DD265">
            <w:pPr>
              <w:pStyle w:val="157"/>
            </w:pPr>
            <w:r>
              <w:rPr>
                <w:rFonts w:hint="eastAsia"/>
              </w:rPr>
              <w:t>8</w:t>
            </w:r>
            <w:r>
              <w:t>、平面布置</w:t>
            </w:r>
          </w:p>
          <w:p w14:paraId="067B728A">
            <w:pPr>
              <w:ind w:firstLine="420"/>
            </w:pPr>
            <w:r>
              <w:rPr>
                <w:rFonts w:hint="eastAsia"/>
              </w:rPr>
              <w:t>本项目在购置现有厂房进行建设，厂区平面布置分两个区域分别为生产区和办公生活区。项目生活办公区位于项目北侧和西侧，远离生产区产噪设备，减小生产区噪声对生活区的影响；</w:t>
            </w:r>
          </w:p>
          <w:p w14:paraId="31E882A9">
            <w:pPr>
              <w:ind w:firstLine="420"/>
            </w:pPr>
            <w:r>
              <w:rPr>
                <w:rFonts w:hint="eastAsia"/>
              </w:rPr>
              <w:t>项目生产区位于地块中部，原料堆场和成品堆场位于厂区西北侧，与中部生产车间相邻布置，满足生产工艺流程需要；主要生产车间内各设备成流线型环形布置，方便生产。</w:t>
            </w:r>
          </w:p>
          <w:p w14:paraId="26C34CBB">
            <w:pPr>
              <w:pStyle w:val="157"/>
            </w:pPr>
            <w:r>
              <w:rPr>
                <w:rFonts w:hint="eastAsia"/>
              </w:rPr>
              <w:t>9</w:t>
            </w:r>
            <w:r>
              <w:t>、项目的基础条件及基础设施情况</w:t>
            </w:r>
          </w:p>
          <w:p w14:paraId="4FB0D4E8">
            <w:pPr>
              <w:ind w:firstLine="420"/>
            </w:pPr>
            <w:r>
              <w:t>（1）给水</w:t>
            </w:r>
          </w:p>
          <w:p w14:paraId="6B957F42">
            <w:pPr>
              <w:ind w:firstLine="420"/>
            </w:pPr>
            <w:r>
              <w:rPr>
                <w:rFonts w:hint="eastAsia"/>
              </w:rPr>
              <w:t>①生活用水</w:t>
            </w:r>
          </w:p>
          <w:p w14:paraId="42224DC1">
            <w:pPr>
              <w:ind w:firstLine="420"/>
            </w:pPr>
            <w:r>
              <w:rPr>
                <w:rFonts w:hint="eastAsia"/>
              </w:rPr>
              <w:t>本项目劳动定员</w:t>
            </w:r>
            <w:r>
              <w:t>15</w:t>
            </w:r>
            <w:r>
              <w:rPr>
                <w:rFonts w:hint="eastAsia"/>
              </w:rPr>
              <w:t>人，年工作3</w:t>
            </w:r>
            <w:r>
              <w:t>00</w:t>
            </w:r>
            <w:r>
              <w:rPr>
                <w:rFonts w:hint="eastAsia"/>
              </w:rPr>
              <w:t>天，每天工作1班（8小时）。根据《四川省用水定额》并参考《建筑给水排水设计标准》（GB</w:t>
            </w:r>
            <w:r>
              <w:t xml:space="preserve"> 50015-2019</w:t>
            </w:r>
            <w:r>
              <w:rPr>
                <w:rFonts w:hint="eastAsia"/>
              </w:rPr>
              <w:t>），员工生活用水量按</w:t>
            </w:r>
            <w:r>
              <w:t>120</w:t>
            </w:r>
            <w:r>
              <w:rPr>
                <w:rFonts w:hint="eastAsia"/>
              </w:rPr>
              <w:t>L</w:t>
            </w:r>
            <w:r>
              <w:t>/</w:t>
            </w:r>
            <w:r>
              <w:rPr>
                <w:rFonts w:hint="eastAsia"/>
              </w:rPr>
              <w:t>人·班计算，则员工生活用水量为</w:t>
            </w:r>
            <w:r>
              <w:t>1.8</w:t>
            </w:r>
            <w:r>
              <w:rPr>
                <w:rFonts w:hint="eastAsia"/>
              </w:rPr>
              <w:t>m</w:t>
            </w:r>
            <w:r>
              <w:rPr>
                <w:vertAlign w:val="superscript"/>
              </w:rPr>
              <w:t>3</w:t>
            </w:r>
            <w:r>
              <w:t>/</w:t>
            </w:r>
            <w:r>
              <w:rPr>
                <w:rFonts w:hint="eastAsia"/>
              </w:rPr>
              <w:t>d。</w:t>
            </w:r>
          </w:p>
          <w:p w14:paraId="05324123">
            <w:pPr>
              <w:ind w:firstLine="420"/>
            </w:pPr>
            <w:r>
              <w:rPr>
                <w:rFonts w:hint="eastAsia"/>
              </w:rPr>
              <w:t>②生产用水</w:t>
            </w:r>
          </w:p>
          <w:p w14:paraId="5EDF85DB">
            <w:pPr>
              <w:ind w:firstLine="422"/>
            </w:pPr>
            <w:r>
              <w:rPr>
                <w:rFonts w:hint="eastAsia"/>
                <w:b/>
                <w:bCs/>
              </w:rPr>
              <w:t>球磨用水</w:t>
            </w:r>
            <w:r>
              <w:rPr>
                <w:rFonts w:hint="eastAsia"/>
              </w:rPr>
              <w:t>：砂石球磨磨浆工序用水约0.18m</w:t>
            </w:r>
            <w:r>
              <w:rPr>
                <w:rFonts w:hint="eastAsia"/>
                <w:vertAlign w:val="superscript"/>
              </w:rPr>
              <w:t>3</w:t>
            </w:r>
            <w:r>
              <w:rPr>
                <w:rFonts w:hint="eastAsia"/>
              </w:rPr>
              <w:t>/每方混凝土砌块，项目年产</w:t>
            </w:r>
            <w:r>
              <w:t>15</w:t>
            </w:r>
            <w:r>
              <w:rPr>
                <w:rFonts w:hint="eastAsia"/>
              </w:rPr>
              <w:t>万方混凝土砌块，则磨浆用水约</w:t>
            </w:r>
            <w:r>
              <w:t>9</w:t>
            </w:r>
            <w:r>
              <w:rPr>
                <w:rFonts w:hint="eastAsia"/>
              </w:rPr>
              <w:t>0m</w:t>
            </w:r>
            <w:r>
              <w:rPr>
                <w:rFonts w:hint="eastAsia"/>
                <w:vertAlign w:val="superscript"/>
              </w:rPr>
              <w:t>3</w:t>
            </w:r>
            <w:r>
              <w:rPr>
                <w:rFonts w:hint="eastAsia"/>
              </w:rPr>
              <w:t>/d。</w:t>
            </w:r>
          </w:p>
          <w:p w14:paraId="22700189">
            <w:pPr>
              <w:ind w:firstLine="422"/>
            </w:pPr>
            <w:r>
              <w:rPr>
                <w:rFonts w:hint="eastAsia"/>
                <w:b/>
                <w:bCs/>
              </w:rPr>
              <w:t>设备冲洗用水</w:t>
            </w:r>
            <w:r>
              <w:rPr>
                <w:rFonts w:hint="eastAsia"/>
              </w:rPr>
              <w:t>：搅拌机、切割机等设备需要进行冲洗，用水量约为1</w:t>
            </w:r>
            <w:r>
              <w:t>.1</w:t>
            </w:r>
            <w:r>
              <w:rPr>
                <w:rFonts w:hint="eastAsia"/>
              </w:rPr>
              <w:t>m</w:t>
            </w:r>
            <w:r>
              <w:rPr>
                <w:vertAlign w:val="superscript"/>
              </w:rPr>
              <w:t>3</w:t>
            </w:r>
            <w:r>
              <w:t>/</w:t>
            </w:r>
            <w:r>
              <w:rPr>
                <w:rFonts w:hint="eastAsia"/>
              </w:rPr>
              <w:t>d。</w:t>
            </w:r>
          </w:p>
          <w:p w14:paraId="2B87A1A9">
            <w:pPr>
              <w:ind w:firstLine="422"/>
              <w:rPr>
                <w:bCs/>
              </w:rPr>
            </w:pPr>
            <w:r>
              <w:rPr>
                <w:rFonts w:hint="eastAsia"/>
                <w:b/>
                <w:bCs/>
              </w:rPr>
              <w:t>车辆冲洗用水</w:t>
            </w:r>
            <w:r>
              <w:rPr>
                <w:rFonts w:hint="eastAsia"/>
              </w:rPr>
              <w:t>：本项目设置一套车辆冲洗装置</w:t>
            </w:r>
            <w:r>
              <w:rPr>
                <w:bCs/>
              </w:rPr>
              <w:t>，对驶</w:t>
            </w:r>
            <w:r>
              <w:rPr>
                <w:rFonts w:hint="eastAsia"/>
                <w:bCs/>
              </w:rPr>
              <w:t>入</w:t>
            </w:r>
            <w:r>
              <w:rPr>
                <w:bCs/>
              </w:rPr>
              <w:t>场地的车辆轮胎、车身进行清理。</w:t>
            </w:r>
            <w:r>
              <w:rPr>
                <w:rFonts w:hint="eastAsia"/>
                <w:bCs/>
              </w:rPr>
              <w:t>本项目运输车次为</w:t>
            </w:r>
            <w:r>
              <w:rPr>
                <w:bCs/>
              </w:rPr>
              <w:t>12</w:t>
            </w:r>
            <w:r>
              <w:rPr>
                <w:rFonts w:hint="eastAsia"/>
                <w:bCs/>
              </w:rPr>
              <w:t>车/d</w:t>
            </w:r>
            <w:r>
              <w:rPr>
                <w:bCs/>
              </w:rPr>
              <w:t>。清洗用水量约为0.2m</w:t>
            </w:r>
            <w:r>
              <w:rPr>
                <w:bCs/>
                <w:vertAlign w:val="superscript"/>
              </w:rPr>
              <w:t>3</w:t>
            </w:r>
            <w:r>
              <w:rPr>
                <w:bCs/>
              </w:rPr>
              <w:t>/辆·次，则用水量为2.4m</w:t>
            </w:r>
            <w:r>
              <w:rPr>
                <w:bCs/>
                <w:vertAlign w:val="superscript"/>
              </w:rPr>
              <w:t>3</w:t>
            </w:r>
            <w:r>
              <w:rPr>
                <w:bCs/>
              </w:rPr>
              <w:t>/d。</w:t>
            </w:r>
          </w:p>
          <w:p w14:paraId="7796325A">
            <w:pPr>
              <w:ind w:firstLine="422"/>
              <w:rPr>
                <w:bCs/>
              </w:rPr>
            </w:pPr>
            <w:r>
              <w:rPr>
                <w:rFonts w:hint="eastAsia"/>
                <w:b/>
              </w:rPr>
              <w:t>地面降尘用水</w:t>
            </w:r>
            <w:r>
              <w:rPr>
                <w:rFonts w:hint="eastAsia"/>
                <w:bCs/>
              </w:rPr>
              <w:t>：本项目厂区硬化地面面积约</w:t>
            </w:r>
            <w:r>
              <w:rPr>
                <w:bCs/>
              </w:rPr>
              <w:t>6000</w:t>
            </w:r>
            <w:r>
              <w:rPr>
                <w:rFonts w:hint="eastAsia"/>
                <w:bCs/>
              </w:rPr>
              <w:t>m</w:t>
            </w:r>
            <w:r>
              <w:rPr>
                <w:bCs/>
                <w:vertAlign w:val="superscript"/>
              </w:rPr>
              <w:t>2</w:t>
            </w:r>
            <w:r>
              <w:rPr>
                <w:rFonts w:hint="eastAsia"/>
                <w:bCs/>
              </w:rPr>
              <w:t>，地面采用洒水的方式进行降尘，参考《建筑给水排水设计标准》（GB</w:t>
            </w:r>
            <w:r>
              <w:rPr>
                <w:bCs/>
              </w:rPr>
              <w:t xml:space="preserve"> 50015-2019</w:t>
            </w:r>
            <w:r>
              <w:rPr>
                <w:rFonts w:hint="eastAsia"/>
                <w:bCs/>
              </w:rPr>
              <w:t>），用水量按0</w:t>
            </w:r>
            <w:r>
              <w:rPr>
                <w:bCs/>
              </w:rPr>
              <w:t>.5</w:t>
            </w:r>
            <w:r>
              <w:rPr>
                <w:rFonts w:hint="eastAsia"/>
                <w:bCs/>
              </w:rPr>
              <w:t>L</w:t>
            </w:r>
            <w:r>
              <w:rPr>
                <w:bCs/>
              </w:rPr>
              <w:t>/</w:t>
            </w:r>
            <w:r>
              <w:rPr>
                <w:rFonts w:hint="eastAsia"/>
                <w:bCs/>
              </w:rPr>
              <w:t>m</w:t>
            </w:r>
            <w:r>
              <w:rPr>
                <w:bCs/>
                <w:vertAlign w:val="superscript"/>
              </w:rPr>
              <w:t>2</w:t>
            </w:r>
            <w:r>
              <w:rPr>
                <w:rFonts w:hint="eastAsia"/>
                <w:bCs/>
              </w:rPr>
              <w:t>计算，则地面降尘用水量为</w:t>
            </w:r>
            <w:r>
              <w:rPr>
                <w:bCs/>
              </w:rPr>
              <w:t>3</w:t>
            </w:r>
            <w:r>
              <w:rPr>
                <w:rFonts w:hint="eastAsia"/>
                <w:bCs/>
              </w:rPr>
              <w:t>m</w:t>
            </w:r>
            <w:r>
              <w:rPr>
                <w:bCs/>
                <w:vertAlign w:val="superscript"/>
              </w:rPr>
              <w:t>3</w:t>
            </w:r>
            <w:r>
              <w:rPr>
                <w:bCs/>
              </w:rPr>
              <w:t>/</w:t>
            </w:r>
            <w:r>
              <w:rPr>
                <w:rFonts w:hint="eastAsia"/>
                <w:bCs/>
              </w:rPr>
              <w:t>d。</w:t>
            </w:r>
          </w:p>
          <w:p w14:paraId="63BD3025">
            <w:pPr>
              <w:ind w:firstLine="422"/>
              <w:rPr>
                <w:bCs/>
              </w:rPr>
            </w:pPr>
            <w:r>
              <w:rPr>
                <w:rFonts w:hint="eastAsia"/>
                <w:b/>
              </w:rPr>
              <w:t>锅炉用水</w:t>
            </w:r>
            <w:r>
              <w:rPr>
                <w:rFonts w:hint="eastAsia"/>
                <w:bCs/>
              </w:rPr>
              <w:t>：锅炉用水约0.</w:t>
            </w:r>
            <w:r>
              <w:rPr>
                <w:bCs/>
              </w:rPr>
              <w:t>08</w:t>
            </w:r>
            <w:r>
              <w:rPr>
                <w:rFonts w:hint="eastAsia"/>
                <w:bCs/>
              </w:rPr>
              <w:t>m</w:t>
            </w:r>
            <w:r>
              <w:rPr>
                <w:rFonts w:hint="eastAsia"/>
                <w:bCs/>
                <w:vertAlign w:val="superscript"/>
              </w:rPr>
              <w:t>3</w:t>
            </w:r>
            <w:r>
              <w:rPr>
                <w:rFonts w:hint="eastAsia"/>
                <w:bCs/>
              </w:rPr>
              <w:t>/每方混凝土，则锅炉用水量约</w:t>
            </w:r>
            <w:r>
              <w:rPr>
                <w:bCs/>
              </w:rPr>
              <w:t>40</w:t>
            </w:r>
            <w:r>
              <w:rPr>
                <w:rFonts w:hint="eastAsia"/>
                <w:bCs/>
              </w:rPr>
              <w:t>m</w:t>
            </w:r>
            <w:r>
              <w:rPr>
                <w:rFonts w:hint="eastAsia"/>
                <w:bCs/>
                <w:vertAlign w:val="superscript"/>
              </w:rPr>
              <w:t>3</w:t>
            </w:r>
            <w:r>
              <w:rPr>
                <w:rFonts w:hint="eastAsia"/>
                <w:bCs/>
              </w:rPr>
              <w:t>/d。</w:t>
            </w:r>
          </w:p>
          <w:p w14:paraId="5BB607D2">
            <w:pPr>
              <w:pStyle w:val="192"/>
              <w:ind w:firstLine="422"/>
              <w:rPr>
                <w:color w:val="auto"/>
              </w:rPr>
            </w:pPr>
            <w:r>
              <w:rPr>
                <w:rFonts w:hint="eastAsia"/>
                <w:b/>
                <w:color w:val="auto"/>
              </w:rPr>
              <w:t>水膜除尘用水</w:t>
            </w:r>
            <w:r>
              <w:rPr>
                <w:rFonts w:hint="eastAsia"/>
                <w:color w:val="auto"/>
              </w:rPr>
              <w:t>：本项目锅炉废气设计排放量为1</w:t>
            </w:r>
            <w:r>
              <w:rPr>
                <w:color w:val="auto"/>
              </w:rPr>
              <w:t>3212</w:t>
            </w:r>
            <w:r>
              <w:rPr>
                <w:rFonts w:hint="eastAsia"/>
                <w:color w:val="auto"/>
              </w:rPr>
              <w:t>m</w:t>
            </w:r>
            <w:r>
              <w:rPr>
                <w:color w:val="auto"/>
                <w:vertAlign w:val="superscript"/>
              </w:rPr>
              <w:t>3</w:t>
            </w:r>
            <w:r>
              <w:rPr>
                <w:color w:val="auto"/>
              </w:rPr>
              <w:t>/</w:t>
            </w:r>
            <w:r>
              <w:rPr>
                <w:rFonts w:hint="eastAsia"/>
                <w:color w:val="auto"/>
              </w:rPr>
              <w:t>h，参考《环境保护产品技术要求 工业粉尘湿式除尘装置》（HJ</w:t>
            </w:r>
            <w:r>
              <w:rPr>
                <w:color w:val="auto"/>
              </w:rPr>
              <w:t>/</w:t>
            </w:r>
            <w:r>
              <w:rPr>
                <w:rFonts w:hint="eastAsia"/>
                <w:color w:val="auto"/>
              </w:rPr>
              <w:t>T</w:t>
            </w:r>
            <w:r>
              <w:rPr>
                <w:color w:val="auto"/>
              </w:rPr>
              <w:t xml:space="preserve"> 285-2006</w:t>
            </w:r>
            <w:r>
              <w:rPr>
                <w:rFonts w:hint="eastAsia"/>
                <w:color w:val="auto"/>
              </w:rPr>
              <w:t>），本次环评中水膜除尘器气液比取1</w:t>
            </w:r>
            <w:r>
              <w:rPr>
                <w:color w:val="auto"/>
              </w:rPr>
              <w:t>.5</w:t>
            </w:r>
            <w:r>
              <w:rPr>
                <w:rFonts w:hint="eastAsia"/>
                <w:color w:val="auto"/>
              </w:rPr>
              <w:t>L</w:t>
            </w:r>
            <w:r>
              <w:rPr>
                <w:color w:val="auto"/>
              </w:rPr>
              <w:t>/</w:t>
            </w:r>
            <w:r>
              <w:rPr>
                <w:rFonts w:hint="eastAsia"/>
                <w:color w:val="auto"/>
              </w:rPr>
              <w:t>m</w:t>
            </w:r>
            <w:r>
              <w:rPr>
                <w:color w:val="auto"/>
                <w:vertAlign w:val="superscript"/>
              </w:rPr>
              <w:t>3</w:t>
            </w:r>
            <w:r>
              <w:rPr>
                <w:rFonts w:hint="eastAsia"/>
                <w:color w:val="auto"/>
              </w:rPr>
              <w:t>，则水膜除尘循环水量为1</w:t>
            </w:r>
            <w:r>
              <w:rPr>
                <w:color w:val="auto"/>
              </w:rPr>
              <w:t>9.82</w:t>
            </w:r>
            <w:r>
              <w:rPr>
                <w:rFonts w:hint="eastAsia"/>
                <w:color w:val="auto"/>
              </w:rPr>
              <w:t>m</w:t>
            </w:r>
            <w:r>
              <w:rPr>
                <w:color w:val="auto"/>
                <w:vertAlign w:val="superscript"/>
              </w:rPr>
              <w:t>3</w:t>
            </w:r>
            <w:r>
              <w:rPr>
                <w:color w:val="auto"/>
              </w:rPr>
              <w:t>/</w:t>
            </w:r>
            <w:r>
              <w:rPr>
                <w:rFonts w:hint="eastAsia"/>
                <w:color w:val="auto"/>
              </w:rPr>
              <w:t>h。水膜除尘器补水量按循环水量的1</w:t>
            </w:r>
            <w:r>
              <w:rPr>
                <w:color w:val="auto"/>
              </w:rPr>
              <w:t>%</w:t>
            </w:r>
            <w:r>
              <w:rPr>
                <w:rFonts w:hint="eastAsia"/>
                <w:color w:val="auto"/>
              </w:rPr>
              <w:t>计，则本项目水膜除尘补水量为0</w:t>
            </w:r>
            <w:r>
              <w:rPr>
                <w:color w:val="auto"/>
              </w:rPr>
              <w:t>.79</w:t>
            </w:r>
            <w:r>
              <w:rPr>
                <w:rFonts w:hint="eastAsia"/>
                <w:color w:val="auto"/>
              </w:rPr>
              <w:t>m</w:t>
            </w:r>
            <w:r>
              <w:rPr>
                <w:color w:val="auto"/>
                <w:vertAlign w:val="superscript"/>
              </w:rPr>
              <w:t>3</w:t>
            </w:r>
            <w:r>
              <w:rPr>
                <w:color w:val="auto"/>
              </w:rPr>
              <w:t>/</w:t>
            </w:r>
            <w:r>
              <w:rPr>
                <w:rFonts w:hint="eastAsia"/>
                <w:color w:val="auto"/>
              </w:rPr>
              <w:t>d。其中蒸发损失量按0</w:t>
            </w:r>
            <w:r>
              <w:rPr>
                <w:color w:val="auto"/>
              </w:rPr>
              <w:t>.9</w:t>
            </w:r>
            <w:r>
              <w:rPr>
                <w:rFonts w:hint="eastAsia"/>
                <w:color w:val="auto"/>
              </w:rPr>
              <w:t>计，废水排污量按0</w:t>
            </w:r>
            <w:r>
              <w:rPr>
                <w:color w:val="auto"/>
              </w:rPr>
              <w:t>.1</w:t>
            </w:r>
            <w:r>
              <w:rPr>
                <w:rFonts w:hint="eastAsia"/>
                <w:color w:val="auto"/>
              </w:rPr>
              <w:t>计，则水膜除尘废水排放量为0</w:t>
            </w:r>
            <w:r>
              <w:rPr>
                <w:color w:val="auto"/>
              </w:rPr>
              <w:t>.08</w:t>
            </w:r>
            <w:r>
              <w:rPr>
                <w:rFonts w:hint="eastAsia"/>
                <w:color w:val="auto"/>
              </w:rPr>
              <w:t>m</w:t>
            </w:r>
            <w:r>
              <w:rPr>
                <w:color w:val="auto"/>
                <w:vertAlign w:val="superscript"/>
              </w:rPr>
              <w:t>3</w:t>
            </w:r>
            <w:r>
              <w:rPr>
                <w:color w:val="auto"/>
              </w:rPr>
              <w:t>/</w:t>
            </w:r>
            <w:r>
              <w:rPr>
                <w:rFonts w:hint="eastAsia"/>
                <w:color w:val="auto"/>
              </w:rPr>
              <w:t>d。</w:t>
            </w:r>
          </w:p>
          <w:p w14:paraId="3F7D20DA">
            <w:pPr>
              <w:ind w:firstLine="420"/>
            </w:pPr>
            <w:r>
              <w:t>（2）排水</w:t>
            </w:r>
          </w:p>
          <w:p w14:paraId="5A5EEE44">
            <w:pPr>
              <w:ind w:firstLine="420"/>
            </w:pPr>
            <w:r>
              <w:rPr>
                <w:rFonts w:hint="eastAsia"/>
              </w:rPr>
              <w:t>①生活污水</w:t>
            </w:r>
          </w:p>
          <w:p w14:paraId="20914F66">
            <w:pPr>
              <w:ind w:firstLine="420"/>
            </w:pPr>
            <w:r>
              <w:rPr>
                <w:rFonts w:hint="eastAsia"/>
              </w:rPr>
              <w:t>项目员工生活用水量为</w:t>
            </w:r>
            <w:r>
              <w:t>1.8</w:t>
            </w:r>
            <w:r>
              <w:rPr>
                <w:rFonts w:hint="eastAsia"/>
              </w:rPr>
              <w:t>m</w:t>
            </w:r>
            <w:r>
              <w:rPr>
                <w:vertAlign w:val="superscript"/>
              </w:rPr>
              <w:t>3</w:t>
            </w:r>
            <w:r>
              <w:t>/</w:t>
            </w:r>
            <w:r>
              <w:rPr>
                <w:rFonts w:hint="eastAsia"/>
              </w:rPr>
              <w:t>d，产污系数按0</w:t>
            </w:r>
            <w:r>
              <w:t>.8</w:t>
            </w:r>
            <w:r>
              <w:rPr>
                <w:rFonts w:hint="eastAsia"/>
              </w:rPr>
              <w:t>计算，生活污水产生量为</w:t>
            </w:r>
            <w:r>
              <w:t>1.44</w:t>
            </w:r>
            <w:r>
              <w:rPr>
                <w:rFonts w:hint="eastAsia"/>
              </w:rPr>
              <w:t>m</w:t>
            </w:r>
            <w:r>
              <w:rPr>
                <w:vertAlign w:val="superscript"/>
              </w:rPr>
              <w:t>3</w:t>
            </w:r>
            <w:r>
              <w:t>/</w:t>
            </w:r>
            <w:r>
              <w:rPr>
                <w:rFonts w:hint="eastAsia"/>
              </w:rPr>
              <w:t>d，生活污水经化粪池处理后，定期委托第三方单位清运处理，待后期园区污水管网建成后，通过污水管网排入巴中经开区污水处理厂处理。</w:t>
            </w:r>
          </w:p>
          <w:p w14:paraId="58C05057">
            <w:pPr>
              <w:ind w:firstLine="420"/>
            </w:pPr>
            <w:r>
              <w:rPr>
                <w:rFonts w:hint="eastAsia"/>
              </w:rPr>
              <w:t>②生产废水</w:t>
            </w:r>
          </w:p>
          <w:p w14:paraId="4AE8D21E">
            <w:pPr>
              <w:ind w:firstLine="422"/>
            </w:pPr>
            <w:r>
              <w:rPr>
                <w:rFonts w:hint="eastAsia"/>
                <w:b/>
                <w:bCs/>
              </w:rPr>
              <w:t>设备冲洗废水</w:t>
            </w:r>
            <w:r>
              <w:rPr>
                <w:rFonts w:hint="eastAsia"/>
              </w:rPr>
              <w:t>：设备冲洗废水产生量按用水量的8</w:t>
            </w:r>
            <w:r>
              <w:t>0%</w:t>
            </w:r>
            <w:r>
              <w:rPr>
                <w:rFonts w:hint="eastAsia"/>
              </w:rPr>
              <w:t>计算，废水产生量为0</w:t>
            </w:r>
            <w:r>
              <w:t>.88</w:t>
            </w:r>
            <w:r>
              <w:rPr>
                <w:rFonts w:hint="eastAsia"/>
              </w:rPr>
              <w:t>m</w:t>
            </w:r>
            <w:r>
              <w:rPr>
                <w:vertAlign w:val="superscript"/>
              </w:rPr>
              <w:t>3</w:t>
            </w:r>
            <w:r>
              <w:t>/</w:t>
            </w:r>
            <w:r>
              <w:rPr>
                <w:rFonts w:hint="eastAsia"/>
              </w:rPr>
              <w:t>d，排入废浆池均质后回用作为球磨用水。</w:t>
            </w:r>
          </w:p>
          <w:p w14:paraId="23083DFD">
            <w:pPr>
              <w:ind w:firstLine="422"/>
            </w:pPr>
            <w:r>
              <w:rPr>
                <w:rFonts w:hint="eastAsia"/>
                <w:b/>
                <w:bCs/>
              </w:rPr>
              <w:t>车辆冲洗废水</w:t>
            </w:r>
            <w:r>
              <w:rPr>
                <w:rFonts w:hint="eastAsia"/>
              </w:rPr>
              <w:t>：车辆冲洗废水产生量按用水量的8</w:t>
            </w:r>
            <w:r>
              <w:t>0%</w:t>
            </w:r>
            <w:r>
              <w:rPr>
                <w:rFonts w:hint="eastAsia"/>
              </w:rPr>
              <w:t>计算，废水产生量为1</w:t>
            </w:r>
            <w:r>
              <w:t>.92</w:t>
            </w:r>
            <w:r>
              <w:rPr>
                <w:rFonts w:hint="eastAsia"/>
              </w:rPr>
              <w:t>m</w:t>
            </w:r>
            <w:r>
              <w:rPr>
                <w:vertAlign w:val="superscript"/>
              </w:rPr>
              <w:t>3</w:t>
            </w:r>
            <w:r>
              <w:t>/</w:t>
            </w:r>
            <w:r>
              <w:rPr>
                <w:rFonts w:hint="eastAsia"/>
              </w:rPr>
              <w:t>d，排入废浆池均质后回用作为球磨用水。</w:t>
            </w:r>
          </w:p>
          <w:p w14:paraId="778605F5">
            <w:pPr>
              <w:ind w:firstLine="422"/>
            </w:pPr>
            <w:r>
              <w:rPr>
                <w:rFonts w:hint="eastAsia"/>
                <w:b/>
                <w:bCs/>
              </w:rPr>
              <w:t>锅炉排污水</w:t>
            </w:r>
            <w:r>
              <w:rPr>
                <w:rFonts w:hint="eastAsia"/>
              </w:rPr>
              <w:t>：根据《排放源统计调查产排污核算方法和系数手册-</w:t>
            </w:r>
            <w:r>
              <w:t>4430</w:t>
            </w:r>
            <w:r>
              <w:rPr>
                <w:rFonts w:hint="eastAsia"/>
              </w:rPr>
              <w:t>工业锅炉（热力供应）行业系数手册》，生物质燃料锅炉（锅炉内水处理）排污水产污系数为0</w:t>
            </w:r>
            <w:r>
              <w:t>.259</w:t>
            </w:r>
            <w:r>
              <w:rPr>
                <w:rFonts w:hint="eastAsia"/>
              </w:rPr>
              <w:t>吨/吨-原料。根据前文计算可知，本项目锅炉燃料使用量为1</w:t>
            </w:r>
            <w:r>
              <w:t>.925</w:t>
            </w:r>
            <w:r>
              <w:rPr>
                <w:rFonts w:hint="eastAsia"/>
              </w:rPr>
              <w:t>t</w:t>
            </w:r>
            <w:r>
              <w:t>/</w:t>
            </w:r>
            <w:r>
              <w:rPr>
                <w:rFonts w:hint="eastAsia"/>
              </w:rPr>
              <w:t>h</w:t>
            </w:r>
            <w:r>
              <w:t>×4</w:t>
            </w:r>
            <w:r>
              <w:rPr>
                <w:rFonts w:hint="eastAsia"/>
              </w:rPr>
              <w:t>h</w:t>
            </w:r>
            <w:r>
              <w:t>/</w:t>
            </w:r>
            <w:r>
              <w:rPr>
                <w:rFonts w:hint="eastAsia"/>
              </w:rPr>
              <w:t>d</w:t>
            </w:r>
            <w:r>
              <w:t>=7.7</w:t>
            </w:r>
            <w:r>
              <w:rPr>
                <w:rFonts w:hint="eastAsia"/>
              </w:rPr>
              <w:t>t</w:t>
            </w:r>
            <w:r>
              <w:t>/</w:t>
            </w:r>
            <w:r>
              <w:rPr>
                <w:rFonts w:hint="eastAsia"/>
              </w:rPr>
              <w:t>d。则锅炉排污水产生量约为2m</w:t>
            </w:r>
            <w:r>
              <w:rPr>
                <w:vertAlign w:val="superscript"/>
              </w:rPr>
              <w:t>3</w:t>
            </w:r>
            <w:r>
              <w:t>/</w:t>
            </w:r>
            <w:r>
              <w:rPr>
                <w:rFonts w:hint="eastAsia"/>
              </w:rPr>
              <w:t>d。锅炉排污水排入集水池用于球磨工序。</w:t>
            </w:r>
          </w:p>
          <w:p w14:paraId="7FBB229E">
            <w:pPr>
              <w:ind w:firstLine="422"/>
              <w:rPr>
                <w:bCs/>
              </w:rPr>
            </w:pPr>
            <w:r>
              <w:rPr>
                <w:rFonts w:hint="eastAsia"/>
                <w:b/>
                <w:bCs/>
              </w:rPr>
              <w:t>蒸压釜蒸汽冷凝水</w:t>
            </w:r>
            <w:r>
              <w:rPr>
                <w:rFonts w:hint="eastAsia"/>
              </w:rPr>
              <w:t>：</w:t>
            </w:r>
            <w:r>
              <w:rPr>
                <w:rFonts w:hint="eastAsia"/>
                <w:bCs/>
              </w:rPr>
              <w:t>锅炉用水量约</w:t>
            </w:r>
            <w:r>
              <w:rPr>
                <w:bCs/>
              </w:rPr>
              <w:t>40</w:t>
            </w:r>
            <w:r>
              <w:rPr>
                <w:rFonts w:hint="eastAsia"/>
                <w:bCs/>
              </w:rPr>
              <w:t>m</w:t>
            </w:r>
            <w:r>
              <w:rPr>
                <w:rFonts w:hint="eastAsia"/>
                <w:bCs/>
                <w:vertAlign w:val="superscript"/>
              </w:rPr>
              <w:t>3</w:t>
            </w:r>
            <w:r>
              <w:rPr>
                <w:rFonts w:hint="eastAsia"/>
                <w:bCs/>
              </w:rPr>
              <w:t>/d，其中约30%在蒸压釜内损耗，剩余7</w:t>
            </w:r>
            <w:r>
              <w:rPr>
                <w:bCs/>
              </w:rPr>
              <w:t>0%</w:t>
            </w:r>
            <w:r>
              <w:rPr>
                <w:rFonts w:hint="eastAsia"/>
                <w:bCs/>
              </w:rPr>
              <w:t>在开盖时排放，蒸汽排放量为2</w:t>
            </w:r>
            <w:r>
              <w:rPr>
                <w:bCs/>
              </w:rPr>
              <w:t>8</w:t>
            </w:r>
            <w:r>
              <w:rPr>
                <w:rFonts w:hint="eastAsia"/>
                <w:bCs/>
              </w:rPr>
              <w:t>m</w:t>
            </w:r>
            <w:r>
              <w:rPr>
                <w:rFonts w:hint="eastAsia"/>
                <w:bCs/>
                <w:vertAlign w:val="superscript"/>
              </w:rPr>
              <w:t>3</w:t>
            </w:r>
            <w:r>
              <w:rPr>
                <w:rFonts w:hint="eastAsia"/>
                <w:bCs/>
              </w:rPr>
              <w:t>/d。项目拟设置1套蒸汽回收装置，蒸汽收集效率为95%，冷凝效率为90%，则蒸压釜冷凝水产生量为</w:t>
            </w:r>
            <w:r>
              <w:rPr>
                <w:bCs/>
              </w:rPr>
              <w:t>23.94</w:t>
            </w:r>
            <w:r>
              <w:rPr>
                <w:rFonts w:hint="eastAsia"/>
                <w:bCs/>
              </w:rPr>
              <w:t>m</w:t>
            </w:r>
            <w:r>
              <w:rPr>
                <w:rFonts w:hint="eastAsia"/>
                <w:bCs/>
                <w:vertAlign w:val="superscript"/>
              </w:rPr>
              <w:t>3</w:t>
            </w:r>
            <w:r>
              <w:rPr>
                <w:rFonts w:hint="eastAsia"/>
                <w:bCs/>
              </w:rPr>
              <w:t>/d。蒸汽冷凝水排入集水池回用于球磨工序。</w:t>
            </w:r>
          </w:p>
          <w:p w14:paraId="5956A858">
            <w:pPr>
              <w:pStyle w:val="192"/>
              <w:ind w:firstLine="422"/>
              <w:rPr>
                <w:color w:val="auto"/>
              </w:rPr>
            </w:pPr>
            <w:r>
              <w:rPr>
                <w:rFonts w:hint="eastAsia"/>
                <w:b/>
                <w:bCs/>
                <w:color w:val="auto"/>
              </w:rPr>
              <w:t>水膜除尘废水</w:t>
            </w:r>
            <w:r>
              <w:rPr>
                <w:rFonts w:hint="eastAsia"/>
                <w:color w:val="auto"/>
              </w:rPr>
              <w:t>：本项目水膜除尘器循环水量为1</w:t>
            </w:r>
            <w:r>
              <w:rPr>
                <w:color w:val="auto"/>
              </w:rPr>
              <w:t>9.82</w:t>
            </w:r>
            <w:r>
              <w:rPr>
                <w:rFonts w:hint="eastAsia"/>
                <w:color w:val="auto"/>
              </w:rPr>
              <w:t>m</w:t>
            </w:r>
            <w:r>
              <w:rPr>
                <w:color w:val="auto"/>
                <w:vertAlign w:val="superscript"/>
              </w:rPr>
              <w:t>3</w:t>
            </w:r>
            <w:r>
              <w:rPr>
                <w:color w:val="auto"/>
              </w:rPr>
              <w:t>/</w:t>
            </w:r>
            <w:r>
              <w:rPr>
                <w:rFonts w:hint="eastAsia"/>
                <w:color w:val="auto"/>
              </w:rPr>
              <w:t>h，补水量按循环水量的1</w:t>
            </w:r>
            <w:r>
              <w:rPr>
                <w:color w:val="auto"/>
              </w:rPr>
              <w:t>%</w:t>
            </w:r>
            <w:r>
              <w:rPr>
                <w:rFonts w:hint="eastAsia"/>
                <w:color w:val="auto"/>
              </w:rPr>
              <w:t>计，则本项目水膜除尘补水量为0</w:t>
            </w:r>
            <w:r>
              <w:rPr>
                <w:color w:val="auto"/>
              </w:rPr>
              <w:t>.79</w:t>
            </w:r>
            <w:r>
              <w:rPr>
                <w:rFonts w:hint="eastAsia"/>
                <w:color w:val="auto"/>
              </w:rPr>
              <w:t>m</w:t>
            </w:r>
            <w:r>
              <w:rPr>
                <w:color w:val="auto"/>
                <w:vertAlign w:val="superscript"/>
              </w:rPr>
              <w:t>3</w:t>
            </w:r>
            <w:r>
              <w:rPr>
                <w:color w:val="auto"/>
              </w:rPr>
              <w:t>/</w:t>
            </w:r>
            <w:r>
              <w:rPr>
                <w:rFonts w:hint="eastAsia"/>
                <w:color w:val="auto"/>
              </w:rPr>
              <w:t>d。其中蒸发损失量按0</w:t>
            </w:r>
            <w:r>
              <w:rPr>
                <w:color w:val="auto"/>
              </w:rPr>
              <w:t>.9</w:t>
            </w:r>
            <w:r>
              <w:rPr>
                <w:rFonts w:hint="eastAsia"/>
                <w:color w:val="auto"/>
              </w:rPr>
              <w:t>计，废水排污量按0</w:t>
            </w:r>
            <w:r>
              <w:rPr>
                <w:color w:val="auto"/>
              </w:rPr>
              <w:t>.1</w:t>
            </w:r>
            <w:r>
              <w:rPr>
                <w:rFonts w:hint="eastAsia"/>
                <w:color w:val="auto"/>
              </w:rPr>
              <w:t>计，则水膜除尘废水排放量为0</w:t>
            </w:r>
            <w:r>
              <w:rPr>
                <w:color w:val="auto"/>
              </w:rPr>
              <w:t>.08</w:t>
            </w:r>
            <w:r>
              <w:rPr>
                <w:rFonts w:hint="eastAsia"/>
                <w:color w:val="auto"/>
              </w:rPr>
              <w:t>m</w:t>
            </w:r>
            <w:r>
              <w:rPr>
                <w:color w:val="auto"/>
                <w:vertAlign w:val="superscript"/>
              </w:rPr>
              <w:t>3</w:t>
            </w:r>
            <w:r>
              <w:rPr>
                <w:color w:val="auto"/>
              </w:rPr>
              <w:t>/</w:t>
            </w:r>
            <w:r>
              <w:rPr>
                <w:rFonts w:hint="eastAsia"/>
                <w:color w:val="auto"/>
              </w:rPr>
              <w:t>d，废水排入集水池回用于球磨工序。</w:t>
            </w:r>
          </w:p>
          <w:p w14:paraId="0E7A74FA">
            <w:pPr>
              <w:ind w:firstLine="420"/>
            </w:pPr>
            <w:r>
              <w:rPr>
                <w:rFonts w:hint="eastAsia"/>
              </w:rPr>
              <w:t>本项目水量平衡图如下：</w:t>
            </w:r>
          </w:p>
          <w:p w14:paraId="46C61C3A">
            <w:pPr>
              <w:pStyle w:val="180"/>
            </w:pPr>
            <w:r>
              <w:object>
                <v:shape id="_x0000_i1025" o:spt="75" type="#_x0000_t75" style="height:431.25pt;width:290.25pt;" o:ole="t" filled="f" o:preferrelative="t" stroked="f" coordsize="21600,21600">
                  <v:path/>
                  <v:fill on="f" focussize="0,0"/>
                  <v:stroke on="f" joinstyle="miter"/>
                  <v:imagedata r:id="rId19" o:title=""/>
                  <o:lock v:ext="edit" aspectratio="t"/>
                  <w10:wrap type="none"/>
                  <w10:anchorlock/>
                </v:shape>
                <o:OLEObject Type="Embed" ProgID="Visio.Drawing.15" ShapeID="_x0000_i1025" DrawAspect="Content" ObjectID="_1468075725" r:id="rId18">
                  <o:LockedField>false</o:LockedField>
                </o:OLEObject>
              </w:object>
            </w:r>
          </w:p>
          <w:p w14:paraId="3935C24D">
            <w:pPr>
              <w:pStyle w:val="156"/>
            </w:pPr>
            <w:r>
              <w:t>图2.1</w:t>
            </w:r>
            <w:r>
              <w:rPr>
                <w:rFonts w:eastAsia="宋体"/>
              </w:rPr>
              <w:t>-</w:t>
            </w:r>
            <w:r>
              <w:t xml:space="preserve">1  </w:t>
            </w:r>
            <w:r>
              <w:rPr>
                <w:rFonts w:hint="eastAsia"/>
              </w:rPr>
              <w:t>本</w:t>
            </w:r>
            <w:r>
              <w:t>项目水量平衡图  单位：m</w:t>
            </w:r>
            <w:r>
              <w:rPr>
                <w:vertAlign w:val="superscript"/>
              </w:rPr>
              <w:t>3</w:t>
            </w:r>
            <w:r>
              <w:t>/d</w:t>
            </w:r>
          </w:p>
          <w:p w14:paraId="4238FA33">
            <w:pPr>
              <w:pStyle w:val="157"/>
            </w:pPr>
            <w:r>
              <w:rPr>
                <w:rFonts w:hint="eastAsia"/>
              </w:rPr>
              <w:t>1</w:t>
            </w:r>
            <w:r>
              <w:t>0</w:t>
            </w:r>
            <w:r>
              <w:rPr>
                <w:rFonts w:hint="eastAsia"/>
              </w:rPr>
              <w:t>、物料平衡</w:t>
            </w:r>
          </w:p>
          <w:p w14:paraId="74F0BC1B">
            <w:pPr>
              <w:ind w:firstLine="420"/>
            </w:pPr>
            <w:r>
              <w:rPr>
                <w:rFonts w:hint="eastAsia"/>
              </w:rPr>
              <w:t>根据工程分析，本项目物料平衡如下表所示：</w:t>
            </w:r>
          </w:p>
          <w:p w14:paraId="0DF6DB1F">
            <w:pPr>
              <w:pStyle w:val="156"/>
              <w:keepNext/>
            </w:pPr>
            <w:r>
              <w:rPr>
                <w:rFonts w:hint="eastAsia"/>
              </w:rPr>
              <w:t>表2</w:t>
            </w:r>
            <w:r>
              <w:t xml:space="preserve">.1-6  </w:t>
            </w:r>
            <w:r>
              <w:rPr>
                <w:rFonts w:hint="eastAsia"/>
              </w:rPr>
              <w:t>本项目物料平衡一览表</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83"/>
              <w:gridCol w:w="1083"/>
              <w:gridCol w:w="1083"/>
              <w:gridCol w:w="1083"/>
              <w:gridCol w:w="785"/>
              <w:gridCol w:w="1577"/>
              <w:gridCol w:w="889"/>
              <w:gridCol w:w="1081"/>
            </w:tblGrid>
            <w:tr w14:paraId="150E9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500" w:type="pct"/>
                  <w:gridSpan w:val="4"/>
                  <w:vAlign w:val="center"/>
                </w:tcPr>
                <w:p w14:paraId="2A2CEF6C">
                  <w:pPr>
                    <w:pStyle w:val="135"/>
                    <w:adjustRightInd w:val="0"/>
                    <w:snapToGrid w:val="0"/>
                    <w:rPr>
                      <w:b/>
                      <w:bCs/>
                    </w:rPr>
                  </w:pPr>
                  <w:r>
                    <w:rPr>
                      <w:rFonts w:hint="eastAsia"/>
                      <w:b/>
                      <w:bCs/>
                    </w:rPr>
                    <w:t>投入</w:t>
                  </w:r>
                </w:p>
              </w:tc>
              <w:tc>
                <w:tcPr>
                  <w:tcW w:w="2500" w:type="pct"/>
                  <w:gridSpan w:val="4"/>
                  <w:vAlign w:val="center"/>
                </w:tcPr>
                <w:p w14:paraId="6CFBDB07">
                  <w:pPr>
                    <w:pStyle w:val="135"/>
                    <w:adjustRightInd w:val="0"/>
                    <w:snapToGrid w:val="0"/>
                    <w:rPr>
                      <w:b/>
                      <w:bCs/>
                    </w:rPr>
                  </w:pPr>
                  <w:r>
                    <w:rPr>
                      <w:rFonts w:hint="eastAsia"/>
                      <w:b/>
                      <w:bCs/>
                    </w:rPr>
                    <w:t>产出</w:t>
                  </w:r>
                </w:p>
              </w:tc>
            </w:tr>
            <w:tr w14:paraId="040549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25" w:type="pct"/>
                  <w:vAlign w:val="center"/>
                </w:tcPr>
                <w:p w14:paraId="6B93CA7A">
                  <w:pPr>
                    <w:pStyle w:val="135"/>
                    <w:adjustRightInd w:val="0"/>
                    <w:snapToGrid w:val="0"/>
                    <w:rPr>
                      <w:b/>
                      <w:bCs/>
                    </w:rPr>
                  </w:pPr>
                  <w:r>
                    <w:rPr>
                      <w:rFonts w:hint="eastAsia"/>
                      <w:b/>
                      <w:bCs/>
                    </w:rPr>
                    <w:t>序号</w:t>
                  </w:r>
                </w:p>
              </w:tc>
              <w:tc>
                <w:tcPr>
                  <w:tcW w:w="625" w:type="pct"/>
                  <w:vAlign w:val="center"/>
                </w:tcPr>
                <w:p w14:paraId="1FCBA175">
                  <w:pPr>
                    <w:pStyle w:val="135"/>
                    <w:adjustRightInd w:val="0"/>
                    <w:snapToGrid w:val="0"/>
                    <w:rPr>
                      <w:b/>
                      <w:bCs/>
                    </w:rPr>
                  </w:pPr>
                  <w:r>
                    <w:rPr>
                      <w:rFonts w:hint="eastAsia"/>
                      <w:b/>
                      <w:bCs/>
                    </w:rPr>
                    <w:t>物料名称</w:t>
                  </w:r>
                </w:p>
              </w:tc>
              <w:tc>
                <w:tcPr>
                  <w:tcW w:w="625" w:type="pct"/>
                  <w:vAlign w:val="center"/>
                </w:tcPr>
                <w:p w14:paraId="61FDD826">
                  <w:pPr>
                    <w:pStyle w:val="135"/>
                    <w:adjustRightInd w:val="0"/>
                    <w:snapToGrid w:val="0"/>
                    <w:rPr>
                      <w:b/>
                      <w:bCs/>
                    </w:rPr>
                  </w:pPr>
                  <w:r>
                    <w:rPr>
                      <w:rFonts w:hint="eastAsia"/>
                      <w:b/>
                      <w:bCs/>
                    </w:rPr>
                    <w:t>单位</w:t>
                  </w:r>
                </w:p>
              </w:tc>
              <w:tc>
                <w:tcPr>
                  <w:tcW w:w="625" w:type="pct"/>
                  <w:vAlign w:val="center"/>
                </w:tcPr>
                <w:p w14:paraId="625A110E">
                  <w:pPr>
                    <w:pStyle w:val="135"/>
                    <w:adjustRightInd w:val="0"/>
                    <w:snapToGrid w:val="0"/>
                    <w:rPr>
                      <w:b/>
                      <w:bCs/>
                    </w:rPr>
                  </w:pPr>
                  <w:r>
                    <w:rPr>
                      <w:rFonts w:hint="eastAsia"/>
                      <w:b/>
                      <w:bCs/>
                    </w:rPr>
                    <w:t>数量</w:t>
                  </w:r>
                </w:p>
              </w:tc>
              <w:tc>
                <w:tcPr>
                  <w:tcW w:w="453" w:type="pct"/>
                  <w:vAlign w:val="center"/>
                </w:tcPr>
                <w:p w14:paraId="344D2B77">
                  <w:pPr>
                    <w:pStyle w:val="135"/>
                    <w:adjustRightInd w:val="0"/>
                    <w:snapToGrid w:val="0"/>
                    <w:rPr>
                      <w:b/>
                      <w:bCs/>
                    </w:rPr>
                  </w:pPr>
                  <w:r>
                    <w:rPr>
                      <w:rFonts w:hint="eastAsia"/>
                      <w:b/>
                      <w:bCs/>
                    </w:rPr>
                    <w:t>序号</w:t>
                  </w:r>
                </w:p>
              </w:tc>
              <w:tc>
                <w:tcPr>
                  <w:tcW w:w="910" w:type="pct"/>
                  <w:vAlign w:val="center"/>
                </w:tcPr>
                <w:p w14:paraId="0F8944DB">
                  <w:pPr>
                    <w:pStyle w:val="135"/>
                    <w:adjustRightInd w:val="0"/>
                    <w:snapToGrid w:val="0"/>
                    <w:rPr>
                      <w:b/>
                      <w:bCs/>
                    </w:rPr>
                  </w:pPr>
                  <w:r>
                    <w:rPr>
                      <w:rFonts w:hint="eastAsia"/>
                      <w:b/>
                      <w:bCs/>
                    </w:rPr>
                    <w:t>物料名称</w:t>
                  </w:r>
                </w:p>
              </w:tc>
              <w:tc>
                <w:tcPr>
                  <w:tcW w:w="513" w:type="pct"/>
                  <w:vAlign w:val="center"/>
                </w:tcPr>
                <w:p w14:paraId="20234A1F">
                  <w:pPr>
                    <w:pStyle w:val="135"/>
                    <w:adjustRightInd w:val="0"/>
                    <w:snapToGrid w:val="0"/>
                    <w:rPr>
                      <w:b/>
                      <w:bCs/>
                    </w:rPr>
                  </w:pPr>
                  <w:r>
                    <w:rPr>
                      <w:rFonts w:hint="eastAsia"/>
                      <w:b/>
                      <w:bCs/>
                    </w:rPr>
                    <w:t>单位</w:t>
                  </w:r>
                </w:p>
              </w:tc>
              <w:tc>
                <w:tcPr>
                  <w:tcW w:w="624" w:type="pct"/>
                  <w:vAlign w:val="center"/>
                </w:tcPr>
                <w:p w14:paraId="04DF4276">
                  <w:pPr>
                    <w:pStyle w:val="135"/>
                    <w:adjustRightInd w:val="0"/>
                    <w:snapToGrid w:val="0"/>
                    <w:rPr>
                      <w:b/>
                      <w:bCs/>
                    </w:rPr>
                  </w:pPr>
                  <w:r>
                    <w:rPr>
                      <w:rFonts w:hint="eastAsia"/>
                      <w:b/>
                      <w:bCs/>
                    </w:rPr>
                    <w:t>数量</w:t>
                  </w:r>
                </w:p>
              </w:tc>
            </w:tr>
            <w:tr w14:paraId="12A11E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25" w:type="pct"/>
                  <w:vAlign w:val="center"/>
                </w:tcPr>
                <w:p w14:paraId="59CECF01">
                  <w:pPr>
                    <w:pStyle w:val="135"/>
                    <w:adjustRightInd w:val="0"/>
                    <w:snapToGrid w:val="0"/>
                  </w:pPr>
                  <w:r>
                    <w:rPr>
                      <w:rFonts w:hint="eastAsia"/>
                    </w:rPr>
                    <w:t>1</w:t>
                  </w:r>
                </w:p>
              </w:tc>
              <w:tc>
                <w:tcPr>
                  <w:tcW w:w="625" w:type="pct"/>
                  <w:vAlign w:val="center"/>
                </w:tcPr>
                <w:p w14:paraId="6DE84E2D">
                  <w:pPr>
                    <w:pStyle w:val="135"/>
                    <w:adjustRightInd w:val="0"/>
                    <w:snapToGrid w:val="0"/>
                  </w:pPr>
                  <w:r>
                    <w:rPr>
                      <w:spacing w:val="-1"/>
                    </w:rPr>
                    <w:t>石灰</w:t>
                  </w:r>
                </w:p>
              </w:tc>
              <w:tc>
                <w:tcPr>
                  <w:tcW w:w="625" w:type="pct"/>
                  <w:vAlign w:val="center"/>
                </w:tcPr>
                <w:p w14:paraId="040BF502">
                  <w:pPr>
                    <w:pStyle w:val="135"/>
                    <w:adjustRightInd w:val="0"/>
                    <w:snapToGrid w:val="0"/>
                  </w:pPr>
                  <w:r>
                    <w:rPr>
                      <w:rFonts w:hint="eastAsia"/>
                    </w:rPr>
                    <w:t>t</w:t>
                  </w:r>
                  <w:r>
                    <w:t>/</w:t>
                  </w:r>
                  <w:r>
                    <w:rPr>
                      <w:rFonts w:hint="eastAsia"/>
                    </w:rPr>
                    <w:t>a</w:t>
                  </w:r>
                </w:p>
              </w:tc>
              <w:tc>
                <w:tcPr>
                  <w:tcW w:w="625" w:type="pct"/>
                  <w:vAlign w:val="center"/>
                </w:tcPr>
                <w:p w14:paraId="59C30D7D">
                  <w:pPr>
                    <w:pStyle w:val="135"/>
                    <w:adjustRightInd w:val="0"/>
                    <w:snapToGrid w:val="0"/>
                  </w:pPr>
                  <w:r>
                    <w:rPr>
                      <w:rFonts w:hint="eastAsia"/>
                    </w:rPr>
                    <w:t>1</w:t>
                  </w:r>
                  <w:r>
                    <w:t>2000</w:t>
                  </w:r>
                </w:p>
              </w:tc>
              <w:tc>
                <w:tcPr>
                  <w:tcW w:w="453" w:type="pct"/>
                  <w:vAlign w:val="center"/>
                </w:tcPr>
                <w:p w14:paraId="2AE9645B">
                  <w:pPr>
                    <w:pStyle w:val="135"/>
                    <w:adjustRightInd w:val="0"/>
                    <w:snapToGrid w:val="0"/>
                  </w:pPr>
                  <w:r>
                    <w:rPr>
                      <w:rFonts w:hint="eastAsia"/>
                    </w:rPr>
                    <w:t>1</w:t>
                  </w:r>
                </w:p>
              </w:tc>
              <w:tc>
                <w:tcPr>
                  <w:tcW w:w="910" w:type="pct"/>
                  <w:vAlign w:val="top"/>
                </w:tcPr>
                <w:p w14:paraId="56BBB8C5">
                  <w:pPr>
                    <w:pStyle w:val="135"/>
                    <w:adjustRightInd w:val="0"/>
                    <w:snapToGrid w:val="0"/>
                  </w:pPr>
                  <w:r>
                    <w:rPr>
                      <w:rFonts w:hint="eastAsia"/>
                    </w:rPr>
                    <w:t>加气混凝土砌块</w:t>
                  </w:r>
                </w:p>
              </w:tc>
              <w:tc>
                <w:tcPr>
                  <w:tcW w:w="513" w:type="pct"/>
                  <w:vAlign w:val="center"/>
                </w:tcPr>
                <w:p w14:paraId="7AAC42DE">
                  <w:pPr>
                    <w:pStyle w:val="135"/>
                    <w:adjustRightInd w:val="0"/>
                    <w:snapToGrid w:val="0"/>
                  </w:pPr>
                  <w:r>
                    <w:rPr>
                      <w:rFonts w:hint="eastAsia"/>
                    </w:rPr>
                    <w:t>t</w:t>
                  </w:r>
                  <w:r>
                    <w:t>/</w:t>
                  </w:r>
                  <w:r>
                    <w:rPr>
                      <w:rFonts w:hint="eastAsia"/>
                    </w:rPr>
                    <w:t>a</w:t>
                  </w:r>
                </w:p>
              </w:tc>
              <w:tc>
                <w:tcPr>
                  <w:tcW w:w="624" w:type="pct"/>
                  <w:vAlign w:val="bottom"/>
                </w:tcPr>
                <w:p w14:paraId="3D8E2EAB">
                  <w:pPr>
                    <w:pStyle w:val="135"/>
                    <w:adjustRightInd w:val="0"/>
                    <w:snapToGrid w:val="0"/>
                  </w:pPr>
                  <w:r>
                    <w:rPr>
                      <w:rFonts w:hint="eastAsia"/>
                    </w:rPr>
                    <w:t>1</w:t>
                  </w:r>
                  <w:r>
                    <w:t>05000</w:t>
                  </w:r>
                </w:p>
              </w:tc>
            </w:tr>
            <w:tr w14:paraId="599CB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25" w:type="pct"/>
                  <w:vAlign w:val="center"/>
                </w:tcPr>
                <w:p w14:paraId="4A2A5F86">
                  <w:pPr>
                    <w:pStyle w:val="135"/>
                    <w:adjustRightInd w:val="0"/>
                    <w:snapToGrid w:val="0"/>
                  </w:pPr>
                  <w:r>
                    <w:rPr>
                      <w:rFonts w:hint="eastAsia"/>
                    </w:rPr>
                    <w:t>2</w:t>
                  </w:r>
                </w:p>
              </w:tc>
              <w:tc>
                <w:tcPr>
                  <w:tcW w:w="625" w:type="pct"/>
                  <w:vAlign w:val="center"/>
                </w:tcPr>
                <w:p w14:paraId="569F83F3">
                  <w:pPr>
                    <w:pStyle w:val="135"/>
                    <w:adjustRightInd w:val="0"/>
                    <w:snapToGrid w:val="0"/>
                  </w:pPr>
                  <w:r>
                    <w:rPr>
                      <w:rFonts w:hint="eastAsia"/>
                    </w:rPr>
                    <w:t>砂石</w:t>
                  </w:r>
                </w:p>
              </w:tc>
              <w:tc>
                <w:tcPr>
                  <w:tcW w:w="625" w:type="pct"/>
                  <w:vAlign w:val="center"/>
                </w:tcPr>
                <w:p w14:paraId="4095ED2D">
                  <w:pPr>
                    <w:pStyle w:val="135"/>
                    <w:adjustRightInd w:val="0"/>
                    <w:snapToGrid w:val="0"/>
                  </w:pPr>
                  <w:r>
                    <w:rPr>
                      <w:rFonts w:hint="eastAsia"/>
                    </w:rPr>
                    <w:t>t</w:t>
                  </w:r>
                  <w:r>
                    <w:t>/</w:t>
                  </w:r>
                  <w:r>
                    <w:rPr>
                      <w:rFonts w:hint="eastAsia"/>
                    </w:rPr>
                    <w:t>a</w:t>
                  </w:r>
                </w:p>
              </w:tc>
              <w:tc>
                <w:tcPr>
                  <w:tcW w:w="625" w:type="pct"/>
                  <w:vAlign w:val="center"/>
                </w:tcPr>
                <w:p w14:paraId="52B8A067">
                  <w:pPr>
                    <w:pStyle w:val="135"/>
                    <w:adjustRightInd w:val="0"/>
                    <w:snapToGrid w:val="0"/>
                  </w:pPr>
                  <w:r>
                    <w:t>60000</w:t>
                  </w:r>
                </w:p>
              </w:tc>
              <w:tc>
                <w:tcPr>
                  <w:tcW w:w="453" w:type="pct"/>
                  <w:vAlign w:val="center"/>
                </w:tcPr>
                <w:p w14:paraId="0FEE6D15">
                  <w:pPr>
                    <w:pStyle w:val="135"/>
                    <w:adjustRightInd w:val="0"/>
                    <w:snapToGrid w:val="0"/>
                  </w:pPr>
                  <w:r>
                    <w:rPr>
                      <w:rFonts w:hint="eastAsia"/>
                    </w:rPr>
                    <w:t>2</w:t>
                  </w:r>
                </w:p>
              </w:tc>
              <w:tc>
                <w:tcPr>
                  <w:tcW w:w="910" w:type="pct"/>
                  <w:vAlign w:val="top"/>
                </w:tcPr>
                <w:p w14:paraId="48DB740D">
                  <w:pPr>
                    <w:pStyle w:val="135"/>
                    <w:adjustRightInd w:val="0"/>
                    <w:snapToGrid w:val="0"/>
                  </w:pPr>
                  <w:r>
                    <w:rPr>
                      <w:rFonts w:hint="eastAsia"/>
                    </w:rPr>
                    <w:t>水蒸气损耗</w:t>
                  </w:r>
                </w:p>
              </w:tc>
              <w:tc>
                <w:tcPr>
                  <w:tcW w:w="513" w:type="pct"/>
                  <w:vAlign w:val="center"/>
                </w:tcPr>
                <w:p w14:paraId="2600041F">
                  <w:pPr>
                    <w:pStyle w:val="135"/>
                    <w:adjustRightInd w:val="0"/>
                    <w:snapToGrid w:val="0"/>
                  </w:pPr>
                  <w:r>
                    <w:rPr>
                      <w:rFonts w:hint="eastAsia"/>
                    </w:rPr>
                    <w:t>t</w:t>
                  </w:r>
                  <w:r>
                    <w:t>/</w:t>
                  </w:r>
                  <w:r>
                    <w:rPr>
                      <w:rFonts w:hint="eastAsia"/>
                    </w:rPr>
                    <w:t>a</w:t>
                  </w:r>
                </w:p>
              </w:tc>
              <w:tc>
                <w:tcPr>
                  <w:tcW w:w="624" w:type="pct"/>
                  <w:vAlign w:val="center"/>
                </w:tcPr>
                <w:p w14:paraId="69AAD43A">
                  <w:pPr>
                    <w:pStyle w:val="135"/>
                    <w:adjustRightInd w:val="0"/>
                    <w:snapToGrid w:val="0"/>
                  </w:pPr>
                  <w:r>
                    <w:t>10649.458</w:t>
                  </w:r>
                </w:p>
              </w:tc>
            </w:tr>
            <w:tr w14:paraId="4F4F6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25" w:type="pct"/>
                  <w:vAlign w:val="center"/>
                </w:tcPr>
                <w:p w14:paraId="6B9B3355">
                  <w:pPr>
                    <w:pStyle w:val="135"/>
                    <w:adjustRightInd w:val="0"/>
                    <w:snapToGrid w:val="0"/>
                  </w:pPr>
                  <w:r>
                    <w:rPr>
                      <w:rFonts w:hint="eastAsia"/>
                    </w:rPr>
                    <w:t>3</w:t>
                  </w:r>
                </w:p>
              </w:tc>
              <w:tc>
                <w:tcPr>
                  <w:tcW w:w="625" w:type="pct"/>
                  <w:vAlign w:val="center"/>
                </w:tcPr>
                <w:p w14:paraId="3C0D3792">
                  <w:pPr>
                    <w:pStyle w:val="135"/>
                    <w:adjustRightInd w:val="0"/>
                    <w:snapToGrid w:val="0"/>
                  </w:pPr>
                  <w:r>
                    <w:rPr>
                      <w:spacing w:val="-1"/>
                    </w:rPr>
                    <w:t>水泥</w:t>
                  </w:r>
                </w:p>
              </w:tc>
              <w:tc>
                <w:tcPr>
                  <w:tcW w:w="625" w:type="pct"/>
                  <w:vAlign w:val="center"/>
                </w:tcPr>
                <w:p w14:paraId="6219A0E5">
                  <w:pPr>
                    <w:pStyle w:val="135"/>
                    <w:adjustRightInd w:val="0"/>
                    <w:snapToGrid w:val="0"/>
                  </w:pPr>
                  <w:r>
                    <w:rPr>
                      <w:rFonts w:hint="eastAsia"/>
                    </w:rPr>
                    <w:t>t</w:t>
                  </w:r>
                  <w:r>
                    <w:t>/</w:t>
                  </w:r>
                  <w:r>
                    <w:rPr>
                      <w:rFonts w:hint="eastAsia"/>
                    </w:rPr>
                    <w:t>a</w:t>
                  </w:r>
                </w:p>
              </w:tc>
              <w:tc>
                <w:tcPr>
                  <w:tcW w:w="625" w:type="pct"/>
                  <w:vAlign w:val="center"/>
                </w:tcPr>
                <w:p w14:paraId="0C3E6EA0">
                  <w:pPr>
                    <w:pStyle w:val="135"/>
                    <w:adjustRightInd w:val="0"/>
                    <w:snapToGrid w:val="0"/>
                  </w:pPr>
                  <w:r>
                    <w:rPr>
                      <w:rFonts w:hint="eastAsia" w:eastAsiaTheme="minorEastAsia"/>
                    </w:rPr>
                    <w:t>1</w:t>
                  </w:r>
                  <w:r>
                    <w:rPr>
                      <w:rFonts w:eastAsiaTheme="minorEastAsia"/>
                    </w:rPr>
                    <w:t>6500</w:t>
                  </w:r>
                </w:p>
              </w:tc>
              <w:tc>
                <w:tcPr>
                  <w:tcW w:w="453" w:type="pct"/>
                  <w:vAlign w:val="center"/>
                </w:tcPr>
                <w:p w14:paraId="5226A626">
                  <w:pPr>
                    <w:pStyle w:val="135"/>
                    <w:adjustRightInd w:val="0"/>
                    <w:snapToGrid w:val="0"/>
                  </w:pPr>
                  <w:r>
                    <w:rPr>
                      <w:rFonts w:hint="eastAsia"/>
                    </w:rPr>
                    <w:t>3</w:t>
                  </w:r>
                </w:p>
              </w:tc>
              <w:tc>
                <w:tcPr>
                  <w:tcW w:w="910" w:type="pct"/>
                  <w:vAlign w:val="top"/>
                </w:tcPr>
                <w:p w14:paraId="2FC0D839">
                  <w:pPr>
                    <w:pStyle w:val="135"/>
                    <w:adjustRightInd w:val="0"/>
                    <w:snapToGrid w:val="0"/>
                  </w:pPr>
                  <w:r>
                    <w:rPr>
                      <w:rFonts w:hint="eastAsia"/>
                    </w:rPr>
                    <w:t>颗粒物</w:t>
                  </w:r>
                </w:p>
              </w:tc>
              <w:tc>
                <w:tcPr>
                  <w:tcW w:w="513" w:type="pct"/>
                  <w:vAlign w:val="center"/>
                </w:tcPr>
                <w:p w14:paraId="1433C313">
                  <w:pPr>
                    <w:pStyle w:val="135"/>
                    <w:adjustRightInd w:val="0"/>
                    <w:snapToGrid w:val="0"/>
                  </w:pPr>
                  <w:r>
                    <w:rPr>
                      <w:rFonts w:hint="eastAsia"/>
                    </w:rPr>
                    <w:t>t</w:t>
                  </w:r>
                  <w:r>
                    <w:t>/</w:t>
                  </w:r>
                  <w:r>
                    <w:rPr>
                      <w:rFonts w:hint="eastAsia"/>
                    </w:rPr>
                    <w:t>a</w:t>
                  </w:r>
                </w:p>
              </w:tc>
              <w:tc>
                <w:tcPr>
                  <w:tcW w:w="624" w:type="pct"/>
                  <w:vAlign w:val="center"/>
                </w:tcPr>
                <w:p w14:paraId="20CF6481">
                  <w:pPr>
                    <w:pStyle w:val="135"/>
                    <w:adjustRightInd w:val="0"/>
                    <w:snapToGrid w:val="0"/>
                  </w:pPr>
                  <w:r>
                    <w:rPr>
                      <w:rFonts w:hint="eastAsia"/>
                    </w:rPr>
                    <w:t>0</w:t>
                  </w:r>
                  <w:r>
                    <w:t>.542</w:t>
                  </w:r>
                </w:p>
              </w:tc>
            </w:tr>
            <w:tr w14:paraId="4BD65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25" w:type="pct"/>
                  <w:vAlign w:val="center"/>
                </w:tcPr>
                <w:p w14:paraId="7BE4293C">
                  <w:pPr>
                    <w:pStyle w:val="135"/>
                    <w:adjustRightInd w:val="0"/>
                    <w:snapToGrid w:val="0"/>
                  </w:pPr>
                  <w:r>
                    <w:rPr>
                      <w:rFonts w:hint="eastAsia"/>
                    </w:rPr>
                    <w:t>4</w:t>
                  </w:r>
                </w:p>
              </w:tc>
              <w:tc>
                <w:tcPr>
                  <w:tcW w:w="625" w:type="pct"/>
                  <w:vAlign w:val="center"/>
                </w:tcPr>
                <w:p w14:paraId="7B0ECC84">
                  <w:pPr>
                    <w:pStyle w:val="135"/>
                    <w:adjustRightInd w:val="0"/>
                    <w:snapToGrid w:val="0"/>
                  </w:pPr>
                  <w:r>
                    <w:rPr>
                      <w:spacing w:val="-1"/>
                    </w:rPr>
                    <w:t>铝粉</w:t>
                  </w:r>
                </w:p>
              </w:tc>
              <w:tc>
                <w:tcPr>
                  <w:tcW w:w="625" w:type="pct"/>
                  <w:vAlign w:val="center"/>
                </w:tcPr>
                <w:p w14:paraId="01C8EF8C">
                  <w:pPr>
                    <w:pStyle w:val="135"/>
                    <w:adjustRightInd w:val="0"/>
                    <w:snapToGrid w:val="0"/>
                  </w:pPr>
                  <w:r>
                    <w:rPr>
                      <w:rFonts w:hint="eastAsia"/>
                    </w:rPr>
                    <w:t>t</w:t>
                  </w:r>
                  <w:r>
                    <w:t>/</w:t>
                  </w:r>
                  <w:r>
                    <w:rPr>
                      <w:rFonts w:hint="eastAsia"/>
                    </w:rPr>
                    <w:t>a</w:t>
                  </w:r>
                </w:p>
              </w:tc>
              <w:tc>
                <w:tcPr>
                  <w:tcW w:w="625" w:type="pct"/>
                  <w:vAlign w:val="center"/>
                </w:tcPr>
                <w:p w14:paraId="149A90A0">
                  <w:pPr>
                    <w:pStyle w:val="135"/>
                    <w:adjustRightInd w:val="0"/>
                    <w:snapToGrid w:val="0"/>
                  </w:pPr>
                  <w:r>
                    <w:rPr>
                      <w:rFonts w:hint="eastAsia" w:eastAsiaTheme="minorEastAsia"/>
                    </w:rPr>
                    <w:t>1</w:t>
                  </w:r>
                  <w:r>
                    <w:rPr>
                      <w:rFonts w:eastAsiaTheme="minorEastAsia"/>
                    </w:rPr>
                    <w:t>50</w:t>
                  </w:r>
                </w:p>
              </w:tc>
              <w:tc>
                <w:tcPr>
                  <w:tcW w:w="453" w:type="pct"/>
                  <w:vAlign w:val="center"/>
                </w:tcPr>
                <w:p w14:paraId="08AAF78A">
                  <w:pPr>
                    <w:pStyle w:val="135"/>
                    <w:adjustRightInd w:val="0"/>
                    <w:snapToGrid w:val="0"/>
                  </w:pPr>
                </w:p>
              </w:tc>
              <w:tc>
                <w:tcPr>
                  <w:tcW w:w="910" w:type="pct"/>
                  <w:vAlign w:val="center"/>
                </w:tcPr>
                <w:p w14:paraId="21E71019">
                  <w:pPr>
                    <w:pStyle w:val="135"/>
                    <w:adjustRightInd w:val="0"/>
                    <w:snapToGrid w:val="0"/>
                  </w:pPr>
                </w:p>
              </w:tc>
              <w:tc>
                <w:tcPr>
                  <w:tcW w:w="513" w:type="pct"/>
                  <w:vAlign w:val="center"/>
                </w:tcPr>
                <w:p w14:paraId="386153F1">
                  <w:pPr>
                    <w:pStyle w:val="135"/>
                    <w:adjustRightInd w:val="0"/>
                    <w:snapToGrid w:val="0"/>
                  </w:pPr>
                </w:p>
              </w:tc>
              <w:tc>
                <w:tcPr>
                  <w:tcW w:w="624" w:type="pct"/>
                  <w:vAlign w:val="center"/>
                </w:tcPr>
                <w:p w14:paraId="08DE1B9F">
                  <w:pPr>
                    <w:pStyle w:val="135"/>
                    <w:adjustRightInd w:val="0"/>
                    <w:snapToGrid w:val="0"/>
                  </w:pPr>
                </w:p>
              </w:tc>
            </w:tr>
            <w:tr w14:paraId="1D7E27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25" w:type="pct"/>
                  <w:vAlign w:val="center"/>
                </w:tcPr>
                <w:p w14:paraId="2EA270A7">
                  <w:pPr>
                    <w:pStyle w:val="135"/>
                    <w:adjustRightInd w:val="0"/>
                    <w:snapToGrid w:val="0"/>
                  </w:pPr>
                  <w:r>
                    <w:rPr>
                      <w:rFonts w:hint="eastAsia"/>
                    </w:rPr>
                    <w:t>5</w:t>
                  </w:r>
                </w:p>
              </w:tc>
              <w:tc>
                <w:tcPr>
                  <w:tcW w:w="625" w:type="pct"/>
                  <w:vAlign w:val="center"/>
                </w:tcPr>
                <w:p w14:paraId="28C879E1">
                  <w:pPr>
                    <w:pStyle w:val="135"/>
                    <w:adjustRightInd w:val="0"/>
                    <w:snapToGrid w:val="0"/>
                  </w:pPr>
                  <w:r>
                    <w:rPr>
                      <w:rFonts w:hint="eastAsia"/>
                    </w:rPr>
                    <w:t>水</w:t>
                  </w:r>
                </w:p>
              </w:tc>
              <w:tc>
                <w:tcPr>
                  <w:tcW w:w="625" w:type="pct"/>
                  <w:vAlign w:val="center"/>
                </w:tcPr>
                <w:p w14:paraId="2DF883F5">
                  <w:pPr>
                    <w:pStyle w:val="135"/>
                    <w:adjustRightInd w:val="0"/>
                    <w:snapToGrid w:val="0"/>
                  </w:pPr>
                  <w:r>
                    <w:rPr>
                      <w:rFonts w:hint="eastAsia"/>
                    </w:rPr>
                    <w:t>t</w:t>
                  </w:r>
                  <w:r>
                    <w:t>/</w:t>
                  </w:r>
                  <w:r>
                    <w:rPr>
                      <w:rFonts w:hint="eastAsia"/>
                    </w:rPr>
                    <w:t>a</w:t>
                  </w:r>
                </w:p>
              </w:tc>
              <w:tc>
                <w:tcPr>
                  <w:tcW w:w="625" w:type="pct"/>
                  <w:vAlign w:val="center"/>
                </w:tcPr>
                <w:p w14:paraId="31EB11F7">
                  <w:pPr>
                    <w:pStyle w:val="135"/>
                    <w:adjustRightInd w:val="0"/>
                    <w:snapToGrid w:val="0"/>
                  </w:pPr>
                  <w:r>
                    <w:t>27000</w:t>
                  </w:r>
                </w:p>
              </w:tc>
              <w:tc>
                <w:tcPr>
                  <w:tcW w:w="453" w:type="pct"/>
                  <w:vAlign w:val="center"/>
                </w:tcPr>
                <w:p w14:paraId="221D00E8">
                  <w:pPr>
                    <w:pStyle w:val="135"/>
                    <w:adjustRightInd w:val="0"/>
                    <w:snapToGrid w:val="0"/>
                  </w:pPr>
                </w:p>
              </w:tc>
              <w:tc>
                <w:tcPr>
                  <w:tcW w:w="910" w:type="pct"/>
                  <w:vAlign w:val="center"/>
                </w:tcPr>
                <w:p w14:paraId="4DB88565">
                  <w:pPr>
                    <w:pStyle w:val="135"/>
                    <w:adjustRightInd w:val="0"/>
                    <w:snapToGrid w:val="0"/>
                  </w:pPr>
                </w:p>
              </w:tc>
              <w:tc>
                <w:tcPr>
                  <w:tcW w:w="513" w:type="pct"/>
                  <w:vAlign w:val="center"/>
                </w:tcPr>
                <w:p w14:paraId="3AE2479D">
                  <w:pPr>
                    <w:pStyle w:val="135"/>
                    <w:adjustRightInd w:val="0"/>
                    <w:snapToGrid w:val="0"/>
                  </w:pPr>
                </w:p>
              </w:tc>
              <w:tc>
                <w:tcPr>
                  <w:tcW w:w="624" w:type="pct"/>
                  <w:vAlign w:val="bottom"/>
                </w:tcPr>
                <w:p w14:paraId="15E2164C">
                  <w:pPr>
                    <w:pStyle w:val="135"/>
                    <w:adjustRightInd w:val="0"/>
                    <w:snapToGrid w:val="0"/>
                  </w:pPr>
                </w:p>
              </w:tc>
            </w:tr>
            <w:tr w14:paraId="5B8F7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50" w:type="pct"/>
                  <w:gridSpan w:val="2"/>
                  <w:vAlign w:val="center"/>
                </w:tcPr>
                <w:p w14:paraId="2649A78A">
                  <w:pPr>
                    <w:pStyle w:val="135"/>
                    <w:adjustRightInd w:val="0"/>
                    <w:snapToGrid w:val="0"/>
                  </w:pPr>
                  <w:r>
                    <w:rPr>
                      <w:rFonts w:hint="eastAsia"/>
                    </w:rPr>
                    <w:t>合计</w:t>
                  </w:r>
                </w:p>
              </w:tc>
              <w:tc>
                <w:tcPr>
                  <w:tcW w:w="625" w:type="pct"/>
                  <w:vAlign w:val="center"/>
                </w:tcPr>
                <w:p w14:paraId="72AD166C">
                  <w:pPr>
                    <w:pStyle w:val="135"/>
                    <w:adjustRightInd w:val="0"/>
                    <w:snapToGrid w:val="0"/>
                  </w:pPr>
                  <w:r>
                    <w:rPr>
                      <w:rFonts w:hint="eastAsia"/>
                    </w:rPr>
                    <w:t>t</w:t>
                  </w:r>
                  <w:r>
                    <w:t>/</w:t>
                  </w:r>
                  <w:r>
                    <w:rPr>
                      <w:rFonts w:hint="eastAsia"/>
                    </w:rPr>
                    <w:t>a</w:t>
                  </w:r>
                </w:p>
              </w:tc>
              <w:tc>
                <w:tcPr>
                  <w:tcW w:w="625" w:type="pct"/>
                  <w:vAlign w:val="center"/>
                </w:tcPr>
                <w:p w14:paraId="75421D66">
                  <w:pPr>
                    <w:pStyle w:val="135"/>
                    <w:adjustRightInd w:val="0"/>
                    <w:snapToGrid w:val="0"/>
                  </w:pPr>
                  <w:r>
                    <w:fldChar w:fldCharType="begin"/>
                  </w:r>
                  <w:r>
                    <w:instrText xml:space="preserve"> =SUM(ABOVE) </w:instrText>
                  </w:r>
                  <w:r>
                    <w:fldChar w:fldCharType="separate"/>
                  </w:r>
                  <w:r>
                    <w:t>115650</w:t>
                  </w:r>
                  <w:r>
                    <w:fldChar w:fldCharType="end"/>
                  </w:r>
                </w:p>
              </w:tc>
              <w:tc>
                <w:tcPr>
                  <w:tcW w:w="1363" w:type="pct"/>
                  <w:gridSpan w:val="2"/>
                  <w:vAlign w:val="center"/>
                </w:tcPr>
                <w:p w14:paraId="2A0C4528">
                  <w:pPr>
                    <w:pStyle w:val="135"/>
                    <w:adjustRightInd w:val="0"/>
                    <w:snapToGrid w:val="0"/>
                  </w:pPr>
                  <w:r>
                    <w:rPr>
                      <w:rFonts w:hint="eastAsia"/>
                    </w:rPr>
                    <w:t>合计</w:t>
                  </w:r>
                </w:p>
              </w:tc>
              <w:tc>
                <w:tcPr>
                  <w:tcW w:w="513" w:type="pct"/>
                  <w:vAlign w:val="center"/>
                </w:tcPr>
                <w:p w14:paraId="33C5DD28">
                  <w:pPr>
                    <w:pStyle w:val="135"/>
                    <w:adjustRightInd w:val="0"/>
                    <w:snapToGrid w:val="0"/>
                  </w:pPr>
                </w:p>
              </w:tc>
              <w:tc>
                <w:tcPr>
                  <w:tcW w:w="624" w:type="pct"/>
                  <w:vAlign w:val="center"/>
                </w:tcPr>
                <w:p w14:paraId="48C22843">
                  <w:pPr>
                    <w:pStyle w:val="135"/>
                    <w:adjustRightInd w:val="0"/>
                    <w:snapToGrid w:val="0"/>
                  </w:pPr>
                  <w:r>
                    <w:fldChar w:fldCharType="begin"/>
                  </w:r>
                  <w:r>
                    <w:instrText xml:space="preserve"> =SUM(ABOVE) </w:instrText>
                  </w:r>
                  <w:r>
                    <w:fldChar w:fldCharType="separate"/>
                  </w:r>
                  <w:r>
                    <w:t>115650</w:t>
                  </w:r>
                  <w:r>
                    <w:fldChar w:fldCharType="end"/>
                  </w:r>
                </w:p>
              </w:tc>
            </w:tr>
          </w:tbl>
          <w:p w14:paraId="2136EC9B">
            <w:pPr>
              <w:pStyle w:val="156"/>
            </w:pPr>
          </w:p>
        </w:tc>
      </w:tr>
      <w:tr w14:paraId="4DC588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51" w:type="dxa"/>
            <w:vAlign w:val="center"/>
          </w:tcPr>
          <w:p w14:paraId="00F7F33D">
            <w:pPr>
              <w:pStyle w:val="29"/>
              <w:spacing w:before="0" w:beforeAutospacing="0" w:after="0" w:afterAutospacing="0"/>
              <w:ind w:firstLine="0" w:firstLineChars="0"/>
              <w:jc w:val="center"/>
              <w:rPr>
                <w:rFonts w:ascii="Times New Roman" w:hAnsi="Times New Roman"/>
                <w:szCs w:val="21"/>
              </w:rPr>
            </w:pPr>
            <w:r>
              <w:rPr>
                <w:rFonts w:ascii="Times New Roman" w:hAnsi="Times New Roman"/>
                <w:szCs w:val="21"/>
              </w:rPr>
              <w:t>工艺流程和产排污环节</w:t>
            </w:r>
          </w:p>
        </w:tc>
        <w:tc>
          <w:tcPr>
            <w:tcW w:w="8679" w:type="dxa"/>
            <w:vAlign w:val="center"/>
          </w:tcPr>
          <w:p w14:paraId="1C119021">
            <w:pPr>
              <w:pStyle w:val="157"/>
              <w:rPr>
                <w:lang w:bidi="ar"/>
              </w:rPr>
            </w:pPr>
            <w:r>
              <w:rPr>
                <w:rFonts w:hint="eastAsia"/>
                <w:lang w:bidi="ar"/>
              </w:rPr>
              <w:t>一、施工期工艺流程</w:t>
            </w:r>
          </w:p>
          <w:p w14:paraId="27E562D6">
            <w:pPr>
              <w:ind w:firstLine="420"/>
              <w:rPr>
                <w:lang w:bidi="ar"/>
              </w:rPr>
            </w:pPr>
            <w:r>
              <w:rPr>
                <w:rFonts w:hint="eastAsia"/>
                <w:lang w:bidi="ar"/>
              </w:rPr>
              <w:t>本项目施工期在现有主要在现有厂房内进行设备安装和调试，不涉及基础开挖及土建工程。</w:t>
            </w:r>
          </w:p>
          <w:p w14:paraId="4FC45607">
            <w:pPr>
              <w:ind w:firstLine="420"/>
              <w:rPr>
                <w:lang w:bidi="ar"/>
              </w:rPr>
            </w:pPr>
            <w:r>
              <w:rPr>
                <w:rFonts w:hint="eastAsia"/>
                <w:lang w:bidi="ar"/>
              </w:rPr>
              <w:t>本项目在进行施工过程中严格按照相关规定和要求进行施工和管理，能较好地控制施工过程中的扬尘和噪声，故本次评价对施工期进行简单分析。</w:t>
            </w:r>
          </w:p>
          <w:p w14:paraId="3A252296">
            <w:pPr>
              <w:ind w:firstLine="420"/>
              <w:rPr>
                <w:lang w:bidi="ar"/>
              </w:rPr>
            </w:pPr>
            <w:r>
              <w:rPr>
                <w:lang w:bidi="ar"/>
              </w:rPr>
              <w:t>根据施工期工艺流程分析，项目施工期的污染因素主要有：</w:t>
            </w:r>
          </w:p>
          <w:p w14:paraId="3DAC9861">
            <w:pPr>
              <w:ind w:firstLine="420"/>
              <w:rPr>
                <w:lang w:bidi="ar"/>
              </w:rPr>
            </w:pPr>
            <w:r>
              <w:rPr>
                <w:lang w:bidi="ar"/>
              </w:rPr>
              <w:t>（1）废气：主要为设备安装过程中产生的扬尘。</w:t>
            </w:r>
          </w:p>
          <w:p w14:paraId="215E8A72">
            <w:pPr>
              <w:ind w:firstLine="420"/>
              <w:rPr>
                <w:lang w:bidi="ar"/>
              </w:rPr>
            </w:pPr>
            <w:r>
              <w:rPr>
                <w:lang w:bidi="ar"/>
              </w:rPr>
              <w:t>（2）废水：施工人员产生的生活污水。</w:t>
            </w:r>
          </w:p>
          <w:p w14:paraId="42F1FCA6">
            <w:pPr>
              <w:ind w:firstLine="420"/>
              <w:rPr>
                <w:lang w:bidi="ar"/>
              </w:rPr>
            </w:pPr>
            <w:r>
              <w:rPr>
                <w:lang w:bidi="ar"/>
              </w:rPr>
              <w:t>（3）噪声：各类设备安装过程中产生的噪声。</w:t>
            </w:r>
          </w:p>
          <w:p w14:paraId="69BDAB9D">
            <w:pPr>
              <w:ind w:firstLine="420"/>
              <w:rPr>
                <w:lang w:bidi="ar"/>
              </w:rPr>
            </w:pPr>
            <w:r>
              <w:rPr>
                <w:lang w:bidi="ar"/>
              </w:rPr>
              <w:t>（4）固废：主要为废包装材料、建筑垃圾以及施工人员生活垃圾。</w:t>
            </w:r>
          </w:p>
          <w:p w14:paraId="75FF02F4">
            <w:pPr>
              <w:pStyle w:val="157"/>
              <w:rPr>
                <w:lang w:bidi="ar"/>
              </w:rPr>
            </w:pPr>
            <w:r>
              <w:rPr>
                <w:rFonts w:hint="eastAsia"/>
                <w:lang w:bidi="ar"/>
              </w:rPr>
              <w:t>二、运营期工艺流程</w:t>
            </w:r>
          </w:p>
          <w:p w14:paraId="1BF91371">
            <w:pPr>
              <w:ind w:firstLine="420"/>
              <w:rPr>
                <w:lang w:bidi="ar"/>
              </w:rPr>
            </w:pPr>
            <w:r>
              <w:rPr>
                <w:rFonts w:hint="eastAsia"/>
                <w:lang w:bidi="ar"/>
              </w:rPr>
              <w:t>运营期工艺流程及产污节点如下图所示：</w:t>
            </w:r>
          </w:p>
          <w:p w14:paraId="56815C00">
            <w:pPr>
              <w:pStyle w:val="180"/>
            </w:pPr>
            <w:r>
              <w:object>
                <v:shape id="_x0000_i1026" o:spt="75" type="#_x0000_t75" style="height:404.25pt;width:404.25pt;" o:ole="t" filled="f" o:preferrelative="t" stroked="f" coordsize="21600,21600">
                  <v:path/>
                  <v:fill on="f" focussize="0,0"/>
                  <v:stroke on="f" joinstyle="miter"/>
                  <v:imagedata r:id="rId21" o:title=""/>
                  <o:lock v:ext="edit" aspectratio="t"/>
                  <w10:wrap type="none"/>
                  <w10:anchorlock/>
                </v:shape>
                <o:OLEObject Type="Embed" ProgID="Visio.Drawing.15" ShapeID="_x0000_i1026" DrawAspect="Content" ObjectID="_1468075726" r:id="rId20">
                  <o:LockedField>false</o:LockedField>
                </o:OLEObject>
              </w:object>
            </w:r>
          </w:p>
          <w:p w14:paraId="75E8243F">
            <w:pPr>
              <w:pStyle w:val="156"/>
            </w:pPr>
            <w:r>
              <w:rPr>
                <w:rFonts w:hint="eastAsia"/>
              </w:rPr>
              <w:t>图2</w:t>
            </w:r>
            <w:r>
              <w:t xml:space="preserve">.1-2  </w:t>
            </w:r>
            <w:r>
              <w:rPr>
                <w:rFonts w:hint="eastAsia"/>
              </w:rPr>
              <w:t>本项目生产工艺流程及产污节点图</w:t>
            </w:r>
          </w:p>
          <w:p w14:paraId="4FCA44F0">
            <w:pPr>
              <w:ind w:firstLine="422"/>
              <w:rPr>
                <w:b/>
                <w:bCs/>
              </w:rPr>
            </w:pPr>
            <w:r>
              <w:rPr>
                <w:rFonts w:hint="eastAsia"/>
                <w:b/>
                <w:bCs/>
              </w:rPr>
              <w:t>工艺流程简述：</w:t>
            </w:r>
          </w:p>
          <w:p w14:paraId="7F3A339A">
            <w:pPr>
              <w:ind w:firstLine="420"/>
            </w:pPr>
            <w:r>
              <w:rPr>
                <w:rFonts w:hint="eastAsia"/>
              </w:rPr>
              <w:t>（1）</w:t>
            </w:r>
            <w:r>
              <w:t>原材料存储及处理</w:t>
            </w:r>
          </w:p>
          <w:p w14:paraId="76DA8B8F">
            <w:pPr>
              <w:ind w:firstLine="420"/>
            </w:pPr>
            <w:r>
              <w:t>砂石原料</w:t>
            </w:r>
            <w:r>
              <w:rPr>
                <w:rFonts w:hint="eastAsia"/>
              </w:rPr>
              <w:t>：</w:t>
            </w:r>
            <w:r>
              <w:t>将砂石原料运输至场内，使用破碎机进行破碎，将破碎后的砂石原料运送到砂石原料仓库内堆放。采用铲车将砂石装入进料斗，通过皮带输送机送至球磨机（磨浆机），同时按比例加水进行制浆。制成的混合浆液由泵泵入料浆储罐内备用。</w:t>
            </w:r>
            <w:r>
              <w:rPr>
                <w:b/>
                <w:bCs/>
              </w:rPr>
              <w:t>此过程中产生的污染物主要为</w:t>
            </w:r>
            <w:r>
              <w:t>：破碎粉尘、</w:t>
            </w:r>
            <w:r>
              <w:rPr>
                <w:rFonts w:hint="eastAsia"/>
              </w:rPr>
              <w:t>装卸粉尘、投料</w:t>
            </w:r>
            <w:r>
              <w:t>粉尘</w:t>
            </w:r>
            <w:r>
              <w:rPr>
                <w:rFonts w:hint="eastAsia"/>
              </w:rPr>
              <w:t>、</w:t>
            </w:r>
            <w:r>
              <w:t>设备噪声。</w:t>
            </w:r>
          </w:p>
          <w:p w14:paraId="3928ED74">
            <w:pPr>
              <w:ind w:firstLine="420"/>
            </w:pPr>
            <w:r>
              <w:t>石灰</w:t>
            </w:r>
            <w:r>
              <w:rPr>
                <w:rFonts w:hint="eastAsia"/>
              </w:rPr>
              <w:t>：采用散装石灰粉，</w:t>
            </w:r>
            <w:r>
              <w:t>散装</w:t>
            </w:r>
            <w:r>
              <w:rPr>
                <w:rFonts w:hint="eastAsia"/>
              </w:rPr>
              <w:t>石灰粉</w:t>
            </w:r>
            <w:r>
              <w:t>运入场内，直接泵</w:t>
            </w:r>
            <w:r>
              <w:rPr>
                <w:rFonts w:hint="eastAsia"/>
              </w:rPr>
              <w:t>入石灰</w:t>
            </w:r>
            <w:r>
              <w:t>筒仓中备用</w:t>
            </w:r>
            <w:r>
              <w:rPr>
                <w:rFonts w:hint="eastAsia"/>
              </w:rPr>
              <w:t>，不需要球磨</w:t>
            </w:r>
            <w:r>
              <w:t>。此过程中产生的污染物主要为：</w:t>
            </w:r>
            <w:r>
              <w:rPr>
                <w:rFonts w:hint="eastAsia"/>
              </w:rPr>
              <w:t>石灰筒仓粉尘</w:t>
            </w:r>
            <w:r>
              <w:t>。</w:t>
            </w:r>
          </w:p>
          <w:p w14:paraId="722A4265">
            <w:pPr>
              <w:ind w:firstLine="420"/>
            </w:pPr>
            <w:r>
              <w:t>水泥</w:t>
            </w:r>
            <w:r>
              <w:rPr>
                <w:rFonts w:hint="eastAsia"/>
              </w:rPr>
              <w:t>：</w:t>
            </w:r>
            <w:r>
              <w:t>采用散装水泥</w:t>
            </w:r>
            <w:r>
              <w:rPr>
                <w:rFonts w:hint="eastAsia"/>
              </w:rPr>
              <w:t>，</w:t>
            </w:r>
            <w:r>
              <w:t>散装水泥由散装水泥车运入场内，直接泵入水泥筒仓中备用。此过程产生的污染物主要为：水泥筒仓粉尘。</w:t>
            </w:r>
          </w:p>
          <w:p w14:paraId="5A4212ED">
            <w:pPr>
              <w:ind w:firstLine="420"/>
            </w:pPr>
            <w:r>
              <w:t>铝粉</w:t>
            </w:r>
            <w:r>
              <w:rPr>
                <w:rFonts w:hint="eastAsia"/>
              </w:rPr>
              <w:t>：</w:t>
            </w:r>
            <w:r>
              <w:t>由外地购入桶装铝粉。计量后投入铝粉搅拌机内搅拌成悬浮液备用。在铝粉贮存过程中需干燥、通风，且与水、酸、碱、腐蚀品、热源、火源隔离。</w:t>
            </w:r>
          </w:p>
          <w:p w14:paraId="33DD0037">
            <w:pPr>
              <w:ind w:firstLine="420"/>
            </w:pPr>
            <w:r>
              <w:t>边角料、废浆</w:t>
            </w:r>
            <w:r>
              <w:rPr>
                <w:rFonts w:hint="eastAsia"/>
              </w:rPr>
              <w:t>：</w:t>
            </w:r>
            <w:r>
              <w:t>切割线切割下来的边角料落入底部斜槽，经水冲洗至切割机底部废浆池内，不断搅拌使废浆达到一定浓度后，再由废浆池中的杂浆泵泵入配料工段的废浆储罐中备用。</w:t>
            </w:r>
          </w:p>
          <w:p w14:paraId="405E09F5">
            <w:pPr>
              <w:ind w:firstLine="420"/>
            </w:pPr>
            <w:r>
              <w:rPr>
                <w:rFonts w:hint="eastAsia"/>
              </w:rPr>
              <w:t>（2）</w:t>
            </w:r>
            <w:r>
              <w:t>配料、搅拌、浇注</w:t>
            </w:r>
          </w:p>
          <w:p w14:paraId="0616C4FD">
            <w:pPr>
              <w:ind w:firstLine="420"/>
            </w:pPr>
            <w:r>
              <w:t>石灰、水泥由仓底单罗管给料机送入电子粉料计量称内，经累计计量后由螺旋输送机送至浇注搅拌机内。配置好的砂浆由泵泵入料浆电子计量称内进行累积计量，当料浆重量达到配料要求时，由自控系统关闭储罐放料槽阀，停止放料。计量好的料浆按指令放入浇注搅拌机内。</w:t>
            </w:r>
          </w:p>
          <w:p w14:paraId="51BF9BE1">
            <w:pPr>
              <w:ind w:firstLine="420"/>
            </w:pPr>
            <w:r>
              <w:t>铝粉经计量后倒入铝粉搅拌机内制成悬浮液，每模配制一次。搅拌好的悬浮液直接放入浇注搅拌机内。浇注时，模具通过摆渡车送至浇注搅拌机下就位，浇注搅拌机放料浇注，浇注后在模具内静停初养2h。在此过程中产生的污染物主要为</w:t>
            </w:r>
            <w:r>
              <w:rPr>
                <w:rFonts w:hint="eastAsia"/>
              </w:rPr>
              <w:t>：</w:t>
            </w:r>
            <w:r>
              <w:t>搅拌机</w:t>
            </w:r>
            <w:r>
              <w:rPr>
                <w:rFonts w:hint="eastAsia"/>
              </w:rPr>
              <w:t>冲洗</w:t>
            </w:r>
            <w:r>
              <w:t>废水</w:t>
            </w:r>
            <w:r>
              <w:rPr>
                <w:rFonts w:hint="eastAsia"/>
              </w:rPr>
              <w:t>、噪声</w:t>
            </w:r>
            <w:r>
              <w:t>。</w:t>
            </w:r>
          </w:p>
          <w:p w14:paraId="3ECBE0BA">
            <w:pPr>
              <w:ind w:left="420" w:firstLine="0" w:firstLineChars="0"/>
            </w:pPr>
            <w:r>
              <w:rPr>
                <w:rFonts w:hint="eastAsia"/>
              </w:rPr>
              <w:t>（3）</w:t>
            </w:r>
            <w:r>
              <w:t>切割</w:t>
            </w:r>
          </w:p>
          <w:p w14:paraId="77ADF8DB">
            <w:pPr>
              <w:ind w:firstLine="420"/>
            </w:pPr>
            <w:r>
              <w:t>静停初养达到切割强度后，进行切割。切割好的胚体有半成品吊具吊运至釜前蒸养小车上，每车堆放二模，堆放好的蒸养小车由慢动卷扬机牵引在釜前轨道上进行编组，每条釜前轨道编放五辆蒸养小车。</w:t>
            </w:r>
            <w:r>
              <w:rPr>
                <w:rFonts w:hint="eastAsia"/>
              </w:rPr>
              <w:t>本项目采用湿法切割工艺，无粉尘产生。</w:t>
            </w:r>
            <w:r>
              <w:t>在此过程中产生的污染物主要为：废边角料</w:t>
            </w:r>
            <w:r>
              <w:rPr>
                <w:rFonts w:hint="eastAsia"/>
              </w:rPr>
              <w:t>、</w:t>
            </w:r>
            <w:r>
              <w:t>切割冲洗废水</w:t>
            </w:r>
            <w:r>
              <w:rPr>
                <w:rFonts w:hint="eastAsia"/>
              </w:rPr>
              <w:t>、噪声</w:t>
            </w:r>
            <w:r>
              <w:t>。</w:t>
            </w:r>
          </w:p>
          <w:p w14:paraId="6830DEE5">
            <w:pPr>
              <w:ind w:firstLine="420"/>
            </w:pPr>
            <w:r>
              <w:rPr>
                <w:rFonts w:hint="eastAsia"/>
              </w:rPr>
              <w:t>（4）</w:t>
            </w:r>
            <w:r>
              <w:t>蒸</w:t>
            </w:r>
            <w:r>
              <w:rPr>
                <w:rFonts w:hint="eastAsia"/>
              </w:rPr>
              <w:t>养</w:t>
            </w:r>
            <w:r>
              <w:t>及成品</w:t>
            </w:r>
          </w:p>
          <w:p w14:paraId="7C644608">
            <w:pPr>
              <w:ind w:firstLine="420"/>
              <w:rPr>
                <w:bCs/>
              </w:rPr>
            </w:pPr>
            <w:r>
              <w:t>编组好的胚体由慢动卷扬机拉入釜内进行蒸压养护，恒压蒸养时间4h左右，温度约200℃，蒸汽压力1.6MPa</w:t>
            </w:r>
            <w:r>
              <w:rPr>
                <w:rFonts w:hint="eastAsia"/>
              </w:rPr>
              <w:t>，蒸汽由1</w:t>
            </w:r>
            <w:r>
              <w:t>0</w:t>
            </w:r>
            <w:r>
              <w:rPr>
                <w:rFonts w:hint="eastAsia"/>
              </w:rPr>
              <w:t>t</w:t>
            </w:r>
            <w:r>
              <w:t>/</w:t>
            </w:r>
            <w:r>
              <w:rPr>
                <w:rFonts w:hint="eastAsia"/>
              </w:rPr>
              <w:t>h生物质燃料锅炉提供。</w:t>
            </w:r>
            <w:r>
              <w:t>制品经蒸压养护后由慢动卷扬机拉出釜，再由出釜吊具调运成品至运输车上，直接出厂或至堆场存放。在此过程中产生的污染物主要为：</w:t>
            </w:r>
            <w:r>
              <w:rPr>
                <w:rFonts w:hint="eastAsia"/>
              </w:rPr>
              <w:t>锅炉燃烧废气、锅炉排污水、炉渣、蒸汽回收冷凝水</w:t>
            </w:r>
            <w:r>
              <w:t>。</w:t>
            </w:r>
          </w:p>
          <w:p w14:paraId="187176A6">
            <w:pPr>
              <w:pStyle w:val="157"/>
            </w:pPr>
            <w:r>
              <w:rPr>
                <w:rFonts w:hint="eastAsia"/>
              </w:rPr>
              <w:t>三</w:t>
            </w:r>
            <w:r>
              <w:t>、产污环节分析</w:t>
            </w:r>
          </w:p>
          <w:p w14:paraId="698F92EC">
            <w:pPr>
              <w:ind w:firstLine="420"/>
              <w:rPr>
                <w:lang w:val="de-DE"/>
              </w:rPr>
            </w:pPr>
            <w:r>
              <w:rPr>
                <w:lang w:val="de-DE"/>
              </w:rPr>
              <w:t>本项目产排污节点如下表所示：</w:t>
            </w:r>
          </w:p>
          <w:p w14:paraId="60866916">
            <w:pPr>
              <w:pStyle w:val="156"/>
            </w:pPr>
            <w:r>
              <w:t>表2.1-7</w:t>
            </w:r>
            <w:r>
              <w:rPr>
                <w:rFonts w:hint="eastAsia"/>
              </w:rPr>
              <w:t xml:space="preserve"> </w:t>
            </w:r>
            <w:r>
              <w:t xml:space="preserve"> 产排污节点表</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38"/>
              <w:gridCol w:w="1560"/>
              <w:gridCol w:w="1702"/>
              <w:gridCol w:w="4964"/>
            </w:tblGrid>
            <w:tr w14:paraId="6CE4F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53" w:type="pct"/>
                  <w:vAlign w:val="center"/>
                </w:tcPr>
                <w:p w14:paraId="7248C03E">
                  <w:pPr>
                    <w:pStyle w:val="135"/>
                    <w:adjustRightInd w:val="0"/>
                    <w:snapToGrid w:val="0"/>
                    <w:rPr>
                      <w:rFonts w:cs="Times New Roman"/>
                      <w:b/>
                      <w:szCs w:val="18"/>
                      <w:lang w:val="de-DE"/>
                    </w:rPr>
                  </w:pPr>
                  <w:r>
                    <w:rPr>
                      <w:rFonts w:cs="Times New Roman"/>
                      <w:b/>
                      <w:szCs w:val="18"/>
                      <w:lang w:val="de-DE"/>
                    </w:rPr>
                    <w:t>类别</w:t>
                  </w:r>
                </w:p>
              </w:tc>
              <w:tc>
                <w:tcPr>
                  <w:tcW w:w="900" w:type="pct"/>
                  <w:vAlign w:val="center"/>
                </w:tcPr>
                <w:p w14:paraId="6C03F84B">
                  <w:pPr>
                    <w:pStyle w:val="135"/>
                    <w:adjustRightInd w:val="0"/>
                    <w:snapToGrid w:val="0"/>
                    <w:rPr>
                      <w:rFonts w:cs="Times New Roman"/>
                      <w:b/>
                      <w:szCs w:val="18"/>
                      <w:lang w:val="de-DE"/>
                    </w:rPr>
                  </w:pPr>
                  <w:r>
                    <w:rPr>
                      <w:rFonts w:cs="Times New Roman"/>
                      <w:b/>
                      <w:szCs w:val="18"/>
                      <w:lang w:val="de-DE"/>
                    </w:rPr>
                    <w:t>产污节点</w:t>
                  </w:r>
                  <w:r>
                    <w:rPr>
                      <w:rFonts w:hint="eastAsia" w:cs="Times New Roman"/>
                      <w:b/>
                      <w:szCs w:val="18"/>
                      <w:lang w:val="de-DE"/>
                    </w:rPr>
                    <w:t>/污染源</w:t>
                  </w:r>
                </w:p>
              </w:tc>
              <w:tc>
                <w:tcPr>
                  <w:tcW w:w="982" w:type="pct"/>
                  <w:vAlign w:val="center"/>
                </w:tcPr>
                <w:p w14:paraId="6F593321">
                  <w:pPr>
                    <w:pStyle w:val="135"/>
                    <w:adjustRightInd w:val="0"/>
                    <w:snapToGrid w:val="0"/>
                    <w:rPr>
                      <w:rFonts w:cs="Times New Roman"/>
                      <w:b/>
                      <w:szCs w:val="18"/>
                      <w:lang w:val="de-DE"/>
                    </w:rPr>
                  </w:pPr>
                  <w:r>
                    <w:rPr>
                      <w:rFonts w:cs="Times New Roman"/>
                      <w:b/>
                      <w:szCs w:val="18"/>
                      <w:lang w:val="de-DE"/>
                    </w:rPr>
                    <w:t>主要污染物</w:t>
                  </w:r>
                </w:p>
              </w:tc>
              <w:tc>
                <w:tcPr>
                  <w:tcW w:w="2865" w:type="pct"/>
                  <w:vAlign w:val="center"/>
                </w:tcPr>
                <w:p w14:paraId="4C0B69C1">
                  <w:pPr>
                    <w:pStyle w:val="135"/>
                    <w:adjustRightInd w:val="0"/>
                    <w:snapToGrid w:val="0"/>
                    <w:rPr>
                      <w:rFonts w:cs="Times New Roman"/>
                      <w:b/>
                      <w:szCs w:val="18"/>
                      <w:lang w:val="de-DE"/>
                    </w:rPr>
                  </w:pPr>
                  <w:r>
                    <w:rPr>
                      <w:rFonts w:cs="Times New Roman"/>
                      <w:b/>
                      <w:szCs w:val="18"/>
                      <w:lang w:val="de-DE"/>
                    </w:rPr>
                    <w:t>排放去向/治理措施</w:t>
                  </w:r>
                </w:p>
              </w:tc>
            </w:tr>
            <w:tr w14:paraId="7F144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53" w:type="pct"/>
                  <w:vMerge w:val="restart"/>
                  <w:vAlign w:val="center"/>
                </w:tcPr>
                <w:p w14:paraId="641246CC">
                  <w:pPr>
                    <w:pStyle w:val="135"/>
                    <w:adjustRightInd w:val="0"/>
                    <w:snapToGrid w:val="0"/>
                    <w:rPr>
                      <w:rFonts w:cs="Times New Roman"/>
                      <w:b/>
                      <w:szCs w:val="18"/>
                      <w:lang w:val="de-DE"/>
                    </w:rPr>
                  </w:pPr>
                  <w:r>
                    <w:rPr>
                      <w:rFonts w:cs="Times New Roman"/>
                      <w:szCs w:val="18"/>
                      <w:lang w:val="de-DE"/>
                    </w:rPr>
                    <w:t>废气</w:t>
                  </w:r>
                </w:p>
              </w:tc>
              <w:tc>
                <w:tcPr>
                  <w:tcW w:w="900" w:type="pct"/>
                  <w:vAlign w:val="center"/>
                </w:tcPr>
                <w:p w14:paraId="2C32EBA2">
                  <w:pPr>
                    <w:pStyle w:val="135"/>
                    <w:adjustRightInd w:val="0"/>
                    <w:snapToGrid w:val="0"/>
                    <w:rPr>
                      <w:rFonts w:cs="Times New Roman"/>
                      <w:bCs/>
                      <w:szCs w:val="18"/>
                      <w:lang w:val="de-DE"/>
                    </w:rPr>
                  </w:pPr>
                  <w:r>
                    <w:rPr>
                      <w:rFonts w:hint="eastAsia" w:cs="Times New Roman"/>
                      <w:bCs/>
                      <w:szCs w:val="18"/>
                      <w:lang w:val="de-DE"/>
                    </w:rPr>
                    <w:t>破碎粉尘</w:t>
                  </w:r>
                </w:p>
              </w:tc>
              <w:tc>
                <w:tcPr>
                  <w:tcW w:w="982" w:type="pct"/>
                  <w:vAlign w:val="center"/>
                </w:tcPr>
                <w:p w14:paraId="3886726E">
                  <w:pPr>
                    <w:pStyle w:val="135"/>
                    <w:adjustRightInd w:val="0"/>
                    <w:snapToGrid w:val="0"/>
                    <w:rPr>
                      <w:rFonts w:cs="Times New Roman"/>
                      <w:bCs/>
                      <w:szCs w:val="18"/>
                      <w:lang w:val="de-DE"/>
                    </w:rPr>
                  </w:pPr>
                  <w:r>
                    <w:rPr>
                      <w:rFonts w:hint="eastAsia" w:cs="Times New Roman"/>
                      <w:bCs/>
                      <w:szCs w:val="18"/>
                      <w:lang w:val="de-DE"/>
                    </w:rPr>
                    <w:t>颗粒物</w:t>
                  </w:r>
                </w:p>
              </w:tc>
              <w:tc>
                <w:tcPr>
                  <w:tcW w:w="2865" w:type="pct"/>
                  <w:vAlign w:val="center"/>
                </w:tcPr>
                <w:p w14:paraId="18E0B1DE">
                  <w:pPr>
                    <w:pStyle w:val="135"/>
                    <w:adjustRightInd w:val="0"/>
                    <w:snapToGrid w:val="0"/>
                    <w:jc w:val="both"/>
                    <w:rPr>
                      <w:rFonts w:cs="Times New Roman"/>
                      <w:bCs/>
                      <w:szCs w:val="18"/>
                      <w:lang w:val="de-DE"/>
                    </w:rPr>
                  </w:pPr>
                  <w:r>
                    <w:rPr>
                      <w:rFonts w:hint="eastAsia"/>
                    </w:rPr>
                    <w:t>项目砂石料破碎机设置在封闭原料堆场内，采用湿法破碎工艺，粉尘在车间内无组织排放，原料堆场顶部安装喷雾降尘装置。</w:t>
                  </w:r>
                </w:p>
              </w:tc>
            </w:tr>
            <w:tr w14:paraId="2B925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53" w:type="pct"/>
                  <w:vMerge w:val="continue"/>
                  <w:vAlign w:val="center"/>
                </w:tcPr>
                <w:p w14:paraId="27388BBE">
                  <w:pPr>
                    <w:pStyle w:val="135"/>
                    <w:adjustRightInd w:val="0"/>
                    <w:snapToGrid w:val="0"/>
                    <w:rPr>
                      <w:rFonts w:cs="Times New Roman"/>
                      <w:szCs w:val="18"/>
                      <w:lang w:val="de-DE"/>
                    </w:rPr>
                  </w:pPr>
                </w:p>
              </w:tc>
              <w:tc>
                <w:tcPr>
                  <w:tcW w:w="900" w:type="pct"/>
                  <w:vAlign w:val="center"/>
                </w:tcPr>
                <w:p w14:paraId="3F55C1AE">
                  <w:pPr>
                    <w:pStyle w:val="135"/>
                    <w:adjustRightInd w:val="0"/>
                    <w:snapToGrid w:val="0"/>
                    <w:rPr>
                      <w:rFonts w:cs="Times New Roman"/>
                      <w:szCs w:val="18"/>
                      <w:lang w:val="de-DE"/>
                    </w:rPr>
                  </w:pPr>
                  <w:r>
                    <w:rPr>
                      <w:rFonts w:hint="eastAsia" w:cs="Times New Roman"/>
                      <w:szCs w:val="18"/>
                      <w:lang w:val="de-DE"/>
                    </w:rPr>
                    <w:t>原料堆场装卸粉尘</w:t>
                  </w:r>
                </w:p>
              </w:tc>
              <w:tc>
                <w:tcPr>
                  <w:tcW w:w="982" w:type="pct"/>
                  <w:vAlign w:val="center"/>
                </w:tcPr>
                <w:p w14:paraId="57F3F8E4">
                  <w:pPr>
                    <w:pStyle w:val="135"/>
                    <w:adjustRightInd w:val="0"/>
                    <w:snapToGrid w:val="0"/>
                    <w:rPr>
                      <w:rFonts w:cs="Times New Roman"/>
                      <w:szCs w:val="18"/>
                      <w:lang w:val="de-DE"/>
                    </w:rPr>
                  </w:pPr>
                  <w:r>
                    <w:rPr>
                      <w:rFonts w:hint="eastAsia" w:cs="Times New Roman"/>
                      <w:szCs w:val="18"/>
                      <w:lang w:val="de-DE"/>
                    </w:rPr>
                    <w:t>颗粒物</w:t>
                  </w:r>
                </w:p>
              </w:tc>
              <w:tc>
                <w:tcPr>
                  <w:tcW w:w="2865" w:type="pct"/>
                  <w:vAlign w:val="center"/>
                </w:tcPr>
                <w:p w14:paraId="45A02403">
                  <w:pPr>
                    <w:pStyle w:val="135"/>
                    <w:adjustRightInd w:val="0"/>
                    <w:snapToGrid w:val="0"/>
                    <w:jc w:val="both"/>
                    <w:rPr>
                      <w:rFonts w:cs="Times New Roman"/>
                      <w:bCs/>
                      <w:szCs w:val="18"/>
                      <w:lang w:val="de-DE"/>
                    </w:rPr>
                  </w:pPr>
                  <w:r>
                    <w:rPr>
                      <w:rFonts w:hint="eastAsia"/>
                    </w:rPr>
                    <w:t>置封闭原料堆场，仅保留车辆出入口，堆场顶部设置喷雾降尘装置。</w:t>
                  </w:r>
                </w:p>
              </w:tc>
            </w:tr>
            <w:tr w14:paraId="44B12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53" w:type="pct"/>
                  <w:vMerge w:val="continue"/>
                  <w:vAlign w:val="center"/>
                </w:tcPr>
                <w:p w14:paraId="6EE9E10B">
                  <w:pPr>
                    <w:pStyle w:val="135"/>
                    <w:adjustRightInd w:val="0"/>
                    <w:snapToGrid w:val="0"/>
                    <w:rPr>
                      <w:rFonts w:cs="Times New Roman"/>
                      <w:szCs w:val="18"/>
                      <w:lang w:val="de-DE"/>
                    </w:rPr>
                  </w:pPr>
                </w:p>
              </w:tc>
              <w:tc>
                <w:tcPr>
                  <w:tcW w:w="900" w:type="pct"/>
                  <w:vAlign w:val="center"/>
                </w:tcPr>
                <w:p w14:paraId="1D6B4B39">
                  <w:pPr>
                    <w:pStyle w:val="135"/>
                    <w:adjustRightInd w:val="0"/>
                    <w:snapToGrid w:val="0"/>
                    <w:rPr>
                      <w:rFonts w:cs="Times New Roman"/>
                      <w:szCs w:val="18"/>
                      <w:lang w:val="de-DE"/>
                    </w:rPr>
                  </w:pPr>
                  <w:r>
                    <w:rPr>
                      <w:rFonts w:hint="eastAsia" w:cs="Times New Roman"/>
                      <w:szCs w:val="18"/>
                      <w:lang w:val="de-DE"/>
                    </w:rPr>
                    <w:t>投料粉尘</w:t>
                  </w:r>
                </w:p>
              </w:tc>
              <w:tc>
                <w:tcPr>
                  <w:tcW w:w="982" w:type="pct"/>
                  <w:vAlign w:val="center"/>
                </w:tcPr>
                <w:p w14:paraId="383196A9">
                  <w:pPr>
                    <w:pStyle w:val="135"/>
                    <w:adjustRightInd w:val="0"/>
                    <w:snapToGrid w:val="0"/>
                    <w:rPr>
                      <w:rFonts w:cs="Times New Roman"/>
                      <w:szCs w:val="18"/>
                      <w:lang w:val="de-DE"/>
                    </w:rPr>
                  </w:pPr>
                  <w:r>
                    <w:rPr>
                      <w:rFonts w:hint="eastAsia" w:cs="Times New Roman"/>
                      <w:szCs w:val="18"/>
                      <w:lang w:val="de-DE"/>
                    </w:rPr>
                    <w:t>颗粒物</w:t>
                  </w:r>
                </w:p>
              </w:tc>
              <w:tc>
                <w:tcPr>
                  <w:tcW w:w="2865" w:type="pct"/>
                  <w:vAlign w:val="center"/>
                </w:tcPr>
                <w:p w14:paraId="616D99C6">
                  <w:pPr>
                    <w:pStyle w:val="135"/>
                    <w:adjustRightInd w:val="0"/>
                    <w:snapToGrid w:val="0"/>
                    <w:rPr>
                      <w:rFonts w:cs="Times New Roman"/>
                      <w:bCs/>
                      <w:szCs w:val="18"/>
                      <w:lang w:val="de-DE"/>
                    </w:rPr>
                  </w:pPr>
                  <w:r>
                    <w:rPr>
                      <w:rFonts w:hint="eastAsia"/>
                    </w:rPr>
                    <w:t>球磨机进料口上方安装喷雾降尘装置。</w:t>
                  </w:r>
                </w:p>
              </w:tc>
            </w:tr>
            <w:tr w14:paraId="4E0C78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53" w:type="pct"/>
                  <w:vMerge w:val="continue"/>
                  <w:vAlign w:val="center"/>
                </w:tcPr>
                <w:p w14:paraId="0AF29D1F">
                  <w:pPr>
                    <w:pStyle w:val="135"/>
                    <w:adjustRightInd w:val="0"/>
                    <w:snapToGrid w:val="0"/>
                    <w:rPr>
                      <w:rFonts w:cs="Times New Roman"/>
                      <w:szCs w:val="18"/>
                      <w:lang w:val="de-DE"/>
                    </w:rPr>
                  </w:pPr>
                </w:p>
              </w:tc>
              <w:tc>
                <w:tcPr>
                  <w:tcW w:w="900" w:type="pct"/>
                  <w:vAlign w:val="center"/>
                </w:tcPr>
                <w:p w14:paraId="18825A3F">
                  <w:pPr>
                    <w:pStyle w:val="135"/>
                    <w:adjustRightInd w:val="0"/>
                    <w:snapToGrid w:val="0"/>
                    <w:rPr>
                      <w:rFonts w:cs="Times New Roman"/>
                      <w:szCs w:val="18"/>
                      <w:lang w:val="de-DE"/>
                    </w:rPr>
                  </w:pPr>
                  <w:r>
                    <w:rPr>
                      <w:rFonts w:hint="eastAsia" w:cs="Times New Roman"/>
                      <w:szCs w:val="18"/>
                      <w:lang w:val="de-DE"/>
                    </w:rPr>
                    <w:t>筒仓粉尘</w:t>
                  </w:r>
                </w:p>
              </w:tc>
              <w:tc>
                <w:tcPr>
                  <w:tcW w:w="982" w:type="pct"/>
                  <w:vAlign w:val="center"/>
                </w:tcPr>
                <w:p w14:paraId="5BCCEE43">
                  <w:pPr>
                    <w:pStyle w:val="135"/>
                    <w:adjustRightInd w:val="0"/>
                    <w:snapToGrid w:val="0"/>
                    <w:rPr>
                      <w:rFonts w:cs="Times New Roman"/>
                      <w:szCs w:val="18"/>
                      <w:lang w:val="de-DE"/>
                    </w:rPr>
                  </w:pPr>
                  <w:r>
                    <w:rPr>
                      <w:rFonts w:hint="eastAsia" w:cs="Times New Roman"/>
                      <w:szCs w:val="18"/>
                      <w:lang w:val="de-DE"/>
                    </w:rPr>
                    <w:t>颗粒物</w:t>
                  </w:r>
                </w:p>
              </w:tc>
              <w:tc>
                <w:tcPr>
                  <w:tcW w:w="2865" w:type="pct"/>
                  <w:vAlign w:val="center"/>
                </w:tcPr>
                <w:p w14:paraId="5FDD7633">
                  <w:pPr>
                    <w:pStyle w:val="135"/>
                    <w:adjustRightInd w:val="0"/>
                    <w:snapToGrid w:val="0"/>
                    <w:jc w:val="both"/>
                    <w:rPr>
                      <w:rFonts w:cs="Times New Roman"/>
                      <w:bCs/>
                      <w:szCs w:val="18"/>
                      <w:lang w:val="de-DE"/>
                    </w:rPr>
                  </w:pPr>
                  <w:r>
                    <w:rPr>
                      <w:rFonts w:hint="eastAsia"/>
                    </w:rPr>
                    <w:t>粉料筒仓顶部均安装有布袋除尘器，粉尘经处理后无组织排放。</w:t>
                  </w:r>
                </w:p>
              </w:tc>
            </w:tr>
            <w:tr w14:paraId="56895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53" w:type="pct"/>
                  <w:vMerge w:val="continue"/>
                  <w:vAlign w:val="center"/>
                </w:tcPr>
                <w:p w14:paraId="273ED76C">
                  <w:pPr>
                    <w:pStyle w:val="135"/>
                    <w:adjustRightInd w:val="0"/>
                    <w:snapToGrid w:val="0"/>
                    <w:rPr>
                      <w:rFonts w:cs="Times New Roman"/>
                      <w:szCs w:val="18"/>
                      <w:lang w:val="de-DE"/>
                    </w:rPr>
                  </w:pPr>
                </w:p>
              </w:tc>
              <w:tc>
                <w:tcPr>
                  <w:tcW w:w="900" w:type="pct"/>
                  <w:vAlign w:val="center"/>
                </w:tcPr>
                <w:p w14:paraId="30DB16D0">
                  <w:pPr>
                    <w:pStyle w:val="135"/>
                    <w:adjustRightInd w:val="0"/>
                    <w:snapToGrid w:val="0"/>
                    <w:rPr>
                      <w:rFonts w:cs="Times New Roman"/>
                      <w:szCs w:val="18"/>
                      <w:lang w:val="de-DE"/>
                    </w:rPr>
                  </w:pPr>
                  <w:r>
                    <w:rPr>
                      <w:rFonts w:hint="eastAsia" w:cs="Times New Roman"/>
                      <w:szCs w:val="18"/>
                      <w:lang w:val="de-DE"/>
                    </w:rPr>
                    <w:t>锅炉燃烧废气</w:t>
                  </w:r>
                </w:p>
              </w:tc>
              <w:tc>
                <w:tcPr>
                  <w:tcW w:w="982" w:type="pct"/>
                  <w:vAlign w:val="center"/>
                </w:tcPr>
                <w:p w14:paraId="6006F577">
                  <w:pPr>
                    <w:pStyle w:val="135"/>
                    <w:adjustRightInd w:val="0"/>
                    <w:snapToGrid w:val="0"/>
                    <w:rPr>
                      <w:rFonts w:cs="Times New Roman"/>
                      <w:szCs w:val="18"/>
                      <w:lang w:val="de-DE"/>
                    </w:rPr>
                  </w:pPr>
                  <w:r>
                    <w:rPr>
                      <w:rFonts w:hint="eastAsia" w:cs="Times New Roman"/>
                      <w:szCs w:val="18"/>
                      <w:lang w:val="de-DE"/>
                    </w:rPr>
                    <w:t>颗粒物、二氧化硫、氮氧化物</w:t>
                  </w:r>
                </w:p>
              </w:tc>
              <w:tc>
                <w:tcPr>
                  <w:tcW w:w="2865" w:type="pct"/>
                  <w:vAlign w:val="center"/>
                </w:tcPr>
                <w:p w14:paraId="0603B026">
                  <w:pPr>
                    <w:pStyle w:val="135"/>
                    <w:adjustRightInd w:val="0"/>
                    <w:snapToGrid w:val="0"/>
                    <w:jc w:val="both"/>
                    <w:rPr>
                      <w:rFonts w:cs="Times New Roman"/>
                      <w:bCs/>
                      <w:szCs w:val="18"/>
                      <w:lang w:val="de-DE"/>
                    </w:rPr>
                  </w:pPr>
                  <w:r>
                    <w:rPr>
                      <w:rFonts w:hint="eastAsia"/>
                    </w:rPr>
                    <w:t>采用专用生物质锅炉，安装低氮燃烧装置及“水膜除尘+静电除尘”，废气经处理后通过4</w:t>
                  </w:r>
                  <w:r>
                    <w:t>0</w:t>
                  </w:r>
                  <w:r>
                    <w:rPr>
                      <w:rFonts w:hint="eastAsia"/>
                    </w:rPr>
                    <w:t>m排气筒排放。</w:t>
                  </w:r>
                </w:p>
              </w:tc>
            </w:tr>
            <w:tr w14:paraId="3B4D8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53" w:type="pct"/>
                  <w:vMerge w:val="continue"/>
                  <w:vAlign w:val="center"/>
                </w:tcPr>
                <w:p w14:paraId="71297E37">
                  <w:pPr>
                    <w:pStyle w:val="135"/>
                    <w:adjustRightInd w:val="0"/>
                    <w:snapToGrid w:val="0"/>
                    <w:rPr>
                      <w:rFonts w:cs="Times New Roman"/>
                      <w:szCs w:val="18"/>
                      <w:lang w:val="de-DE"/>
                    </w:rPr>
                  </w:pPr>
                </w:p>
              </w:tc>
              <w:tc>
                <w:tcPr>
                  <w:tcW w:w="900" w:type="pct"/>
                  <w:vAlign w:val="center"/>
                </w:tcPr>
                <w:p w14:paraId="5FDBEDA1">
                  <w:pPr>
                    <w:pStyle w:val="135"/>
                    <w:adjustRightInd w:val="0"/>
                    <w:snapToGrid w:val="0"/>
                    <w:rPr>
                      <w:rFonts w:cs="Times New Roman"/>
                      <w:szCs w:val="18"/>
                      <w:lang w:val="de-DE"/>
                    </w:rPr>
                  </w:pPr>
                  <w:r>
                    <w:rPr>
                      <w:rFonts w:hint="eastAsia" w:cs="Times New Roman"/>
                      <w:szCs w:val="18"/>
                      <w:lang w:val="de-DE"/>
                    </w:rPr>
                    <w:t>食堂油烟</w:t>
                  </w:r>
                </w:p>
              </w:tc>
              <w:tc>
                <w:tcPr>
                  <w:tcW w:w="982" w:type="pct"/>
                  <w:vAlign w:val="center"/>
                </w:tcPr>
                <w:p w14:paraId="133817D3">
                  <w:pPr>
                    <w:pStyle w:val="135"/>
                    <w:adjustRightInd w:val="0"/>
                    <w:snapToGrid w:val="0"/>
                    <w:rPr>
                      <w:rFonts w:cs="Times New Roman"/>
                      <w:szCs w:val="18"/>
                      <w:lang w:val="de-DE"/>
                    </w:rPr>
                  </w:pPr>
                  <w:r>
                    <w:rPr>
                      <w:rFonts w:hint="eastAsia" w:cs="Times New Roman"/>
                      <w:szCs w:val="18"/>
                      <w:lang w:val="de-DE"/>
                    </w:rPr>
                    <w:t>油烟</w:t>
                  </w:r>
                </w:p>
              </w:tc>
              <w:tc>
                <w:tcPr>
                  <w:tcW w:w="2865" w:type="pct"/>
                  <w:vAlign w:val="center"/>
                </w:tcPr>
                <w:p w14:paraId="69F6C76D">
                  <w:pPr>
                    <w:pStyle w:val="135"/>
                    <w:adjustRightInd w:val="0"/>
                    <w:snapToGrid w:val="0"/>
                    <w:jc w:val="both"/>
                    <w:rPr>
                      <w:rFonts w:cs="Times New Roman"/>
                      <w:bCs/>
                      <w:szCs w:val="18"/>
                      <w:lang w:val="de-DE"/>
                    </w:rPr>
                  </w:pPr>
                  <w:r>
                    <w:rPr>
                      <w:rFonts w:hint="eastAsia"/>
                    </w:rPr>
                    <w:t>食堂安装油烟净化器，废气经处理后通过烟囱排放。</w:t>
                  </w:r>
                </w:p>
              </w:tc>
            </w:tr>
            <w:tr w14:paraId="712D3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53" w:type="pct"/>
                  <w:vMerge w:val="restart"/>
                  <w:vAlign w:val="center"/>
                </w:tcPr>
                <w:p w14:paraId="297E0869">
                  <w:pPr>
                    <w:pStyle w:val="135"/>
                    <w:adjustRightInd w:val="0"/>
                    <w:snapToGrid w:val="0"/>
                    <w:rPr>
                      <w:rFonts w:cs="Times New Roman"/>
                      <w:szCs w:val="18"/>
                      <w:lang w:val="de-DE"/>
                    </w:rPr>
                  </w:pPr>
                  <w:r>
                    <w:rPr>
                      <w:rFonts w:cs="Times New Roman"/>
                      <w:szCs w:val="18"/>
                      <w:lang w:val="de-DE"/>
                    </w:rPr>
                    <w:t>废水</w:t>
                  </w:r>
                </w:p>
              </w:tc>
              <w:tc>
                <w:tcPr>
                  <w:tcW w:w="900" w:type="pct"/>
                  <w:vAlign w:val="center"/>
                </w:tcPr>
                <w:p w14:paraId="63155C6A">
                  <w:pPr>
                    <w:pStyle w:val="135"/>
                    <w:adjustRightInd w:val="0"/>
                    <w:snapToGrid w:val="0"/>
                    <w:rPr>
                      <w:rFonts w:cs="Times New Roman"/>
                      <w:szCs w:val="18"/>
                      <w:lang w:val="de-DE"/>
                    </w:rPr>
                  </w:pPr>
                  <w:r>
                    <w:rPr>
                      <w:rFonts w:hint="eastAsia" w:cs="Times New Roman"/>
                      <w:szCs w:val="18"/>
                      <w:lang w:val="de-DE"/>
                    </w:rPr>
                    <w:t>生活污水</w:t>
                  </w:r>
                </w:p>
              </w:tc>
              <w:tc>
                <w:tcPr>
                  <w:tcW w:w="982" w:type="pct"/>
                  <w:vAlign w:val="center"/>
                </w:tcPr>
                <w:p w14:paraId="45873828">
                  <w:pPr>
                    <w:pStyle w:val="135"/>
                    <w:adjustRightInd w:val="0"/>
                    <w:snapToGrid w:val="0"/>
                    <w:rPr>
                      <w:rFonts w:cs="Times New Roman"/>
                      <w:szCs w:val="18"/>
                      <w:lang w:val="de-DE"/>
                    </w:rPr>
                  </w:pPr>
                  <w:r>
                    <w:rPr>
                      <w:rFonts w:hint="eastAsia" w:cs="Times New Roman"/>
                      <w:szCs w:val="18"/>
                      <w:lang w:val="de-DE"/>
                    </w:rPr>
                    <w:t>COD、BOD、SS等</w:t>
                  </w:r>
                </w:p>
              </w:tc>
              <w:tc>
                <w:tcPr>
                  <w:tcW w:w="2865" w:type="pct"/>
                  <w:vAlign w:val="center"/>
                </w:tcPr>
                <w:p w14:paraId="6F8234B7">
                  <w:pPr>
                    <w:pStyle w:val="135"/>
                    <w:adjustRightInd w:val="0"/>
                    <w:snapToGrid w:val="0"/>
                    <w:jc w:val="both"/>
                    <w:rPr>
                      <w:rFonts w:cs="Times New Roman"/>
                      <w:bCs/>
                      <w:szCs w:val="18"/>
                      <w:lang w:val="de-DE"/>
                    </w:rPr>
                  </w:pPr>
                  <w:r>
                    <w:rPr>
                      <w:rFonts w:hint="eastAsia"/>
                    </w:rPr>
                    <w:t>建设1座1</w:t>
                  </w:r>
                  <w:r>
                    <w:t>0</w:t>
                  </w:r>
                  <w:r>
                    <w:rPr>
                      <w:rFonts w:hint="eastAsia"/>
                    </w:rPr>
                    <w:t>m</w:t>
                  </w:r>
                  <w:r>
                    <w:rPr>
                      <w:vertAlign w:val="superscript"/>
                    </w:rPr>
                    <w:t>3</w:t>
                  </w:r>
                  <w:r>
                    <w:rPr>
                      <w:rFonts w:hint="eastAsia"/>
                    </w:rPr>
                    <w:t>化粪池，生活污水经化粪池处理后采用吸污车清运至污水处理厂，后期管网接通后，通过管网排入污水处理厂处理</w:t>
                  </w:r>
                  <w:r>
                    <w:t>。</w:t>
                  </w:r>
                </w:p>
              </w:tc>
            </w:tr>
            <w:tr w14:paraId="00783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53" w:type="pct"/>
                  <w:vMerge w:val="continue"/>
                  <w:vAlign w:val="center"/>
                </w:tcPr>
                <w:p w14:paraId="6E97A81F">
                  <w:pPr>
                    <w:pStyle w:val="135"/>
                    <w:adjustRightInd w:val="0"/>
                    <w:snapToGrid w:val="0"/>
                    <w:rPr>
                      <w:rFonts w:cs="Times New Roman"/>
                      <w:szCs w:val="18"/>
                      <w:lang w:val="de-DE"/>
                    </w:rPr>
                  </w:pPr>
                </w:p>
              </w:tc>
              <w:tc>
                <w:tcPr>
                  <w:tcW w:w="900" w:type="pct"/>
                  <w:vAlign w:val="center"/>
                </w:tcPr>
                <w:p w14:paraId="4B19914A">
                  <w:pPr>
                    <w:pStyle w:val="135"/>
                    <w:adjustRightInd w:val="0"/>
                    <w:snapToGrid w:val="0"/>
                    <w:rPr>
                      <w:rFonts w:cs="Times New Roman"/>
                      <w:szCs w:val="18"/>
                      <w:lang w:val="de-DE"/>
                    </w:rPr>
                  </w:pPr>
                  <w:r>
                    <w:rPr>
                      <w:rFonts w:hint="eastAsia" w:cs="Times New Roman"/>
                      <w:szCs w:val="18"/>
                      <w:lang w:val="de-DE"/>
                    </w:rPr>
                    <w:t>生产废水</w:t>
                  </w:r>
                </w:p>
              </w:tc>
              <w:tc>
                <w:tcPr>
                  <w:tcW w:w="982" w:type="pct"/>
                  <w:vAlign w:val="center"/>
                </w:tcPr>
                <w:p w14:paraId="2EE7B09B">
                  <w:pPr>
                    <w:pStyle w:val="135"/>
                    <w:adjustRightInd w:val="0"/>
                    <w:snapToGrid w:val="0"/>
                    <w:rPr>
                      <w:rFonts w:cs="Times New Roman"/>
                      <w:szCs w:val="18"/>
                      <w:lang w:val="de-DE"/>
                    </w:rPr>
                  </w:pPr>
                  <w:r>
                    <w:rPr>
                      <w:rFonts w:hint="eastAsia" w:cs="Times New Roman"/>
                      <w:szCs w:val="18"/>
                      <w:lang w:val="de-DE"/>
                    </w:rPr>
                    <w:t>SS</w:t>
                  </w:r>
                </w:p>
              </w:tc>
              <w:tc>
                <w:tcPr>
                  <w:tcW w:w="2865" w:type="pct"/>
                  <w:vAlign w:val="center"/>
                </w:tcPr>
                <w:p w14:paraId="096EF34B">
                  <w:pPr>
                    <w:pStyle w:val="135"/>
                    <w:adjustRightInd w:val="0"/>
                    <w:snapToGrid w:val="0"/>
                    <w:jc w:val="both"/>
                    <w:rPr>
                      <w:rFonts w:cs="Times New Roman"/>
                      <w:bCs/>
                      <w:szCs w:val="18"/>
                      <w:lang w:val="de-DE"/>
                    </w:rPr>
                  </w:pPr>
                  <w:r>
                    <w:rPr>
                      <w:rFonts w:hint="eastAsia" w:cs="Times New Roman"/>
                      <w:bCs/>
                      <w:szCs w:val="18"/>
                      <w:lang w:val="de-DE"/>
                    </w:rPr>
                    <w:t>设置1座1</w:t>
                  </w:r>
                  <w:r>
                    <w:rPr>
                      <w:rFonts w:cs="Times New Roman"/>
                      <w:bCs/>
                      <w:szCs w:val="18"/>
                      <w:lang w:val="de-DE"/>
                    </w:rPr>
                    <w:t>0</w:t>
                  </w:r>
                  <w:r>
                    <w:rPr>
                      <w:rFonts w:hint="eastAsia" w:cs="Times New Roman"/>
                      <w:bCs/>
                      <w:szCs w:val="18"/>
                      <w:lang w:val="de-DE"/>
                    </w:rPr>
                    <w:t>m</w:t>
                  </w:r>
                  <w:r>
                    <w:rPr>
                      <w:rFonts w:cs="Times New Roman"/>
                      <w:bCs/>
                      <w:szCs w:val="18"/>
                      <w:vertAlign w:val="superscript"/>
                      <w:lang w:val="de-DE"/>
                    </w:rPr>
                    <w:t>3</w:t>
                  </w:r>
                  <w:r>
                    <w:rPr>
                      <w:rFonts w:hint="eastAsia" w:cs="Times New Roman"/>
                      <w:bCs/>
                      <w:szCs w:val="18"/>
                      <w:lang w:val="de-DE"/>
                    </w:rPr>
                    <w:t>废浆池，生产废水均质后回用于球磨工序。</w:t>
                  </w:r>
                </w:p>
              </w:tc>
            </w:tr>
            <w:tr w14:paraId="32BCA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53" w:type="pct"/>
                  <w:vAlign w:val="center"/>
                </w:tcPr>
                <w:p w14:paraId="1BD4E49F">
                  <w:pPr>
                    <w:pStyle w:val="135"/>
                    <w:adjustRightInd w:val="0"/>
                    <w:snapToGrid w:val="0"/>
                    <w:rPr>
                      <w:rFonts w:cs="Times New Roman"/>
                      <w:szCs w:val="18"/>
                      <w:lang w:val="de-DE"/>
                    </w:rPr>
                  </w:pPr>
                  <w:r>
                    <w:rPr>
                      <w:rFonts w:hint="eastAsia" w:cs="Times New Roman"/>
                      <w:szCs w:val="18"/>
                      <w:lang w:val="de-DE"/>
                    </w:rPr>
                    <w:t>危险废物</w:t>
                  </w:r>
                </w:p>
              </w:tc>
              <w:tc>
                <w:tcPr>
                  <w:tcW w:w="900" w:type="pct"/>
                  <w:vAlign w:val="center"/>
                </w:tcPr>
                <w:p w14:paraId="51537BC1">
                  <w:pPr>
                    <w:pStyle w:val="135"/>
                    <w:adjustRightInd w:val="0"/>
                    <w:snapToGrid w:val="0"/>
                    <w:rPr>
                      <w:rFonts w:cs="Times New Roman"/>
                      <w:szCs w:val="18"/>
                      <w:lang w:val="de-DE"/>
                    </w:rPr>
                  </w:pPr>
                  <w:r>
                    <w:rPr>
                      <w:rFonts w:hint="eastAsia" w:cs="Times New Roman"/>
                      <w:szCs w:val="18"/>
                      <w:lang w:val="de-DE"/>
                    </w:rPr>
                    <w:t>机械维修</w:t>
                  </w:r>
                </w:p>
              </w:tc>
              <w:tc>
                <w:tcPr>
                  <w:tcW w:w="982" w:type="pct"/>
                  <w:vAlign w:val="center"/>
                </w:tcPr>
                <w:p w14:paraId="0ABF8CB5">
                  <w:pPr>
                    <w:pStyle w:val="135"/>
                    <w:adjustRightInd w:val="0"/>
                    <w:snapToGrid w:val="0"/>
                    <w:rPr>
                      <w:rFonts w:cs="Times New Roman"/>
                      <w:szCs w:val="18"/>
                      <w:lang w:val="de-DE"/>
                    </w:rPr>
                  </w:pPr>
                  <w:r>
                    <w:rPr>
                      <w:rFonts w:hint="eastAsia"/>
                    </w:rPr>
                    <w:t>废机油、废机油桶</w:t>
                  </w:r>
                </w:p>
              </w:tc>
              <w:tc>
                <w:tcPr>
                  <w:tcW w:w="2865" w:type="pct"/>
                  <w:vAlign w:val="center"/>
                </w:tcPr>
                <w:p w14:paraId="7185BD50">
                  <w:pPr>
                    <w:pStyle w:val="135"/>
                    <w:adjustRightInd w:val="0"/>
                    <w:snapToGrid w:val="0"/>
                    <w:jc w:val="both"/>
                    <w:rPr>
                      <w:rFonts w:cs="Times New Roman"/>
                      <w:bCs/>
                      <w:szCs w:val="18"/>
                      <w:lang w:val="de-DE"/>
                    </w:rPr>
                  </w:pPr>
                  <w:r>
                    <w:rPr>
                      <w:rFonts w:hint="eastAsia"/>
                    </w:rPr>
                    <w:t>在生产车间一内建设1座5m</w:t>
                  </w:r>
                  <w:r>
                    <w:rPr>
                      <w:vertAlign w:val="superscript"/>
                    </w:rPr>
                    <w:t>2</w:t>
                  </w:r>
                  <w:r>
                    <w:rPr>
                      <w:rFonts w:hint="eastAsia"/>
                    </w:rPr>
                    <w:t>危废暂存间，危险废物定期委托有危险废物处置资质的单位清运处理。</w:t>
                  </w:r>
                </w:p>
              </w:tc>
            </w:tr>
            <w:tr w14:paraId="4C4F28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53" w:type="pct"/>
                  <w:vMerge w:val="restart"/>
                  <w:vAlign w:val="center"/>
                </w:tcPr>
                <w:p w14:paraId="2BCA459B">
                  <w:pPr>
                    <w:pStyle w:val="135"/>
                    <w:adjustRightInd w:val="0"/>
                    <w:snapToGrid w:val="0"/>
                    <w:rPr>
                      <w:rFonts w:cs="Times New Roman"/>
                      <w:szCs w:val="18"/>
                      <w:lang w:val="de-DE"/>
                    </w:rPr>
                  </w:pPr>
                  <w:r>
                    <w:rPr>
                      <w:rFonts w:hint="eastAsia" w:cs="Times New Roman"/>
                      <w:szCs w:val="18"/>
                      <w:lang w:val="de-DE"/>
                    </w:rPr>
                    <w:t>一般固废</w:t>
                  </w:r>
                </w:p>
              </w:tc>
              <w:tc>
                <w:tcPr>
                  <w:tcW w:w="900" w:type="pct"/>
                  <w:vAlign w:val="center"/>
                </w:tcPr>
                <w:p w14:paraId="09DD02D6">
                  <w:pPr>
                    <w:pStyle w:val="135"/>
                    <w:adjustRightInd w:val="0"/>
                    <w:snapToGrid w:val="0"/>
                    <w:rPr>
                      <w:rFonts w:cs="Times New Roman"/>
                      <w:szCs w:val="18"/>
                      <w:lang w:val="de-DE"/>
                    </w:rPr>
                  </w:pPr>
                  <w:r>
                    <w:rPr>
                      <w:rFonts w:hint="eastAsia" w:cs="Times New Roman"/>
                      <w:szCs w:val="18"/>
                      <w:lang w:val="de-DE"/>
                    </w:rPr>
                    <w:t>粉料筒仓</w:t>
                  </w:r>
                </w:p>
              </w:tc>
              <w:tc>
                <w:tcPr>
                  <w:tcW w:w="982" w:type="pct"/>
                  <w:vAlign w:val="center"/>
                </w:tcPr>
                <w:p w14:paraId="7EC26FB4">
                  <w:pPr>
                    <w:pStyle w:val="135"/>
                    <w:adjustRightInd w:val="0"/>
                    <w:snapToGrid w:val="0"/>
                    <w:rPr>
                      <w:rFonts w:cs="Times New Roman"/>
                      <w:szCs w:val="18"/>
                      <w:lang w:val="de-DE"/>
                    </w:rPr>
                  </w:pPr>
                  <w:r>
                    <w:rPr>
                      <w:rFonts w:hint="eastAsia" w:cs="Times New Roman"/>
                      <w:szCs w:val="18"/>
                      <w:lang w:val="de-DE"/>
                    </w:rPr>
                    <w:t>除尘灰</w:t>
                  </w:r>
                </w:p>
              </w:tc>
              <w:tc>
                <w:tcPr>
                  <w:tcW w:w="2865" w:type="pct"/>
                  <w:vAlign w:val="center"/>
                </w:tcPr>
                <w:p w14:paraId="044453CA">
                  <w:pPr>
                    <w:pStyle w:val="135"/>
                    <w:adjustRightInd w:val="0"/>
                    <w:snapToGrid w:val="0"/>
                    <w:rPr>
                      <w:rFonts w:cs="Times New Roman"/>
                      <w:bCs/>
                      <w:szCs w:val="18"/>
                      <w:lang w:val="de-DE"/>
                    </w:rPr>
                  </w:pPr>
                  <w:r>
                    <w:rPr>
                      <w:rFonts w:hint="eastAsia" w:cs="Times New Roman"/>
                      <w:bCs/>
                      <w:szCs w:val="18"/>
                      <w:lang w:val="de-DE"/>
                    </w:rPr>
                    <w:t>回用作为原料。</w:t>
                  </w:r>
                </w:p>
              </w:tc>
            </w:tr>
            <w:tr w14:paraId="61D02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53" w:type="pct"/>
                  <w:vMerge w:val="continue"/>
                  <w:vAlign w:val="center"/>
                </w:tcPr>
                <w:p w14:paraId="4D80C094">
                  <w:pPr>
                    <w:pStyle w:val="135"/>
                    <w:adjustRightInd w:val="0"/>
                    <w:snapToGrid w:val="0"/>
                    <w:rPr>
                      <w:rFonts w:cs="Times New Roman"/>
                      <w:szCs w:val="18"/>
                      <w:lang w:val="de-DE"/>
                    </w:rPr>
                  </w:pPr>
                </w:p>
              </w:tc>
              <w:tc>
                <w:tcPr>
                  <w:tcW w:w="900" w:type="pct"/>
                  <w:vAlign w:val="center"/>
                </w:tcPr>
                <w:p w14:paraId="5F68C7D4">
                  <w:pPr>
                    <w:pStyle w:val="135"/>
                    <w:adjustRightInd w:val="0"/>
                    <w:snapToGrid w:val="0"/>
                    <w:rPr>
                      <w:rFonts w:cs="Times New Roman"/>
                      <w:szCs w:val="18"/>
                      <w:lang w:val="de-DE"/>
                    </w:rPr>
                  </w:pPr>
                  <w:r>
                    <w:rPr>
                      <w:rFonts w:hint="eastAsia" w:cs="Times New Roman"/>
                      <w:szCs w:val="18"/>
                      <w:lang w:val="de-DE"/>
                    </w:rPr>
                    <w:t>切割、蒸汽养护</w:t>
                  </w:r>
                </w:p>
              </w:tc>
              <w:tc>
                <w:tcPr>
                  <w:tcW w:w="982" w:type="pct"/>
                  <w:vAlign w:val="center"/>
                </w:tcPr>
                <w:p w14:paraId="51C6F697">
                  <w:pPr>
                    <w:pStyle w:val="135"/>
                    <w:adjustRightInd w:val="0"/>
                    <w:snapToGrid w:val="0"/>
                    <w:rPr>
                      <w:rFonts w:cs="Times New Roman"/>
                      <w:szCs w:val="18"/>
                      <w:lang w:val="de-DE"/>
                    </w:rPr>
                  </w:pPr>
                  <w:r>
                    <w:rPr>
                      <w:rFonts w:hint="eastAsia" w:cs="Times New Roman"/>
                      <w:szCs w:val="18"/>
                      <w:lang w:val="de-DE"/>
                    </w:rPr>
                    <w:t>边角料、不合格产品</w:t>
                  </w:r>
                </w:p>
              </w:tc>
              <w:tc>
                <w:tcPr>
                  <w:tcW w:w="2865" w:type="pct"/>
                  <w:vAlign w:val="center"/>
                </w:tcPr>
                <w:p w14:paraId="58EEF23E">
                  <w:pPr>
                    <w:pStyle w:val="135"/>
                    <w:adjustRightInd w:val="0"/>
                    <w:snapToGrid w:val="0"/>
                    <w:rPr>
                      <w:rFonts w:cs="Times New Roman"/>
                      <w:bCs/>
                      <w:szCs w:val="18"/>
                      <w:lang w:val="de-DE"/>
                    </w:rPr>
                  </w:pPr>
                  <w:r>
                    <w:rPr>
                      <w:rFonts w:hint="eastAsia" w:cs="Times New Roman"/>
                      <w:bCs/>
                      <w:szCs w:val="18"/>
                      <w:lang w:val="de-DE"/>
                    </w:rPr>
                    <w:t>回用作为原料。</w:t>
                  </w:r>
                </w:p>
              </w:tc>
            </w:tr>
            <w:tr w14:paraId="2D60B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53" w:type="pct"/>
                  <w:vMerge w:val="continue"/>
                  <w:vAlign w:val="center"/>
                </w:tcPr>
                <w:p w14:paraId="4A54C64C">
                  <w:pPr>
                    <w:pStyle w:val="135"/>
                    <w:adjustRightInd w:val="0"/>
                    <w:snapToGrid w:val="0"/>
                    <w:rPr>
                      <w:rFonts w:cs="Times New Roman"/>
                      <w:szCs w:val="18"/>
                      <w:lang w:val="de-DE"/>
                    </w:rPr>
                  </w:pPr>
                </w:p>
              </w:tc>
              <w:tc>
                <w:tcPr>
                  <w:tcW w:w="900" w:type="pct"/>
                  <w:vAlign w:val="center"/>
                </w:tcPr>
                <w:p w14:paraId="314838C9">
                  <w:pPr>
                    <w:pStyle w:val="135"/>
                    <w:adjustRightInd w:val="0"/>
                    <w:snapToGrid w:val="0"/>
                    <w:rPr>
                      <w:rFonts w:cs="Times New Roman"/>
                      <w:szCs w:val="18"/>
                      <w:lang w:val="de-DE"/>
                    </w:rPr>
                  </w:pPr>
                  <w:r>
                    <w:rPr>
                      <w:rFonts w:hint="eastAsia" w:cs="Times New Roman"/>
                      <w:szCs w:val="18"/>
                      <w:lang w:val="de-DE"/>
                    </w:rPr>
                    <w:t>生物质锅炉</w:t>
                  </w:r>
                </w:p>
              </w:tc>
              <w:tc>
                <w:tcPr>
                  <w:tcW w:w="982" w:type="pct"/>
                  <w:vAlign w:val="center"/>
                </w:tcPr>
                <w:p w14:paraId="3AB7556E">
                  <w:pPr>
                    <w:pStyle w:val="135"/>
                    <w:adjustRightInd w:val="0"/>
                    <w:snapToGrid w:val="0"/>
                    <w:rPr>
                      <w:rFonts w:cs="Times New Roman"/>
                      <w:szCs w:val="18"/>
                      <w:lang w:val="de-DE"/>
                    </w:rPr>
                  </w:pPr>
                  <w:r>
                    <w:rPr>
                      <w:rFonts w:hint="eastAsia" w:cs="Times New Roman"/>
                      <w:szCs w:val="18"/>
                      <w:lang w:val="de-DE"/>
                    </w:rPr>
                    <w:t>炉渣</w:t>
                  </w:r>
                </w:p>
              </w:tc>
              <w:tc>
                <w:tcPr>
                  <w:tcW w:w="2865" w:type="pct"/>
                  <w:vAlign w:val="center"/>
                </w:tcPr>
                <w:p w14:paraId="265531B5">
                  <w:pPr>
                    <w:pStyle w:val="135"/>
                    <w:adjustRightInd w:val="0"/>
                    <w:snapToGrid w:val="0"/>
                    <w:rPr>
                      <w:rFonts w:cs="Times New Roman"/>
                      <w:bCs/>
                      <w:szCs w:val="18"/>
                      <w:lang w:val="de-DE"/>
                    </w:rPr>
                  </w:pPr>
                  <w:r>
                    <w:rPr>
                      <w:rFonts w:hint="eastAsia" w:cs="Times New Roman"/>
                      <w:bCs/>
                      <w:szCs w:val="18"/>
                      <w:lang w:val="de-DE"/>
                    </w:rPr>
                    <w:t>回用作为原料。</w:t>
                  </w:r>
                </w:p>
              </w:tc>
            </w:tr>
            <w:tr w14:paraId="26FC0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53" w:type="pct"/>
                  <w:vMerge w:val="continue"/>
                  <w:vAlign w:val="center"/>
                </w:tcPr>
                <w:p w14:paraId="49A9E7C3">
                  <w:pPr>
                    <w:pStyle w:val="135"/>
                    <w:adjustRightInd w:val="0"/>
                    <w:snapToGrid w:val="0"/>
                    <w:rPr>
                      <w:rFonts w:cs="Times New Roman"/>
                      <w:szCs w:val="18"/>
                      <w:lang w:val="de-DE"/>
                    </w:rPr>
                  </w:pPr>
                </w:p>
              </w:tc>
              <w:tc>
                <w:tcPr>
                  <w:tcW w:w="900" w:type="pct"/>
                  <w:vAlign w:val="center"/>
                </w:tcPr>
                <w:p w14:paraId="162D0087">
                  <w:pPr>
                    <w:pStyle w:val="135"/>
                    <w:adjustRightInd w:val="0"/>
                    <w:snapToGrid w:val="0"/>
                    <w:rPr>
                      <w:rFonts w:cs="Times New Roman"/>
                      <w:szCs w:val="18"/>
                      <w:lang w:val="de-DE"/>
                    </w:rPr>
                  </w:pPr>
                  <w:r>
                    <w:rPr>
                      <w:rFonts w:hint="eastAsia" w:cs="Times New Roman"/>
                      <w:szCs w:val="18"/>
                      <w:lang w:val="de-DE"/>
                    </w:rPr>
                    <w:t>生活污水处理</w:t>
                  </w:r>
                </w:p>
              </w:tc>
              <w:tc>
                <w:tcPr>
                  <w:tcW w:w="982" w:type="pct"/>
                  <w:vAlign w:val="center"/>
                </w:tcPr>
                <w:p w14:paraId="577A08F8">
                  <w:pPr>
                    <w:pStyle w:val="135"/>
                    <w:adjustRightInd w:val="0"/>
                    <w:snapToGrid w:val="0"/>
                    <w:rPr>
                      <w:rFonts w:cs="Times New Roman"/>
                      <w:szCs w:val="18"/>
                      <w:lang w:val="de-DE"/>
                    </w:rPr>
                  </w:pPr>
                  <w:r>
                    <w:rPr>
                      <w:rFonts w:hint="eastAsia" w:cs="Times New Roman"/>
                      <w:szCs w:val="18"/>
                      <w:lang w:val="de-DE"/>
                    </w:rPr>
                    <w:t>化粪池污泥</w:t>
                  </w:r>
                </w:p>
              </w:tc>
              <w:tc>
                <w:tcPr>
                  <w:tcW w:w="2865" w:type="pct"/>
                  <w:vAlign w:val="center"/>
                </w:tcPr>
                <w:p w14:paraId="7FB6E855">
                  <w:pPr>
                    <w:pStyle w:val="135"/>
                    <w:adjustRightInd w:val="0"/>
                    <w:snapToGrid w:val="0"/>
                    <w:rPr>
                      <w:rFonts w:cs="Times New Roman"/>
                      <w:bCs/>
                      <w:szCs w:val="18"/>
                      <w:lang w:val="de-DE"/>
                    </w:rPr>
                  </w:pPr>
                  <w:r>
                    <w:rPr>
                      <w:rFonts w:hint="eastAsia"/>
                    </w:rPr>
                    <w:t>化粪池污泥委托第三方清单清运处理。</w:t>
                  </w:r>
                </w:p>
              </w:tc>
            </w:tr>
            <w:tr w14:paraId="04465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1153" w:type="pct"/>
                  <w:gridSpan w:val="2"/>
                  <w:vAlign w:val="center"/>
                </w:tcPr>
                <w:p w14:paraId="5E4B9230">
                  <w:pPr>
                    <w:pStyle w:val="135"/>
                    <w:adjustRightInd w:val="0"/>
                    <w:snapToGrid w:val="0"/>
                    <w:rPr>
                      <w:rFonts w:cs="Times New Roman"/>
                      <w:szCs w:val="18"/>
                      <w:lang w:val="de-DE"/>
                    </w:rPr>
                  </w:pPr>
                  <w:r>
                    <w:rPr>
                      <w:rFonts w:hint="eastAsia" w:cs="Times New Roman"/>
                      <w:szCs w:val="18"/>
                      <w:lang w:val="de-DE"/>
                    </w:rPr>
                    <w:t>员工生活</w:t>
                  </w:r>
                </w:p>
              </w:tc>
              <w:tc>
                <w:tcPr>
                  <w:tcW w:w="982" w:type="pct"/>
                  <w:vAlign w:val="center"/>
                </w:tcPr>
                <w:p w14:paraId="1434314D">
                  <w:pPr>
                    <w:pStyle w:val="135"/>
                    <w:adjustRightInd w:val="0"/>
                    <w:snapToGrid w:val="0"/>
                    <w:rPr>
                      <w:rFonts w:cs="Times New Roman"/>
                      <w:szCs w:val="18"/>
                      <w:lang w:val="de-DE"/>
                    </w:rPr>
                  </w:pPr>
                  <w:r>
                    <w:rPr>
                      <w:rFonts w:hint="eastAsia" w:cs="Times New Roman"/>
                      <w:szCs w:val="18"/>
                      <w:lang w:val="de-DE"/>
                    </w:rPr>
                    <w:t>生活垃圾</w:t>
                  </w:r>
                </w:p>
              </w:tc>
              <w:tc>
                <w:tcPr>
                  <w:tcW w:w="2865" w:type="pct"/>
                  <w:vAlign w:val="center"/>
                </w:tcPr>
                <w:p w14:paraId="31542619">
                  <w:pPr>
                    <w:pStyle w:val="135"/>
                    <w:adjustRightInd w:val="0"/>
                    <w:snapToGrid w:val="0"/>
                    <w:rPr>
                      <w:rFonts w:cs="Times New Roman"/>
                      <w:bCs/>
                      <w:szCs w:val="18"/>
                      <w:lang w:val="de-DE"/>
                    </w:rPr>
                  </w:pPr>
                  <w:r>
                    <w:rPr>
                      <w:rFonts w:hint="eastAsia" w:cs="Times New Roman"/>
                      <w:bCs/>
                      <w:szCs w:val="18"/>
                      <w:lang w:val="de-DE"/>
                    </w:rPr>
                    <w:t>由环卫部门清运处理。</w:t>
                  </w:r>
                </w:p>
              </w:tc>
            </w:tr>
            <w:tr w14:paraId="402D7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253" w:type="pct"/>
                  <w:vAlign w:val="center"/>
                </w:tcPr>
                <w:p w14:paraId="1AD349D3">
                  <w:pPr>
                    <w:pStyle w:val="135"/>
                    <w:adjustRightInd w:val="0"/>
                    <w:snapToGrid w:val="0"/>
                    <w:rPr>
                      <w:rFonts w:cs="Times New Roman"/>
                      <w:szCs w:val="18"/>
                      <w:lang w:val="de-DE"/>
                    </w:rPr>
                  </w:pPr>
                  <w:r>
                    <w:rPr>
                      <w:rFonts w:cs="Times New Roman"/>
                      <w:szCs w:val="18"/>
                      <w:lang w:val="de-DE"/>
                    </w:rPr>
                    <w:t>噪声</w:t>
                  </w:r>
                </w:p>
              </w:tc>
              <w:tc>
                <w:tcPr>
                  <w:tcW w:w="900" w:type="pct"/>
                  <w:vAlign w:val="center"/>
                </w:tcPr>
                <w:p w14:paraId="36C3E2AB">
                  <w:pPr>
                    <w:pStyle w:val="135"/>
                    <w:adjustRightInd w:val="0"/>
                    <w:snapToGrid w:val="0"/>
                    <w:rPr>
                      <w:rFonts w:cs="Times New Roman"/>
                      <w:szCs w:val="18"/>
                      <w:lang w:val="de-DE"/>
                    </w:rPr>
                  </w:pPr>
                  <w:r>
                    <w:rPr>
                      <w:rFonts w:hint="eastAsia" w:cs="Times New Roman"/>
                      <w:szCs w:val="18"/>
                      <w:lang w:val="de-DE"/>
                    </w:rPr>
                    <w:t>生产设备运行</w:t>
                  </w:r>
                </w:p>
              </w:tc>
              <w:tc>
                <w:tcPr>
                  <w:tcW w:w="982" w:type="pct"/>
                  <w:vAlign w:val="center"/>
                </w:tcPr>
                <w:p w14:paraId="13DB8ABF">
                  <w:pPr>
                    <w:pStyle w:val="135"/>
                    <w:adjustRightInd w:val="0"/>
                    <w:snapToGrid w:val="0"/>
                    <w:rPr>
                      <w:rFonts w:cs="Times New Roman"/>
                      <w:szCs w:val="18"/>
                      <w:lang w:val="de-DE"/>
                    </w:rPr>
                  </w:pPr>
                  <w:r>
                    <w:rPr>
                      <w:rFonts w:hint="eastAsia" w:cs="Times New Roman"/>
                      <w:szCs w:val="18"/>
                      <w:lang w:val="de-DE"/>
                    </w:rPr>
                    <w:t>噪声</w:t>
                  </w:r>
                </w:p>
              </w:tc>
              <w:tc>
                <w:tcPr>
                  <w:tcW w:w="2865" w:type="pct"/>
                  <w:vAlign w:val="center"/>
                </w:tcPr>
                <w:p w14:paraId="686685F2">
                  <w:pPr>
                    <w:pStyle w:val="135"/>
                    <w:adjustRightInd w:val="0"/>
                    <w:snapToGrid w:val="0"/>
                    <w:rPr>
                      <w:rFonts w:cs="Times New Roman"/>
                      <w:bCs/>
                      <w:szCs w:val="18"/>
                      <w:lang w:val="de-DE"/>
                    </w:rPr>
                  </w:pPr>
                  <w:r>
                    <w:rPr>
                      <w:rFonts w:hint="eastAsia" w:cs="Times New Roman"/>
                      <w:bCs/>
                      <w:szCs w:val="18"/>
                      <w:lang w:val="de-DE"/>
                    </w:rPr>
                    <w:t>采取隔声、减震、柔性接头等措施</w:t>
                  </w:r>
                </w:p>
              </w:tc>
            </w:tr>
          </w:tbl>
          <w:p w14:paraId="433B1C9D">
            <w:pPr>
              <w:ind w:firstLine="420"/>
            </w:pPr>
          </w:p>
        </w:tc>
      </w:tr>
      <w:tr w14:paraId="6FEA7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51" w:type="dxa"/>
            <w:vAlign w:val="center"/>
          </w:tcPr>
          <w:p w14:paraId="2E0DD246">
            <w:pPr>
              <w:pStyle w:val="29"/>
              <w:spacing w:before="0" w:beforeAutospacing="0" w:after="0" w:afterAutospacing="0" w:line="440" w:lineRule="exact"/>
              <w:ind w:firstLine="0" w:firstLineChars="0"/>
              <w:jc w:val="center"/>
              <w:rPr>
                <w:rFonts w:ascii="Times New Roman" w:hAnsi="Times New Roman"/>
                <w:szCs w:val="21"/>
              </w:rPr>
            </w:pPr>
            <w:r>
              <w:rPr>
                <w:rFonts w:ascii="Times New Roman" w:hAnsi="Times New Roman"/>
                <w:bCs/>
                <w:kern w:val="2"/>
                <w:szCs w:val="21"/>
              </w:rPr>
              <w:t>与项目有关的原有环境污染问题</w:t>
            </w:r>
          </w:p>
        </w:tc>
        <w:tc>
          <w:tcPr>
            <w:tcW w:w="8679" w:type="dxa"/>
            <w:vAlign w:val="center"/>
          </w:tcPr>
          <w:p w14:paraId="63488385">
            <w:pPr>
              <w:ind w:firstLine="420"/>
            </w:pPr>
            <w:r>
              <w:rPr>
                <w:rFonts w:hint="eastAsia"/>
              </w:rPr>
              <w:t>本项目购置现有厂房进行建设，无与项目有关的原有环境污染问题。</w:t>
            </w:r>
          </w:p>
        </w:tc>
      </w:tr>
    </w:tbl>
    <w:p w14:paraId="0780CCA8">
      <w:pPr>
        <w:spacing w:line="288" w:lineRule="auto"/>
        <w:ind w:firstLine="420"/>
        <w:jc w:val="center"/>
        <w:sectPr>
          <w:pgSz w:w="11906" w:h="16838"/>
          <w:pgMar w:top="1440" w:right="1797" w:bottom="1440" w:left="1797" w:header="851" w:footer="958" w:gutter="0"/>
          <w:pgNumType w:fmt="numberInDash"/>
          <w:cols w:space="720" w:num="1"/>
          <w:docGrid w:linePitch="312" w:charSpace="0"/>
        </w:sectPr>
      </w:pPr>
    </w:p>
    <w:p w14:paraId="2C53BFC8">
      <w:pPr>
        <w:pStyle w:val="29"/>
        <w:spacing w:before="0" w:beforeAutospacing="0" w:after="0" w:afterAutospacing="0" w:line="240" w:lineRule="auto"/>
        <w:ind w:firstLine="0" w:firstLineChars="0"/>
        <w:jc w:val="center"/>
        <w:outlineLvl w:val="0"/>
        <w:rPr>
          <w:rFonts w:cs="宋体"/>
          <w:b/>
          <w:bCs/>
          <w:snapToGrid w:val="0"/>
          <w:sz w:val="30"/>
          <w:szCs w:val="30"/>
        </w:rPr>
      </w:pPr>
      <w:bookmarkStart w:id="4" w:name="_Toc171001979"/>
      <w:r>
        <w:rPr>
          <w:rFonts w:cs="宋体"/>
          <w:b/>
          <w:bCs/>
          <w:snapToGrid w:val="0"/>
          <w:sz w:val="30"/>
          <w:szCs w:val="30"/>
        </w:rPr>
        <w:t>三、区域环境质量现状、环境保护目标及评价标准</w:t>
      </w:r>
      <w:bookmarkEnd w:id="4"/>
    </w:p>
    <w:tbl>
      <w:tblPr>
        <w:tblStyle w:val="33"/>
        <w:tblW w:w="843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56"/>
        <w:gridCol w:w="7975"/>
      </w:tblGrid>
      <w:tr w14:paraId="076534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56" w:type="dxa"/>
            <w:vAlign w:val="center"/>
          </w:tcPr>
          <w:p w14:paraId="6B438E8C">
            <w:pPr>
              <w:ind w:firstLine="0" w:firstLineChars="0"/>
              <w:jc w:val="center"/>
              <w:rPr>
                <w:kern w:val="0"/>
                <w:szCs w:val="21"/>
              </w:rPr>
            </w:pPr>
            <w:r>
              <w:rPr>
                <w:kern w:val="0"/>
                <w:szCs w:val="21"/>
              </w:rPr>
              <w:t>区域环境质量现状</w:t>
            </w:r>
          </w:p>
        </w:tc>
        <w:tc>
          <w:tcPr>
            <w:tcW w:w="7975" w:type="dxa"/>
            <w:vAlign w:val="center"/>
          </w:tcPr>
          <w:p w14:paraId="22934365">
            <w:pPr>
              <w:pStyle w:val="157"/>
            </w:pPr>
            <w:r>
              <w:t>1、大气环境质量</w:t>
            </w:r>
          </w:p>
          <w:p w14:paraId="304C885B">
            <w:pPr>
              <w:ind w:firstLine="420"/>
            </w:pPr>
            <w:r>
              <w:t>（1）</w:t>
            </w:r>
            <w:r>
              <w:rPr>
                <w:rFonts w:hint="eastAsia"/>
              </w:rPr>
              <w:t>区域环境空气达标判定</w:t>
            </w:r>
          </w:p>
          <w:p w14:paraId="76C5DA63">
            <w:pPr>
              <w:ind w:firstLine="420"/>
            </w:pPr>
            <w:r>
              <w:t>根据《建设项目环境影响报告表编制技术指南（</w:t>
            </w:r>
            <w:r>
              <w:rPr>
                <w:rFonts w:hint="eastAsia"/>
              </w:rPr>
              <w:t>污染</w:t>
            </w:r>
            <w:r>
              <w:t>影响类）（试行）》，项目所在区域达标判定，优先采用国家或地方生态环境主管部门公开发布的评价基准年环境质量公告或环境质量报告中的数据或结论。</w:t>
            </w:r>
          </w:p>
          <w:p w14:paraId="42623F0D">
            <w:pPr>
              <w:ind w:firstLine="420"/>
            </w:pPr>
            <w:r>
              <w:rPr>
                <w:rFonts w:hint="eastAsia"/>
              </w:rPr>
              <w:t>本项目位于四川巴中经济开发区兴文街道，本次环评引用巴中市生态环境局</w:t>
            </w:r>
            <w:r>
              <w:t>2024</w:t>
            </w:r>
            <w:r>
              <w:rPr>
                <w:rFonts w:hint="eastAsia"/>
              </w:rPr>
              <w:t>年6月5日公开发布的《</w:t>
            </w:r>
            <w:r>
              <w:t>2023</w:t>
            </w:r>
            <w:r>
              <w:rPr>
                <w:rFonts w:hint="eastAsia"/>
              </w:rPr>
              <w:t>年巴中市生态环境状况公报》中环境空气质量数据，本项目所在区域环境空气质量满足《环境空气质量标准》（GB</w:t>
            </w:r>
            <w:r>
              <w:t xml:space="preserve"> 3095-2012</w:t>
            </w:r>
            <w:r>
              <w:rPr>
                <w:rFonts w:hint="eastAsia"/>
              </w:rPr>
              <w:t>）二级标准。</w:t>
            </w:r>
          </w:p>
          <w:p w14:paraId="46AB60B0">
            <w:pPr>
              <w:pStyle w:val="156"/>
            </w:pPr>
            <w:r>
              <w:rPr>
                <w:rFonts w:hint="eastAsia"/>
              </w:rPr>
              <w:t>表3</w:t>
            </w:r>
            <w:r>
              <w:t xml:space="preserve">-1  </w:t>
            </w:r>
            <w:r>
              <w:rPr>
                <w:rFonts w:hint="eastAsia"/>
              </w:rPr>
              <w:t xml:space="preserve">区域环境空气达标判定表 </w:t>
            </w:r>
            <w:r>
              <w:t xml:space="preserve"> 单位：ug/m</w:t>
            </w:r>
            <w:r>
              <w:rPr>
                <w:vertAlign w:val="superscript"/>
              </w:rPr>
              <w:t>3</w:t>
            </w:r>
            <w:r>
              <w:t>，CO：mg/m</w:t>
            </w:r>
            <w:r>
              <w:rPr>
                <w:vertAlign w:val="superscript"/>
              </w:rPr>
              <w:t>3</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23"/>
              <w:gridCol w:w="2765"/>
              <w:gridCol w:w="1054"/>
              <w:gridCol w:w="821"/>
              <w:gridCol w:w="1419"/>
              <w:gridCol w:w="978"/>
            </w:tblGrid>
            <w:tr w14:paraId="25278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80" w:type="pct"/>
                  <w:vAlign w:val="center"/>
                </w:tcPr>
                <w:p w14:paraId="37A91D00">
                  <w:pPr>
                    <w:pStyle w:val="135"/>
                    <w:adjustRightInd w:val="0"/>
                    <w:snapToGrid w:val="0"/>
                    <w:rPr>
                      <w:b/>
                      <w:bCs/>
                    </w:rPr>
                  </w:pPr>
                  <w:r>
                    <w:rPr>
                      <w:b/>
                      <w:bCs/>
                    </w:rPr>
                    <w:t>污染物</w:t>
                  </w:r>
                </w:p>
              </w:tc>
              <w:tc>
                <w:tcPr>
                  <w:tcW w:w="1737" w:type="pct"/>
                  <w:vAlign w:val="center"/>
                </w:tcPr>
                <w:p w14:paraId="6DCA5367">
                  <w:pPr>
                    <w:pStyle w:val="135"/>
                    <w:adjustRightInd w:val="0"/>
                    <w:snapToGrid w:val="0"/>
                    <w:rPr>
                      <w:b/>
                      <w:bCs/>
                    </w:rPr>
                  </w:pPr>
                  <w:r>
                    <w:rPr>
                      <w:b/>
                      <w:bCs/>
                    </w:rPr>
                    <w:t>年评价指标</w:t>
                  </w:r>
                </w:p>
              </w:tc>
              <w:tc>
                <w:tcPr>
                  <w:tcW w:w="662" w:type="pct"/>
                  <w:vAlign w:val="center"/>
                </w:tcPr>
                <w:p w14:paraId="05EE7E6C">
                  <w:pPr>
                    <w:pStyle w:val="135"/>
                    <w:adjustRightInd w:val="0"/>
                    <w:snapToGrid w:val="0"/>
                    <w:rPr>
                      <w:b/>
                      <w:bCs/>
                    </w:rPr>
                  </w:pPr>
                  <w:r>
                    <w:rPr>
                      <w:b/>
                      <w:bCs/>
                    </w:rPr>
                    <w:t>现状浓度</w:t>
                  </w:r>
                </w:p>
              </w:tc>
              <w:tc>
                <w:tcPr>
                  <w:tcW w:w="516" w:type="pct"/>
                  <w:vAlign w:val="center"/>
                </w:tcPr>
                <w:p w14:paraId="2974AD35">
                  <w:pPr>
                    <w:pStyle w:val="135"/>
                    <w:adjustRightInd w:val="0"/>
                    <w:snapToGrid w:val="0"/>
                    <w:rPr>
                      <w:b/>
                      <w:bCs/>
                    </w:rPr>
                  </w:pPr>
                  <w:r>
                    <w:rPr>
                      <w:b/>
                      <w:bCs/>
                    </w:rPr>
                    <w:t>标准值</w:t>
                  </w:r>
                </w:p>
              </w:tc>
              <w:tc>
                <w:tcPr>
                  <w:tcW w:w="891" w:type="pct"/>
                  <w:vAlign w:val="center"/>
                </w:tcPr>
                <w:p w14:paraId="7C259807">
                  <w:pPr>
                    <w:pStyle w:val="135"/>
                    <w:adjustRightInd w:val="0"/>
                    <w:snapToGrid w:val="0"/>
                    <w:rPr>
                      <w:b/>
                      <w:bCs/>
                    </w:rPr>
                  </w:pPr>
                  <w:r>
                    <w:rPr>
                      <w:b/>
                      <w:bCs/>
                    </w:rPr>
                    <w:t>占标率（%）</w:t>
                  </w:r>
                </w:p>
              </w:tc>
              <w:tc>
                <w:tcPr>
                  <w:tcW w:w="615" w:type="pct"/>
                  <w:vAlign w:val="center"/>
                </w:tcPr>
                <w:p w14:paraId="49463336">
                  <w:pPr>
                    <w:pStyle w:val="135"/>
                    <w:adjustRightInd w:val="0"/>
                    <w:snapToGrid w:val="0"/>
                    <w:rPr>
                      <w:b/>
                      <w:bCs/>
                    </w:rPr>
                  </w:pPr>
                  <w:r>
                    <w:rPr>
                      <w:b/>
                      <w:bCs/>
                    </w:rPr>
                    <w:t>达标情况</w:t>
                  </w:r>
                </w:p>
              </w:tc>
            </w:tr>
            <w:tr w14:paraId="616AA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80" w:type="pct"/>
                  <w:vAlign w:val="center"/>
                </w:tcPr>
                <w:p w14:paraId="77E89F4B">
                  <w:pPr>
                    <w:pStyle w:val="135"/>
                    <w:adjustRightInd w:val="0"/>
                    <w:snapToGrid w:val="0"/>
                  </w:pPr>
                  <w:r>
                    <w:t>SO</w:t>
                  </w:r>
                  <w:r>
                    <w:rPr>
                      <w:vertAlign w:val="subscript"/>
                    </w:rPr>
                    <w:t>2</w:t>
                  </w:r>
                </w:p>
              </w:tc>
              <w:tc>
                <w:tcPr>
                  <w:tcW w:w="1737" w:type="pct"/>
                  <w:vAlign w:val="center"/>
                </w:tcPr>
                <w:p w14:paraId="3233E5C6">
                  <w:pPr>
                    <w:pStyle w:val="135"/>
                    <w:adjustRightInd w:val="0"/>
                    <w:snapToGrid w:val="0"/>
                  </w:pPr>
                  <w:r>
                    <w:t>年平均质量浓度</w:t>
                  </w:r>
                </w:p>
              </w:tc>
              <w:tc>
                <w:tcPr>
                  <w:tcW w:w="662" w:type="pct"/>
                  <w:vAlign w:val="center"/>
                </w:tcPr>
                <w:p w14:paraId="0C02BB91">
                  <w:pPr>
                    <w:pStyle w:val="135"/>
                    <w:adjustRightInd w:val="0"/>
                    <w:snapToGrid w:val="0"/>
                  </w:pPr>
                  <w:r>
                    <w:rPr>
                      <w:rFonts w:hint="eastAsia"/>
                    </w:rPr>
                    <w:t>4</w:t>
                  </w:r>
                  <w:r>
                    <w:t>.6</w:t>
                  </w:r>
                </w:p>
              </w:tc>
              <w:tc>
                <w:tcPr>
                  <w:tcW w:w="516" w:type="pct"/>
                  <w:vAlign w:val="center"/>
                </w:tcPr>
                <w:p w14:paraId="5FE26CF6">
                  <w:pPr>
                    <w:pStyle w:val="135"/>
                    <w:adjustRightInd w:val="0"/>
                    <w:snapToGrid w:val="0"/>
                  </w:pPr>
                  <w:r>
                    <w:t>60</w:t>
                  </w:r>
                </w:p>
              </w:tc>
              <w:tc>
                <w:tcPr>
                  <w:tcW w:w="891" w:type="pct"/>
                  <w:vAlign w:val="center"/>
                </w:tcPr>
                <w:p w14:paraId="0C7AF78E">
                  <w:pPr>
                    <w:pStyle w:val="135"/>
                    <w:adjustRightInd w:val="0"/>
                    <w:snapToGrid w:val="0"/>
                  </w:pPr>
                  <w:r>
                    <w:t>7.7</w:t>
                  </w:r>
                </w:p>
              </w:tc>
              <w:tc>
                <w:tcPr>
                  <w:tcW w:w="615" w:type="pct"/>
                  <w:vAlign w:val="center"/>
                </w:tcPr>
                <w:p w14:paraId="6477C26C">
                  <w:pPr>
                    <w:pStyle w:val="135"/>
                    <w:adjustRightInd w:val="0"/>
                    <w:snapToGrid w:val="0"/>
                  </w:pPr>
                  <w:r>
                    <w:t>达标</w:t>
                  </w:r>
                </w:p>
              </w:tc>
            </w:tr>
            <w:tr w14:paraId="0E61E1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80" w:type="pct"/>
                  <w:vAlign w:val="center"/>
                </w:tcPr>
                <w:p w14:paraId="528E8F65">
                  <w:pPr>
                    <w:pStyle w:val="135"/>
                    <w:adjustRightInd w:val="0"/>
                    <w:snapToGrid w:val="0"/>
                  </w:pPr>
                  <w:r>
                    <w:t>NO</w:t>
                  </w:r>
                  <w:r>
                    <w:rPr>
                      <w:vertAlign w:val="subscript"/>
                    </w:rPr>
                    <w:t>2</w:t>
                  </w:r>
                </w:p>
              </w:tc>
              <w:tc>
                <w:tcPr>
                  <w:tcW w:w="1737" w:type="pct"/>
                  <w:vAlign w:val="center"/>
                </w:tcPr>
                <w:p w14:paraId="421FFB5F">
                  <w:pPr>
                    <w:pStyle w:val="135"/>
                    <w:adjustRightInd w:val="0"/>
                    <w:snapToGrid w:val="0"/>
                  </w:pPr>
                  <w:r>
                    <w:t>年平均质量浓度</w:t>
                  </w:r>
                </w:p>
              </w:tc>
              <w:tc>
                <w:tcPr>
                  <w:tcW w:w="662" w:type="pct"/>
                  <w:vAlign w:val="center"/>
                </w:tcPr>
                <w:p w14:paraId="5FFB31A5">
                  <w:pPr>
                    <w:pStyle w:val="135"/>
                    <w:adjustRightInd w:val="0"/>
                    <w:snapToGrid w:val="0"/>
                  </w:pPr>
                  <w:r>
                    <w:rPr>
                      <w:rFonts w:hint="eastAsia"/>
                    </w:rPr>
                    <w:t>2</w:t>
                  </w:r>
                  <w:r>
                    <w:t>3.2</w:t>
                  </w:r>
                </w:p>
              </w:tc>
              <w:tc>
                <w:tcPr>
                  <w:tcW w:w="516" w:type="pct"/>
                  <w:vAlign w:val="center"/>
                </w:tcPr>
                <w:p w14:paraId="42AC6161">
                  <w:pPr>
                    <w:pStyle w:val="135"/>
                    <w:adjustRightInd w:val="0"/>
                    <w:snapToGrid w:val="0"/>
                  </w:pPr>
                  <w:r>
                    <w:t>40</w:t>
                  </w:r>
                </w:p>
              </w:tc>
              <w:tc>
                <w:tcPr>
                  <w:tcW w:w="891" w:type="pct"/>
                  <w:vAlign w:val="center"/>
                </w:tcPr>
                <w:p w14:paraId="6A20A94B">
                  <w:pPr>
                    <w:pStyle w:val="135"/>
                    <w:adjustRightInd w:val="0"/>
                    <w:snapToGrid w:val="0"/>
                  </w:pPr>
                  <w:r>
                    <w:t>58.0</w:t>
                  </w:r>
                </w:p>
              </w:tc>
              <w:tc>
                <w:tcPr>
                  <w:tcW w:w="615" w:type="pct"/>
                  <w:vAlign w:val="center"/>
                </w:tcPr>
                <w:p w14:paraId="020B8109">
                  <w:pPr>
                    <w:pStyle w:val="135"/>
                    <w:adjustRightInd w:val="0"/>
                    <w:snapToGrid w:val="0"/>
                  </w:pPr>
                  <w:r>
                    <w:t>达标</w:t>
                  </w:r>
                </w:p>
              </w:tc>
            </w:tr>
            <w:tr w14:paraId="384722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80" w:type="pct"/>
                  <w:vAlign w:val="center"/>
                </w:tcPr>
                <w:p w14:paraId="5C0684EF">
                  <w:pPr>
                    <w:pStyle w:val="135"/>
                    <w:adjustRightInd w:val="0"/>
                    <w:snapToGrid w:val="0"/>
                  </w:pPr>
                  <w:r>
                    <w:t>PM</w:t>
                  </w:r>
                  <w:r>
                    <w:rPr>
                      <w:vertAlign w:val="subscript"/>
                    </w:rPr>
                    <w:t>10</w:t>
                  </w:r>
                </w:p>
              </w:tc>
              <w:tc>
                <w:tcPr>
                  <w:tcW w:w="1737" w:type="pct"/>
                  <w:vAlign w:val="center"/>
                </w:tcPr>
                <w:p w14:paraId="01269C6B">
                  <w:pPr>
                    <w:pStyle w:val="135"/>
                    <w:adjustRightInd w:val="0"/>
                    <w:snapToGrid w:val="0"/>
                  </w:pPr>
                  <w:r>
                    <w:t>年平均质量浓度</w:t>
                  </w:r>
                </w:p>
              </w:tc>
              <w:tc>
                <w:tcPr>
                  <w:tcW w:w="662" w:type="pct"/>
                  <w:vAlign w:val="center"/>
                </w:tcPr>
                <w:p w14:paraId="414B754F">
                  <w:pPr>
                    <w:pStyle w:val="135"/>
                    <w:adjustRightInd w:val="0"/>
                    <w:snapToGrid w:val="0"/>
                  </w:pPr>
                  <w:r>
                    <w:rPr>
                      <w:rFonts w:hint="eastAsia"/>
                    </w:rPr>
                    <w:t>4</w:t>
                  </w:r>
                  <w:r>
                    <w:t>4.8</w:t>
                  </w:r>
                </w:p>
              </w:tc>
              <w:tc>
                <w:tcPr>
                  <w:tcW w:w="516" w:type="pct"/>
                  <w:vAlign w:val="center"/>
                </w:tcPr>
                <w:p w14:paraId="06E039A3">
                  <w:pPr>
                    <w:pStyle w:val="135"/>
                    <w:adjustRightInd w:val="0"/>
                    <w:snapToGrid w:val="0"/>
                  </w:pPr>
                  <w:r>
                    <w:t>70</w:t>
                  </w:r>
                </w:p>
              </w:tc>
              <w:tc>
                <w:tcPr>
                  <w:tcW w:w="891" w:type="pct"/>
                  <w:vAlign w:val="center"/>
                </w:tcPr>
                <w:p w14:paraId="630FCA4D">
                  <w:pPr>
                    <w:pStyle w:val="135"/>
                    <w:adjustRightInd w:val="0"/>
                    <w:snapToGrid w:val="0"/>
                  </w:pPr>
                  <w:r>
                    <w:t>64.0</w:t>
                  </w:r>
                </w:p>
              </w:tc>
              <w:tc>
                <w:tcPr>
                  <w:tcW w:w="615" w:type="pct"/>
                  <w:vAlign w:val="center"/>
                </w:tcPr>
                <w:p w14:paraId="6FD0CCA1">
                  <w:pPr>
                    <w:pStyle w:val="135"/>
                    <w:adjustRightInd w:val="0"/>
                    <w:snapToGrid w:val="0"/>
                  </w:pPr>
                  <w:r>
                    <w:t>达标</w:t>
                  </w:r>
                </w:p>
              </w:tc>
            </w:tr>
            <w:tr w14:paraId="00A91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80" w:type="pct"/>
                  <w:vAlign w:val="center"/>
                </w:tcPr>
                <w:p w14:paraId="1C021150">
                  <w:pPr>
                    <w:pStyle w:val="135"/>
                    <w:adjustRightInd w:val="0"/>
                    <w:snapToGrid w:val="0"/>
                  </w:pPr>
                  <w:r>
                    <w:t>PM</w:t>
                  </w:r>
                  <w:r>
                    <w:rPr>
                      <w:vertAlign w:val="subscript"/>
                    </w:rPr>
                    <w:t>2.5</w:t>
                  </w:r>
                </w:p>
              </w:tc>
              <w:tc>
                <w:tcPr>
                  <w:tcW w:w="1737" w:type="pct"/>
                  <w:vAlign w:val="center"/>
                </w:tcPr>
                <w:p w14:paraId="165EFAFD">
                  <w:pPr>
                    <w:pStyle w:val="135"/>
                    <w:adjustRightInd w:val="0"/>
                    <w:snapToGrid w:val="0"/>
                  </w:pPr>
                  <w:r>
                    <w:t>年平均质量浓度</w:t>
                  </w:r>
                </w:p>
              </w:tc>
              <w:tc>
                <w:tcPr>
                  <w:tcW w:w="662" w:type="pct"/>
                  <w:vAlign w:val="center"/>
                </w:tcPr>
                <w:p w14:paraId="54CF75FB">
                  <w:pPr>
                    <w:pStyle w:val="135"/>
                    <w:adjustRightInd w:val="0"/>
                    <w:snapToGrid w:val="0"/>
                  </w:pPr>
                  <w:r>
                    <w:rPr>
                      <w:rFonts w:hint="eastAsia"/>
                    </w:rPr>
                    <w:t>2</w:t>
                  </w:r>
                  <w:r>
                    <w:t>9.7</w:t>
                  </w:r>
                </w:p>
              </w:tc>
              <w:tc>
                <w:tcPr>
                  <w:tcW w:w="516" w:type="pct"/>
                  <w:vAlign w:val="center"/>
                </w:tcPr>
                <w:p w14:paraId="35EDEF42">
                  <w:pPr>
                    <w:pStyle w:val="135"/>
                    <w:adjustRightInd w:val="0"/>
                    <w:snapToGrid w:val="0"/>
                  </w:pPr>
                  <w:r>
                    <w:t>35</w:t>
                  </w:r>
                </w:p>
              </w:tc>
              <w:tc>
                <w:tcPr>
                  <w:tcW w:w="891" w:type="pct"/>
                  <w:vAlign w:val="center"/>
                </w:tcPr>
                <w:p w14:paraId="04007EFD">
                  <w:pPr>
                    <w:pStyle w:val="135"/>
                    <w:adjustRightInd w:val="0"/>
                    <w:snapToGrid w:val="0"/>
                    <w:rPr>
                      <w:bCs/>
                    </w:rPr>
                  </w:pPr>
                  <w:r>
                    <w:t>84.9</w:t>
                  </w:r>
                </w:p>
              </w:tc>
              <w:tc>
                <w:tcPr>
                  <w:tcW w:w="615" w:type="pct"/>
                  <w:vAlign w:val="center"/>
                </w:tcPr>
                <w:p w14:paraId="22145261">
                  <w:pPr>
                    <w:pStyle w:val="135"/>
                    <w:adjustRightInd w:val="0"/>
                    <w:snapToGrid w:val="0"/>
                  </w:pPr>
                  <w:r>
                    <w:t>达标</w:t>
                  </w:r>
                </w:p>
              </w:tc>
            </w:tr>
            <w:tr w14:paraId="04266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80" w:type="pct"/>
                  <w:vAlign w:val="center"/>
                </w:tcPr>
                <w:p w14:paraId="72A3C76C">
                  <w:pPr>
                    <w:pStyle w:val="135"/>
                    <w:adjustRightInd w:val="0"/>
                    <w:snapToGrid w:val="0"/>
                  </w:pPr>
                  <w:r>
                    <w:t>CO</w:t>
                  </w:r>
                </w:p>
              </w:tc>
              <w:tc>
                <w:tcPr>
                  <w:tcW w:w="1737" w:type="pct"/>
                  <w:vAlign w:val="center"/>
                </w:tcPr>
                <w:p w14:paraId="10266683">
                  <w:pPr>
                    <w:pStyle w:val="135"/>
                    <w:adjustRightInd w:val="0"/>
                    <w:snapToGrid w:val="0"/>
                  </w:pPr>
                  <w:r>
                    <w:t>第95百位数24h评价质量浓度</w:t>
                  </w:r>
                </w:p>
              </w:tc>
              <w:tc>
                <w:tcPr>
                  <w:tcW w:w="662" w:type="pct"/>
                  <w:vAlign w:val="center"/>
                </w:tcPr>
                <w:p w14:paraId="2C375A60">
                  <w:pPr>
                    <w:pStyle w:val="135"/>
                    <w:adjustRightInd w:val="0"/>
                    <w:snapToGrid w:val="0"/>
                  </w:pPr>
                  <w:r>
                    <w:rPr>
                      <w:rFonts w:hint="eastAsia"/>
                    </w:rPr>
                    <w:t>1</w:t>
                  </w:r>
                  <w:r>
                    <w:t>.0</w:t>
                  </w:r>
                </w:p>
              </w:tc>
              <w:tc>
                <w:tcPr>
                  <w:tcW w:w="516" w:type="pct"/>
                  <w:vAlign w:val="center"/>
                </w:tcPr>
                <w:p w14:paraId="6292E3D9">
                  <w:pPr>
                    <w:pStyle w:val="135"/>
                    <w:adjustRightInd w:val="0"/>
                    <w:snapToGrid w:val="0"/>
                  </w:pPr>
                  <w:r>
                    <w:t>4.0</w:t>
                  </w:r>
                </w:p>
              </w:tc>
              <w:tc>
                <w:tcPr>
                  <w:tcW w:w="891" w:type="pct"/>
                  <w:vAlign w:val="center"/>
                </w:tcPr>
                <w:p w14:paraId="383BE6E8">
                  <w:pPr>
                    <w:pStyle w:val="135"/>
                    <w:adjustRightInd w:val="0"/>
                    <w:snapToGrid w:val="0"/>
                  </w:pPr>
                  <w:r>
                    <w:rPr>
                      <w:rFonts w:hint="eastAsia"/>
                    </w:rPr>
                    <w:t>25</w:t>
                  </w:r>
                </w:p>
              </w:tc>
              <w:tc>
                <w:tcPr>
                  <w:tcW w:w="615" w:type="pct"/>
                  <w:vAlign w:val="center"/>
                </w:tcPr>
                <w:p w14:paraId="6D161B69">
                  <w:pPr>
                    <w:pStyle w:val="135"/>
                    <w:adjustRightInd w:val="0"/>
                    <w:snapToGrid w:val="0"/>
                  </w:pPr>
                  <w:r>
                    <w:t>达标</w:t>
                  </w:r>
                </w:p>
              </w:tc>
            </w:tr>
            <w:tr w14:paraId="18291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80" w:type="pct"/>
                  <w:vAlign w:val="center"/>
                </w:tcPr>
                <w:p w14:paraId="519AD6AC">
                  <w:pPr>
                    <w:pStyle w:val="135"/>
                    <w:adjustRightInd w:val="0"/>
                    <w:snapToGrid w:val="0"/>
                  </w:pPr>
                  <w:r>
                    <w:t>O</w:t>
                  </w:r>
                  <w:r>
                    <w:rPr>
                      <w:vertAlign w:val="subscript"/>
                    </w:rPr>
                    <w:t>3</w:t>
                  </w:r>
                </w:p>
              </w:tc>
              <w:tc>
                <w:tcPr>
                  <w:tcW w:w="1737" w:type="pct"/>
                  <w:vAlign w:val="center"/>
                </w:tcPr>
                <w:p w14:paraId="3C2A52DC">
                  <w:pPr>
                    <w:pStyle w:val="135"/>
                    <w:adjustRightInd w:val="0"/>
                    <w:snapToGrid w:val="0"/>
                  </w:pPr>
                  <w:r>
                    <w:t>第90百分位8h评价质量浓度</w:t>
                  </w:r>
                </w:p>
              </w:tc>
              <w:tc>
                <w:tcPr>
                  <w:tcW w:w="662" w:type="pct"/>
                  <w:vAlign w:val="center"/>
                </w:tcPr>
                <w:p w14:paraId="3EB99B9D">
                  <w:pPr>
                    <w:pStyle w:val="135"/>
                    <w:adjustRightInd w:val="0"/>
                    <w:snapToGrid w:val="0"/>
                  </w:pPr>
                  <w:r>
                    <w:rPr>
                      <w:rFonts w:hint="eastAsia"/>
                    </w:rPr>
                    <w:t>1</w:t>
                  </w:r>
                  <w:r>
                    <w:t>19.0</w:t>
                  </w:r>
                </w:p>
              </w:tc>
              <w:tc>
                <w:tcPr>
                  <w:tcW w:w="516" w:type="pct"/>
                  <w:vAlign w:val="center"/>
                </w:tcPr>
                <w:p w14:paraId="719399C5">
                  <w:pPr>
                    <w:pStyle w:val="135"/>
                    <w:adjustRightInd w:val="0"/>
                    <w:snapToGrid w:val="0"/>
                  </w:pPr>
                  <w:r>
                    <w:t>160</w:t>
                  </w:r>
                </w:p>
              </w:tc>
              <w:tc>
                <w:tcPr>
                  <w:tcW w:w="891" w:type="pct"/>
                  <w:vAlign w:val="center"/>
                </w:tcPr>
                <w:p w14:paraId="467EFC33">
                  <w:pPr>
                    <w:pStyle w:val="135"/>
                    <w:adjustRightInd w:val="0"/>
                    <w:snapToGrid w:val="0"/>
                    <w:rPr>
                      <w:bCs/>
                    </w:rPr>
                  </w:pPr>
                  <w:r>
                    <w:t>74.4</w:t>
                  </w:r>
                </w:p>
              </w:tc>
              <w:tc>
                <w:tcPr>
                  <w:tcW w:w="615" w:type="pct"/>
                  <w:vAlign w:val="center"/>
                </w:tcPr>
                <w:p w14:paraId="109DFE15">
                  <w:pPr>
                    <w:pStyle w:val="135"/>
                    <w:adjustRightInd w:val="0"/>
                    <w:snapToGrid w:val="0"/>
                    <w:rPr>
                      <w:bCs/>
                    </w:rPr>
                  </w:pPr>
                  <w:r>
                    <w:t>达标</w:t>
                  </w:r>
                </w:p>
              </w:tc>
            </w:tr>
          </w:tbl>
          <w:p w14:paraId="12E32B25">
            <w:pPr>
              <w:ind w:firstLine="422"/>
              <w:rPr>
                <w:b/>
                <w:bCs/>
              </w:rPr>
            </w:pPr>
            <w:r>
              <w:rPr>
                <w:rFonts w:hint="eastAsia"/>
                <w:b/>
                <w:bCs/>
              </w:rPr>
              <w:t>因此，本项目所在区域为环境空气达标区域。</w:t>
            </w:r>
          </w:p>
          <w:p w14:paraId="6EB98521">
            <w:pPr>
              <w:ind w:firstLine="420"/>
            </w:pPr>
            <w:r>
              <w:rPr>
                <w:rFonts w:hint="eastAsia"/>
              </w:rPr>
              <w:t>（</w:t>
            </w:r>
            <w:r>
              <w:t>2</w:t>
            </w:r>
            <w:r>
              <w:rPr>
                <w:rFonts w:hint="eastAsia"/>
              </w:rPr>
              <w:t>）其他污染物环境质量现状</w:t>
            </w:r>
          </w:p>
          <w:p w14:paraId="54166AA2">
            <w:pPr>
              <w:ind w:firstLine="420"/>
            </w:pPr>
            <w:r>
              <w:t>为了解项目特征</w:t>
            </w:r>
            <w:r>
              <w:rPr>
                <w:rFonts w:hint="eastAsia"/>
              </w:rPr>
              <w:t>废气</w:t>
            </w:r>
            <w:r>
              <w:t>污染物</w:t>
            </w:r>
            <w:r>
              <w:rPr>
                <w:rFonts w:hint="eastAsia"/>
              </w:rPr>
              <w:t>（TSP）</w:t>
            </w:r>
            <w:r>
              <w:t>环境质量现状</w:t>
            </w:r>
            <w:r>
              <w:rPr>
                <w:rFonts w:hint="eastAsia"/>
              </w:rPr>
              <w:t>，本次引用四川省海蓝晴天环保科技有限公司于2</w:t>
            </w:r>
            <w:r>
              <w:t>022</w:t>
            </w:r>
            <w:r>
              <w:rPr>
                <w:rFonts w:hint="eastAsia"/>
              </w:rPr>
              <w:t>年7月2</w:t>
            </w:r>
            <w:r>
              <w:t>5</w:t>
            </w:r>
            <w:r>
              <w:rPr>
                <w:rFonts w:hint="eastAsia"/>
              </w:rPr>
              <w:t>日出具的监测报告“HLQT（2</w:t>
            </w:r>
            <w:r>
              <w:t>02207</w:t>
            </w:r>
            <w:r>
              <w:rPr>
                <w:rFonts w:hint="eastAsia"/>
              </w:rPr>
              <w:t>）第0</w:t>
            </w:r>
            <w:r>
              <w:t>47</w:t>
            </w:r>
            <w:r>
              <w:rPr>
                <w:rFonts w:hint="eastAsia"/>
              </w:rPr>
              <w:t>号”检测报告中的数据。该检测报告中检测点位位于巴中经开区兴文街道，距离本项目约</w:t>
            </w:r>
            <w:r>
              <w:t>350</w:t>
            </w:r>
            <w:r>
              <w:rPr>
                <w:rFonts w:hint="eastAsia"/>
              </w:rPr>
              <w:t>m，监测时间2</w:t>
            </w:r>
            <w:r>
              <w:t>022</w:t>
            </w:r>
            <w:r>
              <w:rPr>
                <w:rFonts w:hint="eastAsia"/>
              </w:rPr>
              <w:t>年</w:t>
            </w:r>
            <w:r>
              <w:t>7</w:t>
            </w:r>
            <w:r>
              <w:rPr>
                <w:rFonts w:hint="eastAsia"/>
              </w:rPr>
              <w:t>月1日~</w:t>
            </w:r>
            <w:r>
              <w:t>7</w:t>
            </w:r>
            <w:r>
              <w:rPr>
                <w:rFonts w:hint="eastAsia"/>
              </w:rPr>
              <w:t>日。满足《建设项目环境影响报告表编制技术指南（污染影响类）》中：“</w:t>
            </w:r>
            <w:r>
              <w:rPr>
                <w:rFonts w:hint="eastAsia"/>
                <w:u w:val="single"/>
              </w:rPr>
              <w:t>排放国家、地方环境空气质量标准中有标准限值要求的特征污染物时，引用建设项目</w:t>
            </w:r>
            <w:r>
              <w:rPr>
                <w:rFonts w:hint="eastAsia"/>
                <w:b/>
                <w:bCs/>
                <w:u w:val="single"/>
              </w:rPr>
              <w:t>周边</w:t>
            </w:r>
            <w:r>
              <w:rPr>
                <w:b/>
                <w:bCs/>
                <w:u w:val="single"/>
              </w:rPr>
              <w:t>5</w:t>
            </w:r>
            <w:r>
              <w:rPr>
                <w:rFonts w:hint="eastAsia"/>
                <w:b/>
                <w:bCs/>
                <w:u w:val="single"/>
              </w:rPr>
              <w:t>千米</w:t>
            </w:r>
            <w:r>
              <w:rPr>
                <w:rFonts w:hint="eastAsia"/>
                <w:u w:val="single"/>
              </w:rPr>
              <w:t>范围内</w:t>
            </w:r>
            <w:r>
              <w:rPr>
                <w:rFonts w:hint="eastAsia"/>
                <w:b/>
                <w:bCs/>
                <w:u w:val="single"/>
              </w:rPr>
              <w:t>近</w:t>
            </w:r>
            <w:r>
              <w:rPr>
                <w:b/>
                <w:bCs/>
                <w:u w:val="single"/>
              </w:rPr>
              <w:t>3</w:t>
            </w:r>
            <w:r>
              <w:rPr>
                <w:rFonts w:hint="eastAsia"/>
                <w:b/>
                <w:bCs/>
                <w:u w:val="single"/>
              </w:rPr>
              <w:t>年</w:t>
            </w:r>
            <w:r>
              <w:rPr>
                <w:rFonts w:hint="eastAsia"/>
                <w:u w:val="single"/>
              </w:rPr>
              <w:t>的现有监测数据</w:t>
            </w:r>
            <w:r>
              <w:rPr>
                <w:rFonts w:hint="eastAsia"/>
              </w:rPr>
              <w:t>”中对引用时间和距离的要求。</w:t>
            </w:r>
          </w:p>
          <w:p w14:paraId="250E6FE1">
            <w:pPr>
              <w:ind w:firstLine="420"/>
            </w:pPr>
            <w:r>
              <w:rPr>
                <w:rFonts w:hint="eastAsia"/>
              </w:rPr>
              <w:t>①监测点位及监测指标</w:t>
            </w:r>
          </w:p>
          <w:p w14:paraId="79C40DA5">
            <w:pPr>
              <w:ind w:firstLine="420"/>
            </w:pPr>
            <w:r>
              <w:rPr>
                <w:rFonts w:hint="eastAsia"/>
              </w:rPr>
              <w:t>本次评价环境空气TSP监测点位及监测指标如下表所示：</w:t>
            </w:r>
          </w:p>
          <w:p w14:paraId="78156403">
            <w:pPr>
              <w:pStyle w:val="156"/>
              <w:keepNext/>
            </w:pPr>
            <w:r>
              <w:rPr>
                <w:rFonts w:hint="eastAsia"/>
              </w:rPr>
              <w:t>表3-</w:t>
            </w:r>
            <w:r>
              <w:t xml:space="preserve">2  </w:t>
            </w:r>
            <w:r>
              <w:rPr>
                <w:rFonts w:hint="eastAsia"/>
              </w:rPr>
              <w:t>环境空气质量补充监测点位一览表</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630"/>
              <w:gridCol w:w="2445"/>
              <w:gridCol w:w="1767"/>
              <w:gridCol w:w="2118"/>
            </w:tblGrid>
            <w:tr w14:paraId="063E6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5" w:hRule="atLeast"/>
                <w:tblHeader/>
              </w:trPr>
              <w:tc>
                <w:tcPr>
                  <w:tcW w:w="1024" w:type="pct"/>
                  <w:vAlign w:val="center"/>
                </w:tcPr>
                <w:p w14:paraId="480249EC">
                  <w:pPr>
                    <w:pStyle w:val="135"/>
                    <w:adjustRightInd w:val="0"/>
                    <w:snapToGrid w:val="0"/>
                    <w:rPr>
                      <w:rFonts w:cs="Times New Roman"/>
                      <w:b/>
                    </w:rPr>
                  </w:pPr>
                  <w:r>
                    <w:rPr>
                      <w:rFonts w:cs="Times New Roman"/>
                      <w:b/>
                    </w:rPr>
                    <w:t>监测点位</w:t>
                  </w:r>
                </w:p>
              </w:tc>
              <w:tc>
                <w:tcPr>
                  <w:tcW w:w="1536" w:type="pct"/>
                  <w:vAlign w:val="center"/>
                </w:tcPr>
                <w:p w14:paraId="1ADAC7F7">
                  <w:pPr>
                    <w:pStyle w:val="135"/>
                    <w:adjustRightInd w:val="0"/>
                    <w:snapToGrid w:val="0"/>
                    <w:rPr>
                      <w:rFonts w:cs="Times New Roman"/>
                      <w:b/>
                    </w:rPr>
                  </w:pPr>
                  <w:r>
                    <w:rPr>
                      <w:rFonts w:cs="Times New Roman"/>
                      <w:b/>
                    </w:rPr>
                    <w:t>测点名称</w:t>
                  </w:r>
                </w:p>
              </w:tc>
              <w:tc>
                <w:tcPr>
                  <w:tcW w:w="1110" w:type="pct"/>
                  <w:vAlign w:val="center"/>
                </w:tcPr>
                <w:p w14:paraId="5636116A">
                  <w:pPr>
                    <w:pStyle w:val="135"/>
                    <w:adjustRightInd w:val="0"/>
                    <w:snapToGrid w:val="0"/>
                    <w:rPr>
                      <w:rFonts w:cs="Times New Roman"/>
                      <w:b/>
                    </w:rPr>
                  </w:pPr>
                  <w:r>
                    <w:rPr>
                      <w:rFonts w:hint="eastAsia" w:cs="Times New Roman"/>
                      <w:b/>
                    </w:rPr>
                    <w:t>距本项目</w:t>
                  </w:r>
                  <w:r>
                    <w:rPr>
                      <w:rFonts w:cs="Times New Roman"/>
                      <w:b/>
                    </w:rPr>
                    <w:t>方位/距离</w:t>
                  </w:r>
                </w:p>
              </w:tc>
              <w:tc>
                <w:tcPr>
                  <w:tcW w:w="1330" w:type="pct"/>
                  <w:vAlign w:val="center"/>
                </w:tcPr>
                <w:p w14:paraId="734702AB">
                  <w:pPr>
                    <w:pStyle w:val="135"/>
                    <w:adjustRightInd w:val="0"/>
                    <w:snapToGrid w:val="0"/>
                    <w:rPr>
                      <w:rFonts w:cs="Times New Roman"/>
                      <w:b/>
                    </w:rPr>
                  </w:pPr>
                  <w:r>
                    <w:rPr>
                      <w:rFonts w:cs="Times New Roman"/>
                      <w:b/>
                    </w:rPr>
                    <w:t>监测因子</w:t>
                  </w:r>
                </w:p>
              </w:tc>
            </w:tr>
            <w:tr w14:paraId="33FAD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trPr>
              <w:tc>
                <w:tcPr>
                  <w:tcW w:w="1024" w:type="pct"/>
                  <w:vAlign w:val="center"/>
                </w:tcPr>
                <w:p w14:paraId="222747CD">
                  <w:pPr>
                    <w:pStyle w:val="135"/>
                    <w:adjustRightInd w:val="0"/>
                    <w:snapToGrid w:val="0"/>
                    <w:rPr>
                      <w:rFonts w:cs="Times New Roman"/>
                    </w:rPr>
                  </w:pPr>
                  <w:r>
                    <w:rPr>
                      <w:rFonts w:cs="Times New Roman"/>
                    </w:rPr>
                    <w:t>1#</w:t>
                  </w:r>
                  <w:r>
                    <w:rPr>
                      <w:rFonts w:hint="eastAsia" w:cs="Times New Roman"/>
                    </w:rPr>
                    <w:t>（引用）</w:t>
                  </w:r>
                </w:p>
              </w:tc>
              <w:tc>
                <w:tcPr>
                  <w:tcW w:w="1536" w:type="pct"/>
                  <w:vAlign w:val="center"/>
                </w:tcPr>
                <w:p w14:paraId="57FA36DF">
                  <w:pPr>
                    <w:pStyle w:val="135"/>
                    <w:adjustRightInd w:val="0"/>
                    <w:snapToGrid w:val="0"/>
                    <w:rPr>
                      <w:rFonts w:cs="Times New Roman"/>
                    </w:rPr>
                  </w:pPr>
                  <w:r>
                    <w:rPr>
                      <w:rFonts w:hint="eastAsia" w:cs="Times New Roman"/>
                    </w:rPr>
                    <w:t>综合性养护基地项目厂址</w:t>
                  </w:r>
                </w:p>
              </w:tc>
              <w:tc>
                <w:tcPr>
                  <w:tcW w:w="1110" w:type="pct"/>
                  <w:vAlign w:val="center"/>
                </w:tcPr>
                <w:p w14:paraId="3517FA14">
                  <w:pPr>
                    <w:pStyle w:val="135"/>
                    <w:adjustRightInd w:val="0"/>
                    <w:snapToGrid w:val="0"/>
                    <w:rPr>
                      <w:rFonts w:cs="Times New Roman"/>
                    </w:rPr>
                  </w:pPr>
                  <w:r>
                    <w:rPr>
                      <w:rFonts w:hint="eastAsia" w:cs="Times New Roman"/>
                    </w:rPr>
                    <w:t>N，3</w:t>
                  </w:r>
                  <w:r>
                    <w:rPr>
                      <w:rFonts w:cs="Times New Roman"/>
                    </w:rPr>
                    <w:t>5</w:t>
                  </w:r>
                  <w:r>
                    <w:t>0</w:t>
                  </w:r>
                  <w:r>
                    <w:rPr>
                      <w:rFonts w:hint="eastAsia"/>
                    </w:rPr>
                    <w:t>m</w:t>
                  </w:r>
                </w:p>
              </w:tc>
              <w:tc>
                <w:tcPr>
                  <w:tcW w:w="1330" w:type="pct"/>
                  <w:vAlign w:val="center"/>
                </w:tcPr>
                <w:p w14:paraId="73E1AEC6">
                  <w:pPr>
                    <w:pStyle w:val="135"/>
                    <w:adjustRightInd w:val="0"/>
                    <w:snapToGrid w:val="0"/>
                    <w:rPr>
                      <w:rFonts w:cs="Times New Roman"/>
                    </w:rPr>
                  </w:pPr>
                  <w:r>
                    <w:rPr>
                      <w:rFonts w:cs="Times New Roman"/>
                    </w:rPr>
                    <w:t>TSP（日均值）</w:t>
                  </w:r>
                </w:p>
              </w:tc>
            </w:tr>
          </w:tbl>
          <w:p w14:paraId="378D1BBB">
            <w:pPr>
              <w:ind w:firstLine="420"/>
              <w:rPr>
                <w:bCs/>
              </w:rPr>
            </w:pPr>
            <w:r>
              <w:rPr>
                <w:rFonts w:hint="eastAsia"/>
                <w:bCs/>
              </w:rPr>
              <w:t>②监测结果</w:t>
            </w:r>
          </w:p>
          <w:p w14:paraId="4B0A3B98">
            <w:pPr>
              <w:ind w:firstLine="420"/>
            </w:pPr>
            <w:r>
              <w:rPr>
                <w:rFonts w:hint="eastAsia"/>
                <w:bCs/>
              </w:rPr>
              <w:t>根据</w:t>
            </w:r>
            <w:r>
              <w:rPr>
                <w:rFonts w:hint="eastAsia"/>
              </w:rPr>
              <w:t>“HLQT（2</w:t>
            </w:r>
            <w:r>
              <w:t>02207</w:t>
            </w:r>
            <w:r>
              <w:rPr>
                <w:rFonts w:hint="eastAsia"/>
              </w:rPr>
              <w:t>）第0</w:t>
            </w:r>
            <w:r>
              <w:t>47</w:t>
            </w:r>
            <w:r>
              <w:rPr>
                <w:rFonts w:hint="eastAsia"/>
              </w:rPr>
              <w:t>号”中的数据，项目所在地环境空气中TSP现状统计如下：</w:t>
            </w:r>
          </w:p>
          <w:p w14:paraId="3F60B873">
            <w:pPr>
              <w:pStyle w:val="156"/>
            </w:pPr>
            <w:r>
              <w:rPr>
                <w:rFonts w:hint="eastAsia"/>
              </w:rPr>
              <w:t>表3</w:t>
            </w:r>
            <w:r>
              <w:t xml:space="preserve">-3  </w:t>
            </w:r>
            <w:r>
              <w:rPr>
                <w:rFonts w:hint="eastAsia"/>
              </w:rPr>
              <w:t>项目区域环境空气（TSP）质量现状统计表</w:t>
            </w:r>
          </w:p>
          <w:tbl>
            <w:tblPr>
              <w:tblStyle w:val="19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45"/>
              <w:gridCol w:w="813"/>
              <w:gridCol w:w="806"/>
              <w:gridCol w:w="1113"/>
              <w:gridCol w:w="1281"/>
              <w:gridCol w:w="873"/>
              <w:gridCol w:w="867"/>
              <w:gridCol w:w="862"/>
            </w:tblGrid>
            <w:tr w14:paraId="10D5CE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418" w:type="dxa"/>
                  <w:vAlign w:val="center"/>
                </w:tcPr>
                <w:p w14:paraId="2964B82D">
                  <w:pPr>
                    <w:pStyle w:val="135"/>
                    <w:adjustRightInd w:val="0"/>
                    <w:snapToGrid w:val="0"/>
                    <w:rPr>
                      <w:rFonts w:cs="Times New Roman"/>
                      <w:b/>
                    </w:rPr>
                  </w:pPr>
                  <w:r>
                    <w:rPr>
                      <w:rFonts w:cs="Times New Roman"/>
                      <w:b/>
                    </w:rPr>
                    <w:t>监测点位</w:t>
                  </w:r>
                </w:p>
              </w:tc>
              <w:tc>
                <w:tcPr>
                  <w:tcW w:w="850" w:type="dxa"/>
                  <w:vAlign w:val="center"/>
                </w:tcPr>
                <w:p w14:paraId="17FA5EBB">
                  <w:pPr>
                    <w:pStyle w:val="135"/>
                    <w:adjustRightInd w:val="0"/>
                    <w:snapToGrid w:val="0"/>
                    <w:rPr>
                      <w:rFonts w:cs="Times New Roman"/>
                      <w:b/>
                    </w:rPr>
                  </w:pPr>
                  <w:r>
                    <w:rPr>
                      <w:rFonts w:cs="Times New Roman"/>
                      <w:b/>
                    </w:rPr>
                    <w:t>污染物</w:t>
                  </w:r>
                </w:p>
              </w:tc>
              <w:tc>
                <w:tcPr>
                  <w:tcW w:w="851" w:type="dxa"/>
                  <w:vAlign w:val="center"/>
                </w:tcPr>
                <w:p w14:paraId="7B10F13D">
                  <w:pPr>
                    <w:pStyle w:val="135"/>
                    <w:adjustRightInd w:val="0"/>
                    <w:snapToGrid w:val="0"/>
                    <w:rPr>
                      <w:rFonts w:cs="Times New Roman"/>
                      <w:b/>
                    </w:rPr>
                  </w:pPr>
                  <w:r>
                    <w:rPr>
                      <w:rFonts w:cs="Times New Roman"/>
                      <w:b/>
                    </w:rPr>
                    <w:t>平均时间</w:t>
                  </w:r>
                </w:p>
              </w:tc>
              <w:tc>
                <w:tcPr>
                  <w:tcW w:w="1134" w:type="dxa"/>
                  <w:vAlign w:val="center"/>
                </w:tcPr>
                <w:p w14:paraId="5403B209">
                  <w:pPr>
                    <w:pStyle w:val="135"/>
                    <w:adjustRightInd w:val="0"/>
                    <w:snapToGrid w:val="0"/>
                    <w:rPr>
                      <w:rFonts w:cs="Times New Roman"/>
                      <w:b/>
                    </w:rPr>
                  </w:pPr>
                  <w:r>
                    <w:rPr>
                      <w:rFonts w:cs="Times New Roman"/>
                      <w:b/>
                    </w:rPr>
                    <w:t>评价标准/（μg/m</w:t>
                  </w:r>
                  <w:r>
                    <w:rPr>
                      <w:rFonts w:cs="Times New Roman"/>
                      <w:b/>
                      <w:vertAlign w:val="superscript"/>
                    </w:rPr>
                    <w:t>3</w:t>
                  </w:r>
                  <w:r>
                    <w:rPr>
                      <w:rFonts w:cs="Times New Roman"/>
                      <w:b/>
                    </w:rPr>
                    <w:t>）</w:t>
                  </w:r>
                </w:p>
              </w:tc>
              <w:tc>
                <w:tcPr>
                  <w:tcW w:w="1315" w:type="dxa"/>
                  <w:vAlign w:val="center"/>
                </w:tcPr>
                <w:p w14:paraId="2CD1ED4B">
                  <w:pPr>
                    <w:pStyle w:val="135"/>
                    <w:adjustRightInd w:val="0"/>
                    <w:snapToGrid w:val="0"/>
                    <w:rPr>
                      <w:rFonts w:cs="Times New Roman"/>
                      <w:b/>
                    </w:rPr>
                  </w:pPr>
                  <w:r>
                    <w:rPr>
                      <w:rFonts w:cs="Times New Roman"/>
                      <w:b/>
                    </w:rPr>
                    <w:t>监测浓度范围/（μg/m</w:t>
                  </w:r>
                  <w:r>
                    <w:rPr>
                      <w:rFonts w:cs="Times New Roman"/>
                      <w:b/>
                      <w:vertAlign w:val="superscript"/>
                    </w:rPr>
                    <w:t>3</w:t>
                  </w:r>
                  <w:r>
                    <w:rPr>
                      <w:rFonts w:cs="Times New Roman"/>
                      <w:b/>
                    </w:rPr>
                    <w:t>）</w:t>
                  </w:r>
                </w:p>
              </w:tc>
              <w:tc>
                <w:tcPr>
                  <w:tcW w:w="913" w:type="dxa"/>
                  <w:vAlign w:val="center"/>
                </w:tcPr>
                <w:p w14:paraId="0C8930EA">
                  <w:pPr>
                    <w:pStyle w:val="135"/>
                    <w:adjustRightInd w:val="0"/>
                    <w:snapToGrid w:val="0"/>
                    <w:rPr>
                      <w:rFonts w:cs="Times New Roman"/>
                      <w:b/>
                    </w:rPr>
                  </w:pPr>
                  <w:r>
                    <w:rPr>
                      <w:rFonts w:cs="Times New Roman"/>
                      <w:b/>
                    </w:rPr>
                    <w:t>最大浓度占标率/%</w:t>
                  </w:r>
                </w:p>
              </w:tc>
              <w:tc>
                <w:tcPr>
                  <w:tcW w:w="913" w:type="dxa"/>
                  <w:vAlign w:val="center"/>
                </w:tcPr>
                <w:p w14:paraId="06262C3F">
                  <w:pPr>
                    <w:pStyle w:val="135"/>
                    <w:adjustRightInd w:val="0"/>
                    <w:snapToGrid w:val="0"/>
                    <w:rPr>
                      <w:rFonts w:cs="Times New Roman"/>
                      <w:b/>
                    </w:rPr>
                  </w:pPr>
                  <w:r>
                    <w:rPr>
                      <w:rFonts w:cs="Times New Roman"/>
                      <w:b/>
                    </w:rPr>
                    <w:t>超标率/%</w:t>
                  </w:r>
                </w:p>
              </w:tc>
              <w:tc>
                <w:tcPr>
                  <w:tcW w:w="912" w:type="dxa"/>
                  <w:vAlign w:val="center"/>
                </w:tcPr>
                <w:p w14:paraId="017C18F3">
                  <w:pPr>
                    <w:pStyle w:val="135"/>
                    <w:adjustRightInd w:val="0"/>
                    <w:snapToGrid w:val="0"/>
                    <w:rPr>
                      <w:rFonts w:cs="Times New Roman"/>
                      <w:b/>
                    </w:rPr>
                  </w:pPr>
                  <w:r>
                    <w:rPr>
                      <w:rFonts w:cs="Times New Roman"/>
                      <w:b/>
                    </w:rPr>
                    <w:t>达标情况</w:t>
                  </w:r>
                </w:p>
              </w:tc>
            </w:tr>
            <w:tr w14:paraId="4F26BC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418" w:type="dxa"/>
                  <w:vAlign w:val="center"/>
                </w:tcPr>
                <w:p w14:paraId="7556ABB7">
                  <w:pPr>
                    <w:pStyle w:val="135"/>
                    <w:adjustRightInd w:val="0"/>
                    <w:snapToGrid w:val="0"/>
                    <w:rPr>
                      <w:rFonts w:cs="Times New Roman"/>
                    </w:rPr>
                  </w:pPr>
                  <w:r>
                    <w:rPr>
                      <w:rFonts w:hint="eastAsia" w:cs="Times New Roman"/>
                    </w:rPr>
                    <w:t>1#（引用）</w:t>
                  </w:r>
                </w:p>
              </w:tc>
              <w:tc>
                <w:tcPr>
                  <w:tcW w:w="850" w:type="dxa"/>
                  <w:vAlign w:val="center"/>
                </w:tcPr>
                <w:p w14:paraId="19068CD9">
                  <w:pPr>
                    <w:pStyle w:val="135"/>
                    <w:adjustRightInd w:val="0"/>
                    <w:snapToGrid w:val="0"/>
                    <w:rPr>
                      <w:rFonts w:cs="Times New Roman"/>
                    </w:rPr>
                  </w:pPr>
                  <w:r>
                    <w:rPr>
                      <w:rFonts w:cs="Times New Roman"/>
                    </w:rPr>
                    <w:t>TSP</w:t>
                  </w:r>
                </w:p>
              </w:tc>
              <w:tc>
                <w:tcPr>
                  <w:tcW w:w="851" w:type="dxa"/>
                  <w:vAlign w:val="center"/>
                </w:tcPr>
                <w:p w14:paraId="2B56185B">
                  <w:pPr>
                    <w:pStyle w:val="135"/>
                    <w:adjustRightInd w:val="0"/>
                    <w:snapToGrid w:val="0"/>
                    <w:rPr>
                      <w:rFonts w:cs="Times New Roman"/>
                    </w:rPr>
                  </w:pPr>
                  <w:r>
                    <w:rPr>
                      <w:rFonts w:cs="Times New Roman"/>
                    </w:rPr>
                    <w:t>日均值</w:t>
                  </w:r>
                </w:p>
              </w:tc>
              <w:tc>
                <w:tcPr>
                  <w:tcW w:w="1134" w:type="dxa"/>
                  <w:vAlign w:val="center"/>
                </w:tcPr>
                <w:p w14:paraId="20F12564">
                  <w:pPr>
                    <w:pStyle w:val="135"/>
                    <w:adjustRightInd w:val="0"/>
                    <w:snapToGrid w:val="0"/>
                    <w:rPr>
                      <w:rFonts w:cs="Times New Roman"/>
                    </w:rPr>
                  </w:pPr>
                  <w:r>
                    <w:rPr>
                      <w:rFonts w:cs="Times New Roman"/>
                    </w:rPr>
                    <w:t>300</w:t>
                  </w:r>
                </w:p>
              </w:tc>
              <w:tc>
                <w:tcPr>
                  <w:tcW w:w="1315" w:type="dxa"/>
                  <w:vAlign w:val="center"/>
                </w:tcPr>
                <w:p w14:paraId="5E3427FF">
                  <w:pPr>
                    <w:pStyle w:val="135"/>
                    <w:adjustRightInd w:val="0"/>
                    <w:snapToGrid w:val="0"/>
                    <w:rPr>
                      <w:rFonts w:cs="Times New Roman"/>
                    </w:rPr>
                  </w:pPr>
                  <w:r>
                    <w:rPr>
                      <w:rFonts w:hint="eastAsia" w:cs="Times New Roman"/>
                    </w:rPr>
                    <w:t>4</w:t>
                  </w:r>
                  <w:r>
                    <w:rPr>
                      <w:rFonts w:cs="Times New Roman"/>
                    </w:rPr>
                    <w:t>9.3~69.4</w:t>
                  </w:r>
                </w:p>
              </w:tc>
              <w:tc>
                <w:tcPr>
                  <w:tcW w:w="913" w:type="dxa"/>
                  <w:vAlign w:val="center"/>
                </w:tcPr>
                <w:p w14:paraId="11EF4418">
                  <w:pPr>
                    <w:pStyle w:val="135"/>
                    <w:adjustRightInd w:val="0"/>
                    <w:snapToGrid w:val="0"/>
                    <w:rPr>
                      <w:rFonts w:cs="Times New Roman"/>
                    </w:rPr>
                  </w:pPr>
                  <w:r>
                    <w:rPr>
                      <w:rFonts w:cs="Times New Roman"/>
                    </w:rPr>
                    <w:t>23.1</w:t>
                  </w:r>
                </w:p>
              </w:tc>
              <w:tc>
                <w:tcPr>
                  <w:tcW w:w="913" w:type="dxa"/>
                  <w:vAlign w:val="center"/>
                </w:tcPr>
                <w:p w14:paraId="23141A1F">
                  <w:pPr>
                    <w:pStyle w:val="135"/>
                    <w:adjustRightInd w:val="0"/>
                    <w:snapToGrid w:val="0"/>
                    <w:rPr>
                      <w:rFonts w:cs="Times New Roman"/>
                    </w:rPr>
                  </w:pPr>
                  <w:r>
                    <w:rPr>
                      <w:rFonts w:cs="Times New Roman"/>
                    </w:rPr>
                    <w:t>0.0</w:t>
                  </w:r>
                </w:p>
              </w:tc>
              <w:tc>
                <w:tcPr>
                  <w:tcW w:w="912" w:type="dxa"/>
                  <w:vAlign w:val="center"/>
                </w:tcPr>
                <w:p w14:paraId="553AE317">
                  <w:pPr>
                    <w:pStyle w:val="135"/>
                    <w:adjustRightInd w:val="0"/>
                    <w:snapToGrid w:val="0"/>
                    <w:rPr>
                      <w:rFonts w:cs="Times New Roman"/>
                    </w:rPr>
                  </w:pPr>
                  <w:r>
                    <w:rPr>
                      <w:rFonts w:cs="Times New Roman"/>
                    </w:rPr>
                    <w:t>达标</w:t>
                  </w:r>
                </w:p>
              </w:tc>
            </w:tr>
          </w:tbl>
          <w:p w14:paraId="71AA58EA">
            <w:pPr>
              <w:ind w:firstLine="420"/>
              <w:rPr>
                <w:bCs/>
              </w:rPr>
            </w:pPr>
            <w:r>
              <w:rPr>
                <w:bCs/>
              </w:rPr>
              <w:t>根据以上监测数据表明，本项目所在区域</w:t>
            </w:r>
            <w:r>
              <w:rPr>
                <w:rFonts w:hint="eastAsia"/>
                <w:bCs/>
              </w:rPr>
              <w:t>环境空气中TSP指标</w:t>
            </w:r>
            <w:r>
              <w:rPr>
                <w:bCs/>
              </w:rPr>
              <w:t>满足《环境空气质量标准》（GB3095-2012）中二级标准</w:t>
            </w:r>
            <w:r>
              <w:rPr>
                <w:rFonts w:hint="eastAsia"/>
                <w:bCs/>
              </w:rPr>
              <w:t>限值要求。</w:t>
            </w:r>
          </w:p>
          <w:p w14:paraId="2B5CF64C">
            <w:pPr>
              <w:pStyle w:val="180"/>
            </w:pPr>
            <w:r>
              <w:drawing>
                <wp:inline distT="0" distB="0" distL="0" distR="0">
                  <wp:extent cx="4885690" cy="52990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4899025" cy="5313757"/>
                          </a:xfrm>
                          <a:prstGeom prst="rect">
                            <a:avLst/>
                          </a:prstGeom>
                        </pic:spPr>
                      </pic:pic>
                    </a:graphicData>
                  </a:graphic>
                </wp:inline>
              </w:drawing>
            </w:r>
          </w:p>
          <w:p w14:paraId="1DA79C77">
            <w:pPr>
              <w:pStyle w:val="156"/>
              <w:rPr>
                <w:lang w:val="de-DE"/>
              </w:rPr>
            </w:pPr>
            <w:r>
              <w:rPr>
                <w:rFonts w:hint="eastAsia"/>
                <w:lang w:val="de-DE"/>
              </w:rPr>
              <w:t>图3</w:t>
            </w:r>
            <w:r>
              <w:rPr>
                <w:lang w:val="de-DE"/>
              </w:rPr>
              <w:t xml:space="preserve">-1  </w:t>
            </w:r>
            <w:r>
              <w:rPr>
                <w:rFonts w:hint="eastAsia"/>
                <w:lang w:val="de-DE"/>
              </w:rPr>
              <w:t>引用监测数据点位与本项目位置关系图</w:t>
            </w:r>
          </w:p>
          <w:p w14:paraId="6C3441F8">
            <w:pPr>
              <w:pStyle w:val="157"/>
            </w:pPr>
            <w:r>
              <w:t>2、地表水环境质量</w:t>
            </w:r>
          </w:p>
          <w:p w14:paraId="16DB4B8C">
            <w:pPr>
              <w:wordWrap w:val="0"/>
              <w:ind w:firstLine="420"/>
            </w:pPr>
            <w:r>
              <w:rPr>
                <w:rFonts w:hint="eastAsia"/>
              </w:rPr>
              <w:t>根据现场调查，项目所在区域地表水为巴河，根据巴中市生态环境局</w:t>
            </w:r>
            <w:r>
              <w:t>2024</w:t>
            </w:r>
            <w:r>
              <w:rPr>
                <w:rFonts w:hint="eastAsia"/>
              </w:rPr>
              <w:t>年6月5日公开发布的《</w:t>
            </w:r>
            <w:r>
              <w:t>2023</w:t>
            </w:r>
            <w:r>
              <w:rPr>
                <w:rFonts w:hint="eastAsia"/>
              </w:rPr>
              <w:t>年巴中市生态环境状况公报》，巴河各断面水质监测断面水质均达到《地表水环境质量标准》（GB</w:t>
            </w:r>
            <w:r>
              <w:t xml:space="preserve"> 3838-2002</w:t>
            </w:r>
            <w:r>
              <w:rPr>
                <w:rFonts w:hint="eastAsia"/>
              </w:rPr>
              <w:t>）III类标准以上。</w:t>
            </w:r>
          </w:p>
          <w:p w14:paraId="67C295D9">
            <w:pPr>
              <w:wordWrap w:val="0"/>
              <w:ind w:firstLine="420"/>
            </w:pPr>
            <w:r>
              <w:rPr>
                <w:rFonts w:hint="eastAsia"/>
              </w:rPr>
              <w:t>综上，本项目区域地表水体巴河为达标水体。</w:t>
            </w:r>
          </w:p>
          <w:p w14:paraId="68002D9B">
            <w:pPr>
              <w:pStyle w:val="157"/>
            </w:pPr>
            <w:r>
              <w:t>3、声环境质量</w:t>
            </w:r>
          </w:p>
          <w:p w14:paraId="0D769A52">
            <w:pPr>
              <w:ind w:firstLine="420"/>
            </w:pPr>
            <w:r>
              <w:rPr>
                <w:rFonts w:hint="eastAsia"/>
              </w:rPr>
              <w:t>本项目位于四川巴中经济开发区内，根据《巴中市城区噪声功能区调整划分方案》，项目位于</w:t>
            </w:r>
            <w:r>
              <w:t>3</w:t>
            </w:r>
            <w:r>
              <w:rPr>
                <w:rFonts w:hint="eastAsia"/>
              </w:rPr>
              <w:t>类声功能区。</w:t>
            </w:r>
            <w:r>
              <w:t>根据外环境关系图可知，本项目周边50m范围内主要为工业企业，无声环境保护目标，因此根据《建设项目环境影响报告表编制技术指南</w:t>
            </w:r>
            <w:r>
              <w:rPr>
                <w:rFonts w:hint="eastAsia"/>
              </w:rPr>
              <w:t>（污染影响类）</w:t>
            </w:r>
            <w:r>
              <w:t>》（2021试行）要求，本项目无需进行声环境质量监测</w:t>
            </w:r>
            <w:r>
              <w:rPr>
                <w:rFonts w:hint="eastAsia"/>
              </w:rPr>
              <w:t>。</w:t>
            </w:r>
          </w:p>
          <w:p w14:paraId="78F28167">
            <w:pPr>
              <w:pStyle w:val="157"/>
            </w:pPr>
            <w:r>
              <w:rPr>
                <w:rFonts w:hint="eastAsia"/>
              </w:rPr>
              <w:t>4、生态环境</w:t>
            </w:r>
          </w:p>
          <w:p w14:paraId="41B589E4">
            <w:pPr>
              <w:ind w:firstLine="420"/>
            </w:pPr>
            <w:r>
              <w:rPr>
                <w:rFonts w:hint="eastAsia"/>
              </w:rPr>
              <w:t>项目选址于四川巴中经济开发区内，根据《建设项目环境影响报告表编制技术指南（污染影响类）（试行）》中相关要求，本项目不需要开展生态环境现状调查。</w:t>
            </w:r>
          </w:p>
          <w:p w14:paraId="1C8CF52F">
            <w:pPr>
              <w:pStyle w:val="157"/>
            </w:pPr>
            <w:r>
              <w:rPr>
                <w:rFonts w:hint="eastAsia"/>
              </w:rPr>
              <w:t>5、地下水、土壤环境</w:t>
            </w:r>
          </w:p>
          <w:p w14:paraId="19C0756A">
            <w:pPr>
              <w:ind w:firstLine="420"/>
            </w:pPr>
            <w:r>
              <w:t>本项目为</w:t>
            </w:r>
            <w:r>
              <w:rPr>
                <w:rFonts w:hint="eastAsia"/>
              </w:rPr>
              <w:t>建筑砌块制造</w:t>
            </w:r>
            <w:r>
              <w:t>项目，根据</w:t>
            </w:r>
            <w:r>
              <w:rPr>
                <w:rFonts w:hint="eastAsia"/>
              </w:rPr>
              <w:t>《建设项目环境影响报告表编制技术指南（污染影响类）（试行）》中相关要求</w:t>
            </w:r>
            <w:r>
              <w:t>，原则上不开展</w:t>
            </w:r>
            <w:r>
              <w:rPr>
                <w:rFonts w:hint="eastAsia"/>
              </w:rPr>
              <w:t>地下水、</w:t>
            </w:r>
            <w:r>
              <w:t>土壤环境质量现状调查。</w:t>
            </w:r>
          </w:p>
        </w:tc>
      </w:tr>
      <w:tr w14:paraId="6AB1BF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56" w:type="dxa"/>
            <w:vAlign w:val="center"/>
          </w:tcPr>
          <w:p w14:paraId="43AA5E02">
            <w:pPr>
              <w:ind w:firstLine="0" w:firstLineChars="0"/>
              <w:jc w:val="center"/>
              <w:rPr>
                <w:kern w:val="0"/>
                <w:szCs w:val="21"/>
              </w:rPr>
            </w:pPr>
            <w:r>
              <w:rPr>
                <w:kern w:val="0"/>
                <w:szCs w:val="21"/>
              </w:rPr>
              <w:t>环境保护目标</w:t>
            </w:r>
          </w:p>
        </w:tc>
        <w:tc>
          <w:tcPr>
            <w:tcW w:w="7975" w:type="dxa"/>
            <w:vAlign w:val="center"/>
          </w:tcPr>
          <w:p w14:paraId="3D648B07">
            <w:pPr>
              <w:ind w:firstLine="420"/>
            </w:pPr>
            <w:r>
              <w:t>本项目位于</w:t>
            </w:r>
            <w:r>
              <w:rPr>
                <w:rFonts w:hint="eastAsia"/>
              </w:rPr>
              <w:t>四川巴中经济开发区内</w:t>
            </w:r>
            <w:r>
              <w:t>，根据现场调查，项目外环境关系见附图3。本项目主要环境保护目标情况见</w:t>
            </w:r>
            <w:r>
              <w:rPr>
                <w:rFonts w:hint="eastAsia"/>
              </w:rPr>
              <w:t>下表</w:t>
            </w:r>
            <w:r>
              <w:t>。</w:t>
            </w:r>
          </w:p>
          <w:p w14:paraId="24902473">
            <w:pPr>
              <w:pStyle w:val="156"/>
            </w:pPr>
            <w:r>
              <w:t>表3-4</w:t>
            </w:r>
            <w:r>
              <w:rPr>
                <w:rFonts w:hint="eastAsia"/>
              </w:rPr>
              <w:t xml:space="preserve"> </w:t>
            </w:r>
            <w:r>
              <w:t xml:space="preserve"> 环境保护目标一览表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565"/>
              <w:gridCol w:w="1695"/>
              <w:gridCol w:w="486"/>
              <w:gridCol w:w="1223"/>
              <w:gridCol w:w="1888"/>
              <w:gridCol w:w="2103"/>
            </w:tblGrid>
            <w:tr w14:paraId="653CDB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8" w:hRule="atLeast"/>
                <w:tblHeader/>
                <w:jc w:val="center"/>
              </w:trPr>
              <w:tc>
                <w:tcPr>
                  <w:tcW w:w="1420" w:type="pct"/>
                  <w:gridSpan w:val="2"/>
                  <w:vAlign w:val="center"/>
                </w:tcPr>
                <w:p w14:paraId="794F253B">
                  <w:pPr>
                    <w:spacing w:line="360" w:lineRule="exact"/>
                    <w:ind w:firstLine="0" w:firstLineChars="0"/>
                    <w:jc w:val="center"/>
                    <w:rPr>
                      <w:b/>
                      <w:bCs/>
                      <w:sz w:val="18"/>
                      <w:szCs w:val="18"/>
                    </w:rPr>
                  </w:pPr>
                  <w:r>
                    <w:rPr>
                      <w:b/>
                      <w:bCs/>
                      <w:sz w:val="18"/>
                      <w:szCs w:val="18"/>
                    </w:rPr>
                    <w:t>名称</w:t>
                  </w:r>
                </w:p>
              </w:tc>
              <w:tc>
                <w:tcPr>
                  <w:tcW w:w="305" w:type="pct"/>
                  <w:vAlign w:val="center"/>
                </w:tcPr>
                <w:p w14:paraId="6C544C61">
                  <w:pPr>
                    <w:spacing w:line="360" w:lineRule="exact"/>
                    <w:ind w:firstLine="0" w:firstLineChars="0"/>
                    <w:jc w:val="center"/>
                    <w:rPr>
                      <w:b/>
                      <w:bCs/>
                      <w:sz w:val="18"/>
                      <w:szCs w:val="18"/>
                    </w:rPr>
                  </w:pPr>
                  <w:r>
                    <w:rPr>
                      <w:b/>
                      <w:bCs/>
                      <w:sz w:val="18"/>
                      <w:szCs w:val="18"/>
                    </w:rPr>
                    <w:t>方位</w:t>
                  </w:r>
                </w:p>
              </w:tc>
              <w:tc>
                <w:tcPr>
                  <w:tcW w:w="768" w:type="pct"/>
                  <w:vAlign w:val="center"/>
                </w:tcPr>
                <w:p w14:paraId="7903207E">
                  <w:pPr>
                    <w:spacing w:line="360" w:lineRule="exact"/>
                    <w:ind w:firstLine="0" w:firstLineChars="0"/>
                    <w:jc w:val="center"/>
                    <w:rPr>
                      <w:b/>
                      <w:bCs/>
                      <w:sz w:val="18"/>
                      <w:szCs w:val="18"/>
                    </w:rPr>
                  </w:pPr>
                  <w:r>
                    <w:rPr>
                      <w:b/>
                      <w:bCs/>
                      <w:sz w:val="18"/>
                      <w:szCs w:val="18"/>
                    </w:rPr>
                    <w:t>距本项目</w:t>
                  </w:r>
                  <w:r>
                    <w:rPr>
                      <w:rFonts w:hint="eastAsia"/>
                      <w:b/>
                      <w:bCs/>
                      <w:sz w:val="18"/>
                      <w:szCs w:val="18"/>
                    </w:rPr>
                    <w:t>最近距</w:t>
                  </w:r>
                  <w:r>
                    <w:rPr>
                      <w:b/>
                      <w:bCs/>
                      <w:sz w:val="18"/>
                      <w:szCs w:val="18"/>
                    </w:rPr>
                    <w:t>离（m）</w:t>
                  </w:r>
                </w:p>
              </w:tc>
              <w:tc>
                <w:tcPr>
                  <w:tcW w:w="1186" w:type="pct"/>
                  <w:vAlign w:val="center"/>
                </w:tcPr>
                <w:p w14:paraId="08027A56">
                  <w:pPr>
                    <w:spacing w:line="360" w:lineRule="exact"/>
                    <w:ind w:firstLine="0" w:firstLineChars="0"/>
                    <w:jc w:val="center"/>
                    <w:rPr>
                      <w:b/>
                      <w:bCs/>
                      <w:sz w:val="18"/>
                      <w:szCs w:val="18"/>
                    </w:rPr>
                  </w:pPr>
                  <w:r>
                    <w:rPr>
                      <w:b/>
                      <w:bCs/>
                      <w:sz w:val="18"/>
                      <w:szCs w:val="18"/>
                    </w:rPr>
                    <w:t>环境简况</w:t>
                  </w:r>
                </w:p>
              </w:tc>
              <w:tc>
                <w:tcPr>
                  <w:tcW w:w="1321" w:type="pct"/>
                  <w:vAlign w:val="center"/>
                </w:tcPr>
                <w:p w14:paraId="621BF2C2">
                  <w:pPr>
                    <w:spacing w:line="360" w:lineRule="exact"/>
                    <w:ind w:firstLine="0" w:firstLineChars="0"/>
                    <w:jc w:val="center"/>
                    <w:rPr>
                      <w:b/>
                      <w:bCs/>
                      <w:sz w:val="18"/>
                      <w:szCs w:val="18"/>
                    </w:rPr>
                  </w:pPr>
                  <w:r>
                    <w:rPr>
                      <w:b/>
                      <w:bCs/>
                      <w:sz w:val="18"/>
                      <w:szCs w:val="18"/>
                    </w:rPr>
                    <w:t>环境功能区</w:t>
                  </w:r>
                </w:p>
              </w:tc>
            </w:tr>
            <w:tr w14:paraId="1E8E88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8" w:hRule="atLeast"/>
                <w:jc w:val="center"/>
              </w:trPr>
              <w:tc>
                <w:tcPr>
                  <w:tcW w:w="355" w:type="pct"/>
                  <w:vMerge w:val="restart"/>
                  <w:vAlign w:val="center"/>
                </w:tcPr>
                <w:p w14:paraId="6AB18AB0">
                  <w:pPr>
                    <w:spacing w:line="360" w:lineRule="exact"/>
                    <w:ind w:firstLine="0" w:firstLineChars="0"/>
                    <w:jc w:val="center"/>
                    <w:rPr>
                      <w:sz w:val="18"/>
                      <w:szCs w:val="18"/>
                    </w:rPr>
                  </w:pPr>
                  <w:r>
                    <w:rPr>
                      <w:sz w:val="18"/>
                      <w:szCs w:val="18"/>
                    </w:rPr>
                    <w:t>大气环境</w:t>
                  </w:r>
                </w:p>
              </w:tc>
              <w:tc>
                <w:tcPr>
                  <w:tcW w:w="1065" w:type="pct"/>
                  <w:vAlign w:val="center"/>
                </w:tcPr>
                <w:p w14:paraId="3822825E">
                  <w:pPr>
                    <w:spacing w:line="360" w:lineRule="exact"/>
                    <w:ind w:firstLine="0" w:firstLineChars="0"/>
                    <w:jc w:val="center"/>
                    <w:rPr>
                      <w:sz w:val="18"/>
                      <w:szCs w:val="18"/>
                    </w:rPr>
                  </w:pPr>
                  <w:r>
                    <w:rPr>
                      <w:rFonts w:hint="eastAsia"/>
                      <w:sz w:val="18"/>
                      <w:szCs w:val="18"/>
                    </w:rPr>
                    <w:t>达芙妮公租房</w:t>
                  </w:r>
                </w:p>
              </w:tc>
              <w:tc>
                <w:tcPr>
                  <w:tcW w:w="305" w:type="pct"/>
                  <w:vAlign w:val="center"/>
                </w:tcPr>
                <w:p w14:paraId="1EF0105D">
                  <w:pPr>
                    <w:spacing w:line="360" w:lineRule="exact"/>
                    <w:ind w:firstLine="0" w:firstLineChars="0"/>
                    <w:jc w:val="center"/>
                    <w:rPr>
                      <w:sz w:val="18"/>
                      <w:szCs w:val="18"/>
                    </w:rPr>
                  </w:pPr>
                  <w:r>
                    <w:rPr>
                      <w:rFonts w:hint="eastAsia"/>
                      <w:sz w:val="18"/>
                      <w:szCs w:val="18"/>
                    </w:rPr>
                    <w:t>NW</w:t>
                  </w:r>
                </w:p>
              </w:tc>
              <w:tc>
                <w:tcPr>
                  <w:tcW w:w="768" w:type="pct"/>
                  <w:vAlign w:val="center"/>
                </w:tcPr>
                <w:p w14:paraId="7AB08CCF">
                  <w:pPr>
                    <w:spacing w:line="360" w:lineRule="exact"/>
                    <w:ind w:firstLine="0" w:firstLineChars="0"/>
                    <w:jc w:val="center"/>
                    <w:rPr>
                      <w:sz w:val="18"/>
                      <w:szCs w:val="18"/>
                    </w:rPr>
                  </w:pPr>
                  <w:r>
                    <w:rPr>
                      <w:rFonts w:hint="eastAsia"/>
                      <w:sz w:val="18"/>
                      <w:szCs w:val="18"/>
                    </w:rPr>
                    <w:t>4</w:t>
                  </w:r>
                  <w:r>
                    <w:rPr>
                      <w:sz w:val="18"/>
                      <w:szCs w:val="18"/>
                    </w:rPr>
                    <w:t>50</w:t>
                  </w:r>
                </w:p>
              </w:tc>
              <w:tc>
                <w:tcPr>
                  <w:tcW w:w="1186" w:type="pct"/>
                  <w:vAlign w:val="center"/>
                </w:tcPr>
                <w:p w14:paraId="6216D6E9">
                  <w:pPr>
                    <w:spacing w:line="360" w:lineRule="exact"/>
                    <w:ind w:firstLine="0" w:firstLineChars="0"/>
                    <w:jc w:val="center"/>
                    <w:rPr>
                      <w:sz w:val="18"/>
                      <w:szCs w:val="18"/>
                    </w:rPr>
                  </w:pPr>
                  <w:r>
                    <w:rPr>
                      <w:rFonts w:hint="eastAsia"/>
                      <w:sz w:val="18"/>
                      <w:szCs w:val="18"/>
                    </w:rPr>
                    <w:t>约1</w:t>
                  </w:r>
                  <w:r>
                    <w:rPr>
                      <w:sz w:val="18"/>
                      <w:szCs w:val="18"/>
                    </w:rPr>
                    <w:t>500</w:t>
                  </w:r>
                  <w:r>
                    <w:rPr>
                      <w:rFonts w:hint="eastAsia"/>
                      <w:sz w:val="18"/>
                      <w:szCs w:val="18"/>
                    </w:rPr>
                    <w:t>人</w:t>
                  </w:r>
                </w:p>
              </w:tc>
              <w:tc>
                <w:tcPr>
                  <w:tcW w:w="1321" w:type="pct"/>
                  <w:vMerge w:val="restart"/>
                  <w:vAlign w:val="center"/>
                </w:tcPr>
                <w:p w14:paraId="213F9046">
                  <w:pPr>
                    <w:spacing w:line="360" w:lineRule="exact"/>
                    <w:ind w:firstLine="0" w:firstLineChars="0"/>
                    <w:jc w:val="center"/>
                    <w:rPr>
                      <w:sz w:val="18"/>
                      <w:szCs w:val="18"/>
                    </w:rPr>
                  </w:pPr>
                  <w:r>
                    <w:rPr>
                      <w:sz w:val="18"/>
                      <w:szCs w:val="18"/>
                    </w:rPr>
                    <w:t>《环境空气质量标准》</w:t>
                  </w:r>
                  <w:r>
                    <w:rPr>
                      <w:rFonts w:hint="eastAsia"/>
                      <w:sz w:val="18"/>
                      <w:szCs w:val="18"/>
                    </w:rPr>
                    <w:t>（</w:t>
                  </w:r>
                  <w:r>
                    <w:rPr>
                      <w:sz w:val="18"/>
                      <w:szCs w:val="18"/>
                    </w:rPr>
                    <w:t>GB3095-2012</w:t>
                  </w:r>
                  <w:r>
                    <w:rPr>
                      <w:rFonts w:hint="eastAsia"/>
                      <w:sz w:val="18"/>
                      <w:szCs w:val="18"/>
                    </w:rPr>
                    <w:t>）二级</w:t>
                  </w:r>
                  <w:r>
                    <w:rPr>
                      <w:sz w:val="18"/>
                      <w:szCs w:val="18"/>
                    </w:rPr>
                    <w:t xml:space="preserve"> </w:t>
                  </w:r>
                </w:p>
              </w:tc>
            </w:tr>
            <w:tr w14:paraId="50F87F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8" w:hRule="atLeast"/>
                <w:jc w:val="center"/>
              </w:trPr>
              <w:tc>
                <w:tcPr>
                  <w:tcW w:w="355" w:type="pct"/>
                  <w:vMerge w:val="continue"/>
                  <w:vAlign w:val="center"/>
                </w:tcPr>
                <w:p w14:paraId="5D27A81D">
                  <w:pPr>
                    <w:spacing w:line="360" w:lineRule="exact"/>
                    <w:ind w:firstLine="0" w:firstLineChars="0"/>
                    <w:jc w:val="center"/>
                    <w:rPr>
                      <w:sz w:val="18"/>
                      <w:szCs w:val="18"/>
                    </w:rPr>
                  </w:pPr>
                </w:p>
              </w:tc>
              <w:tc>
                <w:tcPr>
                  <w:tcW w:w="1065" w:type="pct"/>
                  <w:vAlign w:val="center"/>
                </w:tcPr>
                <w:p w14:paraId="55694D54">
                  <w:pPr>
                    <w:spacing w:line="360" w:lineRule="exact"/>
                    <w:ind w:firstLine="0" w:firstLineChars="0"/>
                    <w:jc w:val="center"/>
                    <w:rPr>
                      <w:sz w:val="18"/>
                      <w:szCs w:val="18"/>
                    </w:rPr>
                  </w:pPr>
                  <w:r>
                    <w:rPr>
                      <w:rFonts w:hint="eastAsia"/>
                      <w:sz w:val="18"/>
                      <w:szCs w:val="18"/>
                    </w:rPr>
                    <w:t>杨家沟居民</w:t>
                  </w:r>
                </w:p>
              </w:tc>
              <w:tc>
                <w:tcPr>
                  <w:tcW w:w="305" w:type="pct"/>
                  <w:vAlign w:val="center"/>
                </w:tcPr>
                <w:p w14:paraId="43C885D4">
                  <w:pPr>
                    <w:spacing w:line="360" w:lineRule="exact"/>
                    <w:ind w:firstLine="0" w:firstLineChars="0"/>
                    <w:jc w:val="center"/>
                    <w:rPr>
                      <w:sz w:val="18"/>
                      <w:szCs w:val="18"/>
                    </w:rPr>
                  </w:pPr>
                  <w:r>
                    <w:rPr>
                      <w:rFonts w:hint="eastAsia"/>
                      <w:sz w:val="18"/>
                      <w:szCs w:val="18"/>
                    </w:rPr>
                    <w:t>NE</w:t>
                  </w:r>
                </w:p>
              </w:tc>
              <w:tc>
                <w:tcPr>
                  <w:tcW w:w="768" w:type="pct"/>
                  <w:vAlign w:val="center"/>
                </w:tcPr>
                <w:p w14:paraId="7EC2E895">
                  <w:pPr>
                    <w:spacing w:line="360" w:lineRule="exact"/>
                    <w:ind w:firstLine="0" w:firstLineChars="0"/>
                    <w:jc w:val="center"/>
                    <w:rPr>
                      <w:sz w:val="18"/>
                      <w:szCs w:val="18"/>
                    </w:rPr>
                  </w:pPr>
                  <w:r>
                    <w:rPr>
                      <w:rFonts w:hint="eastAsia"/>
                      <w:sz w:val="18"/>
                      <w:szCs w:val="18"/>
                    </w:rPr>
                    <w:t>2</w:t>
                  </w:r>
                  <w:r>
                    <w:rPr>
                      <w:sz w:val="18"/>
                      <w:szCs w:val="18"/>
                    </w:rPr>
                    <w:t>75</w:t>
                  </w:r>
                </w:p>
              </w:tc>
              <w:tc>
                <w:tcPr>
                  <w:tcW w:w="1186" w:type="pct"/>
                  <w:vAlign w:val="center"/>
                </w:tcPr>
                <w:p w14:paraId="1661A2C7">
                  <w:pPr>
                    <w:spacing w:line="360" w:lineRule="exact"/>
                    <w:ind w:firstLine="0" w:firstLineChars="0"/>
                    <w:jc w:val="center"/>
                    <w:rPr>
                      <w:sz w:val="18"/>
                      <w:szCs w:val="18"/>
                    </w:rPr>
                  </w:pPr>
                  <w:r>
                    <w:rPr>
                      <w:rFonts w:hint="eastAsia"/>
                      <w:sz w:val="18"/>
                      <w:szCs w:val="18"/>
                    </w:rPr>
                    <w:t>约1</w:t>
                  </w:r>
                  <w:r>
                    <w:rPr>
                      <w:sz w:val="18"/>
                      <w:szCs w:val="18"/>
                    </w:rPr>
                    <w:t>2</w:t>
                  </w:r>
                  <w:r>
                    <w:rPr>
                      <w:rFonts w:hint="eastAsia"/>
                      <w:sz w:val="18"/>
                      <w:szCs w:val="18"/>
                    </w:rPr>
                    <w:t>人</w:t>
                  </w:r>
                </w:p>
              </w:tc>
              <w:tc>
                <w:tcPr>
                  <w:tcW w:w="1321" w:type="pct"/>
                  <w:vMerge w:val="continue"/>
                  <w:vAlign w:val="center"/>
                </w:tcPr>
                <w:p w14:paraId="3AAE6F81">
                  <w:pPr>
                    <w:spacing w:line="360" w:lineRule="exact"/>
                    <w:ind w:firstLine="0" w:firstLineChars="0"/>
                    <w:jc w:val="center"/>
                    <w:rPr>
                      <w:sz w:val="18"/>
                      <w:szCs w:val="18"/>
                    </w:rPr>
                  </w:pPr>
                </w:p>
              </w:tc>
            </w:tr>
            <w:tr w14:paraId="10A4A8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8" w:hRule="atLeast"/>
                <w:jc w:val="center"/>
              </w:trPr>
              <w:tc>
                <w:tcPr>
                  <w:tcW w:w="355" w:type="pct"/>
                  <w:vAlign w:val="center"/>
                </w:tcPr>
                <w:p w14:paraId="6649F030">
                  <w:pPr>
                    <w:spacing w:line="360" w:lineRule="exact"/>
                    <w:ind w:firstLine="0" w:firstLineChars="0"/>
                    <w:jc w:val="center"/>
                    <w:rPr>
                      <w:sz w:val="18"/>
                      <w:szCs w:val="18"/>
                    </w:rPr>
                  </w:pPr>
                  <w:r>
                    <w:rPr>
                      <w:rFonts w:hint="eastAsia"/>
                      <w:sz w:val="18"/>
                      <w:szCs w:val="18"/>
                    </w:rPr>
                    <w:t>声环境</w:t>
                  </w:r>
                </w:p>
              </w:tc>
              <w:tc>
                <w:tcPr>
                  <w:tcW w:w="3324" w:type="pct"/>
                  <w:gridSpan w:val="4"/>
                  <w:vAlign w:val="center"/>
                </w:tcPr>
                <w:p w14:paraId="2DB5A827">
                  <w:pPr>
                    <w:spacing w:line="360" w:lineRule="exact"/>
                    <w:ind w:firstLine="0" w:firstLineChars="0"/>
                    <w:jc w:val="center"/>
                    <w:rPr>
                      <w:sz w:val="18"/>
                      <w:szCs w:val="18"/>
                    </w:rPr>
                  </w:pPr>
                  <w:r>
                    <w:rPr>
                      <w:rFonts w:hint="eastAsia"/>
                      <w:sz w:val="18"/>
                      <w:szCs w:val="18"/>
                    </w:rPr>
                    <w:t>厂界周边5</w:t>
                  </w:r>
                  <w:r>
                    <w:rPr>
                      <w:sz w:val="18"/>
                      <w:szCs w:val="18"/>
                    </w:rPr>
                    <w:t>0</w:t>
                  </w:r>
                  <w:r>
                    <w:rPr>
                      <w:rFonts w:hint="eastAsia"/>
                      <w:sz w:val="18"/>
                      <w:szCs w:val="18"/>
                    </w:rPr>
                    <w:t>m范围内无声环境保护目标</w:t>
                  </w:r>
                </w:p>
              </w:tc>
              <w:tc>
                <w:tcPr>
                  <w:tcW w:w="1321" w:type="pct"/>
                  <w:vAlign w:val="center"/>
                </w:tcPr>
                <w:p w14:paraId="2D00BECE">
                  <w:pPr>
                    <w:spacing w:line="360" w:lineRule="exact"/>
                    <w:ind w:firstLine="0" w:firstLineChars="0"/>
                    <w:jc w:val="center"/>
                    <w:rPr>
                      <w:sz w:val="18"/>
                      <w:szCs w:val="18"/>
                    </w:rPr>
                  </w:pPr>
                  <w:r>
                    <w:rPr>
                      <w:rFonts w:hint="eastAsia"/>
                      <w:sz w:val="18"/>
                      <w:szCs w:val="18"/>
                    </w:rPr>
                    <w:t>/</w:t>
                  </w:r>
                </w:p>
              </w:tc>
            </w:tr>
            <w:tr w14:paraId="29F3C1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8" w:hRule="atLeast"/>
                <w:jc w:val="center"/>
              </w:trPr>
              <w:tc>
                <w:tcPr>
                  <w:tcW w:w="355" w:type="pct"/>
                  <w:vAlign w:val="center"/>
                </w:tcPr>
                <w:p w14:paraId="4BEDD880">
                  <w:pPr>
                    <w:spacing w:line="360" w:lineRule="exact"/>
                    <w:ind w:firstLine="0" w:firstLineChars="0"/>
                    <w:jc w:val="center"/>
                    <w:rPr>
                      <w:sz w:val="18"/>
                      <w:szCs w:val="18"/>
                    </w:rPr>
                  </w:pPr>
                  <w:r>
                    <w:rPr>
                      <w:sz w:val="18"/>
                      <w:szCs w:val="18"/>
                    </w:rPr>
                    <w:t>地表水</w:t>
                  </w:r>
                </w:p>
              </w:tc>
              <w:tc>
                <w:tcPr>
                  <w:tcW w:w="1065" w:type="pct"/>
                  <w:vAlign w:val="center"/>
                </w:tcPr>
                <w:p w14:paraId="7E979457">
                  <w:pPr>
                    <w:spacing w:line="360" w:lineRule="exact"/>
                    <w:ind w:firstLine="0" w:firstLineChars="0"/>
                    <w:jc w:val="center"/>
                    <w:rPr>
                      <w:sz w:val="18"/>
                      <w:szCs w:val="18"/>
                    </w:rPr>
                  </w:pPr>
                  <w:r>
                    <w:rPr>
                      <w:rFonts w:hint="eastAsia"/>
                      <w:sz w:val="18"/>
                      <w:szCs w:val="18"/>
                    </w:rPr>
                    <w:t>巴河</w:t>
                  </w:r>
                </w:p>
              </w:tc>
              <w:tc>
                <w:tcPr>
                  <w:tcW w:w="305" w:type="pct"/>
                  <w:vAlign w:val="center"/>
                </w:tcPr>
                <w:p w14:paraId="1822D8C0">
                  <w:pPr>
                    <w:spacing w:line="360" w:lineRule="exact"/>
                    <w:ind w:firstLine="0" w:firstLineChars="0"/>
                    <w:jc w:val="center"/>
                    <w:rPr>
                      <w:sz w:val="18"/>
                      <w:szCs w:val="18"/>
                    </w:rPr>
                  </w:pPr>
                  <w:r>
                    <w:rPr>
                      <w:rFonts w:hint="eastAsia"/>
                      <w:sz w:val="18"/>
                      <w:szCs w:val="18"/>
                    </w:rPr>
                    <w:t>W</w:t>
                  </w:r>
                </w:p>
              </w:tc>
              <w:tc>
                <w:tcPr>
                  <w:tcW w:w="768" w:type="pct"/>
                  <w:vAlign w:val="center"/>
                </w:tcPr>
                <w:p w14:paraId="0BE1FD11">
                  <w:pPr>
                    <w:spacing w:line="360" w:lineRule="exact"/>
                    <w:ind w:firstLine="0" w:firstLineChars="0"/>
                    <w:jc w:val="center"/>
                    <w:rPr>
                      <w:sz w:val="18"/>
                      <w:szCs w:val="18"/>
                    </w:rPr>
                  </w:pPr>
                  <w:r>
                    <w:rPr>
                      <w:rFonts w:hint="eastAsia"/>
                      <w:sz w:val="18"/>
                      <w:szCs w:val="18"/>
                    </w:rPr>
                    <w:t>1</w:t>
                  </w:r>
                  <w:r>
                    <w:rPr>
                      <w:sz w:val="18"/>
                      <w:szCs w:val="18"/>
                    </w:rPr>
                    <w:t>2000</w:t>
                  </w:r>
                </w:p>
              </w:tc>
              <w:tc>
                <w:tcPr>
                  <w:tcW w:w="1186" w:type="pct"/>
                  <w:vAlign w:val="center"/>
                </w:tcPr>
                <w:p w14:paraId="77B63B4E">
                  <w:pPr>
                    <w:spacing w:line="360" w:lineRule="exact"/>
                    <w:ind w:firstLine="0" w:firstLineChars="0"/>
                    <w:jc w:val="center"/>
                    <w:rPr>
                      <w:sz w:val="18"/>
                      <w:szCs w:val="18"/>
                    </w:rPr>
                  </w:pPr>
                  <w:r>
                    <w:rPr>
                      <w:rFonts w:hint="eastAsia"/>
                      <w:sz w:val="18"/>
                      <w:szCs w:val="18"/>
                    </w:rPr>
                    <w:t>行洪、灌溉、纳污</w:t>
                  </w:r>
                </w:p>
              </w:tc>
              <w:tc>
                <w:tcPr>
                  <w:tcW w:w="1321" w:type="pct"/>
                  <w:vAlign w:val="center"/>
                </w:tcPr>
                <w:p w14:paraId="250E2024">
                  <w:pPr>
                    <w:spacing w:line="360" w:lineRule="exact"/>
                    <w:ind w:firstLine="0" w:firstLineChars="0"/>
                    <w:jc w:val="center"/>
                    <w:rPr>
                      <w:sz w:val="18"/>
                      <w:szCs w:val="18"/>
                    </w:rPr>
                  </w:pPr>
                  <w:r>
                    <w:rPr>
                      <w:sz w:val="18"/>
                      <w:szCs w:val="18"/>
                    </w:rPr>
                    <w:t>《地表水环境质量标准》</w:t>
                  </w:r>
                  <w:r>
                    <w:rPr>
                      <w:rFonts w:hint="eastAsia"/>
                      <w:sz w:val="18"/>
                      <w:szCs w:val="18"/>
                    </w:rPr>
                    <w:t>（</w:t>
                  </w:r>
                  <w:r>
                    <w:rPr>
                      <w:sz w:val="18"/>
                      <w:szCs w:val="18"/>
                    </w:rPr>
                    <w:t>GB3838-2002</w:t>
                  </w:r>
                  <w:r>
                    <w:rPr>
                      <w:rFonts w:hint="eastAsia"/>
                      <w:sz w:val="18"/>
                      <w:szCs w:val="18"/>
                    </w:rPr>
                    <w:t>）</w:t>
                  </w:r>
                  <w:r>
                    <w:rPr>
                      <w:sz w:val="18"/>
                      <w:szCs w:val="18"/>
                    </w:rPr>
                    <w:t>Ⅲ类</w:t>
                  </w:r>
                </w:p>
              </w:tc>
            </w:tr>
            <w:tr w14:paraId="6E1F9F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8" w:hRule="atLeast"/>
                <w:jc w:val="center"/>
              </w:trPr>
              <w:tc>
                <w:tcPr>
                  <w:tcW w:w="355" w:type="pct"/>
                  <w:vAlign w:val="center"/>
                </w:tcPr>
                <w:p w14:paraId="0760613A">
                  <w:pPr>
                    <w:spacing w:line="360" w:lineRule="exact"/>
                    <w:ind w:firstLine="0" w:firstLineChars="0"/>
                    <w:jc w:val="center"/>
                    <w:rPr>
                      <w:sz w:val="18"/>
                      <w:szCs w:val="18"/>
                    </w:rPr>
                  </w:pPr>
                  <w:r>
                    <w:rPr>
                      <w:rFonts w:hint="eastAsia"/>
                      <w:sz w:val="18"/>
                      <w:szCs w:val="18"/>
                    </w:rPr>
                    <w:t>地下水</w:t>
                  </w:r>
                </w:p>
              </w:tc>
              <w:tc>
                <w:tcPr>
                  <w:tcW w:w="4645" w:type="pct"/>
                  <w:gridSpan w:val="5"/>
                  <w:vAlign w:val="center"/>
                </w:tcPr>
                <w:p w14:paraId="177E94D0">
                  <w:pPr>
                    <w:spacing w:line="360" w:lineRule="exact"/>
                    <w:ind w:firstLine="0" w:firstLineChars="0"/>
                    <w:jc w:val="center"/>
                    <w:rPr>
                      <w:sz w:val="18"/>
                      <w:szCs w:val="18"/>
                    </w:rPr>
                  </w:pPr>
                  <w:r>
                    <w:rPr>
                      <w:rFonts w:hint="eastAsia"/>
                      <w:sz w:val="18"/>
                      <w:szCs w:val="18"/>
                    </w:rPr>
                    <w:t>厂界外5</w:t>
                  </w:r>
                  <w:r>
                    <w:rPr>
                      <w:sz w:val="18"/>
                      <w:szCs w:val="18"/>
                    </w:rPr>
                    <w:t>00</w:t>
                  </w:r>
                  <w:r>
                    <w:rPr>
                      <w:rFonts w:hint="eastAsia"/>
                      <w:sz w:val="18"/>
                      <w:szCs w:val="18"/>
                    </w:rPr>
                    <w:t>m范围内无地下水集中式饮用水水源和热水、矿泉水、温泉等特殊地下水资源。</w:t>
                  </w:r>
                </w:p>
              </w:tc>
            </w:tr>
            <w:tr w14:paraId="726961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8" w:hRule="atLeast"/>
                <w:jc w:val="center"/>
              </w:trPr>
              <w:tc>
                <w:tcPr>
                  <w:tcW w:w="355" w:type="pct"/>
                  <w:vAlign w:val="center"/>
                </w:tcPr>
                <w:p w14:paraId="4E376E62">
                  <w:pPr>
                    <w:spacing w:line="360" w:lineRule="exact"/>
                    <w:ind w:firstLine="0" w:firstLineChars="0"/>
                    <w:jc w:val="center"/>
                    <w:rPr>
                      <w:sz w:val="18"/>
                      <w:szCs w:val="18"/>
                    </w:rPr>
                  </w:pPr>
                  <w:r>
                    <w:rPr>
                      <w:rFonts w:hint="eastAsia"/>
                      <w:sz w:val="18"/>
                      <w:szCs w:val="18"/>
                    </w:rPr>
                    <w:t>生态</w:t>
                  </w:r>
                </w:p>
              </w:tc>
              <w:tc>
                <w:tcPr>
                  <w:tcW w:w="4645" w:type="pct"/>
                  <w:gridSpan w:val="5"/>
                  <w:vAlign w:val="center"/>
                </w:tcPr>
                <w:p w14:paraId="3F9280F1">
                  <w:pPr>
                    <w:spacing w:line="360" w:lineRule="exact"/>
                    <w:ind w:firstLine="0" w:firstLineChars="0"/>
                    <w:rPr>
                      <w:sz w:val="18"/>
                      <w:szCs w:val="18"/>
                    </w:rPr>
                  </w:pPr>
                  <w:r>
                    <w:rPr>
                      <w:rFonts w:hint="eastAsia"/>
                      <w:sz w:val="18"/>
                      <w:szCs w:val="18"/>
                    </w:rPr>
                    <w:t>项目选址于四川巴中经济开发区内，周边无重要物种、生态敏感区以及其他需要保护的物种、种群、生物群落及生态空间。</w:t>
                  </w:r>
                </w:p>
              </w:tc>
            </w:tr>
          </w:tbl>
          <w:p w14:paraId="79E53F13">
            <w:pPr>
              <w:pStyle w:val="135"/>
            </w:pPr>
          </w:p>
        </w:tc>
      </w:tr>
      <w:tr w14:paraId="156780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56" w:type="dxa"/>
            <w:tcMar>
              <w:left w:w="28" w:type="dxa"/>
              <w:right w:w="28" w:type="dxa"/>
            </w:tcMar>
            <w:vAlign w:val="center"/>
          </w:tcPr>
          <w:p w14:paraId="376FC537">
            <w:pPr>
              <w:ind w:firstLine="0" w:firstLineChars="0"/>
              <w:jc w:val="center"/>
              <w:rPr>
                <w:kern w:val="0"/>
                <w:szCs w:val="21"/>
              </w:rPr>
            </w:pPr>
            <w:r>
              <w:rPr>
                <w:kern w:val="0"/>
                <w:szCs w:val="21"/>
              </w:rPr>
              <w:t>污染物排放控制标准</w:t>
            </w:r>
          </w:p>
        </w:tc>
        <w:tc>
          <w:tcPr>
            <w:tcW w:w="7975" w:type="dxa"/>
            <w:vAlign w:val="center"/>
          </w:tcPr>
          <w:p w14:paraId="1DAF2C5C">
            <w:pPr>
              <w:pStyle w:val="157"/>
            </w:pPr>
            <w:r>
              <w:t>1、大气污染物排放标准</w:t>
            </w:r>
          </w:p>
          <w:p w14:paraId="3EC14DFB">
            <w:pPr>
              <w:ind w:firstLine="420"/>
            </w:pPr>
            <w:r>
              <w:t>营运期</w:t>
            </w:r>
            <w:r>
              <w:rPr>
                <w:rFonts w:hint="eastAsia"/>
              </w:rPr>
              <w:t>生产工艺过程产生的颗粒物</w:t>
            </w:r>
            <w:r>
              <w:t>执行</w:t>
            </w:r>
            <w:r>
              <w:rPr>
                <w:rFonts w:hint="eastAsia"/>
              </w:rPr>
              <w:t>《砖瓦工业大气污染物排放标准</w:t>
            </w:r>
            <w:r>
              <w:t>》（</w:t>
            </w:r>
            <w:r>
              <w:rPr>
                <w:rFonts w:hint="eastAsia"/>
              </w:rPr>
              <w:t>GB</w:t>
            </w:r>
            <w:r>
              <w:t xml:space="preserve"> 29620-2013）</w:t>
            </w:r>
            <w:r>
              <w:rPr>
                <w:rFonts w:hint="eastAsia"/>
              </w:rPr>
              <w:t>表</w:t>
            </w:r>
            <w:r>
              <w:t>3</w:t>
            </w:r>
            <w:r>
              <w:rPr>
                <w:rFonts w:hint="eastAsia"/>
              </w:rPr>
              <w:t>标准限值；生物质锅炉废气</w:t>
            </w:r>
            <w:r>
              <w:rPr>
                <w:rStyle w:val="193"/>
                <w:rFonts w:hint="eastAsia"/>
                <w:color w:val="auto"/>
              </w:rPr>
              <w:t>参照</w:t>
            </w:r>
            <w:r>
              <w:rPr>
                <w:rFonts w:hint="eastAsia"/>
              </w:rPr>
              <w:t>执行《锅炉大气污染物排放标准》（GB</w:t>
            </w:r>
            <w:r>
              <w:t>13271-2014</w:t>
            </w:r>
            <w:r>
              <w:rPr>
                <w:rFonts w:hint="eastAsia"/>
              </w:rPr>
              <w:t>）表3燃煤锅炉大气污染物特别排放限值要求。</w:t>
            </w:r>
          </w:p>
          <w:p w14:paraId="193063F5">
            <w:pPr>
              <w:pStyle w:val="156"/>
            </w:pPr>
            <w:r>
              <w:rPr>
                <w:rFonts w:hint="eastAsia"/>
              </w:rPr>
              <w:t>表3</w:t>
            </w:r>
            <w:r>
              <w:t xml:space="preserve">-5  </w:t>
            </w:r>
            <w:r>
              <w:rPr>
                <w:rFonts w:hint="eastAsia"/>
              </w:rPr>
              <w:t>运营期废气污染物排放标准限值</w:t>
            </w:r>
          </w:p>
          <w:tbl>
            <w:tblPr>
              <w:tblStyle w:val="19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94"/>
              <w:gridCol w:w="1166"/>
              <w:gridCol w:w="915"/>
              <w:gridCol w:w="791"/>
              <w:gridCol w:w="821"/>
              <w:gridCol w:w="872"/>
              <w:gridCol w:w="2601"/>
            </w:tblGrid>
            <w:tr w14:paraId="1DA9A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0" w:hRule="atLeast"/>
                <w:tblHeader/>
              </w:trPr>
              <w:tc>
                <w:tcPr>
                  <w:tcW w:w="794" w:type="dxa"/>
                  <w:vMerge w:val="restart"/>
                  <w:vAlign w:val="center"/>
                </w:tcPr>
                <w:p w14:paraId="6D46C2B4">
                  <w:pPr>
                    <w:pStyle w:val="135"/>
                    <w:adjustRightInd w:val="0"/>
                    <w:snapToGrid w:val="0"/>
                    <w:rPr>
                      <w:b/>
                      <w:bCs/>
                    </w:rPr>
                  </w:pPr>
                  <w:r>
                    <w:rPr>
                      <w:rFonts w:hint="eastAsia"/>
                      <w:b/>
                      <w:bCs/>
                    </w:rPr>
                    <w:t>污染源</w:t>
                  </w:r>
                </w:p>
              </w:tc>
              <w:tc>
                <w:tcPr>
                  <w:tcW w:w="1166" w:type="dxa"/>
                  <w:vMerge w:val="restart"/>
                  <w:vAlign w:val="center"/>
                </w:tcPr>
                <w:p w14:paraId="4EA860C9">
                  <w:pPr>
                    <w:pStyle w:val="135"/>
                    <w:adjustRightInd w:val="0"/>
                    <w:snapToGrid w:val="0"/>
                    <w:rPr>
                      <w:b/>
                      <w:bCs/>
                    </w:rPr>
                  </w:pPr>
                  <w:r>
                    <w:rPr>
                      <w:rFonts w:hint="eastAsia"/>
                      <w:b/>
                      <w:bCs/>
                    </w:rPr>
                    <w:t>污染物</w:t>
                  </w:r>
                </w:p>
              </w:tc>
              <w:tc>
                <w:tcPr>
                  <w:tcW w:w="2527" w:type="dxa"/>
                  <w:gridSpan w:val="3"/>
                  <w:vAlign w:val="center"/>
                </w:tcPr>
                <w:p w14:paraId="2C95E05A">
                  <w:pPr>
                    <w:pStyle w:val="135"/>
                    <w:adjustRightInd w:val="0"/>
                    <w:snapToGrid w:val="0"/>
                    <w:rPr>
                      <w:b/>
                      <w:bCs/>
                    </w:rPr>
                  </w:pPr>
                  <w:r>
                    <w:rPr>
                      <w:rFonts w:hint="eastAsia"/>
                      <w:b/>
                      <w:bCs/>
                    </w:rPr>
                    <w:t>排放限值</w:t>
                  </w:r>
                </w:p>
              </w:tc>
              <w:tc>
                <w:tcPr>
                  <w:tcW w:w="872" w:type="dxa"/>
                  <w:vMerge w:val="restart"/>
                  <w:vAlign w:val="center"/>
                </w:tcPr>
                <w:p w14:paraId="0CCCB4AA">
                  <w:pPr>
                    <w:pStyle w:val="135"/>
                    <w:adjustRightInd w:val="0"/>
                    <w:snapToGrid w:val="0"/>
                    <w:rPr>
                      <w:b/>
                      <w:bCs/>
                    </w:rPr>
                  </w:pPr>
                  <w:r>
                    <w:rPr>
                      <w:rFonts w:hint="eastAsia"/>
                      <w:b/>
                      <w:bCs/>
                    </w:rPr>
                    <w:t>无组织排放限值（mg</w:t>
                  </w:r>
                  <w:r>
                    <w:rPr>
                      <w:b/>
                      <w:bCs/>
                    </w:rPr>
                    <w:t>/</w:t>
                  </w:r>
                  <w:r>
                    <w:rPr>
                      <w:rFonts w:hint="eastAsia"/>
                      <w:b/>
                      <w:bCs/>
                    </w:rPr>
                    <w:t>m</w:t>
                  </w:r>
                  <w:r>
                    <w:rPr>
                      <w:b/>
                      <w:bCs/>
                      <w:vertAlign w:val="superscript"/>
                    </w:rPr>
                    <w:t>3</w:t>
                  </w:r>
                  <w:r>
                    <w:rPr>
                      <w:rFonts w:hint="eastAsia"/>
                      <w:b/>
                      <w:bCs/>
                    </w:rPr>
                    <w:t>）</w:t>
                  </w:r>
                </w:p>
              </w:tc>
              <w:tc>
                <w:tcPr>
                  <w:tcW w:w="2601" w:type="dxa"/>
                  <w:vMerge w:val="restart"/>
                  <w:vAlign w:val="center"/>
                </w:tcPr>
                <w:p w14:paraId="243B9AAD">
                  <w:pPr>
                    <w:pStyle w:val="135"/>
                    <w:adjustRightInd w:val="0"/>
                    <w:snapToGrid w:val="0"/>
                    <w:rPr>
                      <w:b/>
                      <w:bCs/>
                    </w:rPr>
                  </w:pPr>
                  <w:r>
                    <w:rPr>
                      <w:rFonts w:hint="eastAsia"/>
                      <w:b/>
                      <w:bCs/>
                    </w:rPr>
                    <w:t>备注</w:t>
                  </w:r>
                </w:p>
              </w:tc>
            </w:tr>
            <w:tr w14:paraId="0E28A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0" w:hRule="atLeast"/>
                <w:tblHeader/>
              </w:trPr>
              <w:tc>
                <w:tcPr>
                  <w:tcW w:w="794" w:type="dxa"/>
                  <w:vMerge w:val="continue"/>
                  <w:vAlign w:val="center"/>
                </w:tcPr>
                <w:p w14:paraId="113EFF36">
                  <w:pPr>
                    <w:pStyle w:val="135"/>
                    <w:adjustRightInd w:val="0"/>
                    <w:snapToGrid w:val="0"/>
                  </w:pPr>
                </w:p>
              </w:tc>
              <w:tc>
                <w:tcPr>
                  <w:tcW w:w="1166" w:type="dxa"/>
                  <w:vMerge w:val="continue"/>
                  <w:vAlign w:val="center"/>
                </w:tcPr>
                <w:p w14:paraId="38D16B52">
                  <w:pPr>
                    <w:pStyle w:val="135"/>
                    <w:adjustRightInd w:val="0"/>
                    <w:snapToGrid w:val="0"/>
                  </w:pPr>
                </w:p>
              </w:tc>
              <w:tc>
                <w:tcPr>
                  <w:tcW w:w="915" w:type="dxa"/>
                  <w:vAlign w:val="center"/>
                </w:tcPr>
                <w:p w14:paraId="550F052D">
                  <w:pPr>
                    <w:pStyle w:val="135"/>
                    <w:adjustRightInd w:val="0"/>
                    <w:snapToGrid w:val="0"/>
                    <w:rPr>
                      <w:b/>
                      <w:bCs/>
                    </w:rPr>
                  </w:pPr>
                  <w:r>
                    <w:rPr>
                      <w:rFonts w:hint="eastAsia"/>
                      <w:b/>
                      <w:bCs/>
                    </w:rPr>
                    <w:t>排放浓度</w:t>
                  </w:r>
                </w:p>
                <w:p w14:paraId="3C4667C3">
                  <w:pPr>
                    <w:pStyle w:val="135"/>
                    <w:adjustRightInd w:val="0"/>
                    <w:snapToGrid w:val="0"/>
                    <w:rPr>
                      <w:b/>
                      <w:bCs/>
                    </w:rPr>
                  </w:pPr>
                  <w:r>
                    <w:rPr>
                      <w:rFonts w:hint="eastAsia"/>
                      <w:b/>
                      <w:bCs/>
                    </w:rPr>
                    <w:t>（mg</w:t>
                  </w:r>
                  <w:r>
                    <w:rPr>
                      <w:b/>
                      <w:bCs/>
                    </w:rPr>
                    <w:t>/</w:t>
                  </w:r>
                  <w:r>
                    <w:rPr>
                      <w:rFonts w:hint="eastAsia"/>
                      <w:b/>
                      <w:bCs/>
                    </w:rPr>
                    <w:t>m</w:t>
                  </w:r>
                  <w:r>
                    <w:rPr>
                      <w:b/>
                      <w:bCs/>
                      <w:vertAlign w:val="superscript"/>
                    </w:rPr>
                    <w:t>3</w:t>
                  </w:r>
                  <w:r>
                    <w:rPr>
                      <w:rFonts w:hint="eastAsia"/>
                      <w:b/>
                      <w:bCs/>
                    </w:rPr>
                    <w:t>）</w:t>
                  </w:r>
                </w:p>
              </w:tc>
              <w:tc>
                <w:tcPr>
                  <w:tcW w:w="791" w:type="dxa"/>
                  <w:vAlign w:val="center"/>
                </w:tcPr>
                <w:p w14:paraId="74078A90">
                  <w:pPr>
                    <w:pStyle w:val="135"/>
                    <w:adjustRightInd w:val="0"/>
                    <w:snapToGrid w:val="0"/>
                    <w:rPr>
                      <w:b/>
                      <w:bCs/>
                    </w:rPr>
                  </w:pPr>
                  <w:r>
                    <w:rPr>
                      <w:rFonts w:hint="eastAsia"/>
                      <w:b/>
                      <w:bCs/>
                    </w:rPr>
                    <w:t>排放速率</w:t>
                  </w:r>
                </w:p>
                <w:p w14:paraId="605BB7A3">
                  <w:pPr>
                    <w:pStyle w:val="135"/>
                    <w:adjustRightInd w:val="0"/>
                    <w:snapToGrid w:val="0"/>
                    <w:rPr>
                      <w:b/>
                      <w:bCs/>
                    </w:rPr>
                  </w:pPr>
                  <w:r>
                    <w:rPr>
                      <w:rFonts w:hint="eastAsia"/>
                      <w:b/>
                      <w:bCs/>
                    </w:rPr>
                    <w:t>（kg</w:t>
                  </w:r>
                  <w:r>
                    <w:rPr>
                      <w:b/>
                      <w:bCs/>
                    </w:rPr>
                    <w:t>/</w:t>
                  </w:r>
                  <w:r>
                    <w:rPr>
                      <w:rFonts w:hint="eastAsia"/>
                      <w:b/>
                      <w:bCs/>
                    </w:rPr>
                    <w:t>h）</w:t>
                  </w:r>
                </w:p>
              </w:tc>
              <w:tc>
                <w:tcPr>
                  <w:tcW w:w="821" w:type="dxa"/>
                  <w:vAlign w:val="center"/>
                </w:tcPr>
                <w:p w14:paraId="39A0D5D6">
                  <w:pPr>
                    <w:pStyle w:val="135"/>
                    <w:adjustRightInd w:val="0"/>
                    <w:snapToGrid w:val="0"/>
                    <w:rPr>
                      <w:b/>
                      <w:bCs/>
                    </w:rPr>
                  </w:pPr>
                  <w:r>
                    <w:rPr>
                      <w:rFonts w:hint="eastAsia"/>
                      <w:b/>
                      <w:bCs/>
                    </w:rPr>
                    <w:t>排气筒高度（m）</w:t>
                  </w:r>
                </w:p>
              </w:tc>
              <w:tc>
                <w:tcPr>
                  <w:tcW w:w="872" w:type="dxa"/>
                  <w:vMerge w:val="continue"/>
                  <w:vAlign w:val="center"/>
                </w:tcPr>
                <w:p w14:paraId="6A38429D">
                  <w:pPr>
                    <w:pStyle w:val="135"/>
                    <w:adjustRightInd w:val="0"/>
                    <w:snapToGrid w:val="0"/>
                    <w:rPr>
                      <w:b/>
                      <w:bCs/>
                    </w:rPr>
                  </w:pPr>
                </w:p>
              </w:tc>
              <w:tc>
                <w:tcPr>
                  <w:tcW w:w="2601" w:type="dxa"/>
                  <w:vMerge w:val="continue"/>
                  <w:vAlign w:val="center"/>
                </w:tcPr>
                <w:p w14:paraId="0B607301">
                  <w:pPr>
                    <w:pStyle w:val="135"/>
                    <w:adjustRightInd w:val="0"/>
                    <w:snapToGrid w:val="0"/>
                  </w:pPr>
                </w:p>
              </w:tc>
            </w:tr>
            <w:tr w14:paraId="7C36E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94" w:type="dxa"/>
                  <w:vAlign w:val="center"/>
                </w:tcPr>
                <w:p w14:paraId="4944778B">
                  <w:pPr>
                    <w:pStyle w:val="135"/>
                    <w:adjustRightInd w:val="0"/>
                    <w:snapToGrid w:val="0"/>
                  </w:pPr>
                  <w:r>
                    <w:rPr>
                      <w:rFonts w:hint="eastAsia"/>
                    </w:rPr>
                    <w:t>工艺粉尘</w:t>
                  </w:r>
                </w:p>
              </w:tc>
              <w:tc>
                <w:tcPr>
                  <w:tcW w:w="1166" w:type="dxa"/>
                  <w:vAlign w:val="center"/>
                </w:tcPr>
                <w:p w14:paraId="62AAE344">
                  <w:pPr>
                    <w:pStyle w:val="135"/>
                    <w:adjustRightInd w:val="0"/>
                    <w:snapToGrid w:val="0"/>
                  </w:pPr>
                  <w:r>
                    <w:rPr>
                      <w:rFonts w:hint="eastAsia"/>
                    </w:rPr>
                    <w:t>颗粒物</w:t>
                  </w:r>
                </w:p>
              </w:tc>
              <w:tc>
                <w:tcPr>
                  <w:tcW w:w="915" w:type="dxa"/>
                  <w:vAlign w:val="center"/>
                </w:tcPr>
                <w:p w14:paraId="50DD8464">
                  <w:pPr>
                    <w:pStyle w:val="135"/>
                    <w:adjustRightInd w:val="0"/>
                    <w:snapToGrid w:val="0"/>
                  </w:pPr>
                  <w:r>
                    <w:t>30</w:t>
                  </w:r>
                </w:p>
              </w:tc>
              <w:tc>
                <w:tcPr>
                  <w:tcW w:w="791" w:type="dxa"/>
                  <w:vAlign w:val="center"/>
                </w:tcPr>
                <w:p w14:paraId="5D2CBE41">
                  <w:pPr>
                    <w:pStyle w:val="135"/>
                    <w:adjustRightInd w:val="0"/>
                    <w:snapToGrid w:val="0"/>
                  </w:pPr>
                  <w:r>
                    <w:t>/</w:t>
                  </w:r>
                </w:p>
              </w:tc>
              <w:tc>
                <w:tcPr>
                  <w:tcW w:w="821" w:type="dxa"/>
                  <w:vAlign w:val="center"/>
                </w:tcPr>
                <w:p w14:paraId="188B99DC">
                  <w:pPr>
                    <w:pStyle w:val="135"/>
                    <w:adjustRightInd w:val="0"/>
                    <w:snapToGrid w:val="0"/>
                  </w:pPr>
                  <w:r>
                    <w:t>/</w:t>
                  </w:r>
                </w:p>
              </w:tc>
              <w:tc>
                <w:tcPr>
                  <w:tcW w:w="872" w:type="dxa"/>
                  <w:vAlign w:val="center"/>
                </w:tcPr>
                <w:p w14:paraId="3E9A4305">
                  <w:pPr>
                    <w:pStyle w:val="135"/>
                    <w:adjustRightInd w:val="0"/>
                    <w:snapToGrid w:val="0"/>
                  </w:pPr>
                  <w:r>
                    <w:t>1.0</w:t>
                  </w:r>
                </w:p>
              </w:tc>
              <w:tc>
                <w:tcPr>
                  <w:tcW w:w="2601" w:type="dxa"/>
                  <w:vAlign w:val="center"/>
                </w:tcPr>
                <w:p w14:paraId="3F09F633">
                  <w:pPr>
                    <w:pStyle w:val="135"/>
                    <w:adjustRightInd w:val="0"/>
                    <w:snapToGrid w:val="0"/>
                  </w:pPr>
                  <w:r>
                    <w:rPr>
                      <w:rFonts w:hint="eastAsia"/>
                    </w:rPr>
                    <w:t>《砖瓦工业大气污染物排放标准</w:t>
                  </w:r>
                  <w:r>
                    <w:t>》（</w:t>
                  </w:r>
                  <w:r>
                    <w:rPr>
                      <w:rFonts w:hint="eastAsia"/>
                    </w:rPr>
                    <w:t>GB</w:t>
                  </w:r>
                  <w:r>
                    <w:t xml:space="preserve"> 29620-2013）</w:t>
                  </w:r>
                  <w:r>
                    <w:rPr>
                      <w:rFonts w:hint="eastAsia"/>
                    </w:rPr>
                    <w:t>表</w:t>
                  </w:r>
                  <w:r>
                    <w:t>3</w:t>
                  </w:r>
                </w:p>
              </w:tc>
            </w:tr>
            <w:tr w14:paraId="666AA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94" w:type="dxa"/>
                  <w:vMerge w:val="restart"/>
                  <w:vAlign w:val="center"/>
                </w:tcPr>
                <w:p w14:paraId="5FBE2D23">
                  <w:pPr>
                    <w:pStyle w:val="135"/>
                    <w:adjustRightInd w:val="0"/>
                    <w:snapToGrid w:val="0"/>
                  </w:pPr>
                  <w:r>
                    <w:rPr>
                      <w:rFonts w:hint="eastAsia"/>
                    </w:rPr>
                    <w:t>锅炉废气</w:t>
                  </w:r>
                </w:p>
              </w:tc>
              <w:tc>
                <w:tcPr>
                  <w:tcW w:w="1166" w:type="dxa"/>
                  <w:vAlign w:val="center"/>
                </w:tcPr>
                <w:p w14:paraId="1DD6893C">
                  <w:pPr>
                    <w:pStyle w:val="135"/>
                    <w:adjustRightInd w:val="0"/>
                    <w:snapToGrid w:val="0"/>
                  </w:pPr>
                  <w:r>
                    <w:rPr>
                      <w:rFonts w:hint="eastAsia"/>
                    </w:rPr>
                    <w:t>颗粒物</w:t>
                  </w:r>
                </w:p>
              </w:tc>
              <w:tc>
                <w:tcPr>
                  <w:tcW w:w="915" w:type="dxa"/>
                  <w:vAlign w:val="center"/>
                </w:tcPr>
                <w:p w14:paraId="4A5B7D64">
                  <w:pPr>
                    <w:pStyle w:val="135"/>
                    <w:adjustRightInd w:val="0"/>
                    <w:snapToGrid w:val="0"/>
                  </w:pPr>
                  <w:r>
                    <w:t>50</w:t>
                  </w:r>
                </w:p>
              </w:tc>
              <w:tc>
                <w:tcPr>
                  <w:tcW w:w="791" w:type="dxa"/>
                  <w:vAlign w:val="center"/>
                </w:tcPr>
                <w:p w14:paraId="32E640D1">
                  <w:pPr>
                    <w:pStyle w:val="135"/>
                    <w:adjustRightInd w:val="0"/>
                    <w:snapToGrid w:val="0"/>
                  </w:pPr>
                  <w:r>
                    <w:rPr>
                      <w:rFonts w:hint="eastAsia"/>
                    </w:rPr>
                    <w:t>/</w:t>
                  </w:r>
                </w:p>
              </w:tc>
              <w:tc>
                <w:tcPr>
                  <w:tcW w:w="821" w:type="dxa"/>
                  <w:vMerge w:val="restart"/>
                  <w:vAlign w:val="center"/>
                </w:tcPr>
                <w:p w14:paraId="46516373">
                  <w:pPr>
                    <w:pStyle w:val="135"/>
                    <w:adjustRightInd w:val="0"/>
                    <w:snapToGrid w:val="0"/>
                  </w:pPr>
                  <w:r>
                    <w:rPr>
                      <w:rFonts w:hint="eastAsia"/>
                    </w:rPr>
                    <w:t>4</w:t>
                  </w:r>
                  <w:r>
                    <w:t>0</w:t>
                  </w:r>
                </w:p>
              </w:tc>
              <w:tc>
                <w:tcPr>
                  <w:tcW w:w="872" w:type="dxa"/>
                  <w:vAlign w:val="center"/>
                </w:tcPr>
                <w:p w14:paraId="3B60FE3B">
                  <w:pPr>
                    <w:pStyle w:val="135"/>
                    <w:adjustRightInd w:val="0"/>
                    <w:snapToGrid w:val="0"/>
                  </w:pPr>
                  <w:r>
                    <w:rPr>
                      <w:rFonts w:hint="eastAsia"/>
                    </w:rPr>
                    <w:t>/</w:t>
                  </w:r>
                </w:p>
              </w:tc>
              <w:tc>
                <w:tcPr>
                  <w:tcW w:w="2601" w:type="dxa"/>
                  <w:vMerge w:val="restart"/>
                  <w:vAlign w:val="center"/>
                </w:tcPr>
                <w:p w14:paraId="1305F3E7">
                  <w:pPr>
                    <w:pStyle w:val="135"/>
                    <w:adjustRightInd w:val="0"/>
                    <w:snapToGrid w:val="0"/>
                  </w:pPr>
                  <w:r>
                    <w:rPr>
                      <w:rFonts w:hint="eastAsia"/>
                    </w:rPr>
                    <w:t>《锅炉大气污染物排放标准》（</w:t>
                  </w:r>
                  <w:r>
                    <w:t>GB13271-2014</w:t>
                  </w:r>
                  <w:r>
                    <w:rPr>
                      <w:rFonts w:hint="eastAsia"/>
                    </w:rPr>
                    <w:t>）表</w:t>
                  </w:r>
                  <w:r>
                    <w:t>2</w:t>
                  </w:r>
                  <w:r>
                    <w:rPr>
                      <w:rFonts w:hint="eastAsia"/>
                    </w:rPr>
                    <w:t>燃煤锅炉排放限值要求</w:t>
                  </w:r>
                </w:p>
              </w:tc>
            </w:tr>
            <w:tr w14:paraId="148AFB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94" w:type="dxa"/>
                  <w:vMerge w:val="continue"/>
                  <w:vAlign w:val="center"/>
                </w:tcPr>
                <w:p w14:paraId="25EBC3C2">
                  <w:pPr>
                    <w:pStyle w:val="135"/>
                    <w:adjustRightInd w:val="0"/>
                    <w:snapToGrid w:val="0"/>
                  </w:pPr>
                </w:p>
              </w:tc>
              <w:tc>
                <w:tcPr>
                  <w:tcW w:w="1166" w:type="dxa"/>
                  <w:vAlign w:val="center"/>
                </w:tcPr>
                <w:p w14:paraId="60C1A6D7">
                  <w:pPr>
                    <w:pStyle w:val="135"/>
                    <w:adjustRightInd w:val="0"/>
                    <w:snapToGrid w:val="0"/>
                  </w:pPr>
                  <w:r>
                    <w:rPr>
                      <w:rFonts w:hint="eastAsia"/>
                    </w:rPr>
                    <w:t>氮氧化物</w:t>
                  </w:r>
                </w:p>
              </w:tc>
              <w:tc>
                <w:tcPr>
                  <w:tcW w:w="915" w:type="dxa"/>
                  <w:vAlign w:val="center"/>
                </w:tcPr>
                <w:p w14:paraId="002A7D3F">
                  <w:pPr>
                    <w:pStyle w:val="135"/>
                    <w:adjustRightInd w:val="0"/>
                    <w:snapToGrid w:val="0"/>
                  </w:pPr>
                  <w:r>
                    <w:rPr>
                      <w:rFonts w:hint="eastAsia"/>
                    </w:rPr>
                    <w:t>3</w:t>
                  </w:r>
                  <w:r>
                    <w:t>00</w:t>
                  </w:r>
                </w:p>
              </w:tc>
              <w:tc>
                <w:tcPr>
                  <w:tcW w:w="791" w:type="dxa"/>
                  <w:vAlign w:val="center"/>
                </w:tcPr>
                <w:p w14:paraId="79138604">
                  <w:pPr>
                    <w:pStyle w:val="135"/>
                    <w:adjustRightInd w:val="0"/>
                    <w:snapToGrid w:val="0"/>
                  </w:pPr>
                  <w:r>
                    <w:rPr>
                      <w:rFonts w:hint="eastAsia"/>
                    </w:rPr>
                    <w:t>/</w:t>
                  </w:r>
                </w:p>
              </w:tc>
              <w:tc>
                <w:tcPr>
                  <w:tcW w:w="821" w:type="dxa"/>
                  <w:vMerge w:val="continue"/>
                  <w:vAlign w:val="center"/>
                </w:tcPr>
                <w:p w14:paraId="7D094721">
                  <w:pPr>
                    <w:pStyle w:val="135"/>
                    <w:adjustRightInd w:val="0"/>
                    <w:snapToGrid w:val="0"/>
                  </w:pPr>
                </w:p>
              </w:tc>
              <w:tc>
                <w:tcPr>
                  <w:tcW w:w="872" w:type="dxa"/>
                  <w:vAlign w:val="center"/>
                </w:tcPr>
                <w:p w14:paraId="67FAB8FE">
                  <w:pPr>
                    <w:pStyle w:val="135"/>
                    <w:adjustRightInd w:val="0"/>
                    <w:snapToGrid w:val="0"/>
                  </w:pPr>
                  <w:r>
                    <w:rPr>
                      <w:rFonts w:hint="eastAsia"/>
                    </w:rPr>
                    <w:t>/</w:t>
                  </w:r>
                </w:p>
              </w:tc>
              <w:tc>
                <w:tcPr>
                  <w:tcW w:w="2601" w:type="dxa"/>
                  <w:vMerge w:val="continue"/>
                  <w:vAlign w:val="center"/>
                </w:tcPr>
                <w:p w14:paraId="1897D9CB">
                  <w:pPr>
                    <w:pStyle w:val="135"/>
                    <w:adjustRightInd w:val="0"/>
                    <w:snapToGrid w:val="0"/>
                  </w:pPr>
                </w:p>
              </w:tc>
            </w:tr>
            <w:tr w14:paraId="77615B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94" w:type="dxa"/>
                  <w:vMerge w:val="continue"/>
                  <w:vAlign w:val="center"/>
                </w:tcPr>
                <w:p w14:paraId="32D91418">
                  <w:pPr>
                    <w:pStyle w:val="135"/>
                    <w:adjustRightInd w:val="0"/>
                    <w:snapToGrid w:val="0"/>
                  </w:pPr>
                </w:p>
              </w:tc>
              <w:tc>
                <w:tcPr>
                  <w:tcW w:w="1166" w:type="dxa"/>
                  <w:vAlign w:val="center"/>
                </w:tcPr>
                <w:p w14:paraId="4CE4AE3E">
                  <w:pPr>
                    <w:pStyle w:val="135"/>
                    <w:adjustRightInd w:val="0"/>
                    <w:snapToGrid w:val="0"/>
                  </w:pPr>
                  <w:r>
                    <w:rPr>
                      <w:rFonts w:hint="eastAsia"/>
                    </w:rPr>
                    <w:t>二氧化硫</w:t>
                  </w:r>
                </w:p>
              </w:tc>
              <w:tc>
                <w:tcPr>
                  <w:tcW w:w="915" w:type="dxa"/>
                  <w:vAlign w:val="center"/>
                </w:tcPr>
                <w:p w14:paraId="7BFD4BF9">
                  <w:pPr>
                    <w:pStyle w:val="135"/>
                    <w:adjustRightInd w:val="0"/>
                    <w:snapToGrid w:val="0"/>
                  </w:pPr>
                  <w:r>
                    <w:rPr>
                      <w:rFonts w:hint="eastAsia"/>
                    </w:rPr>
                    <w:t>3</w:t>
                  </w:r>
                  <w:r>
                    <w:t>00</w:t>
                  </w:r>
                </w:p>
              </w:tc>
              <w:tc>
                <w:tcPr>
                  <w:tcW w:w="791" w:type="dxa"/>
                  <w:vAlign w:val="center"/>
                </w:tcPr>
                <w:p w14:paraId="3F588C4A">
                  <w:pPr>
                    <w:pStyle w:val="135"/>
                    <w:adjustRightInd w:val="0"/>
                    <w:snapToGrid w:val="0"/>
                  </w:pPr>
                  <w:r>
                    <w:rPr>
                      <w:rFonts w:hint="eastAsia"/>
                    </w:rPr>
                    <w:t>/</w:t>
                  </w:r>
                </w:p>
              </w:tc>
              <w:tc>
                <w:tcPr>
                  <w:tcW w:w="821" w:type="dxa"/>
                  <w:vMerge w:val="continue"/>
                  <w:vAlign w:val="center"/>
                </w:tcPr>
                <w:p w14:paraId="430ABE09">
                  <w:pPr>
                    <w:pStyle w:val="135"/>
                    <w:adjustRightInd w:val="0"/>
                    <w:snapToGrid w:val="0"/>
                  </w:pPr>
                </w:p>
              </w:tc>
              <w:tc>
                <w:tcPr>
                  <w:tcW w:w="872" w:type="dxa"/>
                  <w:vAlign w:val="center"/>
                </w:tcPr>
                <w:p w14:paraId="0E29403B">
                  <w:pPr>
                    <w:pStyle w:val="135"/>
                    <w:adjustRightInd w:val="0"/>
                    <w:snapToGrid w:val="0"/>
                  </w:pPr>
                  <w:r>
                    <w:rPr>
                      <w:rFonts w:hint="eastAsia"/>
                    </w:rPr>
                    <w:t>/</w:t>
                  </w:r>
                </w:p>
              </w:tc>
              <w:tc>
                <w:tcPr>
                  <w:tcW w:w="2601" w:type="dxa"/>
                  <w:vMerge w:val="continue"/>
                  <w:vAlign w:val="center"/>
                </w:tcPr>
                <w:p w14:paraId="5F91CC8E">
                  <w:pPr>
                    <w:pStyle w:val="135"/>
                    <w:adjustRightInd w:val="0"/>
                    <w:snapToGrid w:val="0"/>
                  </w:pPr>
                </w:p>
              </w:tc>
            </w:tr>
            <w:tr w14:paraId="15A56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94" w:type="dxa"/>
                  <w:vMerge w:val="continue"/>
                  <w:vAlign w:val="center"/>
                </w:tcPr>
                <w:p w14:paraId="2043172C">
                  <w:pPr>
                    <w:pStyle w:val="135"/>
                    <w:adjustRightInd w:val="0"/>
                    <w:snapToGrid w:val="0"/>
                  </w:pPr>
                </w:p>
              </w:tc>
              <w:tc>
                <w:tcPr>
                  <w:tcW w:w="1166" w:type="dxa"/>
                  <w:vAlign w:val="center"/>
                </w:tcPr>
                <w:p w14:paraId="48DCC5A1">
                  <w:pPr>
                    <w:pStyle w:val="135"/>
                    <w:adjustRightInd w:val="0"/>
                    <w:snapToGrid w:val="0"/>
                  </w:pPr>
                  <w:r>
                    <w:rPr>
                      <w:rFonts w:hint="eastAsia"/>
                    </w:rPr>
                    <w:t>烟气黑度</w:t>
                  </w:r>
                </w:p>
              </w:tc>
              <w:tc>
                <w:tcPr>
                  <w:tcW w:w="915" w:type="dxa"/>
                  <w:vAlign w:val="center"/>
                </w:tcPr>
                <w:p w14:paraId="589698BD">
                  <w:pPr>
                    <w:pStyle w:val="135"/>
                    <w:adjustRightInd w:val="0"/>
                    <w:snapToGrid w:val="0"/>
                  </w:pPr>
                  <w:r>
                    <w:rPr>
                      <w:rFonts w:hint="eastAsia"/>
                    </w:rPr>
                    <w:t>≤</w:t>
                  </w:r>
                  <w:r>
                    <w:t>1</w:t>
                  </w:r>
                  <w:r>
                    <w:rPr>
                      <w:rFonts w:hint="eastAsia"/>
                    </w:rPr>
                    <w:t>级</w:t>
                  </w:r>
                </w:p>
              </w:tc>
              <w:tc>
                <w:tcPr>
                  <w:tcW w:w="791" w:type="dxa"/>
                  <w:vAlign w:val="center"/>
                </w:tcPr>
                <w:p w14:paraId="246E700A">
                  <w:pPr>
                    <w:pStyle w:val="135"/>
                    <w:adjustRightInd w:val="0"/>
                    <w:snapToGrid w:val="0"/>
                  </w:pPr>
                  <w:r>
                    <w:rPr>
                      <w:rFonts w:hint="eastAsia"/>
                    </w:rPr>
                    <w:t>/</w:t>
                  </w:r>
                </w:p>
              </w:tc>
              <w:tc>
                <w:tcPr>
                  <w:tcW w:w="821" w:type="dxa"/>
                  <w:vMerge w:val="continue"/>
                  <w:vAlign w:val="center"/>
                </w:tcPr>
                <w:p w14:paraId="3BCD0042">
                  <w:pPr>
                    <w:pStyle w:val="135"/>
                    <w:adjustRightInd w:val="0"/>
                    <w:snapToGrid w:val="0"/>
                  </w:pPr>
                </w:p>
              </w:tc>
              <w:tc>
                <w:tcPr>
                  <w:tcW w:w="872" w:type="dxa"/>
                  <w:vAlign w:val="center"/>
                </w:tcPr>
                <w:p w14:paraId="428FA889">
                  <w:pPr>
                    <w:pStyle w:val="135"/>
                    <w:adjustRightInd w:val="0"/>
                    <w:snapToGrid w:val="0"/>
                  </w:pPr>
                  <w:r>
                    <w:rPr>
                      <w:rFonts w:hint="eastAsia"/>
                    </w:rPr>
                    <w:t>/</w:t>
                  </w:r>
                </w:p>
              </w:tc>
              <w:tc>
                <w:tcPr>
                  <w:tcW w:w="2601" w:type="dxa"/>
                  <w:vMerge w:val="continue"/>
                  <w:vAlign w:val="center"/>
                </w:tcPr>
                <w:p w14:paraId="1C417154">
                  <w:pPr>
                    <w:pStyle w:val="135"/>
                    <w:adjustRightInd w:val="0"/>
                    <w:snapToGrid w:val="0"/>
                  </w:pPr>
                </w:p>
              </w:tc>
            </w:tr>
            <w:tr w14:paraId="246CA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94" w:type="dxa"/>
                  <w:vAlign w:val="center"/>
                </w:tcPr>
                <w:p w14:paraId="1644A5E1">
                  <w:pPr>
                    <w:pStyle w:val="135"/>
                    <w:adjustRightInd w:val="0"/>
                    <w:snapToGrid w:val="0"/>
                  </w:pPr>
                  <w:r>
                    <w:rPr>
                      <w:rFonts w:hint="eastAsia"/>
                    </w:rPr>
                    <w:t>食堂油烟</w:t>
                  </w:r>
                </w:p>
              </w:tc>
              <w:tc>
                <w:tcPr>
                  <w:tcW w:w="1166" w:type="dxa"/>
                  <w:vAlign w:val="center"/>
                </w:tcPr>
                <w:p w14:paraId="629C6F78">
                  <w:pPr>
                    <w:pStyle w:val="135"/>
                    <w:adjustRightInd w:val="0"/>
                    <w:snapToGrid w:val="0"/>
                  </w:pPr>
                  <w:r>
                    <w:rPr>
                      <w:rFonts w:hint="eastAsia"/>
                    </w:rPr>
                    <w:t>油烟</w:t>
                  </w:r>
                </w:p>
              </w:tc>
              <w:tc>
                <w:tcPr>
                  <w:tcW w:w="915" w:type="dxa"/>
                  <w:vAlign w:val="center"/>
                </w:tcPr>
                <w:p w14:paraId="266D3A6B">
                  <w:pPr>
                    <w:pStyle w:val="135"/>
                    <w:adjustRightInd w:val="0"/>
                    <w:snapToGrid w:val="0"/>
                  </w:pPr>
                  <w:r>
                    <w:rPr>
                      <w:rFonts w:hint="eastAsia"/>
                    </w:rPr>
                    <w:t>2</w:t>
                  </w:r>
                  <w:r>
                    <w:t>.0</w:t>
                  </w:r>
                </w:p>
              </w:tc>
              <w:tc>
                <w:tcPr>
                  <w:tcW w:w="791" w:type="dxa"/>
                  <w:vAlign w:val="center"/>
                </w:tcPr>
                <w:p w14:paraId="4766DCF5">
                  <w:pPr>
                    <w:pStyle w:val="135"/>
                    <w:adjustRightInd w:val="0"/>
                    <w:snapToGrid w:val="0"/>
                  </w:pPr>
                  <w:r>
                    <w:rPr>
                      <w:rFonts w:hint="eastAsia"/>
                    </w:rPr>
                    <w:t>/</w:t>
                  </w:r>
                </w:p>
              </w:tc>
              <w:tc>
                <w:tcPr>
                  <w:tcW w:w="821" w:type="dxa"/>
                  <w:vAlign w:val="center"/>
                </w:tcPr>
                <w:p w14:paraId="503784C9">
                  <w:pPr>
                    <w:pStyle w:val="135"/>
                    <w:adjustRightInd w:val="0"/>
                    <w:snapToGrid w:val="0"/>
                  </w:pPr>
                  <w:r>
                    <w:rPr>
                      <w:rFonts w:hint="eastAsia"/>
                    </w:rPr>
                    <w:t>/</w:t>
                  </w:r>
                </w:p>
              </w:tc>
              <w:tc>
                <w:tcPr>
                  <w:tcW w:w="872" w:type="dxa"/>
                  <w:vAlign w:val="center"/>
                </w:tcPr>
                <w:p w14:paraId="7CEDEE6E">
                  <w:pPr>
                    <w:pStyle w:val="135"/>
                    <w:adjustRightInd w:val="0"/>
                    <w:snapToGrid w:val="0"/>
                  </w:pPr>
                  <w:r>
                    <w:rPr>
                      <w:rFonts w:hint="eastAsia"/>
                    </w:rPr>
                    <w:t>/</w:t>
                  </w:r>
                </w:p>
              </w:tc>
              <w:tc>
                <w:tcPr>
                  <w:tcW w:w="2601" w:type="dxa"/>
                  <w:vAlign w:val="center"/>
                </w:tcPr>
                <w:p w14:paraId="4EE0E2E1">
                  <w:pPr>
                    <w:pStyle w:val="135"/>
                    <w:adjustRightInd w:val="0"/>
                    <w:snapToGrid w:val="0"/>
                  </w:pPr>
                  <w:r>
                    <w:rPr>
                      <w:rFonts w:hint="eastAsia"/>
                    </w:rPr>
                    <w:t>《饮食业油烟排放标准（试行）》（GB18483-2001）</w:t>
                  </w:r>
                </w:p>
              </w:tc>
            </w:tr>
          </w:tbl>
          <w:p w14:paraId="6FD5F817">
            <w:pPr>
              <w:pStyle w:val="157"/>
            </w:pPr>
            <w:r>
              <w:t>2、废水污染物排放标准</w:t>
            </w:r>
          </w:p>
          <w:p w14:paraId="270BABEB">
            <w:pPr>
              <w:ind w:firstLine="420"/>
            </w:pPr>
            <w:r>
              <w:rPr>
                <w:rFonts w:hint="eastAsia"/>
              </w:rPr>
              <w:t>本项目生活污水经化粪池处理后，主要污染物满足《污水综合排放标准》（GB</w:t>
            </w:r>
            <w:r>
              <w:t>8978-1996</w:t>
            </w:r>
            <w:r>
              <w:rPr>
                <w:rFonts w:hint="eastAsia"/>
              </w:rPr>
              <w:t>）三级标准，氨氮、总磷参照执行《污水排入城镇下水道水质标准》（GB/T31962-2015）B级标准，排至巴中经开区污水处理厂达《</w:t>
            </w:r>
            <w:r>
              <w:t>城镇污水处理厂污染物排放标准》（GB18918-2002）一级A标准后排入巴河</w:t>
            </w:r>
            <w:r>
              <w:rPr>
                <w:rFonts w:hint="eastAsia"/>
              </w:rPr>
              <w:t>，后期管网接通后，通过管网排入巴中经开区污水处理厂处理；生产废水收集至集水池回用于球磨生产工序。</w:t>
            </w:r>
          </w:p>
          <w:p w14:paraId="31CAF231">
            <w:pPr>
              <w:pStyle w:val="156"/>
            </w:pPr>
            <w:r>
              <w:rPr>
                <w:rFonts w:hint="eastAsia"/>
              </w:rPr>
              <w:t>表3</w:t>
            </w:r>
            <w:r>
              <w:t xml:space="preserve">-6  </w:t>
            </w:r>
            <w:r>
              <w:rPr>
                <w:rFonts w:hint="eastAsia"/>
              </w:rPr>
              <w:t xml:space="preserve">废水污染物排放标准 </w:t>
            </w:r>
            <w:r>
              <w:t xml:space="preserve"> </w:t>
            </w:r>
            <w:r>
              <w:rPr>
                <w:rFonts w:hint="eastAsia"/>
              </w:rPr>
              <w:t>单位：mg</w:t>
            </w:r>
            <w:r>
              <w:t>/</w:t>
            </w:r>
            <w:r>
              <w:rPr>
                <w:rFonts w:hint="eastAsia"/>
              </w:rPr>
              <w:t>L</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68"/>
              <w:gridCol w:w="1218"/>
              <w:gridCol w:w="2027"/>
              <w:gridCol w:w="4147"/>
            </w:tblGrid>
            <w:tr w14:paraId="12C5F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357" w:type="pct"/>
                  <w:noWrap/>
                  <w:vAlign w:val="center"/>
                </w:tcPr>
                <w:p w14:paraId="1FBD39F7">
                  <w:pPr>
                    <w:pStyle w:val="135"/>
                    <w:adjustRightInd w:val="0"/>
                    <w:snapToGrid w:val="0"/>
                    <w:rPr>
                      <w:b/>
                      <w:bCs/>
                    </w:rPr>
                  </w:pPr>
                  <w:r>
                    <w:rPr>
                      <w:b/>
                      <w:bCs/>
                    </w:rPr>
                    <w:t>序号</w:t>
                  </w:r>
                </w:p>
              </w:tc>
              <w:tc>
                <w:tcPr>
                  <w:tcW w:w="765" w:type="pct"/>
                  <w:noWrap/>
                  <w:vAlign w:val="center"/>
                </w:tcPr>
                <w:p w14:paraId="39657054">
                  <w:pPr>
                    <w:pStyle w:val="135"/>
                    <w:adjustRightInd w:val="0"/>
                    <w:snapToGrid w:val="0"/>
                    <w:rPr>
                      <w:b/>
                      <w:bCs/>
                    </w:rPr>
                  </w:pPr>
                  <w:r>
                    <w:rPr>
                      <w:b/>
                      <w:bCs/>
                    </w:rPr>
                    <w:t>污染物</w:t>
                  </w:r>
                </w:p>
              </w:tc>
              <w:tc>
                <w:tcPr>
                  <w:tcW w:w="1273" w:type="pct"/>
                  <w:noWrap/>
                  <w:vAlign w:val="center"/>
                </w:tcPr>
                <w:p w14:paraId="039317D1">
                  <w:pPr>
                    <w:pStyle w:val="135"/>
                    <w:adjustRightInd w:val="0"/>
                    <w:snapToGrid w:val="0"/>
                    <w:rPr>
                      <w:b/>
                      <w:bCs/>
                    </w:rPr>
                  </w:pPr>
                  <w:r>
                    <w:rPr>
                      <w:b/>
                      <w:bCs/>
                    </w:rPr>
                    <w:t>标准限值（mg/L）</w:t>
                  </w:r>
                </w:p>
              </w:tc>
              <w:tc>
                <w:tcPr>
                  <w:tcW w:w="2605" w:type="pct"/>
                  <w:noWrap/>
                  <w:vAlign w:val="center"/>
                </w:tcPr>
                <w:p w14:paraId="3D056379">
                  <w:pPr>
                    <w:pStyle w:val="135"/>
                    <w:adjustRightInd w:val="0"/>
                    <w:snapToGrid w:val="0"/>
                    <w:rPr>
                      <w:b/>
                      <w:bCs/>
                    </w:rPr>
                  </w:pPr>
                  <w:r>
                    <w:rPr>
                      <w:b/>
                      <w:bCs/>
                    </w:rPr>
                    <w:t>标准来源</w:t>
                  </w:r>
                </w:p>
              </w:tc>
            </w:tr>
            <w:tr w14:paraId="5F82E8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4" w:hRule="atLeast"/>
              </w:trPr>
              <w:tc>
                <w:tcPr>
                  <w:tcW w:w="357" w:type="pct"/>
                  <w:noWrap/>
                  <w:vAlign w:val="center"/>
                </w:tcPr>
                <w:p w14:paraId="50593E43">
                  <w:pPr>
                    <w:pStyle w:val="135"/>
                    <w:adjustRightInd w:val="0"/>
                    <w:snapToGrid w:val="0"/>
                  </w:pPr>
                  <w:r>
                    <w:rPr>
                      <w:rFonts w:hint="eastAsia"/>
                    </w:rPr>
                    <w:t>1</w:t>
                  </w:r>
                </w:p>
              </w:tc>
              <w:tc>
                <w:tcPr>
                  <w:tcW w:w="765" w:type="pct"/>
                  <w:noWrap/>
                  <w:vAlign w:val="center"/>
                </w:tcPr>
                <w:p w14:paraId="0AB66DEE">
                  <w:pPr>
                    <w:pStyle w:val="135"/>
                    <w:adjustRightInd w:val="0"/>
                    <w:snapToGrid w:val="0"/>
                  </w:pPr>
                  <w:r>
                    <w:t>CODCr</w:t>
                  </w:r>
                </w:p>
              </w:tc>
              <w:tc>
                <w:tcPr>
                  <w:tcW w:w="1273" w:type="pct"/>
                  <w:noWrap/>
                  <w:vAlign w:val="center"/>
                </w:tcPr>
                <w:p w14:paraId="13A3F1EB">
                  <w:pPr>
                    <w:pStyle w:val="135"/>
                    <w:adjustRightInd w:val="0"/>
                    <w:snapToGrid w:val="0"/>
                  </w:pPr>
                  <w:r>
                    <w:t>500</w:t>
                  </w:r>
                </w:p>
              </w:tc>
              <w:tc>
                <w:tcPr>
                  <w:tcW w:w="2605" w:type="pct"/>
                  <w:vMerge w:val="restart"/>
                  <w:noWrap/>
                  <w:vAlign w:val="center"/>
                </w:tcPr>
                <w:p w14:paraId="13848F87">
                  <w:pPr>
                    <w:pStyle w:val="135"/>
                    <w:adjustRightInd w:val="0"/>
                    <w:snapToGrid w:val="0"/>
                  </w:pPr>
                  <w:r>
                    <w:rPr>
                      <w:rFonts w:hint="eastAsia"/>
                    </w:rPr>
                    <w:t>《污水综合排放标准》（GB8978-1996）</w:t>
                  </w:r>
                </w:p>
              </w:tc>
            </w:tr>
            <w:tr w14:paraId="527D3D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7" w:hRule="atLeast"/>
              </w:trPr>
              <w:tc>
                <w:tcPr>
                  <w:tcW w:w="357" w:type="pct"/>
                  <w:noWrap/>
                  <w:vAlign w:val="center"/>
                </w:tcPr>
                <w:p w14:paraId="3C2390B4">
                  <w:pPr>
                    <w:pStyle w:val="135"/>
                    <w:adjustRightInd w:val="0"/>
                    <w:snapToGrid w:val="0"/>
                  </w:pPr>
                  <w:r>
                    <w:rPr>
                      <w:rFonts w:hint="eastAsia"/>
                    </w:rPr>
                    <w:t>2</w:t>
                  </w:r>
                </w:p>
              </w:tc>
              <w:tc>
                <w:tcPr>
                  <w:tcW w:w="765" w:type="pct"/>
                  <w:noWrap/>
                  <w:vAlign w:val="center"/>
                </w:tcPr>
                <w:p w14:paraId="3B731AEA">
                  <w:pPr>
                    <w:pStyle w:val="135"/>
                    <w:adjustRightInd w:val="0"/>
                    <w:snapToGrid w:val="0"/>
                  </w:pPr>
                  <w:r>
                    <w:t>BOD5</w:t>
                  </w:r>
                </w:p>
              </w:tc>
              <w:tc>
                <w:tcPr>
                  <w:tcW w:w="1273" w:type="pct"/>
                  <w:noWrap/>
                  <w:vAlign w:val="center"/>
                </w:tcPr>
                <w:p w14:paraId="49DC4E76">
                  <w:pPr>
                    <w:pStyle w:val="135"/>
                    <w:adjustRightInd w:val="0"/>
                    <w:snapToGrid w:val="0"/>
                  </w:pPr>
                  <w:r>
                    <w:t>300</w:t>
                  </w:r>
                </w:p>
              </w:tc>
              <w:tc>
                <w:tcPr>
                  <w:tcW w:w="2605" w:type="pct"/>
                  <w:vMerge w:val="continue"/>
                  <w:noWrap/>
                  <w:vAlign w:val="center"/>
                </w:tcPr>
                <w:p w14:paraId="23BADB56">
                  <w:pPr>
                    <w:pStyle w:val="135"/>
                    <w:adjustRightInd w:val="0"/>
                    <w:snapToGrid w:val="0"/>
                  </w:pPr>
                </w:p>
              </w:tc>
            </w:tr>
            <w:tr w14:paraId="4B6ED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7" w:hRule="atLeast"/>
              </w:trPr>
              <w:tc>
                <w:tcPr>
                  <w:tcW w:w="357" w:type="pct"/>
                  <w:noWrap/>
                  <w:vAlign w:val="center"/>
                </w:tcPr>
                <w:p w14:paraId="29A36CE9">
                  <w:pPr>
                    <w:pStyle w:val="135"/>
                    <w:adjustRightInd w:val="0"/>
                    <w:snapToGrid w:val="0"/>
                  </w:pPr>
                  <w:r>
                    <w:rPr>
                      <w:rFonts w:hint="eastAsia"/>
                    </w:rPr>
                    <w:t>3</w:t>
                  </w:r>
                </w:p>
              </w:tc>
              <w:tc>
                <w:tcPr>
                  <w:tcW w:w="765" w:type="pct"/>
                  <w:noWrap/>
                  <w:vAlign w:val="center"/>
                </w:tcPr>
                <w:p w14:paraId="7D95E402">
                  <w:pPr>
                    <w:pStyle w:val="135"/>
                    <w:adjustRightInd w:val="0"/>
                    <w:snapToGrid w:val="0"/>
                  </w:pPr>
                  <w:r>
                    <w:t>SS</w:t>
                  </w:r>
                </w:p>
              </w:tc>
              <w:tc>
                <w:tcPr>
                  <w:tcW w:w="1273" w:type="pct"/>
                  <w:noWrap/>
                  <w:vAlign w:val="center"/>
                </w:tcPr>
                <w:p w14:paraId="7A5917DC">
                  <w:pPr>
                    <w:pStyle w:val="135"/>
                    <w:adjustRightInd w:val="0"/>
                    <w:snapToGrid w:val="0"/>
                  </w:pPr>
                  <w:r>
                    <w:t>400</w:t>
                  </w:r>
                </w:p>
              </w:tc>
              <w:tc>
                <w:tcPr>
                  <w:tcW w:w="2605" w:type="pct"/>
                  <w:vMerge w:val="continue"/>
                  <w:noWrap/>
                  <w:vAlign w:val="center"/>
                </w:tcPr>
                <w:p w14:paraId="46F54BEE">
                  <w:pPr>
                    <w:pStyle w:val="135"/>
                    <w:adjustRightInd w:val="0"/>
                    <w:snapToGrid w:val="0"/>
                  </w:pPr>
                </w:p>
              </w:tc>
            </w:tr>
            <w:tr w14:paraId="2BD6C4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7" w:hRule="atLeast"/>
              </w:trPr>
              <w:tc>
                <w:tcPr>
                  <w:tcW w:w="357" w:type="pct"/>
                  <w:noWrap/>
                  <w:vAlign w:val="center"/>
                </w:tcPr>
                <w:p w14:paraId="754C9B5D">
                  <w:pPr>
                    <w:pStyle w:val="135"/>
                    <w:adjustRightInd w:val="0"/>
                    <w:snapToGrid w:val="0"/>
                  </w:pPr>
                  <w:r>
                    <w:rPr>
                      <w:rFonts w:hint="eastAsia"/>
                    </w:rPr>
                    <w:t>4</w:t>
                  </w:r>
                </w:p>
              </w:tc>
              <w:tc>
                <w:tcPr>
                  <w:tcW w:w="765" w:type="pct"/>
                  <w:noWrap/>
                  <w:vAlign w:val="center"/>
                </w:tcPr>
                <w:p w14:paraId="16F131A7">
                  <w:pPr>
                    <w:pStyle w:val="135"/>
                    <w:adjustRightInd w:val="0"/>
                    <w:snapToGrid w:val="0"/>
                  </w:pPr>
                  <w:r>
                    <w:t>pH</w:t>
                  </w:r>
                </w:p>
              </w:tc>
              <w:tc>
                <w:tcPr>
                  <w:tcW w:w="1273" w:type="pct"/>
                  <w:noWrap/>
                  <w:vAlign w:val="center"/>
                </w:tcPr>
                <w:p w14:paraId="3E0A98AD">
                  <w:pPr>
                    <w:pStyle w:val="135"/>
                    <w:adjustRightInd w:val="0"/>
                    <w:snapToGrid w:val="0"/>
                  </w:pPr>
                  <w:r>
                    <w:t>6~9</w:t>
                  </w:r>
                </w:p>
              </w:tc>
              <w:tc>
                <w:tcPr>
                  <w:tcW w:w="2605" w:type="pct"/>
                  <w:vMerge w:val="continue"/>
                  <w:noWrap/>
                  <w:vAlign w:val="center"/>
                </w:tcPr>
                <w:p w14:paraId="379009DA">
                  <w:pPr>
                    <w:pStyle w:val="135"/>
                    <w:adjustRightInd w:val="0"/>
                    <w:snapToGrid w:val="0"/>
                  </w:pPr>
                </w:p>
              </w:tc>
            </w:tr>
            <w:tr w14:paraId="12359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7" w:hRule="atLeast"/>
              </w:trPr>
              <w:tc>
                <w:tcPr>
                  <w:tcW w:w="357" w:type="pct"/>
                  <w:noWrap/>
                  <w:vAlign w:val="center"/>
                </w:tcPr>
                <w:p w14:paraId="693716C5">
                  <w:pPr>
                    <w:pStyle w:val="135"/>
                    <w:adjustRightInd w:val="0"/>
                    <w:snapToGrid w:val="0"/>
                  </w:pPr>
                  <w:r>
                    <w:rPr>
                      <w:rFonts w:hint="eastAsia"/>
                    </w:rPr>
                    <w:t>5</w:t>
                  </w:r>
                </w:p>
              </w:tc>
              <w:tc>
                <w:tcPr>
                  <w:tcW w:w="765" w:type="pct"/>
                  <w:noWrap/>
                  <w:vAlign w:val="center"/>
                </w:tcPr>
                <w:p w14:paraId="01716341">
                  <w:pPr>
                    <w:pStyle w:val="135"/>
                    <w:adjustRightInd w:val="0"/>
                    <w:snapToGrid w:val="0"/>
                  </w:pPr>
                  <w:r>
                    <w:t>NH3-N</w:t>
                  </w:r>
                </w:p>
              </w:tc>
              <w:tc>
                <w:tcPr>
                  <w:tcW w:w="1273" w:type="pct"/>
                  <w:noWrap/>
                  <w:vAlign w:val="center"/>
                </w:tcPr>
                <w:p w14:paraId="75F9665D">
                  <w:pPr>
                    <w:pStyle w:val="135"/>
                    <w:adjustRightInd w:val="0"/>
                    <w:snapToGrid w:val="0"/>
                  </w:pPr>
                  <w:r>
                    <w:t>45</w:t>
                  </w:r>
                </w:p>
              </w:tc>
              <w:tc>
                <w:tcPr>
                  <w:tcW w:w="2605" w:type="pct"/>
                  <w:vMerge w:val="restart"/>
                  <w:noWrap/>
                  <w:vAlign w:val="center"/>
                </w:tcPr>
                <w:p w14:paraId="7BD8EF00">
                  <w:pPr>
                    <w:pStyle w:val="135"/>
                    <w:adjustRightInd w:val="0"/>
                    <w:snapToGrid w:val="0"/>
                  </w:pPr>
                  <w:r>
                    <w:rPr>
                      <w:rFonts w:hint="eastAsia"/>
                    </w:rPr>
                    <w:t>参照执行《污水排入城镇下水道水质标准》</w:t>
                  </w:r>
                </w:p>
                <w:p w14:paraId="4C55CA10">
                  <w:pPr>
                    <w:pStyle w:val="135"/>
                    <w:adjustRightInd w:val="0"/>
                    <w:snapToGrid w:val="0"/>
                  </w:pPr>
                  <w:r>
                    <w:rPr>
                      <w:rFonts w:hint="eastAsia"/>
                    </w:rPr>
                    <w:t>（</w:t>
                  </w:r>
                  <w:r>
                    <w:t>GB/T 31962-2015</w:t>
                  </w:r>
                  <w:r>
                    <w:rPr>
                      <w:rFonts w:hint="eastAsia"/>
                    </w:rPr>
                    <w:t>）B级标准</w:t>
                  </w:r>
                </w:p>
              </w:tc>
            </w:tr>
            <w:tr w14:paraId="265598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7" w:hRule="atLeast"/>
              </w:trPr>
              <w:tc>
                <w:tcPr>
                  <w:tcW w:w="357" w:type="pct"/>
                  <w:noWrap/>
                  <w:vAlign w:val="center"/>
                </w:tcPr>
                <w:p w14:paraId="2C652DEA">
                  <w:pPr>
                    <w:pStyle w:val="135"/>
                    <w:adjustRightInd w:val="0"/>
                    <w:snapToGrid w:val="0"/>
                  </w:pPr>
                  <w:r>
                    <w:rPr>
                      <w:rFonts w:hint="eastAsia"/>
                    </w:rPr>
                    <w:t>6</w:t>
                  </w:r>
                </w:p>
              </w:tc>
              <w:tc>
                <w:tcPr>
                  <w:tcW w:w="765" w:type="pct"/>
                  <w:noWrap/>
                  <w:vAlign w:val="center"/>
                </w:tcPr>
                <w:p w14:paraId="409F2CC5">
                  <w:pPr>
                    <w:pStyle w:val="135"/>
                    <w:adjustRightInd w:val="0"/>
                    <w:snapToGrid w:val="0"/>
                  </w:pPr>
                  <w:r>
                    <w:t>TP</w:t>
                  </w:r>
                </w:p>
              </w:tc>
              <w:tc>
                <w:tcPr>
                  <w:tcW w:w="1273" w:type="pct"/>
                  <w:noWrap/>
                  <w:vAlign w:val="center"/>
                </w:tcPr>
                <w:p w14:paraId="35855556">
                  <w:pPr>
                    <w:pStyle w:val="135"/>
                    <w:adjustRightInd w:val="0"/>
                    <w:snapToGrid w:val="0"/>
                  </w:pPr>
                  <w:r>
                    <w:t>8</w:t>
                  </w:r>
                </w:p>
              </w:tc>
              <w:tc>
                <w:tcPr>
                  <w:tcW w:w="2605" w:type="pct"/>
                  <w:vMerge w:val="continue"/>
                  <w:noWrap/>
                  <w:vAlign w:val="center"/>
                </w:tcPr>
                <w:p w14:paraId="5727A0ED">
                  <w:pPr>
                    <w:pStyle w:val="135"/>
                    <w:adjustRightInd w:val="0"/>
                    <w:snapToGrid w:val="0"/>
                  </w:pPr>
                </w:p>
              </w:tc>
            </w:tr>
          </w:tbl>
          <w:p w14:paraId="6A580543">
            <w:pPr>
              <w:pStyle w:val="157"/>
            </w:pPr>
            <w:r>
              <w:t>3、噪声排放标准</w:t>
            </w:r>
          </w:p>
          <w:p w14:paraId="09B4B138">
            <w:pPr>
              <w:ind w:firstLine="420"/>
            </w:pPr>
            <w:r>
              <w:rPr>
                <w:rFonts w:hint="eastAsia"/>
              </w:rPr>
              <w:t>本项目位于</w:t>
            </w:r>
            <w:r>
              <w:t>3</w:t>
            </w:r>
            <w:r>
              <w:rPr>
                <w:rFonts w:hint="eastAsia"/>
              </w:rPr>
              <w:t>类声功能区，</w:t>
            </w:r>
            <w:r>
              <w:t>运营期厂界噪声执行《工业企业厂界环境噪声排放标准》（GB12348-2008）3类区标准。具体见下表：</w:t>
            </w:r>
          </w:p>
          <w:p w14:paraId="73FF6C9C">
            <w:pPr>
              <w:pStyle w:val="156"/>
              <w:keepNext/>
            </w:pPr>
            <w:r>
              <w:t>表3-7  噪声排放标准</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27"/>
              <w:gridCol w:w="716"/>
              <w:gridCol w:w="1277"/>
              <w:gridCol w:w="4740"/>
            </w:tblGrid>
            <w:tr w14:paraId="17B65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71" w:type="pct"/>
                  <w:vAlign w:val="center"/>
                </w:tcPr>
                <w:p w14:paraId="28F69083">
                  <w:pPr>
                    <w:pStyle w:val="135"/>
                    <w:adjustRightInd w:val="0"/>
                    <w:snapToGrid w:val="0"/>
                    <w:rPr>
                      <w:rFonts w:cs="Times New Roman"/>
                      <w:b/>
                    </w:rPr>
                  </w:pPr>
                  <w:r>
                    <w:rPr>
                      <w:rFonts w:cs="Times New Roman"/>
                      <w:b/>
                    </w:rPr>
                    <w:t>类别</w:t>
                  </w:r>
                </w:p>
              </w:tc>
              <w:tc>
                <w:tcPr>
                  <w:tcW w:w="450" w:type="pct"/>
                  <w:vAlign w:val="center"/>
                </w:tcPr>
                <w:p w14:paraId="1612C48A">
                  <w:pPr>
                    <w:pStyle w:val="135"/>
                    <w:adjustRightInd w:val="0"/>
                    <w:snapToGrid w:val="0"/>
                    <w:rPr>
                      <w:rFonts w:cs="Times New Roman"/>
                      <w:b/>
                    </w:rPr>
                  </w:pPr>
                  <w:r>
                    <w:rPr>
                      <w:rFonts w:cs="Times New Roman"/>
                      <w:b/>
                    </w:rPr>
                    <w:t>时段</w:t>
                  </w:r>
                </w:p>
              </w:tc>
              <w:tc>
                <w:tcPr>
                  <w:tcW w:w="802" w:type="pct"/>
                  <w:vAlign w:val="center"/>
                </w:tcPr>
                <w:p w14:paraId="690A9887">
                  <w:pPr>
                    <w:pStyle w:val="135"/>
                    <w:adjustRightInd w:val="0"/>
                    <w:snapToGrid w:val="0"/>
                    <w:rPr>
                      <w:rFonts w:cs="Times New Roman"/>
                      <w:b/>
                    </w:rPr>
                  </w:pPr>
                  <w:r>
                    <w:rPr>
                      <w:rFonts w:cs="Times New Roman"/>
                      <w:b/>
                    </w:rPr>
                    <w:t>标准限值</w:t>
                  </w:r>
                </w:p>
              </w:tc>
              <w:tc>
                <w:tcPr>
                  <w:tcW w:w="2977" w:type="pct"/>
                  <w:vAlign w:val="center"/>
                </w:tcPr>
                <w:p w14:paraId="568A6E4D">
                  <w:pPr>
                    <w:pStyle w:val="135"/>
                    <w:adjustRightInd w:val="0"/>
                    <w:snapToGrid w:val="0"/>
                    <w:rPr>
                      <w:rFonts w:cs="Times New Roman"/>
                      <w:b/>
                    </w:rPr>
                  </w:pPr>
                  <w:r>
                    <w:rPr>
                      <w:rFonts w:cs="Times New Roman"/>
                      <w:b/>
                    </w:rPr>
                    <w:t>标准来源</w:t>
                  </w:r>
                </w:p>
              </w:tc>
            </w:tr>
            <w:tr w14:paraId="2EECCF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771" w:type="pct"/>
                  <w:vAlign w:val="center"/>
                </w:tcPr>
                <w:p w14:paraId="129F757A">
                  <w:pPr>
                    <w:pStyle w:val="135"/>
                    <w:adjustRightInd w:val="0"/>
                    <w:snapToGrid w:val="0"/>
                    <w:rPr>
                      <w:rFonts w:cs="Times New Roman"/>
                    </w:rPr>
                  </w:pPr>
                  <w:r>
                    <w:rPr>
                      <w:rFonts w:cs="Times New Roman"/>
                    </w:rPr>
                    <w:t>运营期</w:t>
                  </w:r>
                </w:p>
              </w:tc>
              <w:tc>
                <w:tcPr>
                  <w:tcW w:w="450" w:type="pct"/>
                  <w:vAlign w:val="center"/>
                </w:tcPr>
                <w:p w14:paraId="0A6A7B9A">
                  <w:pPr>
                    <w:pStyle w:val="135"/>
                    <w:adjustRightInd w:val="0"/>
                    <w:snapToGrid w:val="0"/>
                    <w:rPr>
                      <w:rFonts w:cs="Times New Roman"/>
                    </w:rPr>
                  </w:pPr>
                  <w:r>
                    <w:rPr>
                      <w:rFonts w:cs="Times New Roman"/>
                    </w:rPr>
                    <w:t>昼间</w:t>
                  </w:r>
                </w:p>
              </w:tc>
              <w:tc>
                <w:tcPr>
                  <w:tcW w:w="802" w:type="pct"/>
                  <w:vAlign w:val="center"/>
                </w:tcPr>
                <w:p w14:paraId="321471DA">
                  <w:pPr>
                    <w:pStyle w:val="135"/>
                    <w:adjustRightInd w:val="0"/>
                    <w:snapToGrid w:val="0"/>
                    <w:rPr>
                      <w:rFonts w:cs="Times New Roman"/>
                    </w:rPr>
                  </w:pPr>
                  <w:r>
                    <w:rPr>
                      <w:rFonts w:cs="Times New Roman"/>
                    </w:rPr>
                    <w:t>65dB（A）</w:t>
                  </w:r>
                </w:p>
              </w:tc>
              <w:tc>
                <w:tcPr>
                  <w:tcW w:w="2977" w:type="pct"/>
                  <w:vAlign w:val="center"/>
                </w:tcPr>
                <w:p w14:paraId="73200856">
                  <w:pPr>
                    <w:pStyle w:val="135"/>
                    <w:adjustRightInd w:val="0"/>
                    <w:snapToGrid w:val="0"/>
                    <w:rPr>
                      <w:rFonts w:cs="Times New Roman"/>
                    </w:rPr>
                  </w:pPr>
                  <w:r>
                    <w:t>《工业企业厂界环境噪声排放标准》（GB12348-2008）3类</w:t>
                  </w:r>
                </w:p>
              </w:tc>
            </w:tr>
          </w:tbl>
          <w:p w14:paraId="488065C3">
            <w:pPr>
              <w:pStyle w:val="157"/>
              <w:spacing w:line="360" w:lineRule="exact"/>
            </w:pPr>
            <w:r>
              <w:rPr>
                <w:rFonts w:hint="eastAsia" w:ascii="黑体" w:hAnsi="黑体" w:eastAsia="黑体"/>
                <w:b w:val="0"/>
                <w:bCs/>
                <w:szCs w:val="21"/>
              </w:rPr>
              <w:t>备注：本项目夜间不生产。</w:t>
            </w:r>
          </w:p>
          <w:p w14:paraId="263C6F33">
            <w:pPr>
              <w:pStyle w:val="157"/>
            </w:pPr>
            <w:r>
              <w:t>4、固体废弃物排放标准</w:t>
            </w:r>
          </w:p>
          <w:p w14:paraId="55ED8DD8">
            <w:pPr>
              <w:ind w:firstLine="420"/>
            </w:pPr>
            <w:r>
              <w:rPr>
                <w:rFonts w:hint="eastAsia"/>
              </w:rPr>
              <w:t>一般固体废物管理参照执行《中华人民共和国固体废物污染环境防治法》（2020年4月29日修订）相关要求，一般固体废物贮存应满足防渗漏、防风雨、防扬尘等环保要求，对固体废物进行综合利用或集中处置；危险废物管理执行《国家危险废物名录》（2021版）《危险废物贮存污染控制标准》（GB18597-2023）《危险废物管理计划和管理台账制定技术导则》（</w:t>
            </w:r>
            <w:r>
              <w:t>HJ1259-2022</w:t>
            </w:r>
            <w:r>
              <w:rPr>
                <w:rFonts w:hint="eastAsia"/>
              </w:rPr>
              <w:t>）《危险废物识别标志设置技术规范》（</w:t>
            </w:r>
            <w:r>
              <w:t>HJ1276-2022</w:t>
            </w:r>
            <w:r>
              <w:rPr>
                <w:rFonts w:hint="eastAsia"/>
              </w:rPr>
              <w:t>）中相关要求。</w:t>
            </w:r>
          </w:p>
        </w:tc>
      </w:tr>
      <w:tr w14:paraId="211EED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 w:hRule="atLeast"/>
          <w:jc w:val="center"/>
        </w:trPr>
        <w:tc>
          <w:tcPr>
            <w:tcW w:w="456" w:type="dxa"/>
            <w:vAlign w:val="center"/>
          </w:tcPr>
          <w:p w14:paraId="4758C34E">
            <w:pPr>
              <w:ind w:firstLine="0" w:firstLineChars="0"/>
              <w:jc w:val="center"/>
              <w:rPr>
                <w:kern w:val="0"/>
                <w:szCs w:val="21"/>
              </w:rPr>
            </w:pPr>
            <w:r>
              <w:rPr>
                <w:kern w:val="0"/>
                <w:szCs w:val="21"/>
              </w:rPr>
              <w:t>总量控制指标</w:t>
            </w:r>
          </w:p>
        </w:tc>
        <w:tc>
          <w:tcPr>
            <w:tcW w:w="7975" w:type="dxa"/>
            <w:vAlign w:val="center"/>
          </w:tcPr>
          <w:p w14:paraId="4331A80D">
            <w:pPr>
              <w:ind w:firstLine="420"/>
            </w:pPr>
            <w:r>
              <w:rPr>
                <w:rFonts w:hint="eastAsia"/>
              </w:rPr>
              <w:t>根据《国务院关于印发“十四五”节能减排综合工作方案的通知》（国发〔</w:t>
            </w:r>
            <w:r>
              <w:t>2021〕33</w:t>
            </w:r>
            <w:r>
              <w:rPr>
                <w:rFonts w:hint="eastAsia"/>
              </w:rPr>
              <w:t>号），“十四五”期间将</w:t>
            </w:r>
            <w:r>
              <w:rPr>
                <w:rFonts w:hint="eastAsia"/>
                <w:b/>
                <w:bCs/>
              </w:rPr>
              <w:t>化学需氧量、氨氮、氮氧化物、挥发性有机物</w:t>
            </w:r>
            <w:r>
              <w:rPr>
                <w:rFonts w:hint="eastAsia"/>
              </w:rPr>
              <w:t>作为总量控制指标。</w:t>
            </w:r>
          </w:p>
          <w:p w14:paraId="65C03C45">
            <w:pPr>
              <w:pStyle w:val="157"/>
            </w:pPr>
            <w:r>
              <w:t>1、废水总量</w:t>
            </w:r>
            <w:r>
              <w:rPr>
                <w:rFonts w:hint="eastAsia"/>
              </w:rPr>
              <w:t>控制</w:t>
            </w:r>
            <w:r>
              <w:t>指标</w:t>
            </w:r>
          </w:p>
          <w:p w14:paraId="66FDA629">
            <w:pPr>
              <w:ind w:firstLine="420"/>
            </w:pPr>
            <w:r>
              <w:rPr>
                <w:rFonts w:hint="eastAsia"/>
              </w:rPr>
              <w:t>本项目生活污水经处理后均排入巴中经开区污水处理厂，废水经巴中经开区污水处理厂处理达《</w:t>
            </w:r>
            <w:r>
              <w:t>城镇污水处理厂污染物排放标准》（GB18918-2002）中的一级A标准后排入巴河</w:t>
            </w:r>
            <w:r>
              <w:rPr>
                <w:rFonts w:hint="eastAsia"/>
              </w:rPr>
              <w:t>。</w:t>
            </w:r>
          </w:p>
          <w:p w14:paraId="2BDC51FB">
            <w:pPr>
              <w:ind w:firstLine="422"/>
              <w:rPr>
                <w:b/>
                <w:bCs/>
              </w:rPr>
            </w:pPr>
            <w:r>
              <w:rPr>
                <w:rFonts w:hint="eastAsia"/>
                <w:b/>
                <w:bCs/>
              </w:rPr>
              <w:t>排入巴中经开区污水处理厂总量指标：</w:t>
            </w:r>
          </w:p>
          <w:p w14:paraId="3E41D0EB">
            <w:pPr>
              <w:ind w:firstLine="420"/>
            </w:pPr>
            <w:r>
              <w:rPr>
                <w:rFonts w:hint="eastAsia"/>
              </w:rPr>
              <w:t>COD</w:t>
            </w:r>
            <w:r>
              <w:rPr>
                <w:rFonts w:hint="eastAsia"/>
                <w:vertAlign w:val="subscript"/>
              </w:rPr>
              <w:t>Cr</w:t>
            </w:r>
            <w:r>
              <w:t xml:space="preserve"> =432m</w:t>
            </w:r>
            <w:r>
              <w:rPr>
                <w:vertAlign w:val="superscript"/>
              </w:rPr>
              <w:t>3</w:t>
            </w:r>
            <w:r>
              <w:t>/a×500mg/L×10</w:t>
            </w:r>
            <w:r>
              <w:rPr>
                <w:rFonts w:hint="eastAsia"/>
                <w:vertAlign w:val="superscript"/>
              </w:rPr>
              <w:t>-</w:t>
            </w:r>
            <w:r>
              <w:rPr>
                <w:vertAlign w:val="superscript"/>
              </w:rPr>
              <w:t>6</w:t>
            </w:r>
            <w:r>
              <w:rPr>
                <w:rFonts w:hint="eastAsia"/>
              </w:rPr>
              <w:t>=</w:t>
            </w:r>
            <w:r>
              <w:t>0.216t/a；</w:t>
            </w:r>
          </w:p>
          <w:p w14:paraId="7DF88CD3">
            <w:pPr>
              <w:ind w:firstLine="420"/>
            </w:pPr>
            <w:r>
              <w:t>NH</w:t>
            </w:r>
            <w:r>
              <w:rPr>
                <w:vertAlign w:val="subscript"/>
              </w:rPr>
              <w:t>3</w:t>
            </w:r>
            <w:r>
              <w:t>-N=432m</w:t>
            </w:r>
            <w:r>
              <w:rPr>
                <w:vertAlign w:val="superscript"/>
              </w:rPr>
              <w:t>3</w:t>
            </w:r>
            <w:r>
              <w:t>/a×45mg/L×10</w:t>
            </w:r>
            <w:r>
              <w:rPr>
                <w:rFonts w:hint="eastAsia"/>
                <w:vertAlign w:val="superscript"/>
              </w:rPr>
              <w:t>-</w:t>
            </w:r>
            <w:r>
              <w:rPr>
                <w:vertAlign w:val="superscript"/>
              </w:rPr>
              <w:t>6</w:t>
            </w:r>
            <w:r>
              <w:rPr>
                <w:rFonts w:hint="eastAsia"/>
              </w:rPr>
              <w:t>=</w:t>
            </w:r>
            <w:r>
              <w:t>0.019t/a；</w:t>
            </w:r>
          </w:p>
          <w:p w14:paraId="433F8977">
            <w:pPr>
              <w:ind w:firstLine="420"/>
            </w:pPr>
            <w:r>
              <w:rPr>
                <w:rFonts w:hint="eastAsia"/>
              </w:rPr>
              <w:t>TP=</w:t>
            </w:r>
            <w:r>
              <w:t>432m</w:t>
            </w:r>
            <w:r>
              <w:rPr>
                <w:vertAlign w:val="superscript"/>
              </w:rPr>
              <w:t>3</w:t>
            </w:r>
            <w:r>
              <w:t>/a×8mg/L×10</w:t>
            </w:r>
            <w:r>
              <w:rPr>
                <w:rFonts w:hint="eastAsia"/>
                <w:vertAlign w:val="superscript"/>
              </w:rPr>
              <w:t>-</w:t>
            </w:r>
            <w:r>
              <w:rPr>
                <w:vertAlign w:val="superscript"/>
              </w:rPr>
              <w:t>6</w:t>
            </w:r>
            <w:r>
              <w:rPr>
                <w:rFonts w:hint="eastAsia"/>
              </w:rPr>
              <w:t>=</w:t>
            </w:r>
            <w:r>
              <w:t>0.003t/a；</w:t>
            </w:r>
          </w:p>
          <w:p w14:paraId="77897C29">
            <w:pPr>
              <w:ind w:firstLine="422"/>
              <w:rPr>
                <w:b/>
                <w:bCs/>
              </w:rPr>
            </w:pPr>
            <w:r>
              <w:rPr>
                <w:rFonts w:hint="eastAsia"/>
                <w:b/>
                <w:bCs/>
              </w:rPr>
              <w:t>排入巴河总量指标：</w:t>
            </w:r>
          </w:p>
          <w:p w14:paraId="706D1A3E">
            <w:pPr>
              <w:ind w:firstLine="420"/>
            </w:pPr>
            <w:r>
              <w:rPr>
                <w:rFonts w:hint="eastAsia"/>
              </w:rPr>
              <w:t>COD</w:t>
            </w:r>
            <w:r>
              <w:rPr>
                <w:rFonts w:hint="eastAsia"/>
                <w:vertAlign w:val="subscript"/>
              </w:rPr>
              <w:t>Cr</w:t>
            </w:r>
            <w:r>
              <w:t xml:space="preserve"> =432m</w:t>
            </w:r>
            <w:r>
              <w:rPr>
                <w:vertAlign w:val="superscript"/>
              </w:rPr>
              <w:t>3</w:t>
            </w:r>
            <w:r>
              <w:t>/a×50mg/L×10</w:t>
            </w:r>
            <w:r>
              <w:rPr>
                <w:rFonts w:hint="eastAsia"/>
                <w:vertAlign w:val="superscript"/>
              </w:rPr>
              <w:t>-</w:t>
            </w:r>
            <w:r>
              <w:rPr>
                <w:vertAlign w:val="superscript"/>
              </w:rPr>
              <w:t>6</w:t>
            </w:r>
            <w:r>
              <w:rPr>
                <w:rFonts w:hint="eastAsia"/>
              </w:rPr>
              <w:t>=</w:t>
            </w:r>
            <w:r>
              <w:t>0.022t/a；</w:t>
            </w:r>
          </w:p>
          <w:p w14:paraId="2494A55A">
            <w:pPr>
              <w:ind w:firstLine="420"/>
            </w:pPr>
            <w:r>
              <w:t>NH</w:t>
            </w:r>
            <w:r>
              <w:rPr>
                <w:vertAlign w:val="subscript"/>
              </w:rPr>
              <w:t>3</w:t>
            </w:r>
            <w:r>
              <w:t>-N=432m</w:t>
            </w:r>
            <w:r>
              <w:rPr>
                <w:vertAlign w:val="superscript"/>
              </w:rPr>
              <w:t>3</w:t>
            </w:r>
            <w:r>
              <w:t>/a×5mg/L×10</w:t>
            </w:r>
            <w:r>
              <w:rPr>
                <w:rFonts w:hint="eastAsia"/>
                <w:vertAlign w:val="superscript"/>
              </w:rPr>
              <w:t>-</w:t>
            </w:r>
            <w:r>
              <w:rPr>
                <w:vertAlign w:val="superscript"/>
              </w:rPr>
              <w:t>6</w:t>
            </w:r>
            <w:r>
              <w:rPr>
                <w:rFonts w:hint="eastAsia"/>
              </w:rPr>
              <w:t>=</w:t>
            </w:r>
            <w:r>
              <w:t>0.0022t/a；</w:t>
            </w:r>
          </w:p>
          <w:p w14:paraId="52AACF1A">
            <w:pPr>
              <w:ind w:firstLine="420"/>
            </w:pPr>
            <w:r>
              <w:rPr>
                <w:rFonts w:hint="eastAsia"/>
              </w:rPr>
              <w:t>TP=</w:t>
            </w:r>
            <w:r>
              <w:t>432m</w:t>
            </w:r>
            <w:r>
              <w:rPr>
                <w:vertAlign w:val="superscript"/>
              </w:rPr>
              <w:t>3</w:t>
            </w:r>
            <w:r>
              <w:t>/a×0.5mg/L×10</w:t>
            </w:r>
            <w:r>
              <w:rPr>
                <w:rFonts w:hint="eastAsia"/>
                <w:vertAlign w:val="superscript"/>
              </w:rPr>
              <w:t>-</w:t>
            </w:r>
            <w:r>
              <w:rPr>
                <w:vertAlign w:val="superscript"/>
              </w:rPr>
              <w:t>6</w:t>
            </w:r>
            <w:r>
              <w:rPr>
                <w:rFonts w:hint="eastAsia"/>
              </w:rPr>
              <w:t>=</w:t>
            </w:r>
            <w:r>
              <w:t>0.0002t/a；</w:t>
            </w:r>
          </w:p>
          <w:p w14:paraId="75138CA0">
            <w:pPr>
              <w:pStyle w:val="157"/>
            </w:pPr>
            <w:r>
              <w:t>2、废气总量</w:t>
            </w:r>
            <w:r>
              <w:rPr>
                <w:rFonts w:hint="eastAsia"/>
              </w:rPr>
              <w:t>控制</w:t>
            </w:r>
            <w:r>
              <w:t>指标</w:t>
            </w:r>
          </w:p>
          <w:p w14:paraId="4A7E67E1">
            <w:pPr>
              <w:ind w:firstLine="420"/>
            </w:pPr>
            <w:r>
              <w:rPr>
                <w:rFonts w:hint="eastAsia"/>
              </w:rPr>
              <w:t>根据工程分析，项目建成后废气污染物总量控制指标如下：</w:t>
            </w:r>
          </w:p>
          <w:p w14:paraId="498051A6">
            <w:pPr>
              <w:pStyle w:val="156"/>
            </w:pPr>
            <w:r>
              <w:rPr>
                <w:rFonts w:hint="eastAsia"/>
              </w:rPr>
              <w:t>表3</w:t>
            </w:r>
            <w:r>
              <w:t xml:space="preserve">-8  </w:t>
            </w:r>
            <w:r>
              <w:rPr>
                <w:rFonts w:hint="eastAsia"/>
              </w:rPr>
              <w:t xml:space="preserve">废气污染物总量控制指标一览表 </w:t>
            </w:r>
            <w:r>
              <w:t xml:space="preserve"> </w:t>
            </w:r>
            <w:r>
              <w:rPr>
                <w:rFonts w:hint="eastAsia"/>
              </w:rPr>
              <w:t>单位：t</w:t>
            </w:r>
            <w:r>
              <w:t>/</w:t>
            </w:r>
            <w:r>
              <w:rPr>
                <w:rFonts w:hint="eastAsia"/>
              </w:rPr>
              <w:t>a</w:t>
            </w:r>
          </w:p>
          <w:tbl>
            <w:tblPr>
              <w:tblStyle w:val="19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990"/>
              <w:gridCol w:w="1991"/>
              <w:gridCol w:w="1992"/>
              <w:gridCol w:w="1987"/>
            </w:tblGrid>
            <w:tr w14:paraId="78CBF4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990" w:type="dxa"/>
                  <w:vAlign w:val="center"/>
                </w:tcPr>
                <w:p w14:paraId="22500003">
                  <w:pPr>
                    <w:pStyle w:val="135"/>
                    <w:adjustRightInd w:val="0"/>
                    <w:snapToGrid w:val="0"/>
                    <w:rPr>
                      <w:b/>
                      <w:bCs/>
                    </w:rPr>
                  </w:pPr>
                  <w:r>
                    <w:rPr>
                      <w:rFonts w:hint="eastAsia"/>
                      <w:b/>
                      <w:bCs/>
                    </w:rPr>
                    <w:t>污染物</w:t>
                  </w:r>
                </w:p>
              </w:tc>
              <w:tc>
                <w:tcPr>
                  <w:tcW w:w="1991" w:type="dxa"/>
                  <w:vAlign w:val="center"/>
                </w:tcPr>
                <w:p w14:paraId="721D327A">
                  <w:pPr>
                    <w:pStyle w:val="135"/>
                    <w:adjustRightInd w:val="0"/>
                    <w:snapToGrid w:val="0"/>
                    <w:rPr>
                      <w:b/>
                      <w:bCs/>
                    </w:rPr>
                  </w:pPr>
                  <w:r>
                    <w:rPr>
                      <w:rFonts w:hint="eastAsia"/>
                      <w:b/>
                      <w:bCs/>
                    </w:rPr>
                    <w:t>颗粒物</w:t>
                  </w:r>
                </w:p>
              </w:tc>
              <w:tc>
                <w:tcPr>
                  <w:tcW w:w="1992" w:type="dxa"/>
                  <w:vAlign w:val="center"/>
                </w:tcPr>
                <w:p w14:paraId="652665C8">
                  <w:pPr>
                    <w:pStyle w:val="135"/>
                    <w:adjustRightInd w:val="0"/>
                    <w:snapToGrid w:val="0"/>
                    <w:rPr>
                      <w:b/>
                      <w:bCs/>
                    </w:rPr>
                  </w:pPr>
                  <w:r>
                    <w:rPr>
                      <w:rFonts w:hint="eastAsia"/>
                      <w:b/>
                      <w:bCs/>
                    </w:rPr>
                    <w:t>二氧化硫</w:t>
                  </w:r>
                </w:p>
              </w:tc>
              <w:tc>
                <w:tcPr>
                  <w:tcW w:w="1987" w:type="dxa"/>
                  <w:vAlign w:val="center"/>
                </w:tcPr>
                <w:p w14:paraId="0D1BA66A">
                  <w:pPr>
                    <w:pStyle w:val="135"/>
                    <w:adjustRightInd w:val="0"/>
                    <w:snapToGrid w:val="0"/>
                    <w:rPr>
                      <w:b/>
                      <w:bCs/>
                    </w:rPr>
                  </w:pPr>
                  <w:r>
                    <w:rPr>
                      <w:rFonts w:hint="eastAsia"/>
                      <w:b/>
                      <w:bCs/>
                    </w:rPr>
                    <w:t>氮氧化物</w:t>
                  </w:r>
                </w:p>
              </w:tc>
            </w:tr>
            <w:tr w14:paraId="626CE7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990" w:type="dxa"/>
                  <w:vAlign w:val="center"/>
                </w:tcPr>
                <w:p w14:paraId="43714FA3">
                  <w:pPr>
                    <w:pStyle w:val="135"/>
                    <w:adjustRightInd w:val="0"/>
                    <w:snapToGrid w:val="0"/>
                  </w:pPr>
                  <w:r>
                    <w:rPr>
                      <w:rFonts w:hint="eastAsia"/>
                    </w:rPr>
                    <w:t>建议总量控制指标</w:t>
                  </w:r>
                </w:p>
              </w:tc>
              <w:tc>
                <w:tcPr>
                  <w:tcW w:w="1991" w:type="dxa"/>
                  <w:vAlign w:val="center"/>
                </w:tcPr>
                <w:p w14:paraId="6D0903A4">
                  <w:pPr>
                    <w:pStyle w:val="135"/>
                    <w:adjustRightInd w:val="0"/>
                    <w:snapToGrid w:val="0"/>
                  </w:pPr>
                  <w:r>
                    <w:rPr>
                      <w:rFonts w:hint="eastAsia"/>
                    </w:rPr>
                    <w:t>0</w:t>
                  </w:r>
                  <w:r>
                    <w:t>.058</w:t>
                  </w:r>
                </w:p>
              </w:tc>
              <w:tc>
                <w:tcPr>
                  <w:tcW w:w="1992" w:type="dxa"/>
                  <w:vAlign w:val="center"/>
                </w:tcPr>
                <w:p w14:paraId="0DDDAC35">
                  <w:pPr>
                    <w:pStyle w:val="135"/>
                    <w:adjustRightInd w:val="0"/>
                    <w:snapToGrid w:val="0"/>
                  </w:pPr>
                  <w:r>
                    <w:rPr>
                      <w:rFonts w:hint="eastAsia"/>
                    </w:rPr>
                    <w:t>1</w:t>
                  </w:r>
                  <w:r>
                    <w:t>.099</w:t>
                  </w:r>
                </w:p>
              </w:tc>
              <w:tc>
                <w:tcPr>
                  <w:tcW w:w="1987" w:type="dxa"/>
                  <w:vAlign w:val="bottom"/>
                </w:tcPr>
                <w:p w14:paraId="0C242A06">
                  <w:pPr>
                    <w:pStyle w:val="135"/>
                    <w:adjustRightInd w:val="0"/>
                    <w:snapToGrid w:val="0"/>
                  </w:pPr>
                  <w:r>
                    <w:rPr>
                      <w:rFonts w:hint="eastAsia"/>
                    </w:rPr>
                    <w:t>1</w:t>
                  </w:r>
                  <w:r>
                    <w:t>.649</w:t>
                  </w:r>
                </w:p>
              </w:tc>
            </w:tr>
          </w:tbl>
          <w:p w14:paraId="0E596FE0">
            <w:pPr>
              <w:ind w:firstLine="420"/>
            </w:pPr>
          </w:p>
          <w:p w14:paraId="3349611A">
            <w:pPr>
              <w:ind w:firstLine="420"/>
            </w:pPr>
          </w:p>
        </w:tc>
      </w:tr>
    </w:tbl>
    <w:p w14:paraId="7B149FEE">
      <w:pPr>
        <w:ind w:firstLine="420"/>
        <w:rPr>
          <w:snapToGrid w:val="0"/>
        </w:rPr>
        <w:sectPr>
          <w:pgSz w:w="11907" w:h="16840"/>
          <w:pgMar w:top="1418" w:right="1701" w:bottom="2127" w:left="1701" w:header="851" w:footer="851" w:gutter="0"/>
          <w:pgNumType w:fmt="numberInDash"/>
          <w:cols w:space="720" w:num="1"/>
          <w:docGrid w:linePitch="312" w:charSpace="0"/>
        </w:sectPr>
      </w:pPr>
    </w:p>
    <w:p w14:paraId="3A7CA851">
      <w:pPr>
        <w:pStyle w:val="29"/>
        <w:spacing w:before="0" w:beforeAutospacing="0" w:after="0" w:afterAutospacing="0" w:line="240" w:lineRule="auto"/>
        <w:ind w:firstLine="0" w:firstLineChars="0"/>
        <w:jc w:val="center"/>
        <w:outlineLvl w:val="0"/>
        <w:rPr>
          <w:rFonts w:cs="宋体"/>
          <w:b/>
          <w:bCs/>
          <w:snapToGrid w:val="0"/>
          <w:sz w:val="30"/>
          <w:szCs w:val="30"/>
        </w:rPr>
      </w:pPr>
      <w:r>
        <w:rPr>
          <w:rFonts w:hint="eastAsia" w:cs="宋体"/>
          <w:b/>
          <w:bCs/>
          <w:snapToGrid w:val="0"/>
          <w:sz w:val="30"/>
          <w:szCs w:val="30"/>
        </w:rPr>
        <w:t xml:space="preserve"> </w:t>
      </w:r>
      <w:bookmarkStart w:id="5" w:name="_Toc171001980"/>
      <w:r>
        <w:rPr>
          <w:rFonts w:cs="宋体"/>
          <w:b/>
          <w:bCs/>
          <w:snapToGrid w:val="0"/>
          <w:sz w:val="30"/>
          <w:szCs w:val="30"/>
        </w:rPr>
        <w:t>四、主要环境影响和保护措施</w:t>
      </w:r>
      <w:bookmarkEnd w:id="5"/>
    </w:p>
    <w:tbl>
      <w:tblPr>
        <w:tblStyle w:val="33"/>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3"/>
        <w:gridCol w:w="8166"/>
      </w:tblGrid>
      <w:tr w14:paraId="2C0B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3" w:type="dxa"/>
            <w:vAlign w:val="center"/>
          </w:tcPr>
          <w:p w14:paraId="34653C1F">
            <w:pPr>
              <w:pStyle w:val="29"/>
              <w:spacing w:before="0" w:beforeAutospacing="0" w:after="0" w:afterAutospacing="0"/>
              <w:ind w:firstLine="0" w:firstLineChars="0"/>
              <w:jc w:val="center"/>
              <w:rPr>
                <w:rFonts w:ascii="Times New Roman" w:hAnsi="Times New Roman"/>
                <w:bCs/>
                <w:kern w:val="2"/>
                <w:szCs w:val="21"/>
              </w:rPr>
            </w:pPr>
            <w:r>
              <w:rPr>
                <w:rFonts w:ascii="Times New Roman" w:hAnsi="Times New Roman"/>
                <w:kern w:val="2"/>
                <w:szCs w:val="21"/>
              </w:rPr>
              <w:t>施工期环境保护措施</w:t>
            </w:r>
          </w:p>
        </w:tc>
        <w:tc>
          <w:tcPr>
            <w:tcW w:w="8166" w:type="dxa"/>
            <w:vAlign w:val="center"/>
          </w:tcPr>
          <w:p w14:paraId="0C8FBAB9">
            <w:pPr>
              <w:ind w:firstLine="420"/>
            </w:pPr>
            <w:r>
              <w:rPr>
                <w:rFonts w:hint="eastAsia"/>
              </w:rPr>
              <w:t>本项目购买现有厂房进行建设，本次施工期间仅涉及设备安装和拆除，不涉及基础开挖、土石方工程，无废水、废气污染物排放，产生的固体废物主要为设备废包装材料，收集后外售综合利用。</w:t>
            </w:r>
          </w:p>
          <w:p w14:paraId="2AC03DB1">
            <w:pPr>
              <w:pStyle w:val="192"/>
              <w:ind w:firstLine="420"/>
              <w:rPr>
                <w:color w:val="auto"/>
              </w:rPr>
            </w:pPr>
            <w:r>
              <w:rPr>
                <w:color w:val="auto"/>
              </w:rPr>
              <w:t>本项目施工期的影响是暂时的，在施工结束后，影响区域的各环境要素基本都可以得以恢复。只要严格按施工规范文明施工，认真制定和落实工程施工期应采取的环保对策措施，可以将工程施工期对环境产生的影响降到最小</w:t>
            </w:r>
            <w:r>
              <w:rPr>
                <w:rFonts w:hint="eastAsia"/>
                <w:color w:val="auto"/>
              </w:rPr>
              <w:t>。</w:t>
            </w:r>
          </w:p>
        </w:tc>
      </w:tr>
      <w:tr w14:paraId="030DA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3" w:type="dxa"/>
            <w:vAlign w:val="center"/>
          </w:tcPr>
          <w:p w14:paraId="0A218617">
            <w:pPr>
              <w:pStyle w:val="29"/>
              <w:spacing w:before="0" w:beforeAutospacing="0" w:after="0" w:afterAutospacing="0"/>
              <w:ind w:firstLine="0" w:firstLineChars="0"/>
              <w:jc w:val="center"/>
              <w:rPr>
                <w:rFonts w:ascii="Times New Roman" w:hAnsi="Times New Roman"/>
                <w:kern w:val="2"/>
                <w:szCs w:val="21"/>
              </w:rPr>
            </w:pPr>
            <w:r>
              <w:rPr>
                <w:rFonts w:ascii="Times New Roman" w:hAnsi="Times New Roman"/>
                <w:kern w:val="2"/>
                <w:szCs w:val="21"/>
              </w:rPr>
              <w:t>运营期环境影响和保护措施</w:t>
            </w:r>
          </w:p>
        </w:tc>
        <w:tc>
          <w:tcPr>
            <w:tcW w:w="8166" w:type="dxa"/>
          </w:tcPr>
          <w:p w14:paraId="7E677211">
            <w:pPr>
              <w:pStyle w:val="157"/>
            </w:pPr>
            <w:r>
              <w:rPr>
                <w:rFonts w:hint="eastAsia"/>
              </w:rPr>
              <w:t>一、</w:t>
            </w:r>
            <w:r>
              <w:t>废水</w:t>
            </w:r>
          </w:p>
          <w:p w14:paraId="51B6D25C">
            <w:pPr>
              <w:ind w:firstLine="422"/>
              <w:rPr>
                <w:b/>
              </w:rPr>
            </w:pPr>
            <w:r>
              <w:rPr>
                <w:rFonts w:hint="eastAsia"/>
                <w:b/>
              </w:rPr>
              <w:t>1、废水产生及治理情况</w:t>
            </w:r>
          </w:p>
          <w:p w14:paraId="056DF5F1">
            <w:pPr>
              <w:ind w:firstLine="420"/>
            </w:pPr>
            <w:r>
              <w:rPr>
                <w:rFonts w:hint="eastAsia"/>
              </w:rPr>
              <w:t>（</w:t>
            </w:r>
            <w:r>
              <w:t>1</w:t>
            </w:r>
            <w:r>
              <w:rPr>
                <w:rFonts w:hint="eastAsia"/>
              </w:rPr>
              <w:t>）生产废水</w:t>
            </w:r>
          </w:p>
          <w:p w14:paraId="75D281F6">
            <w:pPr>
              <w:ind w:firstLine="420"/>
            </w:pPr>
            <w:r>
              <w:rPr>
                <w:rFonts w:hint="eastAsia"/>
              </w:rPr>
              <w:t>①设备冲洗废水</w:t>
            </w:r>
          </w:p>
          <w:p w14:paraId="67944CA6">
            <w:pPr>
              <w:ind w:firstLine="420"/>
            </w:pPr>
            <w:r>
              <w:rPr>
                <w:rFonts w:hint="eastAsia"/>
              </w:rPr>
              <w:t>本项目搅拌机、切割机等设备需要冲洗，将产生冲洗废水。根据前文水平衡分析，本项目设备冲洗水用量为1</w:t>
            </w:r>
            <w:r>
              <w:t>.1</w:t>
            </w:r>
            <w:r>
              <w:rPr>
                <w:rFonts w:hint="eastAsia"/>
              </w:rPr>
              <w:t>m</w:t>
            </w:r>
            <w:r>
              <w:rPr>
                <w:vertAlign w:val="superscript"/>
              </w:rPr>
              <w:t>3</w:t>
            </w:r>
            <w:r>
              <w:t>/</w:t>
            </w:r>
            <w:r>
              <w:rPr>
                <w:rFonts w:hint="eastAsia"/>
              </w:rPr>
              <w:t>d，产污系数按0</w:t>
            </w:r>
            <w:r>
              <w:t>.8</w:t>
            </w:r>
            <w:r>
              <w:rPr>
                <w:rFonts w:hint="eastAsia"/>
              </w:rPr>
              <w:t>计算，废水产生量为0</w:t>
            </w:r>
            <w:r>
              <w:t>.88</w:t>
            </w:r>
            <w:r>
              <w:rPr>
                <w:rFonts w:hint="eastAsia"/>
              </w:rPr>
              <w:t>m</w:t>
            </w:r>
            <w:r>
              <w:rPr>
                <w:vertAlign w:val="superscript"/>
              </w:rPr>
              <w:t>3</w:t>
            </w:r>
            <w:r>
              <w:t>/</w:t>
            </w:r>
            <w:r>
              <w:rPr>
                <w:rFonts w:hint="eastAsia"/>
              </w:rPr>
              <w:t>d，主要污染物为悬浮物。</w:t>
            </w:r>
          </w:p>
          <w:p w14:paraId="67637A6B">
            <w:pPr>
              <w:ind w:firstLine="420"/>
            </w:pPr>
            <w:r>
              <w:rPr>
                <w:rFonts w:hint="eastAsia"/>
              </w:rPr>
              <w:t>②车辆冲洗废水</w:t>
            </w:r>
          </w:p>
          <w:p w14:paraId="1174320B">
            <w:pPr>
              <w:ind w:firstLine="420"/>
              <w:rPr>
                <w:bCs/>
              </w:rPr>
            </w:pPr>
            <w:r>
              <w:rPr>
                <w:rFonts w:hint="eastAsia"/>
              </w:rPr>
              <w:t>本项目在车辆通道设置车辆冲洗区，对进厂车辆进行冲洗</w:t>
            </w:r>
            <w:r>
              <w:rPr>
                <w:bCs/>
              </w:rPr>
              <w:t>。</w:t>
            </w:r>
            <w:r>
              <w:rPr>
                <w:rFonts w:hint="eastAsia"/>
                <w:bCs/>
              </w:rPr>
              <w:t>本项目原料运输车次为</w:t>
            </w:r>
            <w:r>
              <w:rPr>
                <w:bCs/>
              </w:rPr>
              <w:t>12</w:t>
            </w:r>
            <w:r>
              <w:rPr>
                <w:rFonts w:hint="eastAsia"/>
                <w:bCs/>
              </w:rPr>
              <w:t>车/d，参考《建筑给水排水设计标准》（GB</w:t>
            </w:r>
            <w:r>
              <w:rPr>
                <w:bCs/>
              </w:rPr>
              <w:t>50015-2019</w:t>
            </w:r>
            <w:r>
              <w:rPr>
                <w:rFonts w:hint="eastAsia"/>
                <w:bCs/>
              </w:rPr>
              <w:t>），</w:t>
            </w:r>
            <w:r>
              <w:rPr>
                <w:bCs/>
              </w:rPr>
              <w:t>清洗用水量约为0.2m</w:t>
            </w:r>
            <w:r>
              <w:rPr>
                <w:bCs/>
                <w:vertAlign w:val="superscript"/>
              </w:rPr>
              <w:t>3</w:t>
            </w:r>
            <w:r>
              <w:rPr>
                <w:bCs/>
              </w:rPr>
              <w:t>/辆·次，则用水量为2.4m</w:t>
            </w:r>
            <w:r>
              <w:rPr>
                <w:bCs/>
                <w:vertAlign w:val="superscript"/>
              </w:rPr>
              <w:t>3</w:t>
            </w:r>
            <w:r>
              <w:rPr>
                <w:bCs/>
              </w:rPr>
              <w:t>/d。</w:t>
            </w:r>
            <w:r>
              <w:rPr>
                <w:rFonts w:hint="eastAsia"/>
                <w:bCs/>
              </w:rPr>
              <w:t>废水产污系数按0</w:t>
            </w:r>
            <w:r>
              <w:rPr>
                <w:bCs/>
              </w:rPr>
              <w:t>.8</w:t>
            </w:r>
            <w:r>
              <w:rPr>
                <w:rFonts w:hint="eastAsia"/>
                <w:bCs/>
              </w:rPr>
              <w:t>计算，车辆冲洗废水产生量为</w:t>
            </w:r>
            <w:r>
              <w:rPr>
                <w:bCs/>
              </w:rPr>
              <w:t>1.92</w:t>
            </w:r>
            <w:r>
              <w:rPr>
                <w:rFonts w:hint="eastAsia"/>
                <w:bCs/>
              </w:rPr>
              <w:t>m</w:t>
            </w:r>
            <w:r>
              <w:rPr>
                <w:bCs/>
                <w:vertAlign w:val="superscript"/>
              </w:rPr>
              <w:t>3</w:t>
            </w:r>
            <w:r>
              <w:rPr>
                <w:bCs/>
              </w:rPr>
              <w:t>/</w:t>
            </w:r>
            <w:r>
              <w:rPr>
                <w:rFonts w:hint="eastAsia"/>
                <w:bCs/>
              </w:rPr>
              <w:t>d。废水中主要污染物为悬浮物。</w:t>
            </w:r>
          </w:p>
          <w:p w14:paraId="4BADD587">
            <w:pPr>
              <w:ind w:firstLine="420"/>
              <w:rPr>
                <w:bCs/>
              </w:rPr>
            </w:pPr>
            <w:r>
              <w:rPr>
                <w:rFonts w:hint="eastAsia"/>
                <w:bCs/>
              </w:rPr>
              <w:t>③锅炉排污水</w:t>
            </w:r>
          </w:p>
          <w:p w14:paraId="6564C57C">
            <w:pPr>
              <w:ind w:firstLine="420"/>
              <w:rPr>
                <w:bCs/>
              </w:rPr>
            </w:pPr>
            <w:r>
              <w:rPr>
                <w:rFonts w:hint="eastAsia"/>
              </w:rPr>
              <w:t>根据《排放源统计调查产排污核算方法和系数手册-</w:t>
            </w:r>
            <w:r>
              <w:t>4430</w:t>
            </w:r>
            <w:r>
              <w:rPr>
                <w:rFonts w:hint="eastAsia"/>
              </w:rPr>
              <w:t>工业锅炉（热力供应）行业系数手册》，生物质燃料锅炉（锅炉内水处理）排污水产污系数为0</w:t>
            </w:r>
            <w:r>
              <w:t>.259</w:t>
            </w:r>
            <w:r>
              <w:rPr>
                <w:rFonts w:hint="eastAsia"/>
              </w:rPr>
              <w:t>吨/吨-原料。根据前文计算可知，本项目锅炉燃料使用量为1</w:t>
            </w:r>
            <w:r>
              <w:t>.925</w:t>
            </w:r>
            <w:r>
              <w:rPr>
                <w:rFonts w:hint="eastAsia"/>
              </w:rPr>
              <w:t>t</w:t>
            </w:r>
            <w:r>
              <w:t>/</w:t>
            </w:r>
            <w:r>
              <w:rPr>
                <w:rFonts w:hint="eastAsia"/>
              </w:rPr>
              <w:t>h</w:t>
            </w:r>
            <w:r>
              <w:t>×4</w:t>
            </w:r>
            <w:r>
              <w:rPr>
                <w:rFonts w:hint="eastAsia"/>
              </w:rPr>
              <w:t>h</w:t>
            </w:r>
            <w:r>
              <w:t>/</w:t>
            </w:r>
            <w:r>
              <w:rPr>
                <w:rFonts w:hint="eastAsia"/>
              </w:rPr>
              <w:t>d</w:t>
            </w:r>
            <w:r>
              <w:t>=7.7</w:t>
            </w:r>
            <w:r>
              <w:rPr>
                <w:rFonts w:hint="eastAsia"/>
              </w:rPr>
              <w:t>t</w:t>
            </w:r>
            <w:r>
              <w:t>/</w:t>
            </w:r>
            <w:r>
              <w:rPr>
                <w:rFonts w:hint="eastAsia"/>
              </w:rPr>
              <w:t>d。则锅炉排污水产生量约为2m</w:t>
            </w:r>
            <w:r>
              <w:rPr>
                <w:vertAlign w:val="superscript"/>
              </w:rPr>
              <w:t>3</w:t>
            </w:r>
            <w:r>
              <w:t>/</w:t>
            </w:r>
            <w:r>
              <w:rPr>
                <w:rFonts w:hint="eastAsia"/>
              </w:rPr>
              <w:t>d，废水中主要污染物为悬浮物、钙镁离子等。</w:t>
            </w:r>
          </w:p>
          <w:p w14:paraId="4EE994BE">
            <w:pPr>
              <w:ind w:firstLine="420"/>
              <w:rPr>
                <w:bCs/>
              </w:rPr>
            </w:pPr>
            <w:r>
              <w:rPr>
                <w:rFonts w:hint="eastAsia"/>
                <w:bCs/>
              </w:rPr>
              <w:t>④蒸压釜蒸汽冷凝水</w:t>
            </w:r>
          </w:p>
          <w:p w14:paraId="61177AAF">
            <w:pPr>
              <w:ind w:firstLine="420"/>
              <w:rPr>
                <w:bCs/>
              </w:rPr>
            </w:pPr>
            <w:r>
              <w:rPr>
                <w:rFonts w:hint="eastAsia"/>
                <w:bCs/>
              </w:rPr>
              <w:t>锅炉用水量约</w:t>
            </w:r>
            <w:r>
              <w:rPr>
                <w:bCs/>
              </w:rPr>
              <w:t>40</w:t>
            </w:r>
            <w:r>
              <w:rPr>
                <w:rFonts w:hint="eastAsia"/>
                <w:bCs/>
              </w:rPr>
              <w:t>m</w:t>
            </w:r>
            <w:r>
              <w:rPr>
                <w:rFonts w:hint="eastAsia"/>
                <w:bCs/>
                <w:vertAlign w:val="superscript"/>
              </w:rPr>
              <w:t>3</w:t>
            </w:r>
            <w:r>
              <w:rPr>
                <w:rFonts w:hint="eastAsia"/>
                <w:bCs/>
              </w:rPr>
              <w:t>/d，其中约30%在蒸压釜内损耗，剩余7</w:t>
            </w:r>
            <w:r>
              <w:rPr>
                <w:bCs/>
              </w:rPr>
              <w:t>0%</w:t>
            </w:r>
            <w:r>
              <w:rPr>
                <w:rFonts w:hint="eastAsia"/>
                <w:bCs/>
              </w:rPr>
              <w:t>在开盖时排放，蒸汽排放量为2</w:t>
            </w:r>
            <w:r>
              <w:rPr>
                <w:bCs/>
              </w:rPr>
              <w:t>8</w:t>
            </w:r>
            <w:r>
              <w:rPr>
                <w:rFonts w:hint="eastAsia"/>
                <w:bCs/>
              </w:rPr>
              <w:t>m</w:t>
            </w:r>
            <w:r>
              <w:rPr>
                <w:rFonts w:hint="eastAsia"/>
                <w:bCs/>
                <w:vertAlign w:val="superscript"/>
              </w:rPr>
              <w:t>3</w:t>
            </w:r>
            <w:r>
              <w:rPr>
                <w:rFonts w:hint="eastAsia"/>
                <w:bCs/>
              </w:rPr>
              <w:t>/d。项目拟建1套蒸汽回收装置，蒸汽收集效率为95%，冷凝效率为90%，则蒸压釜冷凝水产生量为</w:t>
            </w:r>
            <w:r>
              <w:rPr>
                <w:bCs/>
              </w:rPr>
              <w:t>23.94</w:t>
            </w:r>
            <w:r>
              <w:rPr>
                <w:rFonts w:hint="eastAsia"/>
                <w:bCs/>
              </w:rPr>
              <w:t>m</w:t>
            </w:r>
            <w:r>
              <w:rPr>
                <w:rFonts w:hint="eastAsia"/>
                <w:bCs/>
                <w:vertAlign w:val="superscript"/>
              </w:rPr>
              <w:t>3</w:t>
            </w:r>
            <w:r>
              <w:rPr>
                <w:rFonts w:hint="eastAsia"/>
                <w:bCs/>
              </w:rPr>
              <w:t>/d。</w:t>
            </w:r>
          </w:p>
          <w:p w14:paraId="2F00AA5F">
            <w:pPr>
              <w:ind w:firstLine="422"/>
              <w:rPr>
                <w:bCs/>
              </w:rPr>
            </w:pPr>
            <w:r>
              <w:rPr>
                <w:rFonts w:hint="eastAsia"/>
                <w:b/>
              </w:rPr>
              <w:t>生产废水治理措施</w:t>
            </w:r>
            <w:r>
              <w:rPr>
                <w:rFonts w:hint="eastAsia"/>
                <w:bCs/>
              </w:rPr>
              <w:t>：项目建设1座1</w:t>
            </w:r>
            <w:r>
              <w:rPr>
                <w:bCs/>
              </w:rPr>
              <w:t>0</w:t>
            </w:r>
            <w:r>
              <w:rPr>
                <w:rFonts w:hint="eastAsia"/>
                <w:bCs/>
              </w:rPr>
              <w:t>m</w:t>
            </w:r>
            <w:r>
              <w:rPr>
                <w:bCs/>
                <w:vertAlign w:val="superscript"/>
              </w:rPr>
              <w:t>3</w:t>
            </w:r>
            <w:r>
              <w:rPr>
                <w:rFonts w:hint="eastAsia"/>
                <w:bCs/>
              </w:rPr>
              <w:t>废浆池，用于收集设备冲洗废水和车辆冲洗废水，废水搅拌均质后与锅炉排污水、蒸压釜蒸汽冷凝水一同排入集水池回用作为球磨用水，不外排。</w:t>
            </w:r>
          </w:p>
          <w:p w14:paraId="4121A0C4">
            <w:pPr>
              <w:ind w:firstLine="420"/>
            </w:pPr>
            <w:r>
              <w:rPr>
                <w:rFonts w:hint="eastAsia"/>
              </w:rPr>
              <w:t>（</w:t>
            </w:r>
            <w:r>
              <w:t>2</w:t>
            </w:r>
            <w:r>
              <w:rPr>
                <w:rFonts w:hint="eastAsia"/>
              </w:rPr>
              <w:t>）生活污水</w:t>
            </w:r>
          </w:p>
          <w:p w14:paraId="6F6FF9D0">
            <w:pPr>
              <w:ind w:firstLine="420"/>
            </w:pPr>
            <w:r>
              <w:rPr>
                <w:rFonts w:hint="eastAsia"/>
              </w:rPr>
              <w:t>本项目劳动定员</w:t>
            </w:r>
            <w:r>
              <w:t>15</w:t>
            </w:r>
            <w:r>
              <w:rPr>
                <w:rFonts w:hint="eastAsia"/>
              </w:rPr>
              <w:t>人，年工作3</w:t>
            </w:r>
            <w:r>
              <w:t>00</w:t>
            </w:r>
            <w:r>
              <w:rPr>
                <w:rFonts w:hint="eastAsia"/>
              </w:rPr>
              <w:t>天，每天工作</w:t>
            </w:r>
            <w:r>
              <w:t>8</w:t>
            </w:r>
            <w:r>
              <w:rPr>
                <w:rFonts w:hint="eastAsia"/>
              </w:rPr>
              <w:t>小时。根据《四川省用水定额》并参考《建筑给水排水设计标准》（GB</w:t>
            </w:r>
            <w:r>
              <w:t xml:space="preserve"> 50015-2019</w:t>
            </w:r>
            <w:r>
              <w:rPr>
                <w:rFonts w:hint="eastAsia"/>
              </w:rPr>
              <w:t>），员工生活用水量按1</w:t>
            </w:r>
            <w:r>
              <w:t>20</w:t>
            </w:r>
            <w:r>
              <w:rPr>
                <w:rFonts w:hint="eastAsia"/>
              </w:rPr>
              <w:t>L</w:t>
            </w:r>
            <w:r>
              <w:t>/</w:t>
            </w:r>
            <w:r>
              <w:rPr>
                <w:rFonts w:hint="eastAsia"/>
              </w:rPr>
              <w:t>人·班计算，则员工生活用水量为</w:t>
            </w:r>
            <w:r>
              <w:t>1.8</w:t>
            </w:r>
            <w:r>
              <w:rPr>
                <w:rFonts w:hint="eastAsia"/>
              </w:rPr>
              <w:t>m</w:t>
            </w:r>
            <w:r>
              <w:rPr>
                <w:vertAlign w:val="superscript"/>
              </w:rPr>
              <w:t>3</w:t>
            </w:r>
            <w:r>
              <w:t>/</w:t>
            </w:r>
            <w:r>
              <w:rPr>
                <w:rFonts w:hint="eastAsia"/>
              </w:rPr>
              <w:t>d。生活污水产污系数按0</w:t>
            </w:r>
            <w:r>
              <w:t>.8</w:t>
            </w:r>
            <w:r>
              <w:rPr>
                <w:rFonts w:hint="eastAsia"/>
              </w:rPr>
              <w:t>计算，生活污水产生量为</w:t>
            </w:r>
            <w:r>
              <w:t>1.44</w:t>
            </w:r>
            <w:r>
              <w:rPr>
                <w:rFonts w:hint="eastAsia"/>
              </w:rPr>
              <w:t>m</w:t>
            </w:r>
            <w:r>
              <w:rPr>
                <w:vertAlign w:val="superscript"/>
              </w:rPr>
              <w:t>3</w:t>
            </w:r>
            <w:r>
              <w:t>/</w:t>
            </w:r>
            <w:r>
              <w:rPr>
                <w:rFonts w:hint="eastAsia"/>
              </w:rPr>
              <w:t>d。生活污水参考</w:t>
            </w:r>
            <w:r>
              <w:t>《排放源统计调查产排污核算方法和系数手册——生活污染源产排污系数手册》表1-1 城镇生活源水污染物产生系数，本项目位于四川省，属于六区，本项目生活废水各污染物产生浓度分别为：COD</w:t>
            </w:r>
            <w:r>
              <w:rPr>
                <w:vertAlign w:val="subscript"/>
              </w:rPr>
              <w:t>Cr</w:t>
            </w:r>
            <w:r>
              <w:t>：325mg/L、BOD</w:t>
            </w:r>
            <w:r>
              <w:rPr>
                <w:vertAlign w:val="subscript"/>
              </w:rPr>
              <w:t>5</w:t>
            </w:r>
            <w:r>
              <w:t>：195mg/L、NH</w:t>
            </w:r>
            <w:r>
              <w:rPr>
                <w:vertAlign w:val="subscript"/>
              </w:rPr>
              <w:t>3</w:t>
            </w:r>
            <w:r>
              <w:t>-N：37.7mg/L、TP：4.28mg/L、SS：450mg/L</w:t>
            </w:r>
            <w:r>
              <w:rPr>
                <w:rFonts w:hint="eastAsia"/>
              </w:rPr>
              <w:t>。</w:t>
            </w:r>
          </w:p>
          <w:p w14:paraId="34777308">
            <w:pPr>
              <w:ind w:firstLine="422"/>
            </w:pPr>
            <w:r>
              <w:rPr>
                <w:rFonts w:hint="eastAsia"/>
                <w:b/>
                <w:bCs/>
              </w:rPr>
              <w:t>生活污水治理措施</w:t>
            </w:r>
            <w:r>
              <w:rPr>
                <w:rFonts w:hint="eastAsia"/>
              </w:rPr>
              <w:t>：项目建设1座1</w:t>
            </w:r>
            <w:r>
              <w:t>0</w:t>
            </w:r>
            <w:r>
              <w:rPr>
                <w:rFonts w:hint="eastAsia"/>
              </w:rPr>
              <w:t>m</w:t>
            </w:r>
            <w:r>
              <w:rPr>
                <w:vertAlign w:val="superscript"/>
              </w:rPr>
              <w:t>3</w:t>
            </w:r>
            <w:r>
              <w:rPr>
                <w:rFonts w:hint="eastAsia"/>
              </w:rPr>
              <w:t>的化粪池，生活污水经预处理后，满足《污水综合排放标准》（GB</w:t>
            </w:r>
            <w:r>
              <w:t xml:space="preserve"> 8978-1996</w:t>
            </w:r>
            <w:r>
              <w:rPr>
                <w:rFonts w:hint="eastAsia"/>
              </w:rPr>
              <w:t>）三级标准，定期通过吸污车清运至</w:t>
            </w:r>
            <w:r>
              <w:t>巴中经开区污水处理厂</w:t>
            </w:r>
            <w:r>
              <w:rPr>
                <w:rFonts w:hint="eastAsia"/>
              </w:rPr>
              <w:t>处理，后期市政污水管网接通后，污水通过市政污水管网排入</w:t>
            </w:r>
            <w:r>
              <w:t>巴中经开区污水处理厂</w:t>
            </w:r>
            <w:r>
              <w:rPr>
                <w:rFonts w:hint="eastAsia"/>
              </w:rPr>
              <w:t>，废水</w:t>
            </w:r>
            <w:r>
              <w:t>经巴中经开区污水处理厂处理达到《城镇污水处理厂污染物排放标准》（GB18918-2002）一级A标准后排入巴河。</w:t>
            </w:r>
          </w:p>
          <w:p w14:paraId="5CF03FC4">
            <w:pPr>
              <w:pStyle w:val="156"/>
            </w:pPr>
            <w:r>
              <w:rPr>
                <w:rFonts w:hint="eastAsia"/>
              </w:rPr>
              <w:t>表4</w:t>
            </w:r>
            <w:r>
              <w:t xml:space="preserve">-1  </w:t>
            </w:r>
            <w:r>
              <w:rPr>
                <w:rFonts w:hint="eastAsia"/>
              </w:rPr>
              <w:t xml:space="preserve">本项目生活污水处理及排放情况 </w:t>
            </w:r>
            <w:r>
              <w:t xml:space="preserve"> </w:t>
            </w:r>
            <w:r>
              <w:rPr>
                <w:rFonts w:hint="eastAsia"/>
              </w:rPr>
              <w:t>单位：mg</w:t>
            </w:r>
            <w:r>
              <w:t>/</w:t>
            </w:r>
            <w:r>
              <w:rPr>
                <w:rFonts w:hint="eastAsia"/>
              </w:rPr>
              <w:t>L</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78"/>
              <w:gridCol w:w="949"/>
              <w:gridCol w:w="1235"/>
              <w:gridCol w:w="861"/>
              <w:gridCol w:w="858"/>
              <w:gridCol w:w="757"/>
              <w:gridCol w:w="807"/>
              <w:gridCol w:w="705"/>
              <w:gridCol w:w="806"/>
            </w:tblGrid>
            <w:tr w14:paraId="53B2D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722" w:type="pct"/>
                  <w:vAlign w:val="center"/>
                </w:tcPr>
                <w:p w14:paraId="093AE424">
                  <w:pPr>
                    <w:pStyle w:val="135"/>
                    <w:adjustRightInd w:val="0"/>
                    <w:snapToGrid w:val="0"/>
                    <w:rPr>
                      <w:b/>
                      <w:bCs/>
                    </w:rPr>
                  </w:pPr>
                  <w:r>
                    <w:rPr>
                      <w:rFonts w:hint="eastAsia"/>
                      <w:b/>
                      <w:bCs/>
                    </w:rPr>
                    <w:t>类别</w:t>
                  </w:r>
                </w:p>
              </w:tc>
              <w:tc>
                <w:tcPr>
                  <w:tcW w:w="1339" w:type="pct"/>
                  <w:gridSpan w:val="2"/>
                  <w:vAlign w:val="center"/>
                </w:tcPr>
                <w:p w14:paraId="334EF579">
                  <w:pPr>
                    <w:pStyle w:val="135"/>
                    <w:adjustRightInd w:val="0"/>
                    <w:snapToGrid w:val="0"/>
                    <w:rPr>
                      <w:b/>
                      <w:bCs/>
                    </w:rPr>
                  </w:pPr>
                  <w:r>
                    <w:rPr>
                      <w:rFonts w:hint="eastAsia"/>
                      <w:b/>
                      <w:bCs/>
                    </w:rPr>
                    <w:t>废水性质</w:t>
                  </w:r>
                </w:p>
              </w:tc>
              <w:tc>
                <w:tcPr>
                  <w:tcW w:w="528" w:type="pct"/>
                  <w:vAlign w:val="center"/>
                </w:tcPr>
                <w:p w14:paraId="772BE5DD">
                  <w:pPr>
                    <w:pStyle w:val="135"/>
                    <w:adjustRightInd w:val="0"/>
                    <w:snapToGrid w:val="0"/>
                    <w:rPr>
                      <w:b/>
                      <w:bCs/>
                    </w:rPr>
                  </w:pPr>
                  <w:r>
                    <w:rPr>
                      <w:rFonts w:hint="eastAsia"/>
                      <w:b/>
                      <w:bCs/>
                    </w:rPr>
                    <w:t>排水量</w:t>
                  </w:r>
                </w:p>
              </w:tc>
              <w:tc>
                <w:tcPr>
                  <w:tcW w:w="526" w:type="pct"/>
                  <w:vAlign w:val="center"/>
                </w:tcPr>
                <w:p w14:paraId="6A1E575A">
                  <w:pPr>
                    <w:pStyle w:val="135"/>
                    <w:adjustRightInd w:val="0"/>
                    <w:snapToGrid w:val="0"/>
                    <w:rPr>
                      <w:rFonts w:eastAsia="等线"/>
                      <w:b/>
                      <w:bCs/>
                    </w:rPr>
                  </w:pPr>
                  <w:r>
                    <w:rPr>
                      <w:rFonts w:eastAsia="等线"/>
                      <w:b/>
                      <w:bCs/>
                    </w:rPr>
                    <w:t>COD</w:t>
                  </w:r>
                  <w:r>
                    <w:rPr>
                      <w:rFonts w:eastAsia="等线"/>
                      <w:b/>
                      <w:bCs/>
                      <w:vertAlign w:val="subscript"/>
                    </w:rPr>
                    <w:t>Cr</w:t>
                  </w:r>
                </w:p>
              </w:tc>
              <w:tc>
                <w:tcPr>
                  <w:tcW w:w="464" w:type="pct"/>
                  <w:vAlign w:val="center"/>
                </w:tcPr>
                <w:p w14:paraId="290A1281">
                  <w:pPr>
                    <w:pStyle w:val="135"/>
                    <w:adjustRightInd w:val="0"/>
                    <w:snapToGrid w:val="0"/>
                    <w:rPr>
                      <w:rFonts w:eastAsia="等线"/>
                      <w:b/>
                      <w:bCs/>
                    </w:rPr>
                  </w:pPr>
                  <w:r>
                    <w:rPr>
                      <w:rFonts w:eastAsia="等线"/>
                      <w:b/>
                      <w:bCs/>
                    </w:rPr>
                    <w:t>BOD</w:t>
                  </w:r>
                  <w:r>
                    <w:rPr>
                      <w:rFonts w:eastAsia="等线"/>
                      <w:b/>
                      <w:bCs/>
                      <w:vertAlign w:val="subscript"/>
                    </w:rPr>
                    <w:t>5</w:t>
                  </w:r>
                </w:p>
              </w:tc>
              <w:tc>
                <w:tcPr>
                  <w:tcW w:w="495" w:type="pct"/>
                  <w:vAlign w:val="center"/>
                </w:tcPr>
                <w:p w14:paraId="0274AD8B">
                  <w:pPr>
                    <w:pStyle w:val="135"/>
                    <w:adjustRightInd w:val="0"/>
                    <w:snapToGrid w:val="0"/>
                    <w:rPr>
                      <w:b/>
                      <w:bCs/>
                    </w:rPr>
                  </w:pPr>
                  <w:r>
                    <w:rPr>
                      <w:rFonts w:hint="eastAsia"/>
                      <w:b/>
                      <w:bCs/>
                    </w:rPr>
                    <w:t>氨氮</w:t>
                  </w:r>
                </w:p>
              </w:tc>
              <w:tc>
                <w:tcPr>
                  <w:tcW w:w="432" w:type="pct"/>
                  <w:vAlign w:val="center"/>
                </w:tcPr>
                <w:p w14:paraId="51325655">
                  <w:pPr>
                    <w:pStyle w:val="135"/>
                    <w:adjustRightInd w:val="0"/>
                    <w:snapToGrid w:val="0"/>
                    <w:rPr>
                      <w:rFonts w:eastAsia="等线"/>
                      <w:b/>
                      <w:bCs/>
                    </w:rPr>
                  </w:pPr>
                  <w:r>
                    <w:rPr>
                      <w:rFonts w:eastAsia="等线"/>
                      <w:b/>
                      <w:bCs/>
                    </w:rPr>
                    <w:t>SS</w:t>
                  </w:r>
                </w:p>
              </w:tc>
              <w:tc>
                <w:tcPr>
                  <w:tcW w:w="495" w:type="pct"/>
                  <w:vAlign w:val="center"/>
                </w:tcPr>
                <w:p w14:paraId="1326D480">
                  <w:pPr>
                    <w:pStyle w:val="135"/>
                    <w:adjustRightInd w:val="0"/>
                    <w:snapToGrid w:val="0"/>
                    <w:rPr>
                      <w:rFonts w:eastAsia="等线"/>
                      <w:b/>
                      <w:bCs/>
                    </w:rPr>
                  </w:pPr>
                  <w:r>
                    <w:rPr>
                      <w:rFonts w:eastAsia="等线"/>
                      <w:b/>
                      <w:bCs/>
                    </w:rPr>
                    <w:t>TP</w:t>
                  </w:r>
                </w:p>
              </w:tc>
            </w:tr>
            <w:tr w14:paraId="61D176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722" w:type="pct"/>
                  <w:vMerge w:val="restart"/>
                  <w:vAlign w:val="center"/>
                </w:tcPr>
                <w:p w14:paraId="1044A3F9">
                  <w:pPr>
                    <w:pStyle w:val="135"/>
                    <w:adjustRightInd w:val="0"/>
                    <w:snapToGrid w:val="0"/>
                  </w:pPr>
                  <w:r>
                    <w:rPr>
                      <w:rFonts w:hint="eastAsia"/>
                    </w:rPr>
                    <w:t>生活污水</w:t>
                  </w:r>
                </w:p>
              </w:tc>
              <w:tc>
                <w:tcPr>
                  <w:tcW w:w="582" w:type="pct"/>
                  <w:vMerge w:val="restart"/>
                  <w:vAlign w:val="center"/>
                </w:tcPr>
                <w:p w14:paraId="34532F05">
                  <w:pPr>
                    <w:pStyle w:val="135"/>
                    <w:adjustRightInd w:val="0"/>
                    <w:snapToGrid w:val="0"/>
                  </w:pPr>
                  <w:r>
                    <w:rPr>
                      <w:rFonts w:hint="eastAsia"/>
                    </w:rPr>
                    <w:t>处理前</w:t>
                  </w:r>
                </w:p>
              </w:tc>
              <w:tc>
                <w:tcPr>
                  <w:tcW w:w="756" w:type="pct"/>
                  <w:vAlign w:val="center"/>
                </w:tcPr>
                <w:p w14:paraId="763FA90E">
                  <w:pPr>
                    <w:pStyle w:val="135"/>
                    <w:adjustRightInd w:val="0"/>
                    <w:snapToGrid w:val="0"/>
                  </w:pPr>
                  <w:r>
                    <w:rPr>
                      <w:rFonts w:hint="eastAsia"/>
                    </w:rPr>
                    <w:t>产生浓度</w:t>
                  </w:r>
                </w:p>
              </w:tc>
              <w:tc>
                <w:tcPr>
                  <w:tcW w:w="528" w:type="pct"/>
                  <w:vMerge w:val="restart"/>
                  <w:vAlign w:val="center"/>
                </w:tcPr>
                <w:p w14:paraId="034580EA">
                  <w:pPr>
                    <w:pStyle w:val="135"/>
                    <w:adjustRightInd w:val="0"/>
                    <w:snapToGrid w:val="0"/>
                    <w:rPr>
                      <w:rFonts w:eastAsia="等线"/>
                    </w:rPr>
                  </w:pPr>
                  <w:r>
                    <w:rPr>
                      <w:rFonts w:eastAsia="等线"/>
                    </w:rPr>
                    <w:t>432</w:t>
                  </w:r>
                  <w:r>
                    <w:rPr>
                      <w:rFonts w:hint="eastAsia" w:eastAsia="等线"/>
                    </w:rPr>
                    <w:t xml:space="preserve"> m</w:t>
                  </w:r>
                  <w:r>
                    <w:rPr>
                      <w:rFonts w:eastAsia="等线"/>
                      <w:vertAlign w:val="superscript"/>
                    </w:rPr>
                    <w:t>3</w:t>
                  </w:r>
                  <w:r>
                    <w:rPr>
                      <w:rFonts w:eastAsia="等线"/>
                    </w:rPr>
                    <w:t>/</w:t>
                  </w:r>
                  <w:r>
                    <w:rPr>
                      <w:rFonts w:hint="eastAsia" w:eastAsia="等线"/>
                    </w:rPr>
                    <w:t>a</w:t>
                  </w:r>
                </w:p>
              </w:tc>
              <w:tc>
                <w:tcPr>
                  <w:tcW w:w="526" w:type="pct"/>
                  <w:vAlign w:val="center"/>
                </w:tcPr>
                <w:p w14:paraId="1C6F4A2E">
                  <w:pPr>
                    <w:pStyle w:val="135"/>
                    <w:adjustRightInd w:val="0"/>
                    <w:snapToGrid w:val="0"/>
                    <w:rPr>
                      <w:rFonts w:eastAsia="等线"/>
                    </w:rPr>
                  </w:pPr>
                  <w:r>
                    <w:rPr>
                      <w:rFonts w:eastAsia="等线"/>
                    </w:rPr>
                    <w:t>325</w:t>
                  </w:r>
                </w:p>
              </w:tc>
              <w:tc>
                <w:tcPr>
                  <w:tcW w:w="464" w:type="pct"/>
                  <w:vAlign w:val="center"/>
                </w:tcPr>
                <w:p w14:paraId="747D90E4">
                  <w:pPr>
                    <w:pStyle w:val="135"/>
                    <w:adjustRightInd w:val="0"/>
                    <w:snapToGrid w:val="0"/>
                    <w:rPr>
                      <w:rFonts w:eastAsia="等线"/>
                    </w:rPr>
                  </w:pPr>
                  <w:r>
                    <w:rPr>
                      <w:rFonts w:eastAsia="等线"/>
                    </w:rPr>
                    <w:t>195</w:t>
                  </w:r>
                </w:p>
              </w:tc>
              <w:tc>
                <w:tcPr>
                  <w:tcW w:w="495" w:type="pct"/>
                  <w:vAlign w:val="center"/>
                </w:tcPr>
                <w:p w14:paraId="102C64EE">
                  <w:pPr>
                    <w:pStyle w:val="135"/>
                    <w:adjustRightInd w:val="0"/>
                    <w:snapToGrid w:val="0"/>
                    <w:rPr>
                      <w:rFonts w:eastAsia="等线"/>
                    </w:rPr>
                  </w:pPr>
                  <w:r>
                    <w:rPr>
                      <w:rFonts w:eastAsia="等线"/>
                    </w:rPr>
                    <w:t>37.7</w:t>
                  </w:r>
                </w:p>
              </w:tc>
              <w:tc>
                <w:tcPr>
                  <w:tcW w:w="432" w:type="pct"/>
                  <w:vAlign w:val="center"/>
                </w:tcPr>
                <w:p w14:paraId="1228B9BB">
                  <w:pPr>
                    <w:pStyle w:val="135"/>
                    <w:adjustRightInd w:val="0"/>
                    <w:snapToGrid w:val="0"/>
                    <w:rPr>
                      <w:rFonts w:eastAsia="等线"/>
                    </w:rPr>
                  </w:pPr>
                  <w:r>
                    <w:rPr>
                      <w:rFonts w:eastAsia="等线"/>
                    </w:rPr>
                    <w:t>450</w:t>
                  </w:r>
                </w:p>
              </w:tc>
              <w:tc>
                <w:tcPr>
                  <w:tcW w:w="495" w:type="pct"/>
                  <w:vAlign w:val="center"/>
                </w:tcPr>
                <w:p w14:paraId="3F6A0869">
                  <w:pPr>
                    <w:pStyle w:val="135"/>
                    <w:adjustRightInd w:val="0"/>
                    <w:snapToGrid w:val="0"/>
                    <w:rPr>
                      <w:rFonts w:eastAsia="等线"/>
                    </w:rPr>
                  </w:pPr>
                  <w:r>
                    <w:rPr>
                      <w:rFonts w:eastAsia="等线"/>
                    </w:rPr>
                    <w:t>4.28</w:t>
                  </w:r>
                </w:p>
              </w:tc>
            </w:tr>
            <w:tr w14:paraId="665DF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722" w:type="pct"/>
                  <w:vMerge w:val="continue"/>
                  <w:vAlign w:val="center"/>
                </w:tcPr>
                <w:p w14:paraId="3BCCCA60">
                  <w:pPr>
                    <w:pStyle w:val="135"/>
                    <w:adjustRightInd w:val="0"/>
                    <w:snapToGrid w:val="0"/>
                  </w:pPr>
                </w:p>
              </w:tc>
              <w:tc>
                <w:tcPr>
                  <w:tcW w:w="582" w:type="pct"/>
                  <w:vMerge w:val="continue"/>
                  <w:vAlign w:val="center"/>
                </w:tcPr>
                <w:p w14:paraId="3A7CA203">
                  <w:pPr>
                    <w:pStyle w:val="135"/>
                    <w:adjustRightInd w:val="0"/>
                    <w:snapToGrid w:val="0"/>
                  </w:pPr>
                </w:p>
              </w:tc>
              <w:tc>
                <w:tcPr>
                  <w:tcW w:w="756" w:type="pct"/>
                  <w:vAlign w:val="center"/>
                </w:tcPr>
                <w:p w14:paraId="5A601E76">
                  <w:pPr>
                    <w:pStyle w:val="135"/>
                    <w:adjustRightInd w:val="0"/>
                    <w:snapToGrid w:val="0"/>
                  </w:pPr>
                  <w:r>
                    <w:rPr>
                      <w:rFonts w:hint="eastAsia"/>
                    </w:rPr>
                    <w:t>产生量</w:t>
                  </w:r>
                  <w:r>
                    <w:t>t/a</w:t>
                  </w:r>
                </w:p>
              </w:tc>
              <w:tc>
                <w:tcPr>
                  <w:tcW w:w="528" w:type="pct"/>
                  <w:vMerge w:val="continue"/>
                  <w:vAlign w:val="center"/>
                </w:tcPr>
                <w:p w14:paraId="347D78BF">
                  <w:pPr>
                    <w:pStyle w:val="135"/>
                    <w:adjustRightInd w:val="0"/>
                    <w:snapToGrid w:val="0"/>
                    <w:rPr>
                      <w:rFonts w:eastAsia="等线"/>
                    </w:rPr>
                  </w:pPr>
                </w:p>
              </w:tc>
              <w:tc>
                <w:tcPr>
                  <w:tcW w:w="526" w:type="pct"/>
                  <w:vAlign w:val="center"/>
                </w:tcPr>
                <w:p w14:paraId="4C8E1618">
                  <w:pPr>
                    <w:pStyle w:val="135"/>
                    <w:adjustRightInd w:val="0"/>
                    <w:snapToGrid w:val="0"/>
                    <w:rPr>
                      <w:rFonts w:eastAsia="等线"/>
                    </w:rPr>
                  </w:pPr>
                  <w:r>
                    <w:rPr>
                      <w:rFonts w:eastAsia="等线"/>
                    </w:rPr>
                    <w:t>0.140</w:t>
                  </w:r>
                </w:p>
              </w:tc>
              <w:tc>
                <w:tcPr>
                  <w:tcW w:w="464" w:type="pct"/>
                  <w:vAlign w:val="center"/>
                </w:tcPr>
                <w:p w14:paraId="01F28757">
                  <w:pPr>
                    <w:pStyle w:val="135"/>
                    <w:adjustRightInd w:val="0"/>
                    <w:snapToGrid w:val="0"/>
                    <w:rPr>
                      <w:rFonts w:eastAsia="等线"/>
                    </w:rPr>
                  </w:pPr>
                  <w:r>
                    <w:rPr>
                      <w:rFonts w:eastAsia="等线"/>
                    </w:rPr>
                    <w:t>0.084</w:t>
                  </w:r>
                </w:p>
              </w:tc>
              <w:tc>
                <w:tcPr>
                  <w:tcW w:w="495" w:type="pct"/>
                  <w:vAlign w:val="center"/>
                </w:tcPr>
                <w:p w14:paraId="503EC84E">
                  <w:pPr>
                    <w:pStyle w:val="135"/>
                    <w:adjustRightInd w:val="0"/>
                    <w:snapToGrid w:val="0"/>
                    <w:rPr>
                      <w:rFonts w:eastAsia="等线"/>
                    </w:rPr>
                  </w:pPr>
                  <w:r>
                    <w:rPr>
                      <w:rFonts w:eastAsia="等线"/>
                    </w:rPr>
                    <w:t>0.016</w:t>
                  </w:r>
                </w:p>
              </w:tc>
              <w:tc>
                <w:tcPr>
                  <w:tcW w:w="432" w:type="pct"/>
                  <w:vAlign w:val="center"/>
                </w:tcPr>
                <w:p w14:paraId="13973EEB">
                  <w:pPr>
                    <w:pStyle w:val="135"/>
                    <w:adjustRightInd w:val="0"/>
                    <w:snapToGrid w:val="0"/>
                    <w:rPr>
                      <w:rFonts w:eastAsia="等线"/>
                    </w:rPr>
                  </w:pPr>
                  <w:r>
                    <w:rPr>
                      <w:rFonts w:eastAsia="等线"/>
                    </w:rPr>
                    <w:t>0.194</w:t>
                  </w:r>
                </w:p>
              </w:tc>
              <w:tc>
                <w:tcPr>
                  <w:tcW w:w="495" w:type="pct"/>
                  <w:vAlign w:val="center"/>
                </w:tcPr>
                <w:p w14:paraId="2C557B0A">
                  <w:pPr>
                    <w:pStyle w:val="135"/>
                    <w:adjustRightInd w:val="0"/>
                    <w:snapToGrid w:val="0"/>
                    <w:rPr>
                      <w:rFonts w:eastAsia="等线"/>
                    </w:rPr>
                  </w:pPr>
                  <w:r>
                    <w:rPr>
                      <w:rFonts w:eastAsia="等线"/>
                    </w:rPr>
                    <w:t>0.0018</w:t>
                  </w:r>
                </w:p>
              </w:tc>
            </w:tr>
            <w:tr w14:paraId="18EBD7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722" w:type="pct"/>
                  <w:vMerge w:val="continue"/>
                  <w:vAlign w:val="center"/>
                </w:tcPr>
                <w:p w14:paraId="3D899D62">
                  <w:pPr>
                    <w:pStyle w:val="135"/>
                    <w:adjustRightInd w:val="0"/>
                    <w:snapToGrid w:val="0"/>
                  </w:pPr>
                </w:p>
              </w:tc>
              <w:tc>
                <w:tcPr>
                  <w:tcW w:w="1339" w:type="pct"/>
                  <w:gridSpan w:val="2"/>
                  <w:vAlign w:val="center"/>
                </w:tcPr>
                <w:p w14:paraId="6367936A">
                  <w:pPr>
                    <w:pStyle w:val="135"/>
                    <w:adjustRightInd w:val="0"/>
                    <w:snapToGrid w:val="0"/>
                  </w:pPr>
                  <w:r>
                    <w:rPr>
                      <w:rFonts w:hint="eastAsia"/>
                    </w:rPr>
                    <w:t>去除效率（%）</w:t>
                  </w:r>
                </w:p>
              </w:tc>
              <w:tc>
                <w:tcPr>
                  <w:tcW w:w="528" w:type="pct"/>
                  <w:vMerge w:val="continue"/>
                  <w:vAlign w:val="center"/>
                </w:tcPr>
                <w:p w14:paraId="178F290B">
                  <w:pPr>
                    <w:pStyle w:val="135"/>
                    <w:adjustRightInd w:val="0"/>
                    <w:snapToGrid w:val="0"/>
                    <w:rPr>
                      <w:rFonts w:eastAsia="等线"/>
                    </w:rPr>
                  </w:pPr>
                </w:p>
              </w:tc>
              <w:tc>
                <w:tcPr>
                  <w:tcW w:w="526" w:type="pct"/>
                  <w:vAlign w:val="center"/>
                </w:tcPr>
                <w:p w14:paraId="6A26552C">
                  <w:pPr>
                    <w:pStyle w:val="135"/>
                    <w:adjustRightInd w:val="0"/>
                    <w:snapToGrid w:val="0"/>
                    <w:rPr>
                      <w:rFonts w:eastAsia="等线"/>
                    </w:rPr>
                  </w:pPr>
                  <w:r>
                    <w:rPr>
                      <w:rFonts w:eastAsia="等线"/>
                    </w:rPr>
                    <w:t>10%</w:t>
                  </w:r>
                </w:p>
              </w:tc>
              <w:tc>
                <w:tcPr>
                  <w:tcW w:w="464" w:type="pct"/>
                  <w:vAlign w:val="center"/>
                </w:tcPr>
                <w:p w14:paraId="5B9E7271">
                  <w:pPr>
                    <w:pStyle w:val="135"/>
                    <w:adjustRightInd w:val="0"/>
                    <w:snapToGrid w:val="0"/>
                    <w:rPr>
                      <w:rFonts w:eastAsia="等线"/>
                    </w:rPr>
                  </w:pPr>
                  <w:r>
                    <w:rPr>
                      <w:rFonts w:eastAsia="等线"/>
                    </w:rPr>
                    <w:t>10%</w:t>
                  </w:r>
                </w:p>
              </w:tc>
              <w:tc>
                <w:tcPr>
                  <w:tcW w:w="495" w:type="pct"/>
                  <w:vAlign w:val="center"/>
                </w:tcPr>
                <w:p w14:paraId="689943BF">
                  <w:pPr>
                    <w:pStyle w:val="135"/>
                    <w:adjustRightInd w:val="0"/>
                    <w:snapToGrid w:val="0"/>
                    <w:rPr>
                      <w:rFonts w:eastAsia="等线"/>
                    </w:rPr>
                  </w:pPr>
                  <w:r>
                    <w:rPr>
                      <w:rFonts w:eastAsia="等线"/>
                    </w:rPr>
                    <w:t>10%</w:t>
                  </w:r>
                </w:p>
              </w:tc>
              <w:tc>
                <w:tcPr>
                  <w:tcW w:w="432" w:type="pct"/>
                  <w:vAlign w:val="center"/>
                </w:tcPr>
                <w:p w14:paraId="5AC8E966">
                  <w:pPr>
                    <w:pStyle w:val="135"/>
                    <w:adjustRightInd w:val="0"/>
                    <w:snapToGrid w:val="0"/>
                    <w:rPr>
                      <w:rFonts w:eastAsia="等线"/>
                    </w:rPr>
                  </w:pPr>
                  <w:r>
                    <w:rPr>
                      <w:rFonts w:eastAsia="等线"/>
                    </w:rPr>
                    <w:t>50%</w:t>
                  </w:r>
                </w:p>
              </w:tc>
              <w:tc>
                <w:tcPr>
                  <w:tcW w:w="495" w:type="pct"/>
                  <w:vAlign w:val="center"/>
                </w:tcPr>
                <w:p w14:paraId="68AEE749">
                  <w:pPr>
                    <w:pStyle w:val="135"/>
                    <w:adjustRightInd w:val="0"/>
                    <w:snapToGrid w:val="0"/>
                    <w:rPr>
                      <w:rFonts w:eastAsia="等线"/>
                    </w:rPr>
                  </w:pPr>
                  <w:r>
                    <w:rPr>
                      <w:rFonts w:eastAsia="等线"/>
                    </w:rPr>
                    <w:t>10%</w:t>
                  </w:r>
                </w:p>
              </w:tc>
            </w:tr>
            <w:tr w14:paraId="66F43E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722" w:type="pct"/>
                  <w:vMerge w:val="continue"/>
                  <w:vAlign w:val="center"/>
                </w:tcPr>
                <w:p w14:paraId="2ABDE0DD">
                  <w:pPr>
                    <w:pStyle w:val="135"/>
                    <w:adjustRightInd w:val="0"/>
                    <w:snapToGrid w:val="0"/>
                  </w:pPr>
                </w:p>
              </w:tc>
              <w:tc>
                <w:tcPr>
                  <w:tcW w:w="582" w:type="pct"/>
                  <w:vMerge w:val="restart"/>
                  <w:vAlign w:val="center"/>
                </w:tcPr>
                <w:p w14:paraId="51685008">
                  <w:pPr>
                    <w:pStyle w:val="135"/>
                    <w:adjustRightInd w:val="0"/>
                    <w:snapToGrid w:val="0"/>
                  </w:pPr>
                  <w:r>
                    <w:rPr>
                      <w:rFonts w:hint="eastAsia"/>
                    </w:rPr>
                    <w:t>处理后</w:t>
                  </w:r>
                </w:p>
              </w:tc>
              <w:tc>
                <w:tcPr>
                  <w:tcW w:w="756" w:type="pct"/>
                  <w:vAlign w:val="center"/>
                </w:tcPr>
                <w:p w14:paraId="29D32344">
                  <w:pPr>
                    <w:pStyle w:val="135"/>
                    <w:adjustRightInd w:val="0"/>
                    <w:snapToGrid w:val="0"/>
                  </w:pPr>
                  <w:r>
                    <w:rPr>
                      <w:rFonts w:hint="eastAsia"/>
                    </w:rPr>
                    <w:t>排放浓度</w:t>
                  </w:r>
                </w:p>
              </w:tc>
              <w:tc>
                <w:tcPr>
                  <w:tcW w:w="528" w:type="pct"/>
                  <w:vMerge w:val="continue"/>
                  <w:vAlign w:val="center"/>
                </w:tcPr>
                <w:p w14:paraId="23FCB1CF">
                  <w:pPr>
                    <w:pStyle w:val="135"/>
                    <w:adjustRightInd w:val="0"/>
                    <w:snapToGrid w:val="0"/>
                    <w:rPr>
                      <w:rFonts w:eastAsia="等线"/>
                    </w:rPr>
                  </w:pPr>
                </w:p>
              </w:tc>
              <w:tc>
                <w:tcPr>
                  <w:tcW w:w="526" w:type="pct"/>
                  <w:vAlign w:val="center"/>
                </w:tcPr>
                <w:p w14:paraId="303E1E54">
                  <w:pPr>
                    <w:pStyle w:val="135"/>
                    <w:adjustRightInd w:val="0"/>
                    <w:snapToGrid w:val="0"/>
                    <w:rPr>
                      <w:rFonts w:eastAsia="等线"/>
                    </w:rPr>
                  </w:pPr>
                  <w:r>
                    <w:rPr>
                      <w:rFonts w:eastAsia="等线"/>
                    </w:rPr>
                    <w:t>292.5</w:t>
                  </w:r>
                </w:p>
              </w:tc>
              <w:tc>
                <w:tcPr>
                  <w:tcW w:w="464" w:type="pct"/>
                  <w:vAlign w:val="center"/>
                </w:tcPr>
                <w:p w14:paraId="5A1E44F8">
                  <w:pPr>
                    <w:pStyle w:val="135"/>
                    <w:adjustRightInd w:val="0"/>
                    <w:snapToGrid w:val="0"/>
                    <w:rPr>
                      <w:rFonts w:eastAsia="等线"/>
                    </w:rPr>
                  </w:pPr>
                  <w:r>
                    <w:rPr>
                      <w:rFonts w:eastAsia="等线"/>
                    </w:rPr>
                    <w:t>175.5</w:t>
                  </w:r>
                </w:p>
              </w:tc>
              <w:tc>
                <w:tcPr>
                  <w:tcW w:w="495" w:type="pct"/>
                  <w:vAlign w:val="center"/>
                </w:tcPr>
                <w:p w14:paraId="5648D0BC">
                  <w:pPr>
                    <w:pStyle w:val="135"/>
                    <w:adjustRightInd w:val="0"/>
                    <w:snapToGrid w:val="0"/>
                    <w:rPr>
                      <w:rFonts w:eastAsia="等线"/>
                    </w:rPr>
                  </w:pPr>
                  <w:r>
                    <w:rPr>
                      <w:rFonts w:eastAsia="等线"/>
                    </w:rPr>
                    <w:t>33.9</w:t>
                  </w:r>
                </w:p>
              </w:tc>
              <w:tc>
                <w:tcPr>
                  <w:tcW w:w="432" w:type="pct"/>
                  <w:vAlign w:val="center"/>
                </w:tcPr>
                <w:p w14:paraId="427C92B0">
                  <w:pPr>
                    <w:pStyle w:val="135"/>
                    <w:adjustRightInd w:val="0"/>
                    <w:snapToGrid w:val="0"/>
                    <w:rPr>
                      <w:rFonts w:eastAsia="等线"/>
                    </w:rPr>
                  </w:pPr>
                  <w:r>
                    <w:rPr>
                      <w:rFonts w:eastAsia="等线"/>
                    </w:rPr>
                    <w:t>225</w:t>
                  </w:r>
                </w:p>
              </w:tc>
              <w:tc>
                <w:tcPr>
                  <w:tcW w:w="495" w:type="pct"/>
                  <w:vAlign w:val="center"/>
                </w:tcPr>
                <w:p w14:paraId="40145456">
                  <w:pPr>
                    <w:pStyle w:val="135"/>
                    <w:adjustRightInd w:val="0"/>
                    <w:snapToGrid w:val="0"/>
                    <w:rPr>
                      <w:rFonts w:eastAsia="等线"/>
                    </w:rPr>
                  </w:pPr>
                  <w:r>
                    <w:rPr>
                      <w:rFonts w:eastAsia="等线"/>
                    </w:rPr>
                    <w:t>3.85</w:t>
                  </w:r>
                </w:p>
              </w:tc>
            </w:tr>
            <w:tr w14:paraId="066B2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722" w:type="pct"/>
                  <w:vMerge w:val="continue"/>
                  <w:vAlign w:val="center"/>
                </w:tcPr>
                <w:p w14:paraId="430A18F5">
                  <w:pPr>
                    <w:pStyle w:val="135"/>
                    <w:adjustRightInd w:val="0"/>
                    <w:snapToGrid w:val="0"/>
                  </w:pPr>
                </w:p>
              </w:tc>
              <w:tc>
                <w:tcPr>
                  <w:tcW w:w="582" w:type="pct"/>
                  <w:vMerge w:val="continue"/>
                  <w:vAlign w:val="center"/>
                </w:tcPr>
                <w:p w14:paraId="756C434C">
                  <w:pPr>
                    <w:pStyle w:val="135"/>
                    <w:adjustRightInd w:val="0"/>
                    <w:snapToGrid w:val="0"/>
                  </w:pPr>
                </w:p>
              </w:tc>
              <w:tc>
                <w:tcPr>
                  <w:tcW w:w="756" w:type="pct"/>
                  <w:vAlign w:val="center"/>
                </w:tcPr>
                <w:p w14:paraId="555EA1B6">
                  <w:pPr>
                    <w:pStyle w:val="135"/>
                    <w:adjustRightInd w:val="0"/>
                    <w:snapToGrid w:val="0"/>
                  </w:pPr>
                  <w:r>
                    <w:rPr>
                      <w:rFonts w:hint="eastAsia"/>
                    </w:rPr>
                    <w:t>排放量</w:t>
                  </w:r>
                  <w:r>
                    <w:t>t/a</w:t>
                  </w:r>
                </w:p>
              </w:tc>
              <w:tc>
                <w:tcPr>
                  <w:tcW w:w="528" w:type="pct"/>
                  <w:vMerge w:val="continue"/>
                  <w:vAlign w:val="center"/>
                </w:tcPr>
                <w:p w14:paraId="2A6E9A8F">
                  <w:pPr>
                    <w:pStyle w:val="135"/>
                    <w:adjustRightInd w:val="0"/>
                    <w:snapToGrid w:val="0"/>
                    <w:rPr>
                      <w:rFonts w:eastAsia="等线"/>
                    </w:rPr>
                  </w:pPr>
                </w:p>
              </w:tc>
              <w:tc>
                <w:tcPr>
                  <w:tcW w:w="526" w:type="pct"/>
                  <w:vAlign w:val="center"/>
                </w:tcPr>
                <w:p w14:paraId="702C38D0">
                  <w:pPr>
                    <w:pStyle w:val="135"/>
                    <w:adjustRightInd w:val="0"/>
                    <w:snapToGrid w:val="0"/>
                    <w:rPr>
                      <w:rFonts w:eastAsia="等线"/>
                    </w:rPr>
                  </w:pPr>
                  <w:r>
                    <w:rPr>
                      <w:rFonts w:eastAsia="等线"/>
                    </w:rPr>
                    <w:t>0.126</w:t>
                  </w:r>
                </w:p>
              </w:tc>
              <w:tc>
                <w:tcPr>
                  <w:tcW w:w="464" w:type="pct"/>
                  <w:vAlign w:val="center"/>
                </w:tcPr>
                <w:p w14:paraId="6B8C6DBC">
                  <w:pPr>
                    <w:pStyle w:val="135"/>
                    <w:adjustRightInd w:val="0"/>
                    <w:snapToGrid w:val="0"/>
                    <w:rPr>
                      <w:rFonts w:eastAsia="等线"/>
                    </w:rPr>
                  </w:pPr>
                  <w:r>
                    <w:rPr>
                      <w:rFonts w:eastAsia="等线"/>
                    </w:rPr>
                    <w:t>0.076</w:t>
                  </w:r>
                </w:p>
              </w:tc>
              <w:tc>
                <w:tcPr>
                  <w:tcW w:w="495" w:type="pct"/>
                  <w:vAlign w:val="center"/>
                </w:tcPr>
                <w:p w14:paraId="055AADFA">
                  <w:pPr>
                    <w:pStyle w:val="135"/>
                    <w:adjustRightInd w:val="0"/>
                    <w:snapToGrid w:val="0"/>
                    <w:rPr>
                      <w:rFonts w:eastAsia="等线"/>
                    </w:rPr>
                  </w:pPr>
                  <w:r>
                    <w:rPr>
                      <w:rFonts w:eastAsia="等线"/>
                    </w:rPr>
                    <w:t>0.015</w:t>
                  </w:r>
                </w:p>
              </w:tc>
              <w:tc>
                <w:tcPr>
                  <w:tcW w:w="432" w:type="pct"/>
                  <w:vAlign w:val="center"/>
                </w:tcPr>
                <w:p w14:paraId="02D0F9DC">
                  <w:pPr>
                    <w:pStyle w:val="135"/>
                    <w:adjustRightInd w:val="0"/>
                    <w:snapToGrid w:val="0"/>
                    <w:rPr>
                      <w:rFonts w:eastAsia="等线"/>
                    </w:rPr>
                  </w:pPr>
                  <w:r>
                    <w:rPr>
                      <w:rFonts w:eastAsia="等线"/>
                    </w:rPr>
                    <w:t>0.097</w:t>
                  </w:r>
                </w:p>
              </w:tc>
              <w:tc>
                <w:tcPr>
                  <w:tcW w:w="495" w:type="pct"/>
                  <w:vAlign w:val="center"/>
                </w:tcPr>
                <w:p w14:paraId="260E1C94">
                  <w:pPr>
                    <w:pStyle w:val="135"/>
                    <w:adjustRightInd w:val="0"/>
                    <w:snapToGrid w:val="0"/>
                    <w:rPr>
                      <w:rFonts w:eastAsia="等线"/>
                    </w:rPr>
                  </w:pPr>
                  <w:r>
                    <w:rPr>
                      <w:rFonts w:eastAsia="等线"/>
                    </w:rPr>
                    <w:t>0.0017</w:t>
                  </w:r>
                </w:p>
              </w:tc>
            </w:tr>
            <w:tr w14:paraId="3EEB2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722" w:type="pct"/>
                  <w:vMerge w:val="continue"/>
                  <w:vAlign w:val="center"/>
                </w:tcPr>
                <w:p w14:paraId="56EA498A">
                  <w:pPr>
                    <w:pStyle w:val="135"/>
                    <w:adjustRightInd w:val="0"/>
                    <w:snapToGrid w:val="0"/>
                  </w:pPr>
                </w:p>
              </w:tc>
              <w:tc>
                <w:tcPr>
                  <w:tcW w:w="1339" w:type="pct"/>
                  <w:gridSpan w:val="2"/>
                  <w:vAlign w:val="center"/>
                </w:tcPr>
                <w:p w14:paraId="75140B8C">
                  <w:pPr>
                    <w:pStyle w:val="135"/>
                    <w:adjustRightInd w:val="0"/>
                    <w:snapToGrid w:val="0"/>
                  </w:pPr>
                  <w:r>
                    <w:rPr>
                      <w:rFonts w:hint="eastAsia"/>
                    </w:rPr>
                    <w:t>排放浓度限值</w:t>
                  </w:r>
                </w:p>
              </w:tc>
              <w:tc>
                <w:tcPr>
                  <w:tcW w:w="528" w:type="pct"/>
                  <w:vMerge w:val="continue"/>
                  <w:vAlign w:val="center"/>
                </w:tcPr>
                <w:p w14:paraId="1D0BE097">
                  <w:pPr>
                    <w:pStyle w:val="135"/>
                    <w:adjustRightInd w:val="0"/>
                    <w:snapToGrid w:val="0"/>
                    <w:rPr>
                      <w:rFonts w:eastAsia="等线"/>
                    </w:rPr>
                  </w:pPr>
                </w:p>
              </w:tc>
              <w:tc>
                <w:tcPr>
                  <w:tcW w:w="526" w:type="pct"/>
                  <w:vAlign w:val="center"/>
                </w:tcPr>
                <w:p w14:paraId="6BB3B587">
                  <w:pPr>
                    <w:pStyle w:val="135"/>
                    <w:adjustRightInd w:val="0"/>
                    <w:snapToGrid w:val="0"/>
                    <w:rPr>
                      <w:rFonts w:eastAsia="等线"/>
                    </w:rPr>
                  </w:pPr>
                  <w:r>
                    <w:rPr>
                      <w:rFonts w:eastAsia="等线"/>
                    </w:rPr>
                    <w:t>500</w:t>
                  </w:r>
                </w:p>
              </w:tc>
              <w:tc>
                <w:tcPr>
                  <w:tcW w:w="464" w:type="pct"/>
                  <w:vAlign w:val="center"/>
                </w:tcPr>
                <w:p w14:paraId="6847F07B">
                  <w:pPr>
                    <w:pStyle w:val="135"/>
                    <w:adjustRightInd w:val="0"/>
                    <w:snapToGrid w:val="0"/>
                    <w:rPr>
                      <w:rFonts w:eastAsia="等线"/>
                    </w:rPr>
                  </w:pPr>
                  <w:r>
                    <w:rPr>
                      <w:rFonts w:eastAsia="等线"/>
                    </w:rPr>
                    <w:t>300</w:t>
                  </w:r>
                </w:p>
              </w:tc>
              <w:tc>
                <w:tcPr>
                  <w:tcW w:w="495" w:type="pct"/>
                  <w:vAlign w:val="center"/>
                </w:tcPr>
                <w:p w14:paraId="2AE18304">
                  <w:pPr>
                    <w:pStyle w:val="135"/>
                    <w:adjustRightInd w:val="0"/>
                    <w:snapToGrid w:val="0"/>
                    <w:rPr>
                      <w:rFonts w:eastAsia="等线"/>
                    </w:rPr>
                  </w:pPr>
                  <w:r>
                    <w:rPr>
                      <w:rFonts w:eastAsia="等线"/>
                    </w:rPr>
                    <w:t>45</w:t>
                  </w:r>
                </w:p>
              </w:tc>
              <w:tc>
                <w:tcPr>
                  <w:tcW w:w="432" w:type="pct"/>
                  <w:vAlign w:val="center"/>
                </w:tcPr>
                <w:p w14:paraId="286BEC3F">
                  <w:pPr>
                    <w:pStyle w:val="135"/>
                    <w:adjustRightInd w:val="0"/>
                    <w:snapToGrid w:val="0"/>
                    <w:rPr>
                      <w:rFonts w:eastAsia="等线"/>
                    </w:rPr>
                  </w:pPr>
                  <w:r>
                    <w:rPr>
                      <w:rFonts w:eastAsia="等线"/>
                    </w:rPr>
                    <w:t>400</w:t>
                  </w:r>
                </w:p>
              </w:tc>
              <w:tc>
                <w:tcPr>
                  <w:tcW w:w="495" w:type="pct"/>
                  <w:vAlign w:val="center"/>
                </w:tcPr>
                <w:p w14:paraId="4F5304C7">
                  <w:pPr>
                    <w:pStyle w:val="135"/>
                    <w:adjustRightInd w:val="0"/>
                    <w:snapToGrid w:val="0"/>
                    <w:rPr>
                      <w:rFonts w:eastAsia="等线"/>
                    </w:rPr>
                  </w:pPr>
                  <w:r>
                    <w:rPr>
                      <w:rFonts w:eastAsia="等线"/>
                    </w:rPr>
                    <w:t>8</w:t>
                  </w:r>
                </w:p>
              </w:tc>
            </w:tr>
            <w:tr w14:paraId="50D24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2060" w:type="pct"/>
                  <w:gridSpan w:val="3"/>
                  <w:vAlign w:val="center"/>
                </w:tcPr>
                <w:p w14:paraId="5D9B65C1">
                  <w:pPr>
                    <w:pStyle w:val="135"/>
                    <w:adjustRightInd w:val="0"/>
                    <w:snapToGrid w:val="0"/>
                  </w:pPr>
                  <w:r>
                    <w:rPr>
                      <w:rFonts w:hint="eastAsia"/>
                    </w:rPr>
                    <w:t>排入巴中经开区污水处理厂的量</w:t>
                  </w:r>
                  <w:r>
                    <w:t>t/a</w:t>
                  </w:r>
                </w:p>
              </w:tc>
              <w:tc>
                <w:tcPr>
                  <w:tcW w:w="528" w:type="pct"/>
                  <w:vMerge w:val="restart"/>
                  <w:vAlign w:val="center"/>
                </w:tcPr>
                <w:p w14:paraId="2D9B87F6">
                  <w:pPr>
                    <w:pStyle w:val="135"/>
                    <w:adjustRightInd w:val="0"/>
                    <w:snapToGrid w:val="0"/>
                    <w:rPr>
                      <w:rFonts w:eastAsia="等线"/>
                    </w:rPr>
                  </w:pPr>
                  <w:r>
                    <w:rPr>
                      <w:rFonts w:eastAsia="等线"/>
                    </w:rPr>
                    <w:t>432</w:t>
                  </w:r>
                  <w:r>
                    <w:rPr>
                      <w:rFonts w:hint="eastAsia" w:eastAsia="等线"/>
                    </w:rPr>
                    <w:t xml:space="preserve"> m</w:t>
                  </w:r>
                  <w:r>
                    <w:rPr>
                      <w:rFonts w:eastAsia="等线"/>
                      <w:vertAlign w:val="superscript"/>
                    </w:rPr>
                    <w:t>3</w:t>
                  </w:r>
                  <w:r>
                    <w:rPr>
                      <w:rFonts w:eastAsia="等线"/>
                    </w:rPr>
                    <w:t>/</w:t>
                  </w:r>
                  <w:r>
                    <w:rPr>
                      <w:rFonts w:hint="eastAsia" w:eastAsia="等线"/>
                    </w:rPr>
                    <w:t>a</w:t>
                  </w:r>
                </w:p>
              </w:tc>
              <w:tc>
                <w:tcPr>
                  <w:tcW w:w="526" w:type="pct"/>
                  <w:vAlign w:val="center"/>
                </w:tcPr>
                <w:p w14:paraId="42BBC2F5">
                  <w:pPr>
                    <w:pStyle w:val="135"/>
                    <w:adjustRightInd w:val="0"/>
                    <w:snapToGrid w:val="0"/>
                    <w:rPr>
                      <w:rFonts w:eastAsia="等线"/>
                    </w:rPr>
                  </w:pPr>
                  <w:r>
                    <w:rPr>
                      <w:rFonts w:eastAsia="等线"/>
                    </w:rPr>
                    <w:t xml:space="preserve">0.126 </w:t>
                  </w:r>
                </w:p>
              </w:tc>
              <w:tc>
                <w:tcPr>
                  <w:tcW w:w="464" w:type="pct"/>
                  <w:vAlign w:val="center"/>
                </w:tcPr>
                <w:p w14:paraId="3832FBA2">
                  <w:pPr>
                    <w:pStyle w:val="135"/>
                    <w:adjustRightInd w:val="0"/>
                    <w:snapToGrid w:val="0"/>
                    <w:rPr>
                      <w:rFonts w:eastAsia="等线"/>
                    </w:rPr>
                  </w:pPr>
                  <w:r>
                    <w:rPr>
                      <w:rFonts w:eastAsia="等线"/>
                    </w:rPr>
                    <w:t xml:space="preserve">0.076 </w:t>
                  </w:r>
                </w:p>
              </w:tc>
              <w:tc>
                <w:tcPr>
                  <w:tcW w:w="495" w:type="pct"/>
                  <w:vAlign w:val="center"/>
                </w:tcPr>
                <w:p w14:paraId="16EC4C66">
                  <w:pPr>
                    <w:pStyle w:val="135"/>
                    <w:adjustRightInd w:val="0"/>
                    <w:snapToGrid w:val="0"/>
                    <w:rPr>
                      <w:rFonts w:eastAsia="等线"/>
                    </w:rPr>
                  </w:pPr>
                  <w:r>
                    <w:rPr>
                      <w:rFonts w:eastAsia="等线"/>
                    </w:rPr>
                    <w:t xml:space="preserve">0.015 </w:t>
                  </w:r>
                </w:p>
              </w:tc>
              <w:tc>
                <w:tcPr>
                  <w:tcW w:w="432" w:type="pct"/>
                  <w:vAlign w:val="center"/>
                </w:tcPr>
                <w:p w14:paraId="023B90AB">
                  <w:pPr>
                    <w:pStyle w:val="135"/>
                    <w:adjustRightInd w:val="0"/>
                    <w:snapToGrid w:val="0"/>
                    <w:rPr>
                      <w:rFonts w:eastAsia="等线"/>
                    </w:rPr>
                  </w:pPr>
                  <w:r>
                    <w:rPr>
                      <w:rFonts w:eastAsia="等线"/>
                    </w:rPr>
                    <w:t xml:space="preserve">0.097 </w:t>
                  </w:r>
                </w:p>
              </w:tc>
              <w:tc>
                <w:tcPr>
                  <w:tcW w:w="495" w:type="pct"/>
                  <w:vAlign w:val="center"/>
                </w:tcPr>
                <w:p w14:paraId="422998A8">
                  <w:pPr>
                    <w:pStyle w:val="135"/>
                    <w:adjustRightInd w:val="0"/>
                    <w:snapToGrid w:val="0"/>
                    <w:rPr>
                      <w:rFonts w:eastAsia="等线"/>
                    </w:rPr>
                  </w:pPr>
                  <w:r>
                    <w:rPr>
                      <w:rFonts w:eastAsia="等线"/>
                    </w:rPr>
                    <w:t xml:space="preserve">0.0017 </w:t>
                  </w:r>
                </w:p>
              </w:tc>
            </w:tr>
            <w:tr w14:paraId="14A720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2060" w:type="pct"/>
                  <w:gridSpan w:val="3"/>
                  <w:vAlign w:val="center"/>
                </w:tcPr>
                <w:p w14:paraId="2E4CA7F8">
                  <w:pPr>
                    <w:pStyle w:val="135"/>
                    <w:adjustRightInd w:val="0"/>
                    <w:snapToGrid w:val="0"/>
                  </w:pPr>
                  <w:r>
                    <w:rPr>
                      <w:rFonts w:hint="eastAsia"/>
                    </w:rPr>
                    <w:t>排入巴河的量</w:t>
                  </w:r>
                  <w:r>
                    <w:t>t/a</w:t>
                  </w:r>
                </w:p>
              </w:tc>
              <w:tc>
                <w:tcPr>
                  <w:tcW w:w="528" w:type="pct"/>
                  <w:vMerge w:val="continue"/>
                  <w:vAlign w:val="center"/>
                </w:tcPr>
                <w:p w14:paraId="4DD4B048">
                  <w:pPr>
                    <w:pStyle w:val="135"/>
                    <w:adjustRightInd w:val="0"/>
                    <w:snapToGrid w:val="0"/>
                    <w:rPr>
                      <w:rFonts w:eastAsia="等线"/>
                    </w:rPr>
                  </w:pPr>
                </w:p>
              </w:tc>
              <w:tc>
                <w:tcPr>
                  <w:tcW w:w="526" w:type="pct"/>
                  <w:vAlign w:val="center"/>
                </w:tcPr>
                <w:p w14:paraId="737B962A">
                  <w:pPr>
                    <w:pStyle w:val="135"/>
                    <w:adjustRightInd w:val="0"/>
                    <w:snapToGrid w:val="0"/>
                    <w:rPr>
                      <w:rFonts w:eastAsia="等线"/>
                    </w:rPr>
                  </w:pPr>
                  <w:r>
                    <w:rPr>
                      <w:rFonts w:eastAsia="等线"/>
                    </w:rPr>
                    <w:t>0.022</w:t>
                  </w:r>
                </w:p>
              </w:tc>
              <w:tc>
                <w:tcPr>
                  <w:tcW w:w="464" w:type="pct"/>
                  <w:vAlign w:val="center"/>
                </w:tcPr>
                <w:p w14:paraId="673CCB8E">
                  <w:pPr>
                    <w:pStyle w:val="135"/>
                    <w:adjustRightInd w:val="0"/>
                    <w:snapToGrid w:val="0"/>
                    <w:rPr>
                      <w:rFonts w:eastAsia="等线"/>
                    </w:rPr>
                  </w:pPr>
                  <w:r>
                    <w:rPr>
                      <w:rFonts w:eastAsia="等线"/>
                    </w:rPr>
                    <w:t>0.004</w:t>
                  </w:r>
                </w:p>
              </w:tc>
              <w:tc>
                <w:tcPr>
                  <w:tcW w:w="495" w:type="pct"/>
                  <w:vAlign w:val="center"/>
                </w:tcPr>
                <w:p w14:paraId="225A01FF">
                  <w:pPr>
                    <w:pStyle w:val="135"/>
                    <w:adjustRightInd w:val="0"/>
                    <w:snapToGrid w:val="0"/>
                    <w:rPr>
                      <w:rFonts w:eastAsia="等线"/>
                    </w:rPr>
                  </w:pPr>
                  <w:r>
                    <w:rPr>
                      <w:rFonts w:eastAsia="等线"/>
                    </w:rPr>
                    <w:t>0.0022</w:t>
                  </w:r>
                </w:p>
              </w:tc>
              <w:tc>
                <w:tcPr>
                  <w:tcW w:w="432" w:type="pct"/>
                  <w:vAlign w:val="center"/>
                </w:tcPr>
                <w:p w14:paraId="720B4D54">
                  <w:pPr>
                    <w:pStyle w:val="135"/>
                    <w:adjustRightInd w:val="0"/>
                    <w:snapToGrid w:val="0"/>
                    <w:rPr>
                      <w:rFonts w:eastAsia="等线"/>
                    </w:rPr>
                  </w:pPr>
                  <w:r>
                    <w:rPr>
                      <w:rFonts w:eastAsia="等线"/>
                    </w:rPr>
                    <w:t>0.004</w:t>
                  </w:r>
                </w:p>
              </w:tc>
              <w:tc>
                <w:tcPr>
                  <w:tcW w:w="495" w:type="pct"/>
                  <w:vAlign w:val="center"/>
                </w:tcPr>
                <w:p w14:paraId="36A28A79">
                  <w:pPr>
                    <w:pStyle w:val="135"/>
                    <w:adjustRightInd w:val="0"/>
                    <w:snapToGrid w:val="0"/>
                    <w:rPr>
                      <w:rFonts w:eastAsia="等线"/>
                    </w:rPr>
                  </w:pPr>
                  <w:r>
                    <w:rPr>
                      <w:rFonts w:eastAsia="等线"/>
                    </w:rPr>
                    <w:t>0.0002</w:t>
                  </w:r>
                </w:p>
              </w:tc>
            </w:tr>
            <w:tr w14:paraId="19FED5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2060" w:type="pct"/>
                  <w:gridSpan w:val="3"/>
                  <w:vAlign w:val="center"/>
                </w:tcPr>
                <w:p w14:paraId="6A9C27DD">
                  <w:pPr>
                    <w:pStyle w:val="135"/>
                    <w:adjustRightInd w:val="0"/>
                    <w:snapToGrid w:val="0"/>
                  </w:pPr>
                  <w:r>
                    <w:rPr>
                      <w:rFonts w:hint="eastAsia"/>
                    </w:rPr>
                    <w:t>巴中经开区污水处理厂排放浓度</w:t>
                  </w:r>
                </w:p>
              </w:tc>
              <w:tc>
                <w:tcPr>
                  <w:tcW w:w="528" w:type="pct"/>
                  <w:vMerge w:val="continue"/>
                  <w:vAlign w:val="center"/>
                </w:tcPr>
                <w:p w14:paraId="03B245E5">
                  <w:pPr>
                    <w:pStyle w:val="135"/>
                    <w:adjustRightInd w:val="0"/>
                    <w:snapToGrid w:val="0"/>
                    <w:rPr>
                      <w:rFonts w:eastAsia="等线"/>
                    </w:rPr>
                  </w:pPr>
                </w:p>
              </w:tc>
              <w:tc>
                <w:tcPr>
                  <w:tcW w:w="526" w:type="pct"/>
                  <w:vAlign w:val="center"/>
                </w:tcPr>
                <w:p w14:paraId="6930184A">
                  <w:pPr>
                    <w:pStyle w:val="135"/>
                    <w:adjustRightInd w:val="0"/>
                    <w:snapToGrid w:val="0"/>
                    <w:rPr>
                      <w:rFonts w:eastAsia="等线"/>
                    </w:rPr>
                  </w:pPr>
                  <w:r>
                    <w:rPr>
                      <w:rFonts w:eastAsia="等线"/>
                    </w:rPr>
                    <w:t>50</w:t>
                  </w:r>
                </w:p>
              </w:tc>
              <w:tc>
                <w:tcPr>
                  <w:tcW w:w="464" w:type="pct"/>
                  <w:vAlign w:val="center"/>
                </w:tcPr>
                <w:p w14:paraId="7520AE43">
                  <w:pPr>
                    <w:pStyle w:val="135"/>
                    <w:adjustRightInd w:val="0"/>
                    <w:snapToGrid w:val="0"/>
                    <w:rPr>
                      <w:rFonts w:eastAsia="等线"/>
                    </w:rPr>
                  </w:pPr>
                  <w:r>
                    <w:rPr>
                      <w:rFonts w:eastAsia="等线"/>
                    </w:rPr>
                    <w:t>10</w:t>
                  </w:r>
                </w:p>
              </w:tc>
              <w:tc>
                <w:tcPr>
                  <w:tcW w:w="495" w:type="pct"/>
                  <w:vAlign w:val="center"/>
                </w:tcPr>
                <w:p w14:paraId="01CA4950">
                  <w:pPr>
                    <w:pStyle w:val="135"/>
                    <w:adjustRightInd w:val="0"/>
                    <w:snapToGrid w:val="0"/>
                    <w:rPr>
                      <w:rFonts w:eastAsia="等线"/>
                    </w:rPr>
                  </w:pPr>
                  <w:r>
                    <w:rPr>
                      <w:rFonts w:eastAsia="等线"/>
                    </w:rPr>
                    <w:t>5</w:t>
                  </w:r>
                </w:p>
              </w:tc>
              <w:tc>
                <w:tcPr>
                  <w:tcW w:w="432" w:type="pct"/>
                  <w:vAlign w:val="center"/>
                </w:tcPr>
                <w:p w14:paraId="486B3709">
                  <w:pPr>
                    <w:pStyle w:val="135"/>
                    <w:adjustRightInd w:val="0"/>
                    <w:snapToGrid w:val="0"/>
                    <w:rPr>
                      <w:rFonts w:eastAsia="等线"/>
                    </w:rPr>
                  </w:pPr>
                  <w:r>
                    <w:rPr>
                      <w:rFonts w:eastAsia="等线"/>
                    </w:rPr>
                    <w:t>10</w:t>
                  </w:r>
                </w:p>
              </w:tc>
              <w:tc>
                <w:tcPr>
                  <w:tcW w:w="495" w:type="pct"/>
                  <w:vAlign w:val="center"/>
                </w:tcPr>
                <w:p w14:paraId="542B3E38">
                  <w:pPr>
                    <w:pStyle w:val="135"/>
                    <w:adjustRightInd w:val="0"/>
                    <w:snapToGrid w:val="0"/>
                    <w:rPr>
                      <w:rFonts w:eastAsia="等线"/>
                    </w:rPr>
                  </w:pPr>
                  <w:r>
                    <w:rPr>
                      <w:rFonts w:eastAsia="等线"/>
                    </w:rPr>
                    <w:t>0.5</w:t>
                  </w:r>
                </w:p>
              </w:tc>
            </w:tr>
          </w:tbl>
          <w:p w14:paraId="56F0667F">
            <w:pPr>
              <w:ind w:firstLine="422"/>
            </w:pPr>
            <w:r>
              <w:rPr>
                <w:rFonts w:hint="eastAsia"/>
                <w:b/>
              </w:rPr>
              <w:t>2、水污染治理措施可行性分析</w:t>
            </w:r>
          </w:p>
          <w:p w14:paraId="54C9BFB4">
            <w:pPr>
              <w:ind w:firstLine="420"/>
            </w:pPr>
            <w:r>
              <w:rPr>
                <w:rFonts w:hint="eastAsia"/>
              </w:rPr>
              <w:t>（1）污水处理厂依托可行性分析</w:t>
            </w:r>
          </w:p>
          <w:p w14:paraId="25D0D0F8">
            <w:pPr>
              <w:ind w:firstLine="420"/>
            </w:pPr>
            <w:r>
              <w:rPr>
                <w:rFonts w:hint="eastAsia"/>
              </w:rPr>
              <w:t>①</w:t>
            </w:r>
            <w:r>
              <w:t>服务范围及纳管可行性分析</w:t>
            </w:r>
          </w:p>
          <w:p w14:paraId="56ED9069">
            <w:pPr>
              <w:ind w:firstLine="420"/>
            </w:pPr>
            <w:r>
              <w:t>巴中经开区污水处理厂位于经开区南侧、河流下游的L13地块内（巴中兴文沙溪村），主要接纳经开区兴文片区的生活污水以及工业废水，占地6.40公顷，目前</w:t>
            </w:r>
            <w:r>
              <w:rPr>
                <w:rFonts w:hint="eastAsia"/>
              </w:rPr>
              <w:t>污水处理厂</w:t>
            </w:r>
            <w:r>
              <w:t>一期工程（设计规模1.99万m</w:t>
            </w:r>
            <w:r>
              <w:rPr>
                <w:vertAlign w:val="superscript"/>
              </w:rPr>
              <w:t>3</w:t>
            </w:r>
            <w:r>
              <w:t>/d）已建成运行，污水处理达到《城镇污水处理厂污染物排放标准》（GB18918-2002）中一级A标要求后，排入巴河。</w:t>
            </w:r>
          </w:p>
          <w:p w14:paraId="72C9EF92">
            <w:pPr>
              <w:ind w:firstLine="420"/>
            </w:pPr>
            <w:r>
              <w:t>项目位于四川巴中经济开发区兴文街道五谷社区I9-02-02-01宗地，在该污水处理厂的纳污范围内，</w:t>
            </w:r>
            <w:r>
              <w:rPr>
                <w:rFonts w:hint="eastAsia"/>
              </w:rPr>
              <w:t>目前管网尚未接通，暂时采用吸污车清运至污水处理厂，后期管网接通后，通过管网排入污水处理厂处理</w:t>
            </w:r>
            <w:r>
              <w:t>。</w:t>
            </w:r>
          </w:p>
          <w:p w14:paraId="47F8B5AA">
            <w:pPr>
              <w:ind w:firstLine="420"/>
            </w:pPr>
            <w:r>
              <w:rPr>
                <w:rFonts w:hint="eastAsia"/>
              </w:rPr>
              <w:t>②</w:t>
            </w:r>
            <w:r>
              <w:t>接纳处理能力分析</w:t>
            </w:r>
          </w:p>
          <w:p w14:paraId="2B5E1DE4">
            <w:pPr>
              <w:ind w:firstLine="420"/>
            </w:pPr>
            <w:r>
              <w:t>巴中经开区污水处理厂一期工程处理能力达到1.99万m</w:t>
            </w:r>
            <w:r>
              <w:rPr>
                <w:vertAlign w:val="superscript"/>
              </w:rPr>
              <w:t>3</w:t>
            </w:r>
            <w:r>
              <w:t>/d，目前接纳污水约1万m</w:t>
            </w:r>
            <w:r>
              <w:rPr>
                <w:vertAlign w:val="superscript"/>
              </w:rPr>
              <w:t>3</w:t>
            </w:r>
            <w:r>
              <w:t>/d，剩余处理能力为0.99万m</w:t>
            </w:r>
            <w:r>
              <w:rPr>
                <w:vertAlign w:val="superscript"/>
              </w:rPr>
              <w:t>3</w:t>
            </w:r>
            <w:r>
              <w:t>/d。项目建成后新增废水排放量1.44m</w:t>
            </w:r>
            <w:r>
              <w:rPr>
                <w:vertAlign w:val="superscript"/>
              </w:rPr>
              <w:t>3</w:t>
            </w:r>
            <w:r>
              <w:t>/d，仅占0.01%，剩余处理</w:t>
            </w:r>
            <w:r>
              <w:rPr>
                <w:rFonts w:hint="eastAsia"/>
              </w:rPr>
              <w:t>能力</w:t>
            </w:r>
            <w:r>
              <w:t>有足够余量，完全有能力接纳项目产生的废水。</w:t>
            </w:r>
          </w:p>
          <w:p w14:paraId="54AD7337">
            <w:pPr>
              <w:ind w:firstLine="420"/>
            </w:pPr>
            <w:r>
              <w:rPr>
                <w:rFonts w:hint="eastAsia"/>
              </w:rPr>
              <w:t>③</w:t>
            </w:r>
            <w:r>
              <w:t>接纳处理水质可行性分析</w:t>
            </w:r>
          </w:p>
          <w:p w14:paraId="1D29F873">
            <w:pPr>
              <w:ind w:firstLine="420"/>
            </w:pPr>
            <w:r>
              <w:t>根据前述分析，项目生活污水水质能达到《污水综合排放标准》三级标准（COD：500mg/L、BOD</w:t>
            </w:r>
            <w:r>
              <w:rPr>
                <w:vertAlign w:val="subscript"/>
              </w:rPr>
              <w:t>5</w:t>
            </w:r>
            <w:r>
              <w:t>：300mg/L、SS：400mg/L），NH</w:t>
            </w:r>
            <w:r>
              <w:rPr>
                <w:vertAlign w:val="subscript"/>
              </w:rPr>
              <w:t>3</w:t>
            </w:r>
            <w:r>
              <w:t>-N</w:t>
            </w:r>
            <w:r>
              <w:rPr>
                <w:rFonts w:hint="eastAsia"/>
              </w:rPr>
              <w:t>、TP参考</w:t>
            </w:r>
            <w:r>
              <w:t>《污水排入城镇下水道水质标准》（GB/T31962-2015）中B标准（45mg/L</w:t>
            </w:r>
            <w:r>
              <w:rPr>
                <w:rFonts w:hint="eastAsia"/>
              </w:rPr>
              <w:t>、8mg</w:t>
            </w:r>
            <w:r>
              <w:t>/</w:t>
            </w:r>
            <w:r>
              <w:rPr>
                <w:rFonts w:hint="eastAsia"/>
              </w:rPr>
              <w:t>L</w:t>
            </w:r>
            <w:r>
              <w:t>），满足巴中经开区污水处理厂进水水质接纳要求。</w:t>
            </w:r>
          </w:p>
          <w:p w14:paraId="22BDCA1A">
            <w:pPr>
              <w:ind w:firstLine="420"/>
            </w:pPr>
            <w:r>
              <w:t>综上，就服务范围、处理能力而言，项目废水依托巴中经开区污水处理厂环境可行，污染物可实现达标排放，不会对地表水产生明显影响。</w:t>
            </w:r>
          </w:p>
          <w:p w14:paraId="39198786">
            <w:pPr>
              <w:ind w:firstLine="420"/>
              <w:rPr>
                <w:bCs/>
              </w:rPr>
            </w:pPr>
            <w:r>
              <w:rPr>
                <w:rFonts w:hint="eastAsia"/>
                <w:bCs/>
              </w:rPr>
              <w:t>（2）生产废水治理措施可行性分析</w:t>
            </w:r>
          </w:p>
          <w:p w14:paraId="25AC09AC">
            <w:pPr>
              <w:ind w:firstLine="420"/>
            </w:pPr>
            <w:r>
              <w:rPr>
                <w:rFonts w:hint="eastAsia"/>
              </w:rPr>
              <w:t>由于项目生产废水中主要污染物悬浮物是本项目生产原料（砂浆、水泥）等引起，废水均质后直接作为球磨用水。因此，生产废水直接回用是可行的。</w:t>
            </w:r>
          </w:p>
          <w:p w14:paraId="18BC7B9F">
            <w:pPr>
              <w:ind w:firstLine="422"/>
              <w:rPr>
                <w:b/>
              </w:rPr>
            </w:pPr>
            <w:r>
              <w:rPr>
                <w:rFonts w:hint="eastAsia"/>
                <w:b/>
              </w:rPr>
              <w:t>3、废水排放口设置情况</w:t>
            </w:r>
          </w:p>
          <w:p w14:paraId="2063C84C">
            <w:pPr>
              <w:ind w:firstLine="420"/>
            </w:pPr>
            <w:r>
              <w:rPr>
                <w:rFonts w:hint="eastAsia"/>
              </w:rPr>
              <w:t>本项目废水排放口设置情况如下：</w:t>
            </w:r>
          </w:p>
          <w:p w14:paraId="4A688D29">
            <w:pPr>
              <w:pStyle w:val="156"/>
            </w:pPr>
            <w:r>
              <w:rPr>
                <w:rFonts w:hint="eastAsia"/>
              </w:rPr>
              <w:t>表4</w:t>
            </w:r>
            <w:r>
              <w:t xml:space="preserve">-2  </w:t>
            </w:r>
            <w:r>
              <w:rPr>
                <w:rFonts w:hint="eastAsia"/>
              </w:rPr>
              <w:t>本项目废水排放口基本情况一览表</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11"/>
              <w:gridCol w:w="845"/>
              <w:gridCol w:w="1227"/>
              <w:gridCol w:w="1116"/>
              <w:gridCol w:w="3657"/>
            </w:tblGrid>
            <w:tr w14:paraId="46CCE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5" w:hRule="atLeast"/>
              </w:trPr>
              <w:tc>
                <w:tcPr>
                  <w:tcW w:w="2758" w:type="pct"/>
                  <w:gridSpan w:val="4"/>
                  <w:vAlign w:val="center"/>
                </w:tcPr>
                <w:p w14:paraId="6B4C1B95">
                  <w:pPr>
                    <w:pStyle w:val="135"/>
                    <w:adjustRightInd w:val="0"/>
                    <w:snapToGrid w:val="0"/>
                    <w:rPr>
                      <w:b/>
                      <w:bCs/>
                    </w:rPr>
                  </w:pPr>
                  <w:r>
                    <w:rPr>
                      <w:b/>
                      <w:bCs/>
                    </w:rPr>
                    <w:t>排放口基本情况</w:t>
                  </w:r>
                </w:p>
              </w:tc>
              <w:tc>
                <w:tcPr>
                  <w:tcW w:w="2242" w:type="pct"/>
                  <w:vMerge w:val="restart"/>
                  <w:vAlign w:val="center"/>
                </w:tcPr>
                <w:p w14:paraId="61CB140B">
                  <w:pPr>
                    <w:pStyle w:val="135"/>
                    <w:adjustRightInd w:val="0"/>
                    <w:snapToGrid w:val="0"/>
                    <w:rPr>
                      <w:b/>
                      <w:bCs/>
                    </w:rPr>
                  </w:pPr>
                  <w:r>
                    <w:rPr>
                      <w:b/>
                      <w:bCs/>
                    </w:rPr>
                    <w:t>排放标准</w:t>
                  </w:r>
                </w:p>
              </w:tc>
            </w:tr>
            <w:tr w14:paraId="019B22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0" w:hRule="atLeast"/>
              </w:trPr>
              <w:tc>
                <w:tcPr>
                  <w:tcW w:w="804" w:type="pct"/>
                  <w:vAlign w:val="center"/>
                </w:tcPr>
                <w:p w14:paraId="3CBA89CA">
                  <w:pPr>
                    <w:pStyle w:val="135"/>
                    <w:adjustRightInd w:val="0"/>
                    <w:snapToGrid w:val="0"/>
                    <w:rPr>
                      <w:b/>
                      <w:bCs/>
                    </w:rPr>
                  </w:pPr>
                  <w:r>
                    <w:rPr>
                      <w:b/>
                      <w:bCs/>
                    </w:rPr>
                    <w:t>排放口名称</w:t>
                  </w:r>
                </w:p>
              </w:tc>
              <w:tc>
                <w:tcPr>
                  <w:tcW w:w="518" w:type="pct"/>
                  <w:vAlign w:val="center"/>
                </w:tcPr>
                <w:p w14:paraId="5B44D4C9">
                  <w:pPr>
                    <w:pStyle w:val="135"/>
                    <w:adjustRightInd w:val="0"/>
                    <w:snapToGrid w:val="0"/>
                    <w:rPr>
                      <w:b/>
                      <w:bCs/>
                    </w:rPr>
                  </w:pPr>
                  <w:r>
                    <w:rPr>
                      <w:b/>
                      <w:bCs/>
                    </w:rPr>
                    <w:t>编号</w:t>
                  </w:r>
                </w:p>
              </w:tc>
              <w:tc>
                <w:tcPr>
                  <w:tcW w:w="752" w:type="pct"/>
                  <w:vAlign w:val="center"/>
                </w:tcPr>
                <w:p w14:paraId="7AA40B04">
                  <w:pPr>
                    <w:pStyle w:val="135"/>
                    <w:adjustRightInd w:val="0"/>
                    <w:snapToGrid w:val="0"/>
                    <w:rPr>
                      <w:b/>
                      <w:bCs/>
                    </w:rPr>
                  </w:pPr>
                  <w:r>
                    <w:rPr>
                      <w:b/>
                      <w:bCs/>
                    </w:rPr>
                    <w:t>类型</w:t>
                  </w:r>
                </w:p>
              </w:tc>
              <w:tc>
                <w:tcPr>
                  <w:tcW w:w="684" w:type="pct"/>
                  <w:vAlign w:val="center"/>
                </w:tcPr>
                <w:p w14:paraId="02479D28">
                  <w:pPr>
                    <w:pStyle w:val="135"/>
                    <w:adjustRightInd w:val="0"/>
                    <w:snapToGrid w:val="0"/>
                    <w:rPr>
                      <w:b/>
                      <w:bCs/>
                    </w:rPr>
                  </w:pPr>
                  <w:r>
                    <w:rPr>
                      <w:b/>
                      <w:bCs/>
                    </w:rPr>
                    <w:t>坐标</w:t>
                  </w:r>
                </w:p>
              </w:tc>
              <w:tc>
                <w:tcPr>
                  <w:tcW w:w="2242" w:type="pct"/>
                  <w:vMerge w:val="continue"/>
                  <w:vAlign w:val="center"/>
                </w:tcPr>
                <w:p w14:paraId="1064AF06">
                  <w:pPr>
                    <w:pStyle w:val="135"/>
                    <w:adjustRightInd w:val="0"/>
                    <w:snapToGrid w:val="0"/>
                    <w:rPr>
                      <w:b/>
                      <w:bCs/>
                    </w:rPr>
                  </w:pPr>
                </w:p>
              </w:tc>
            </w:tr>
            <w:tr w14:paraId="7C5B3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804" w:type="pct"/>
                  <w:vAlign w:val="center"/>
                </w:tcPr>
                <w:p w14:paraId="3777C3F1">
                  <w:pPr>
                    <w:pStyle w:val="135"/>
                    <w:adjustRightInd w:val="0"/>
                    <w:snapToGrid w:val="0"/>
                  </w:pPr>
                  <w:r>
                    <w:t>废水排放口</w:t>
                  </w:r>
                </w:p>
              </w:tc>
              <w:tc>
                <w:tcPr>
                  <w:tcW w:w="518" w:type="pct"/>
                  <w:vAlign w:val="center"/>
                </w:tcPr>
                <w:p w14:paraId="08A4CA80">
                  <w:pPr>
                    <w:pStyle w:val="135"/>
                    <w:adjustRightInd w:val="0"/>
                    <w:snapToGrid w:val="0"/>
                  </w:pPr>
                  <w:r>
                    <w:t>DW001</w:t>
                  </w:r>
                </w:p>
              </w:tc>
              <w:tc>
                <w:tcPr>
                  <w:tcW w:w="752" w:type="pct"/>
                  <w:vAlign w:val="center"/>
                </w:tcPr>
                <w:p w14:paraId="34F93631">
                  <w:pPr>
                    <w:pStyle w:val="135"/>
                    <w:adjustRightInd w:val="0"/>
                    <w:snapToGrid w:val="0"/>
                  </w:pPr>
                  <w:r>
                    <w:t>一般排放口</w:t>
                  </w:r>
                  <w:r>
                    <w:rPr>
                      <w:rFonts w:hint="eastAsia"/>
                    </w:rPr>
                    <w:t>（间接排放）</w:t>
                  </w:r>
                </w:p>
              </w:tc>
              <w:tc>
                <w:tcPr>
                  <w:tcW w:w="684" w:type="pct"/>
                  <w:vAlign w:val="center"/>
                </w:tcPr>
                <w:p w14:paraId="57A0B749">
                  <w:pPr>
                    <w:pStyle w:val="135"/>
                    <w:adjustRightInd w:val="0"/>
                    <w:snapToGrid w:val="0"/>
                  </w:pPr>
                  <w:r>
                    <w:t>106.899325 31.853495</w:t>
                  </w:r>
                </w:p>
              </w:tc>
              <w:tc>
                <w:tcPr>
                  <w:tcW w:w="2242" w:type="pct"/>
                  <w:vAlign w:val="center"/>
                </w:tcPr>
                <w:p w14:paraId="3BB70D6E">
                  <w:pPr>
                    <w:pStyle w:val="135"/>
                    <w:adjustRightInd w:val="0"/>
                    <w:snapToGrid w:val="0"/>
                  </w:pPr>
                  <w:r>
                    <w:t>《污水综合排放标准》（GB8978-1996）</w:t>
                  </w:r>
                </w:p>
                <w:p w14:paraId="4BA46248">
                  <w:pPr>
                    <w:pStyle w:val="135"/>
                    <w:adjustRightInd w:val="0"/>
                    <w:snapToGrid w:val="0"/>
                  </w:pPr>
                  <w:r>
                    <w:t>三级标准</w:t>
                  </w:r>
                </w:p>
              </w:tc>
            </w:tr>
          </w:tbl>
          <w:p w14:paraId="304CAAA3">
            <w:pPr>
              <w:ind w:firstLine="422"/>
              <w:rPr>
                <w:b/>
              </w:rPr>
            </w:pPr>
            <w:r>
              <w:rPr>
                <w:b/>
              </w:rPr>
              <w:t>4</w:t>
            </w:r>
            <w:r>
              <w:rPr>
                <w:rFonts w:hint="eastAsia"/>
                <w:b/>
              </w:rPr>
              <w:t>、废水监测要求</w:t>
            </w:r>
          </w:p>
          <w:p w14:paraId="29221954">
            <w:pPr>
              <w:ind w:firstLine="420"/>
            </w:pPr>
            <w:r>
              <w:rPr>
                <w:rFonts w:hint="eastAsia"/>
              </w:rPr>
              <w:t>根据《排污单位自行监测技术指南 砖瓦工业》（HJ</w:t>
            </w:r>
            <w:r>
              <w:t xml:space="preserve"> 1254-2022</w:t>
            </w:r>
            <w:r>
              <w:rPr>
                <w:rFonts w:hint="eastAsia"/>
              </w:rPr>
              <w:t>），本项目废水监测计划如下：</w:t>
            </w:r>
          </w:p>
          <w:p w14:paraId="2AE39870">
            <w:pPr>
              <w:pStyle w:val="156"/>
            </w:pPr>
            <w:r>
              <w:rPr>
                <w:rFonts w:hint="eastAsia"/>
              </w:rPr>
              <w:t>表4</w:t>
            </w:r>
            <w:r>
              <w:t xml:space="preserve">-3 </w:t>
            </w:r>
            <w:r>
              <w:rPr>
                <w:rFonts w:hint="eastAsia"/>
              </w:rPr>
              <w:t>废水监测计划一览表</w:t>
            </w:r>
          </w:p>
          <w:tbl>
            <w:tblPr>
              <w:tblStyle w:val="19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11"/>
              <w:gridCol w:w="1616"/>
              <w:gridCol w:w="3393"/>
              <w:gridCol w:w="1636"/>
            </w:tblGrid>
            <w:tr w14:paraId="6B16CE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558" w:type="dxa"/>
                  <w:vAlign w:val="center"/>
                </w:tcPr>
                <w:p w14:paraId="13EEC8E9">
                  <w:pPr>
                    <w:pStyle w:val="135"/>
                    <w:adjustRightInd w:val="0"/>
                    <w:snapToGrid w:val="0"/>
                    <w:rPr>
                      <w:b/>
                      <w:bCs/>
                    </w:rPr>
                  </w:pPr>
                  <w:r>
                    <w:rPr>
                      <w:b/>
                      <w:bCs/>
                    </w:rPr>
                    <w:t>序号</w:t>
                  </w:r>
                </w:p>
              </w:tc>
              <w:tc>
                <w:tcPr>
                  <w:tcW w:w="1687" w:type="dxa"/>
                  <w:vAlign w:val="center"/>
                </w:tcPr>
                <w:p w14:paraId="4A9E3EB4">
                  <w:pPr>
                    <w:pStyle w:val="135"/>
                    <w:adjustRightInd w:val="0"/>
                    <w:snapToGrid w:val="0"/>
                    <w:rPr>
                      <w:b/>
                      <w:bCs/>
                    </w:rPr>
                  </w:pPr>
                  <w:r>
                    <w:rPr>
                      <w:b/>
                      <w:bCs/>
                    </w:rPr>
                    <w:t>监测点位</w:t>
                  </w:r>
                </w:p>
              </w:tc>
              <w:tc>
                <w:tcPr>
                  <w:tcW w:w="3544" w:type="dxa"/>
                  <w:vAlign w:val="center"/>
                </w:tcPr>
                <w:p w14:paraId="33D851BD">
                  <w:pPr>
                    <w:pStyle w:val="135"/>
                    <w:adjustRightInd w:val="0"/>
                    <w:snapToGrid w:val="0"/>
                    <w:rPr>
                      <w:b/>
                      <w:bCs/>
                    </w:rPr>
                  </w:pPr>
                  <w:r>
                    <w:rPr>
                      <w:b/>
                      <w:bCs/>
                    </w:rPr>
                    <w:t>监测因子</w:t>
                  </w:r>
                </w:p>
              </w:tc>
              <w:tc>
                <w:tcPr>
                  <w:tcW w:w="1708" w:type="dxa"/>
                  <w:vAlign w:val="center"/>
                </w:tcPr>
                <w:p w14:paraId="0CC48B0B">
                  <w:pPr>
                    <w:pStyle w:val="135"/>
                    <w:adjustRightInd w:val="0"/>
                    <w:snapToGrid w:val="0"/>
                    <w:rPr>
                      <w:b/>
                      <w:bCs/>
                    </w:rPr>
                  </w:pPr>
                  <w:r>
                    <w:rPr>
                      <w:b/>
                      <w:bCs/>
                    </w:rPr>
                    <w:t>监测频次</w:t>
                  </w:r>
                </w:p>
              </w:tc>
            </w:tr>
            <w:tr w14:paraId="1C992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60" w:hRule="atLeast"/>
              </w:trPr>
              <w:tc>
                <w:tcPr>
                  <w:tcW w:w="1558" w:type="dxa"/>
                  <w:vAlign w:val="center"/>
                </w:tcPr>
                <w:p w14:paraId="64EEBD79">
                  <w:pPr>
                    <w:pStyle w:val="135"/>
                    <w:adjustRightInd w:val="0"/>
                    <w:snapToGrid w:val="0"/>
                  </w:pPr>
                  <w:r>
                    <w:t>DW001</w:t>
                  </w:r>
                </w:p>
              </w:tc>
              <w:tc>
                <w:tcPr>
                  <w:tcW w:w="1687" w:type="dxa"/>
                  <w:vAlign w:val="center"/>
                </w:tcPr>
                <w:p w14:paraId="35E7C3F8">
                  <w:pPr>
                    <w:pStyle w:val="135"/>
                    <w:adjustRightInd w:val="0"/>
                    <w:snapToGrid w:val="0"/>
                  </w:pPr>
                  <w:r>
                    <w:t>废水排放口</w:t>
                  </w:r>
                </w:p>
              </w:tc>
              <w:tc>
                <w:tcPr>
                  <w:tcW w:w="3544" w:type="dxa"/>
                  <w:vAlign w:val="center"/>
                </w:tcPr>
                <w:p w14:paraId="1755C1FC">
                  <w:pPr>
                    <w:pStyle w:val="135"/>
                    <w:adjustRightInd w:val="0"/>
                    <w:snapToGrid w:val="0"/>
                  </w:pPr>
                  <w:r>
                    <w:t>pH值、悬浮物、化学需氧量、五日生化需氧量、氨氮、总磷</w:t>
                  </w:r>
                </w:p>
              </w:tc>
              <w:tc>
                <w:tcPr>
                  <w:tcW w:w="1708" w:type="dxa"/>
                  <w:vAlign w:val="center"/>
                </w:tcPr>
                <w:p w14:paraId="4FFF9F90">
                  <w:pPr>
                    <w:pStyle w:val="135"/>
                    <w:adjustRightInd w:val="0"/>
                    <w:snapToGrid w:val="0"/>
                  </w:pPr>
                  <w:r>
                    <w:rPr>
                      <w:rFonts w:hint="eastAsia"/>
                    </w:rPr>
                    <w:t>1次/半年</w:t>
                  </w:r>
                </w:p>
              </w:tc>
            </w:tr>
          </w:tbl>
          <w:p w14:paraId="1CD70072">
            <w:pPr>
              <w:ind w:firstLine="422"/>
              <w:rPr>
                <w:b/>
              </w:rPr>
            </w:pPr>
            <w:r>
              <w:rPr>
                <w:b/>
              </w:rPr>
              <w:t>5</w:t>
            </w:r>
            <w:r>
              <w:rPr>
                <w:rFonts w:hint="eastAsia"/>
                <w:b/>
              </w:rPr>
              <w:t>、地表水环境影响分析</w:t>
            </w:r>
          </w:p>
          <w:p w14:paraId="462EAC5E">
            <w:pPr>
              <w:ind w:firstLine="420"/>
            </w:pPr>
            <w:r>
              <w:rPr>
                <w:rFonts w:hint="eastAsia"/>
              </w:rPr>
              <w:t>本项目运营期生产废水产生量为</w:t>
            </w:r>
            <w:r>
              <w:t>28.74</w:t>
            </w:r>
            <w:r>
              <w:rPr>
                <w:rFonts w:hint="eastAsia"/>
              </w:rPr>
              <w:t>m</w:t>
            </w:r>
            <w:r>
              <w:rPr>
                <w:vertAlign w:val="superscript"/>
              </w:rPr>
              <w:t>3</w:t>
            </w:r>
            <w:r>
              <w:t>/</w:t>
            </w:r>
            <w:r>
              <w:rPr>
                <w:rFonts w:hint="eastAsia"/>
              </w:rPr>
              <w:t>d，废水搅拌均质后全部回用于球磨生产用水，不外排；生活污水产生量为</w:t>
            </w:r>
            <w:r>
              <w:t>1.44</w:t>
            </w:r>
            <w:r>
              <w:rPr>
                <w:rFonts w:hint="eastAsia"/>
              </w:rPr>
              <w:t>m</w:t>
            </w:r>
            <w:r>
              <w:rPr>
                <w:vertAlign w:val="superscript"/>
              </w:rPr>
              <w:t>3</w:t>
            </w:r>
            <w:r>
              <w:t>/</w:t>
            </w:r>
            <w:r>
              <w:rPr>
                <w:rFonts w:hint="eastAsia"/>
              </w:rPr>
              <w:t>d，经化粪池处理后定期通过吸污车清运至</w:t>
            </w:r>
            <w:r>
              <w:t>巴中经开区污水处理厂</w:t>
            </w:r>
            <w:r>
              <w:rPr>
                <w:rFonts w:hint="eastAsia"/>
              </w:rPr>
              <w:t>处理，后期市政污水管网接通后，污水通过市政污水管网排入</w:t>
            </w:r>
            <w:r>
              <w:t>巴中经开区污水处理厂</w:t>
            </w:r>
            <w:r>
              <w:rPr>
                <w:rFonts w:hint="eastAsia"/>
              </w:rPr>
              <w:t>。项目采取的废水治理措施合理可行，不会对区域地表水环境造成明显影响，项目的建设、运行对区域地表水环境的影响可以接受。</w:t>
            </w:r>
          </w:p>
          <w:p w14:paraId="5EEBE42E">
            <w:pPr>
              <w:pStyle w:val="157"/>
            </w:pPr>
            <w:r>
              <w:rPr>
                <w:rFonts w:hint="eastAsia"/>
              </w:rPr>
              <w:t>二、</w:t>
            </w:r>
            <w:r>
              <w:t>废气</w:t>
            </w:r>
          </w:p>
          <w:p w14:paraId="60912FF8">
            <w:pPr>
              <w:ind w:firstLine="422"/>
              <w:rPr>
                <w:b/>
              </w:rPr>
            </w:pPr>
            <w:r>
              <w:rPr>
                <w:rFonts w:hint="eastAsia"/>
                <w:b/>
              </w:rPr>
              <w:t>1、废气产生及治理措施</w:t>
            </w:r>
          </w:p>
          <w:p w14:paraId="04D26A7B">
            <w:pPr>
              <w:ind w:firstLine="420"/>
            </w:pPr>
            <w:r>
              <w:rPr>
                <w:rFonts w:hint="eastAsia"/>
              </w:rPr>
              <w:t>（1）砂石装卸及堆场粉尘</w:t>
            </w:r>
          </w:p>
          <w:p w14:paraId="7C38A728">
            <w:pPr>
              <w:ind w:firstLine="420"/>
              <w:rPr>
                <w:b/>
                <w:bCs/>
              </w:rPr>
            </w:pPr>
            <w:r>
              <w:rPr>
                <w:rFonts w:hint="eastAsia"/>
                <w:bCs/>
              </w:rPr>
              <w:t>参照《排放源统计调查产排污核算方法和系数手册》（生态环境部公告 2021年 第24号）中的《工业源固体物料堆场颗粒物核算系数手册》，工业企业固体物料堆存颗粒物包括装卸扬尘和风蚀扬尘，</w:t>
            </w:r>
            <w:r>
              <w:rPr>
                <w:bCs/>
              </w:rPr>
              <w:t>颗粒物产生量核算公式如下：</w:t>
            </w:r>
          </w:p>
          <w:p w14:paraId="200280D4">
            <w:pPr>
              <w:pStyle w:val="156"/>
              <w:spacing w:line="360" w:lineRule="auto"/>
              <w:rPr>
                <w:i/>
              </w:rPr>
            </w:pPr>
            <m:oMathPara>
              <m:oMath>
                <m:r>
                  <m:rPr/>
                  <w:rPr>
                    <w:rFonts w:hint="eastAsia" w:ascii="Cambria Math" w:hAnsi="Cambria Math"/>
                  </w:rPr>
                  <m:t>P</m:t>
                </m:r>
                <m:r>
                  <m:rPr/>
                  <w:rPr>
                    <w:rFonts w:ascii="Cambria Math" w:hAnsi="Cambria Math"/>
                  </w:rPr>
                  <m:t>=</m:t>
                </m:r>
                <m:r>
                  <m:rPr/>
                  <w:rPr>
                    <w:rFonts w:hint="eastAsia" w:ascii="Cambria Math" w:hAnsi="Cambria Math"/>
                  </w:rPr>
                  <m:t>Z</m:t>
                </m:r>
                <m:sSub>
                  <m:sSubPr>
                    <m:ctrlPr>
                      <w:rPr>
                        <w:rFonts w:ascii="Cambria Math" w:hAnsi="Cambria Math"/>
                        <w:i/>
                      </w:rPr>
                    </m:ctrlPr>
                  </m:sSubPr>
                  <m:e>
                    <m:r>
                      <m:rPr/>
                      <w:rPr>
                        <w:rFonts w:hint="eastAsia" w:ascii="Cambria Math" w:hAnsi="Cambria Math"/>
                      </w:rPr>
                      <m:t>C</m:t>
                    </m:r>
                    <m:ctrlPr>
                      <w:rPr>
                        <w:rFonts w:ascii="Cambria Math" w:hAnsi="Cambria Math"/>
                        <w:i/>
                      </w:rPr>
                    </m:ctrlPr>
                  </m:e>
                  <m:sub>
                    <m:r>
                      <m:rPr/>
                      <w:rPr>
                        <w:rFonts w:hint="eastAsia" w:ascii="Cambria Math" w:hAnsi="Cambria Math"/>
                      </w:rPr>
                      <m:t>y</m:t>
                    </m:r>
                    <m:ctrlPr>
                      <w:rPr>
                        <w:rFonts w:ascii="Cambria Math" w:hAnsi="Cambria Math"/>
                        <w:i/>
                      </w:rPr>
                    </m:ctrlPr>
                  </m:sub>
                </m:sSub>
                <m:r>
                  <m:rPr/>
                  <w:rPr>
                    <w:rFonts w:ascii="Cambria Math" w:hAnsi="Cambria Math"/>
                  </w:rPr>
                  <m:t>+</m:t>
                </m:r>
                <m:r>
                  <m:rPr/>
                  <w:rPr>
                    <w:rFonts w:hint="eastAsia" w:ascii="Cambria Math" w:hAnsi="Cambria Math"/>
                  </w:rPr>
                  <m:t>F</m:t>
                </m:r>
                <m:sSub>
                  <m:sSubPr>
                    <m:ctrlPr>
                      <w:rPr>
                        <w:rFonts w:ascii="Cambria Math" w:hAnsi="Cambria Math"/>
                        <w:i/>
                      </w:rPr>
                    </m:ctrlPr>
                  </m:sSubPr>
                  <m:e>
                    <m:r>
                      <m:rPr/>
                      <w:rPr>
                        <w:rFonts w:hint="eastAsia" w:ascii="Cambria Math" w:hAnsi="Cambria Math"/>
                      </w:rPr>
                      <m:t>C</m:t>
                    </m:r>
                    <m:ctrlPr>
                      <w:rPr>
                        <w:rFonts w:ascii="Cambria Math" w:hAnsi="Cambria Math"/>
                        <w:i/>
                      </w:rPr>
                    </m:ctrlPr>
                  </m:e>
                  <m:sub>
                    <m:r>
                      <m:rPr/>
                      <w:rPr>
                        <w:rFonts w:hint="eastAsia" w:ascii="Cambria Math" w:hAnsi="Cambria Math"/>
                      </w:rPr>
                      <m:t>y</m:t>
                    </m:r>
                    <m:ctrlPr>
                      <w:rPr>
                        <w:rFonts w:ascii="Cambria Math" w:hAnsi="Cambria Math"/>
                        <w:i/>
                      </w:rPr>
                    </m:ctrlPr>
                  </m:sub>
                </m:sSub>
                <m:r>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m:rPr/>
                          <w:rPr>
                            <w:rFonts w:hint="eastAsia" w:ascii="Cambria Math" w:hAnsi="Cambria Math"/>
                          </w:rPr>
                          <m:t>N</m:t>
                        </m:r>
                        <m:ctrlPr>
                          <w:rPr>
                            <w:rFonts w:ascii="Cambria Math" w:hAnsi="Cambria Math"/>
                            <w:i/>
                          </w:rPr>
                        </m:ctrlPr>
                      </m:e>
                      <m:sub>
                        <m:r>
                          <m:rPr/>
                          <w:rPr>
                            <w:rFonts w:hint="eastAsia" w:ascii="Cambria Math" w:hAnsi="Cambria Math"/>
                          </w:rPr>
                          <m:t>C</m:t>
                        </m:r>
                        <m:ctrlPr>
                          <w:rPr>
                            <w:rFonts w:ascii="Cambria Math" w:hAnsi="Cambria Math"/>
                            <w:i/>
                          </w:rPr>
                        </m:ctrlPr>
                      </m:sub>
                    </m:sSub>
                    <m:r>
                      <m:rPr/>
                      <w:rPr>
                        <w:rFonts w:ascii="Cambria Math" w:hAnsi="Cambria Math"/>
                      </w:rPr>
                      <m:t>×</m:t>
                    </m:r>
                    <m:r>
                      <m:rPr/>
                      <w:rPr>
                        <w:rFonts w:hint="eastAsia" w:ascii="Cambria Math" w:hAnsi="Cambria Math"/>
                      </w:rPr>
                      <m:t>D</m:t>
                    </m:r>
                    <m:r>
                      <m:rPr/>
                      <w:rPr>
                        <w:rFonts w:ascii="Cambria Math" w:hAnsi="Cambria Math"/>
                      </w:rPr>
                      <m:t>×</m:t>
                    </m:r>
                    <m:d>
                      <m:dPr>
                        <m:begChr m:val="（"/>
                        <m:endChr m:val="）"/>
                        <m:ctrlPr>
                          <w:rPr>
                            <w:rFonts w:ascii="Cambria Math" w:hAnsi="Cambria Math"/>
                            <w:i/>
                          </w:rPr>
                        </m:ctrlPr>
                      </m:dPr>
                      <m:e>
                        <m:r>
                          <m:rPr/>
                          <w:rPr>
                            <w:rFonts w:hint="eastAsia" w:ascii="Cambria Math" w:hAnsi="Cambria Math"/>
                          </w:rPr>
                          <m:t>a</m:t>
                        </m:r>
                        <m:r>
                          <m:rPr/>
                          <w:rPr>
                            <w:rFonts w:ascii="Cambria Math" w:hAnsi="Cambria Math"/>
                          </w:rPr>
                          <m:t>/</m:t>
                        </m:r>
                        <m:r>
                          <m:rPr/>
                          <w:rPr>
                            <w:rFonts w:hint="eastAsia" w:ascii="Cambria Math" w:hAnsi="Cambria Math"/>
                          </w:rPr>
                          <m:t>b</m:t>
                        </m:r>
                        <m:ctrlPr>
                          <w:rPr>
                            <w:rFonts w:ascii="Cambria Math" w:hAnsi="Cambria Math"/>
                            <w:i/>
                          </w:rPr>
                        </m:ctrlPr>
                      </m:e>
                    </m:d>
                    <m:r>
                      <m:rPr/>
                      <w:rPr>
                        <w:rFonts w:ascii="Cambria Math" w:hAnsi="Cambria Math"/>
                      </w:rPr>
                      <m:t>+2×</m:t>
                    </m:r>
                    <m:sSub>
                      <m:sSubPr>
                        <m:ctrlPr>
                          <w:rPr>
                            <w:rFonts w:ascii="Cambria Math" w:hAnsi="Cambria Math"/>
                            <w:i/>
                          </w:rPr>
                        </m:ctrlPr>
                      </m:sSubPr>
                      <m:e>
                        <m:r>
                          <m:rPr/>
                          <w:rPr>
                            <w:rFonts w:hint="eastAsia" w:ascii="Cambria Math" w:hAnsi="Cambria Math"/>
                          </w:rPr>
                          <m:t>E</m:t>
                        </m:r>
                        <m:ctrlPr>
                          <w:rPr>
                            <w:rFonts w:ascii="Cambria Math" w:hAnsi="Cambria Math"/>
                            <w:i/>
                          </w:rPr>
                        </m:ctrlPr>
                      </m:e>
                      <m:sub>
                        <m:r>
                          <m:rPr/>
                          <w:rPr>
                            <w:rFonts w:hint="eastAsia" w:ascii="Cambria Math" w:hAnsi="Cambria Math"/>
                          </w:rPr>
                          <m:t>f</m:t>
                        </m:r>
                        <m:ctrlPr>
                          <w:rPr>
                            <w:rFonts w:ascii="Cambria Math" w:hAnsi="Cambria Math"/>
                            <w:i/>
                          </w:rPr>
                        </m:ctrlPr>
                      </m:sub>
                    </m:sSub>
                    <m:r>
                      <m:rPr/>
                      <w:rPr>
                        <w:rFonts w:ascii="Cambria Math" w:hAnsi="Cambria Math"/>
                      </w:rPr>
                      <m:t>×</m:t>
                    </m:r>
                    <m:r>
                      <m:rPr/>
                      <w:rPr>
                        <w:rFonts w:hint="eastAsia" w:ascii="Cambria Math" w:hAnsi="Cambria Math"/>
                      </w:rPr>
                      <m:t>S</m:t>
                    </m:r>
                    <m:ctrlPr>
                      <w:rPr>
                        <w:rFonts w:ascii="Cambria Math" w:hAnsi="Cambria Math"/>
                        <w:i/>
                      </w:rPr>
                    </m:ctrlPr>
                  </m:e>
                </m:d>
                <m:r>
                  <m:rPr/>
                  <w:rPr>
                    <w:rFonts w:ascii="Cambria Math" w:hAnsi="Cambria Math"/>
                  </w:rPr>
                  <m:t>×</m:t>
                </m:r>
                <m:sSup>
                  <m:sSupPr>
                    <m:ctrlPr>
                      <w:rPr>
                        <w:rFonts w:ascii="Cambria Math" w:hAnsi="Cambria Math"/>
                        <w:i/>
                      </w:rPr>
                    </m:ctrlPr>
                  </m:sSupPr>
                  <m:e>
                    <m:r>
                      <m:rPr/>
                      <w:rPr>
                        <w:rFonts w:ascii="Cambria Math" w:hAnsi="Cambria Math"/>
                      </w:rPr>
                      <m:t>10</m:t>
                    </m:r>
                    <m:ctrlPr>
                      <w:rPr>
                        <w:rFonts w:ascii="Cambria Math" w:hAnsi="Cambria Math"/>
                        <w:i/>
                      </w:rPr>
                    </m:ctrlPr>
                  </m:e>
                  <m:sup>
                    <m:r>
                      <m:rPr/>
                      <w:rPr>
                        <w:rFonts w:ascii="Cambria Math" w:hAnsi="Cambria Math"/>
                      </w:rPr>
                      <m:t>−3</m:t>
                    </m:r>
                    <m:ctrlPr>
                      <w:rPr>
                        <w:rFonts w:ascii="Cambria Math" w:hAnsi="Cambria Math"/>
                        <w:i/>
                      </w:rPr>
                    </m:ctrlPr>
                  </m:sup>
                </m:sSup>
              </m:oMath>
            </m:oMathPara>
          </w:p>
          <w:p w14:paraId="711621C0">
            <w:pPr>
              <w:ind w:firstLine="420"/>
              <w:rPr>
                <w:bCs/>
              </w:rPr>
            </w:pPr>
            <w:r>
              <w:rPr>
                <w:bCs/>
              </w:rPr>
              <w:t xml:space="preserve">式中：P—颗粒物产生量，t； </w:t>
            </w:r>
          </w:p>
          <w:p w14:paraId="7919ABDF">
            <w:pPr>
              <w:ind w:firstLine="420"/>
              <w:rPr>
                <w:bCs/>
              </w:rPr>
            </w:pPr>
            <w:r>
              <w:rPr>
                <w:bCs/>
              </w:rPr>
              <w:t xml:space="preserve">ZCy—装卸扬尘产生量，t； </w:t>
            </w:r>
          </w:p>
          <w:p w14:paraId="68E38438">
            <w:pPr>
              <w:ind w:firstLine="420"/>
              <w:rPr>
                <w:bCs/>
              </w:rPr>
            </w:pPr>
            <w:r>
              <w:rPr>
                <w:bCs/>
              </w:rPr>
              <w:t>FCy—风蚀扬尘产生量，t</w:t>
            </w:r>
            <w:r>
              <w:rPr>
                <w:rFonts w:hint="eastAsia"/>
                <w:bCs/>
              </w:rPr>
              <w:t>，</w:t>
            </w:r>
            <w:r>
              <w:rPr>
                <w:rFonts w:hint="eastAsia"/>
                <w:b/>
              </w:rPr>
              <w:t>封闭式原料堆场，不考虑风蚀扬尘</w:t>
            </w:r>
            <w:r>
              <w:rPr>
                <w:bCs/>
              </w:rPr>
              <w:t>；</w:t>
            </w:r>
          </w:p>
          <w:p w14:paraId="7B543C12">
            <w:pPr>
              <w:ind w:firstLine="420"/>
              <w:rPr>
                <w:bCs/>
              </w:rPr>
            </w:pPr>
            <w:r>
              <w:rPr>
                <w:bCs/>
              </w:rPr>
              <w:t>Nc—年物料运载车次，车</w:t>
            </w:r>
            <w:r>
              <w:rPr>
                <w:rFonts w:hint="eastAsia"/>
                <w:bCs/>
              </w:rPr>
              <w:t>，取</w:t>
            </w:r>
            <w:r>
              <w:rPr>
                <w:bCs/>
              </w:rPr>
              <w:t>2000；</w:t>
            </w:r>
          </w:p>
          <w:p w14:paraId="699175AC">
            <w:pPr>
              <w:ind w:firstLine="420"/>
              <w:rPr>
                <w:bCs/>
              </w:rPr>
            </w:pPr>
            <w:r>
              <w:rPr>
                <w:bCs/>
              </w:rPr>
              <w:t>D—单车平均运载量，t/车</w:t>
            </w:r>
            <w:r>
              <w:rPr>
                <w:rFonts w:hint="eastAsia"/>
                <w:bCs/>
              </w:rPr>
              <w:t>，取</w:t>
            </w:r>
            <w:r>
              <w:rPr>
                <w:bCs/>
              </w:rPr>
              <w:t>3</w:t>
            </w:r>
            <w:r>
              <w:rPr>
                <w:rFonts w:hint="eastAsia"/>
                <w:bCs/>
              </w:rPr>
              <w:t>0</w:t>
            </w:r>
            <w:r>
              <w:rPr>
                <w:bCs/>
              </w:rPr>
              <w:t>t/车；</w:t>
            </w:r>
          </w:p>
          <w:p w14:paraId="0C5C407F">
            <w:pPr>
              <w:ind w:firstLine="420"/>
              <w:rPr>
                <w:bCs/>
              </w:rPr>
            </w:pPr>
            <w:r>
              <w:rPr>
                <w:bCs/>
              </w:rPr>
              <w:t>a/b—装卸扬尘概化系数，kg/t，a指各省风速概化系数，</w:t>
            </w:r>
            <w:r>
              <w:rPr>
                <w:rFonts w:hint="eastAsia"/>
                <w:bCs/>
              </w:rPr>
              <w:t>参照</w:t>
            </w:r>
            <w:r>
              <w:rPr>
                <w:bCs/>
              </w:rPr>
              <w:t>附录1取</w:t>
            </w:r>
            <w:r>
              <w:rPr>
                <w:rFonts w:hint="eastAsia"/>
                <w:bCs/>
              </w:rPr>
              <w:t>0.0006</w:t>
            </w:r>
            <w:r>
              <w:rPr>
                <w:bCs/>
              </w:rPr>
              <w:t>，b指物料含水率概化系数，</w:t>
            </w:r>
            <w:r>
              <w:rPr>
                <w:rFonts w:hint="eastAsia"/>
                <w:bCs/>
              </w:rPr>
              <w:t>参照</w:t>
            </w:r>
            <w:r>
              <w:rPr>
                <w:bCs/>
              </w:rPr>
              <w:t>附录2取</w:t>
            </w:r>
            <w:r>
              <w:rPr>
                <w:rFonts w:hint="eastAsia"/>
                <w:bCs/>
              </w:rPr>
              <w:t>0.00</w:t>
            </w:r>
            <w:r>
              <w:rPr>
                <w:bCs/>
              </w:rPr>
              <w:t>84；</w:t>
            </w:r>
          </w:p>
          <w:p w14:paraId="4A230906">
            <w:pPr>
              <w:ind w:firstLine="420"/>
              <w:rPr>
                <w:bCs/>
              </w:rPr>
            </w:pPr>
            <w:r>
              <w:rPr>
                <w:bCs/>
              </w:rPr>
              <w:t>Ef—堆场风蚀扬尘概化系数，kg/m</w:t>
            </w:r>
            <w:r>
              <w:rPr>
                <w:bCs/>
                <w:vertAlign w:val="superscript"/>
              </w:rPr>
              <w:t>2</w:t>
            </w:r>
            <w:r>
              <w:rPr>
                <w:bCs/>
              </w:rPr>
              <w:t>。</w:t>
            </w:r>
          </w:p>
          <w:p w14:paraId="3D1E108F">
            <w:pPr>
              <w:ind w:firstLine="420"/>
              <w:rPr>
                <w:b/>
                <w:bCs/>
              </w:rPr>
            </w:pPr>
            <w:r>
              <w:rPr>
                <w:bCs/>
              </w:rPr>
              <w:t>S—堆场占地面积，m</w:t>
            </w:r>
            <w:r>
              <w:rPr>
                <w:bCs/>
                <w:vertAlign w:val="superscript"/>
              </w:rPr>
              <w:t>2</w:t>
            </w:r>
            <w:r>
              <w:rPr>
                <w:bCs/>
              </w:rPr>
              <w:t>，取</w:t>
            </w:r>
            <w:r>
              <w:rPr>
                <w:rFonts w:hint="eastAsia"/>
                <w:bCs/>
              </w:rPr>
              <w:t>0</w:t>
            </w:r>
            <w:r>
              <w:rPr>
                <w:bCs/>
              </w:rPr>
              <w:t>（本</w:t>
            </w:r>
            <w:r>
              <w:rPr>
                <w:rFonts w:hint="eastAsia"/>
                <w:bCs/>
              </w:rPr>
              <w:t>项目物料堆场全封闭，无风蚀扬尘）</w:t>
            </w:r>
          </w:p>
          <w:p w14:paraId="16DE7109">
            <w:pPr>
              <w:ind w:firstLine="420"/>
              <w:rPr>
                <w:bCs/>
              </w:rPr>
            </w:pPr>
            <w:r>
              <w:rPr>
                <w:rFonts w:hint="eastAsia"/>
                <w:bCs/>
              </w:rPr>
              <w:t>经计算砂石装卸粉尘产生量为</w:t>
            </w:r>
            <w:r>
              <w:rPr>
                <w:bCs/>
              </w:rPr>
              <w:t>42.857</w:t>
            </w:r>
            <w:r>
              <w:rPr>
                <w:rFonts w:hint="eastAsia"/>
                <w:bCs/>
              </w:rPr>
              <w:t>t/a。</w:t>
            </w:r>
          </w:p>
          <w:p w14:paraId="38E0663B">
            <w:pPr>
              <w:ind w:firstLine="422"/>
              <w:rPr>
                <w:bCs/>
              </w:rPr>
            </w:pPr>
            <w:r>
              <w:rPr>
                <w:rFonts w:hint="eastAsia"/>
                <w:b/>
                <w:bCs/>
              </w:rPr>
              <w:t>污染治理措施：</w:t>
            </w:r>
            <w:r>
              <w:rPr>
                <w:rFonts w:hint="eastAsia"/>
                <w:bCs/>
              </w:rPr>
              <w:t>原料堆场及成品堆场设置为封闭式（三侧封闭，进出口为自动门，顶部采用防风彩钢雨棚），堆场顶棚并安装自动喷雾降尘装置降尘。</w:t>
            </w:r>
          </w:p>
          <w:p w14:paraId="04F7BCB9">
            <w:pPr>
              <w:ind w:firstLine="422"/>
              <w:rPr>
                <w:b/>
                <w:bCs/>
              </w:rPr>
            </w:pPr>
            <w:r>
              <w:rPr>
                <w:rFonts w:hint="eastAsia"/>
                <w:b/>
              </w:rPr>
              <w:t>污染物排放情况：</w:t>
            </w:r>
            <w:r>
              <w:rPr>
                <w:bCs/>
              </w:rPr>
              <w:t>工业企业固体物料堆场颗粒物排放量核算公式如下：</w:t>
            </w:r>
          </w:p>
          <w:p w14:paraId="565A19B5">
            <w:pPr>
              <w:pStyle w:val="156"/>
              <w:spacing w:line="360" w:lineRule="auto"/>
              <w:rPr>
                <w:i/>
              </w:rPr>
            </w:pPr>
            <m:oMathPara>
              <m:oMath>
                <m:r>
                  <m:rPr/>
                  <w:rPr>
                    <w:rFonts w:hint="eastAsia" w:ascii="Cambria Math" w:hAnsi="Cambria Math"/>
                  </w:rPr>
                  <m:t>U</m:t>
                </m:r>
                <m:r>
                  <m:rPr/>
                  <w:rPr>
                    <w:rFonts w:ascii="Cambria Math" w:hAnsi="Cambria Math"/>
                  </w:rPr>
                  <m:t>=</m:t>
                </m:r>
                <m:r>
                  <m:rPr/>
                  <w:rPr>
                    <w:rFonts w:hint="eastAsia" w:ascii="Cambria Math" w:hAnsi="Cambria Math"/>
                  </w:rPr>
                  <m:t>P</m:t>
                </m:r>
                <m:r>
                  <m:rPr/>
                  <w:rPr>
                    <w:rFonts w:ascii="Cambria Math" w:hAnsi="Cambria Math"/>
                  </w:rPr>
                  <m:t>×</m:t>
                </m:r>
                <m:d>
                  <m:dPr>
                    <m:begChr m:val="（"/>
                    <m:endChr m:val="）"/>
                    <m:ctrlPr>
                      <w:rPr>
                        <w:rFonts w:ascii="Cambria Math" w:hAnsi="Cambria Math"/>
                        <w:i/>
                      </w:rPr>
                    </m:ctrlPr>
                  </m:dPr>
                  <m:e>
                    <m:r>
                      <m:rPr/>
                      <w:rPr>
                        <w:rFonts w:ascii="Cambria Math" w:hAnsi="Cambria Math"/>
                      </w:rPr>
                      <m:t>1−</m:t>
                    </m:r>
                    <m:sSub>
                      <m:sSubPr>
                        <m:ctrlPr>
                          <w:rPr>
                            <w:rFonts w:ascii="Cambria Math" w:hAnsi="Cambria Math"/>
                            <w:i/>
                          </w:rPr>
                        </m:ctrlPr>
                      </m:sSubPr>
                      <m:e>
                        <m:r>
                          <m:rPr/>
                          <w:rPr>
                            <w:rFonts w:hint="eastAsia" w:ascii="Cambria Math" w:hAnsi="Cambria Math"/>
                          </w:rPr>
                          <m:t>C</m:t>
                        </m:r>
                        <m:ctrlPr>
                          <w:rPr>
                            <w:rFonts w:ascii="Cambria Math" w:hAnsi="Cambria Math"/>
                            <w:i/>
                          </w:rPr>
                        </m:ctrlPr>
                      </m:e>
                      <m:sub>
                        <m:r>
                          <m:rPr/>
                          <w:rPr>
                            <w:rFonts w:hint="eastAsia" w:ascii="Cambria Math" w:hAnsi="Cambria Math"/>
                          </w:rPr>
                          <m:t>m</m:t>
                        </m:r>
                        <m:ctrlPr>
                          <w:rPr>
                            <w:rFonts w:ascii="Cambria Math" w:hAnsi="Cambria Math"/>
                            <w:i/>
                          </w:rPr>
                        </m:ctrlPr>
                      </m:sub>
                    </m:sSub>
                    <m:ctrlPr>
                      <w:rPr>
                        <w:rFonts w:ascii="Cambria Math" w:hAnsi="Cambria Math"/>
                        <w:i/>
                      </w:rPr>
                    </m:ctrlPr>
                  </m:e>
                </m:d>
                <m:r>
                  <m:rPr/>
                  <w:rPr>
                    <w:rFonts w:ascii="Cambria Math" w:hAnsi="Cambria Math"/>
                  </w:rPr>
                  <m:t>×</m:t>
                </m:r>
                <m:r>
                  <m:rPr/>
                  <w:rPr>
                    <w:rFonts w:hint="eastAsia" w:ascii="Cambria Math" w:hAnsi="Cambria Math"/>
                  </w:rPr>
                  <m:t>（</m:t>
                </m:r>
                <m:r>
                  <m:rPr/>
                  <w:rPr>
                    <w:rFonts w:ascii="Cambria Math" w:hAnsi="Cambria Math"/>
                  </w:rPr>
                  <m:t>1−</m:t>
                </m:r>
                <m:sSub>
                  <m:sSubPr>
                    <m:ctrlPr>
                      <w:rPr>
                        <w:rFonts w:ascii="Cambria Math" w:hAnsi="Cambria Math"/>
                        <w:i/>
                      </w:rPr>
                    </m:ctrlPr>
                  </m:sSubPr>
                  <m:e>
                    <m:r>
                      <m:rPr/>
                      <w:rPr>
                        <w:rFonts w:hint="eastAsia" w:ascii="Cambria Math" w:hAnsi="Cambria Math"/>
                      </w:rPr>
                      <m:t>T</m:t>
                    </m:r>
                    <m:ctrlPr>
                      <w:rPr>
                        <w:rFonts w:ascii="Cambria Math" w:hAnsi="Cambria Math"/>
                        <w:i/>
                      </w:rPr>
                    </m:ctrlPr>
                  </m:e>
                  <m:sub>
                    <m:r>
                      <m:rPr/>
                      <w:rPr>
                        <w:rFonts w:hint="eastAsia" w:ascii="Cambria Math" w:hAnsi="Cambria Math"/>
                      </w:rPr>
                      <m:t>m</m:t>
                    </m:r>
                    <m:ctrlPr>
                      <w:rPr>
                        <w:rFonts w:ascii="Cambria Math" w:hAnsi="Cambria Math"/>
                        <w:i/>
                      </w:rPr>
                    </m:ctrlPr>
                  </m:sub>
                </m:sSub>
                <m:r>
                  <m:rPr/>
                  <w:rPr>
                    <w:rFonts w:hint="eastAsia" w:ascii="Cambria Math" w:hAnsi="Cambria Math"/>
                  </w:rPr>
                  <m:t>）</m:t>
                </m:r>
              </m:oMath>
            </m:oMathPara>
          </w:p>
          <w:p w14:paraId="06B75F92">
            <w:pPr>
              <w:ind w:firstLine="420"/>
              <w:rPr>
                <w:bCs/>
              </w:rPr>
            </w:pPr>
            <w:r>
              <w:rPr>
                <w:bCs/>
              </w:rPr>
              <w:t>式中：P—颗粒物产生量</w:t>
            </w:r>
            <w:r>
              <w:rPr>
                <w:rFonts w:hint="eastAsia"/>
                <w:bCs/>
              </w:rPr>
              <w:t>，</w:t>
            </w:r>
            <w:r>
              <w:rPr>
                <w:bCs/>
              </w:rPr>
              <w:t>t；</w:t>
            </w:r>
          </w:p>
          <w:p w14:paraId="43DA2B39">
            <w:pPr>
              <w:ind w:firstLine="420"/>
              <w:rPr>
                <w:bCs/>
              </w:rPr>
            </w:pPr>
            <w:r>
              <w:rPr>
                <w:bCs/>
              </w:rPr>
              <w:t>Uc—颗粒物排放量</w:t>
            </w:r>
            <w:r>
              <w:rPr>
                <w:rFonts w:hint="eastAsia"/>
                <w:bCs/>
              </w:rPr>
              <w:t>，</w:t>
            </w:r>
            <w:r>
              <w:rPr>
                <w:bCs/>
              </w:rPr>
              <w:t xml:space="preserve">t； </w:t>
            </w:r>
          </w:p>
          <w:p w14:paraId="23B8F29D">
            <w:pPr>
              <w:ind w:firstLine="420"/>
              <w:rPr>
                <w:bCs/>
              </w:rPr>
            </w:pPr>
            <w:r>
              <w:rPr>
                <w:bCs/>
              </w:rPr>
              <w:t>Cm—颗粒物控制措施控制效率</w:t>
            </w:r>
            <w:r>
              <w:rPr>
                <w:rFonts w:hint="eastAsia"/>
                <w:bCs/>
              </w:rPr>
              <w:t>，</w:t>
            </w:r>
            <w:r>
              <w:rPr>
                <w:bCs/>
              </w:rPr>
              <w:t>%，</w:t>
            </w:r>
            <w:r>
              <w:rPr>
                <w:rFonts w:hint="eastAsia"/>
                <w:bCs/>
              </w:rPr>
              <w:t>喷雾降尘取74%</w:t>
            </w:r>
            <w:r>
              <w:rPr>
                <w:bCs/>
              </w:rPr>
              <w:t>；</w:t>
            </w:r>
          </w:p>
          <w:p w14:paraId="094040C3">
            <w:pPr>
              <w:ind w:firstLine="420"/>
              <w:rPr>
                <w:bCs/>
              </w:rPr>
            </w:pPr>
            <w:r>
              <w:rPr>
                <w:bCs/>
              </w:rPr>
              <w:t>Tm—堆场类型控制效率</w:t>
            </w:r>
            <w:r>
              <w:rPr>
                <w:rFonts w:hint="eastAsia"/>
                <w:bCs/>
              </w:rPr>
              <w:t>，</w:t>
            </w:r>
            <w:r>
              <w:rPr>
                <w:bCs/>
              </w:rPr>
              <w:t>%，</w:t>
            </w:r>
            <w:r>
              <w:rPr>
                <w:rFonts w:hint="eastAsia"/>
                <w:bCs/>
              </w:rPr>
              <w:t>封闭堆场取9</w:t>
            </w:r>
            <w:r>
              <w:rPr>
                <w:bCs/>
              </w:rPr>
              <w:t>9</w:t>
            </w:r>
            <w:r>
              <w:rPr>
                <w:rFonts w:hint="eastAsia"/>
                <w:bCs/>
              </w:rPr>
              <w:t>%</w:t>
            </w:r>
            <w:r>
              <w:rPr>
                <w:bCs/>
              </w:rPr>
              <w:t>。</w:t>
            </w:r>
          </w:p>
          <w:p w14:paraId="1C2E22E8">
            <w:pPr>
              <w:ind w:firstLine="420"/>
            </w:pPr>
            <w:r>
              <w:rPr>
                <w:rFonts w:hint="eastAsia"/>
                <w:bCs/>
              </w:rPr>
              <w:t>经计算原料装卸和成品装卸粉尘排放量均为</w:t>
            </w:r>
            <w:r>
              <w:rPr>
                <w:bCs/>
              </w:rPr>
              <w:t>0.111</w:t>
            </w:r>
            <w:r>
              <w:rPr>
                <w:rFonts w:hint="eastAsia"/>
                <w:bCs/>
              </w:rPr>
              <w:t>t/a，排放形式为无组织排放。</w:t>
            </w:r>
          </w:p>
          <w:p w14:paraId="491CAAA4">
            <w:pPr>
              <w:ind w:firstLine="420"/>
            </w:pPr>
            <w:r>
              <w:rPr>
                <w:rFonts w:hint="eastAsia"/>
              </w:rPr>
              <w:t>（2）生产工艺粉尘（破碎、输送、投料粉尘）</w:t>
            </w:r>
          </w:p>
          <w:p w14:paraId="6B22F5AF">
            <w:pPr>
              <w:ind w:firstLine="420"/>
            </w:pPr>
            <w:r>
              <w:rPr>
                <w:rFonts w:hint="eastAsia"/>
                <w:bCs/>
              </w:rPr>
              <w:t>原料在破碎、筛分、输送过程中会产生大量的粉尘，根据《排放源统计调查产排污核算方法和系数手册》（生态环境部公告2021年第24号）中《303砖瓦、石材等建筑材料制造行业系数手册》的“3039其他建筑材料制造行业”，砂石骨料在破碎、筛分、输送过程颗粒物产污系数为1.89千克/吨-产品，项目生产规模为1</w:t>
            </w:r>
            <w:r>
              <w:rPr>
                <w:bCs/>
              </w:rPr>
              <w:t>5</w:t>
            </w:r>
            <w:r>
              <w:rPr>
                <w:rFonts w:hint="eastAsia"/>
                <w:bCs/>
              </w:rPr>
              <w:t>万m</w:t>
            </w:r>
            <w:r>
              <w:rPr>
                <w:bCs/>
                <w:vertAlign w:val="superscript"/>
              </w:rPr>
              <w:t>3</w:t>
            </w:r>
            <w:r>
              <w:rPr>
                <w:rFonts w:hint="eastAsia"/>
                <w:bCs/>
              </w:rPr>
              <w:t>（1</w:t>
            </w:r>
            <w:r>
              <w:rPr>
                <w:bCs/>
              </w:rPr>
              <w:t>05000</w:t>
            </w:r>
            <w:r>
              <w:rPr>
                <w:rFonts w:hint="eastAsia"/>
                <w:bCs/>
              </w:rPr>
              <w:t>t）。故破碎、筛分、输送粉尘产生量为</w:t>
            </w:r>
            <w:r>
              <w:rPr>
                <w:bCs/>
              </w:rPr>
              <w:t>198.45</w:t>
            </w:r>
            <w:r>
              <w:rPr>
                <w:rFonts w:hint="eastAsia"/>
                <w:bCs/>
              </w:rPr>
              <w:t>t/a。</w:t>
            </w:r>
          </w:p>
          <w:p w14:paraId="47B79243">
            <w:pPr>
              <w:ind w:firstLine="422"/>
            </w:pPr>
            <w:r>
              <w:rPr>
                <w:rFonts w:hint="eastAsia"/>
                <w:b/>
                <w:bCs/>
              </w:rPr>
              <w:t>污染治理措施</w:t>
            </w:r>
            <w:r>
              <w:rPr>
                <w:rFonts w:hint="eastAsia"/>
              </w:rPr>
              <w:t>：</w:t>
            </w:r>
            <w:r>
              <w:rPr>
                <w:rFonts w:hint="eastAsia"/>
                <w:bCs/>
              </w:rPr>
              <w:t>破碎机、上料机三面及顶部遮挡，同时在进料口顶部设置喷淋装置，因此加工后的物料在输送过程中含水率较高。整个生产车间全封闭，车间四周、顶棚设置喷雾装置，可减少生产因物料传送过程因风起尘，同时减少无组织粉尘的逸散。</w:t>
            </w:r>
          </w:p>
          <w:p w14:paraId="247CE006">
            <w:pPr>
              <w:ind w:firstLine="422"/>
            </w:pPr>
            <w:r>
              <w:rPr>
                <w:rFonts w:hint="eastAsia"/>
                <w:b/>
                <w:bCs/>
              </w:rPr>
              <w:t>污染物排放情况</w:t>
            </w:r>
            <w:r>
              <w:rPr>
                <w:rFonts w:hint="eastAsia"/>
              </w:rPr>
              <w:t>：参考《排放源统计调查产排污核算方法和系数手册》（公告2021年第24号）中《附表2固体物料堆存颗粒物产排污核算系数手册》中“附录4：粉尘控制措施控制效率”和《303砖瓦、石材等建筑材料制造行业系数手册》中“3039其他建筑材料制造行业”可知，喷雾降尘技术的粉尘平均去除率约为80%；采用密闭式措施的粉尘控制效率为99%。则本项目通过采取封闭车间、喷雾降尘等措施后，项目加工车间粉尘的排放量约</w:t>
            </w:r>
            <w:r>
              <w:t>0.397</w:t>
            </w:r>
            <w:r>
              <w:rPr>
                <w:rFonts w:hint="eastAsia"/>
              </w:rPr>
              <w:t>t/a，排放形式为无组织排放。</w:t>
            </w:r>
          </w:p>
          <w:p w14:paraId="40E3D629">
            <w:pPr>
              <w:ind w:firstLine="420"/>
            </w:pPr>
            <w:r>
              <w:rPr>
                <w:rFonts w:hint="eastAsia"/>
              </w:rPr>
              <w:t>（3）筒仓呼吸粉尘</w:t>
            </w:r>
          </w:p>
          <w:p w14:paraId="050F3D89">
            <w:pPr>
              <w:ind w:firstLine="420"/>
              <w:rPr>
                <w:bCs/>
              </w:rPr>
            </w:pPr>
            <w:r>
              <w:rPr>
                <w:rFonts w:hint="eastAsia"/>
                <w:bCs/>
              </w:rPr>
              <w:t>项目</w:t>
            </w:r>
            <w:r>
              <w:rPr>
                <w:bCs/>
              </w:rPr>
              <w:t>共设置1个水泥筒仓</w:t>
            </w:r>
            <w:r>
              <w:rPr>
                <w:rFonts w:hint="eastAsia"/>
                <w:bCs/>
              </w:rPr>
              <w:t>、</w:t>
            </w:r>
            <w:r>
              <w:rPr>
                <w:bCs/>
              </w:rPr>
              <w:t>1</w:t>
            </w:r>
            <w:r>
              <w:rPr>
                <w:rFonts w:hint="eastAsia"/>
                <w:bCs/>
              </w:rPr>
              <w:t>个石灰粉</w:t>
            </w:r>
            <w:r>
              <w:rPr>
                <w:bCs/>
              </w:rPr>
              <w:t>筒仓。外购粉料通过罐车运输，罐车与粉料筒仓通过管道连接，通过粉末输送专用泵泵入筒仓，全过程为封闭状态，粉料筒仓上料粉尘产生量参考</w:t>
            </w:r>
            <w:r>
              <w:t>《排放源统计调查产排污核算方法和系数手册》中</w:t>
            </w:r>
            <w:r>
              <w:rPr>
                <w:rFonts w:hint="eastAsia"/>
              </w:rPr>
              <w:t>“3021 水泥制品制造（含 3022 砼结构构件制造、3029 其他水泥类似制品制造）行业系数手册”</w:t>
            </w:r>
            <w:r>
              <w:t>中</w:t>
            </w:r>
            <w:r>
              <w:rPr>
                <w:rFonts w:hint="eastAsia"/>
              </w:rPr>
              <w:t>“3021 水泥制品制造（含 3022 砼结构构件、3029 其他水泥类似制品制造）行业系数表”“物料输送储存”，</w:t>
            </w:r>
            <w:r>
              <w:rPr>
                <w:bCs/>
              </w:rPr>
              <w:t>产污系数为0.12kg/t</w:t>
            </w:r>
            <w:r>
              <w:rPr>
                <w:rFonts w:hint="eastAsia"/>
                <w:bCs/>
              </w:rPr>
              <w:t>-</w:t>
            </w:r>
            <w:r>
              <w:rPr>
                <w:bCs/>
              </w:rPr>
              <w:t>粉料。</w:t>
            </w:r>
            <w:r>
              <w:rPr>
                <w:rFonts w:hint="eastAsia"/>
                <w:bCs/>
              </w:rPr>
              <w:t>本项目水泥使用量为1</w:t>
            </w:r>
            <w:r>
              <w:rPr>
                <w:bCs/>
              </w:rPr>
              <w:t>6500</w:t>
            </w:r>
            <w:r>
              <w:rPr>
                <w:rFonts w:hint="eastAsia"/>
                <w:bCs/>
              </w:rPr>
              <w:t>t</w:t>
            </w:r>
            <w:r>
              <w:rPr>
                <w:bCs/>
              </w:rPr>
              <w:t>/</w:t>
            </w:r>
            <w:r>
              <w:rPr>
                <w:rFonts w:hint="eastAsia"/>
                <w:bCs/>
              </w:rPr>
              <w:t>a，石灰粉用量为1</w:t>
            </w:r>
            <w:r>
              <w:rPr>
                <w:bCs/>
              </w:rPr>
              <w:t>2000</w:t>
            </w:r>
            <w:r>
              <w:rPr>
                <w:rFonts w:hint="eastAsia"/>
                <w:bCs/>
              </w:rPr>
              <w:t>t</w:t>
            </w:r>
            <w:r>
              <w:rPr>
                <w:bCs/>
              </w:rPr>
              <w:t>/</w:t>
            </w:r>
            <w:r>
              <w:rPr>
                <w:rFonts w:hint="eastAsia"/>
                <w:bCs/>
              </w:rPr>
              <w:t>a，则本项目筒仓呼吸粉尘产生量分别为1</w:t>
            </w:r>
            <w:r>
              <w:rPr>
                <w:bCs/>
              </w:rPr>
              <w:t>.98</w:t>
            </w:r>
            <w:r>
              <w:rPr>
                <w:rFonts w:hint="eastAsia"/>
                <w:bCs/>
              </w:rPr>
              <w:t>t</w:t>
            </w:r>
            <w:r>
              <w:rPr>
                <w:bCs/>
              </w:rPr>
              <w:t>/</w:t>
            </w:r>
            <w:r>
              <w:rPr>
                <w:rFonts w:hint="eastAsia"/>
                <w:bCs/>
              </w:rPr>
              <w:t>a、1</w:t>
            </w:r>
            <w:r>
              <w:rPr>
                <w:bCs/>
              </w:rPr>
              <w:t>.44</w:t>
            </w:r>
            <w:r>
              <w:rPr>
                <w:rFonts w:hint="eastAsia"/>
                <w:bCs/>
              </w:rPr>
              <w:t>t</w:t>
            </w:r>
            <w:r>
              <w:rPr>
                <w:bCs/>
              </w:rPr>
              <w:t>/</w:t>
            </w:r>
            <w:r>
              <w:rPr>
                <w:rFonts w:hint="eastAsia"/>
                <w:bCs/>
              </w:rPr>
              <w:t>a。</w:t>
            </w:r>
          </w:p>
          <w:p w14:paraId="14A23674">
            <w:pPr>
              <w:ind w:firstLine="422"/>
              <w:rPr>
                <w:bCs/>
              </w:rPr>
            </w:pPr>
            <w:r>
              <w:rPr>
                <w:rFonts w:hint="eastAsia"/>
                <w:b/>
              </w:rPr>
              <w:t>污染物治理措施</w:t>
            </w:r>
            <w:r>
              <w:rPr>
                <w:rFonts w:hint="eastAsia"/>
                <w:bCs/>
              </w:rPr>
              <w:t>：粉料筒仓设置仓顶布袋除尘器，筒仓呼吸粉尘经布袋除尘器处理后，经仓顶无组织排放。</w:t>
            </w:r>
          </w:p>
          <w:p w14:paraId="1062A8B9">
            <w:pPr>
              <w:ind w:firstLine="422"/>
            </w:pPr>
            <w:r>
              <w:rPr>
                <w:rFonts w:hint="eastAsia"/>
                <w:b/>
              </w:rPr>
              <w:t>污染物排放情况</w:t>
            </w:r>
            <w:r>
              <w:rPr>
                <w:rFonts w:hint="eastAsia"/>
                <w:bCs/>
              </w:rPr>
              <w:t>：布袋除尘器颗粒物去除效率按9</w:t>
            </w:r>
            <w:r>
              <w:rPr>
                <w:bCs/>
              </w:rPr>
              <w:t>9%</w:t>
            </w:r>
            <w:r>
              <w:rPr>
                <w:rFonts w:hint="eastAsia"/>
                <w:bCs/>
              </w:rPr>
              <w:t>计算，则本项目水泥筒仓呼吸粉尘排放量为0</w:t>
            </w:r>
            <w:r>
              <w:rPr>
                <w:bCs/>
              </w:rPr>
              <w:t>.020</w:t>
            </w:r>
            <w:r>
              <w:rPr>
                <w:rFonts w:hint="eastAsia"/>
                <w:bCs/>
              </w:rPr>
              <w:t>t</w:t>
            </w:r>
            <w:r>
              <w:rPr>
                <w:bCs/>
              </w:rPr>
              <w:t>/</w:t>
            </w:r>
            <w:r>
              <w:rPr>
                <w:rFonts w:hint="eastAsia"/>
                <w:bCs/>
              </w:rPr>
              <w:t>a，石灰筒仓呼吸粉尘排放量为0</w:t>
            </w:r>
            <w:r>
              <w:rPr>
                <w:bCs/>
              </w:rPr>
              <w:t>.014</w:t>
            </w:r>
            <w:r>
              <w:rPr>
                <w:rFonts w:hint="eastAsia"/>
                <w:bCs/>
              </w:rPr>
              <w:t>t</w:t>
            </w:r>
            <w:r>
              <w:rPr>
                <w:bCs/>
              </w:rPr>
              <w:t>/</w:t>
            </w:r>
            <w:r>
              <w:rPr>
                <w:rFonts w:hint="eastAsia"/>
                <w:bCs/>
              </w:rPr>
              <w:t>a，排放形式为无组织排放。</w:t>
            </w:r>
          </w:p>
          <w:p w14:paraId="6AC4C61D">
            <w:pPr>
              <w:ind w:firstLine="420"/>
            </w:pPr>
            <w:r>
              <w:rPr>
                <w:rFonts w:hint="eastAsia"/>
              </w:rPr>
              <w:t>（</w:t>
            </w:r>
            <w:r>
              <w:t>4</w:t>
            </w:r>
            <w:r>
              <w:rPr>
                <w:rFonts w:hint="eastAsia"/>
              </w:rPr>
              <w:t>）道路运输扬尘</w:t>
            </w:r>
          </w:p>
          <w:p w14:paraId="5F955354">
            <w:pPr>
              <w:ind w:firstLine="420"/>
              <w:rPr>
                <w:bCs/>
              </w:rPr>
            </w:pPr>
            <w:r>
              <w:rPr>
                <w:rFonts w:hint="eastAsia"/>
                <w:bCs/>
              </w:rPr>
              <w:t>根据本项目生产规模，空车重约5.0t，重车约</w:t>
            </w:r>
            <w:r>
              <w:rPr>
                <w:bCs/>
              </w:rPr>
              <w:t>35.0</w:t>
            </w:r>
            <w:r>
              <w:rPr>
                <w:rFonts w:hint="eastAsia"/>
                <w:bCs/>
              </w:rPr>
              <w:t>t。本项目建筑用石生产量1</w:t>
            </w:r>
            <w:r>
              <w:rPr>
                <w:bCs/>
              </w:rPr>
              <w:t>05000</w:t>
            </w:r>
            <w:r>
              <w:rPr>
                <w:rFonts w:hint="eastAsia"/>
                <w:bCs/>
              </w:rPr>
              <w:t>t</w:t>
            </w:r>
            <w:r>
              <w:rPr>
                <w:bCs/>
              </w:rPr>
              <w:t>/</w:t>
            </w:r>
            <w:r>
              <w:rPr>
                <w:rFonts w:hint="eastAsia"/>
                <w:bCs/>
              </w:rPr>
              <w:t>a，3</w:t>
            </w:r>
            <w:r>
              <w:rPr>
                <w:bCs/>
              </w:rPr>
              <w:t>500</w:t>
            </w:r>
            <w:r>
              <w:rPr>
                <w:rFonts w:hint="eastAsia"/>
                <w:bCs/>
              </w:rPr>
              <w:t>车次/年。</w:t>
            </w:r>
            <w:r>
              <w:rPr>
                <w:bCs/>
              </w:rPr>
              <w:t>运输车辆产生的动力扬尘与地面的清洁程度和车辆行驶速度有关，在完全干燥情况下，可按下列经验公式计算：</w:t>
            </w:r>
          </w:p>
          <w:p w14:paraId="7EAAAF1A">
            <w:pPr>
              <w:ind w:firstLine="420"/>
              <w:jc w:val="center"/>
              <w:rPr>
                <w:bCs/>
              </w:rPr>
            </w:pPr>
            <w:r>
              <w:rPr>
                <w:bCs/>
              </w:rPr>
              <w:t>Q=0.123（V/5）（W/6.8）</w:t>
            </w:r>
            <w:r>
              <w:rPr>
                <w:bCs/>
                <w:vertAlign w:val="superscript"/>
              </w:rPr>
              <w:t>0.85</w:t>
            </w:r>
            <w:r>
              <w:rPr>
                <w:bCs/>
              </w:rPr>
              <w:t>（P/0.5）</w:t>
            </w:r>
            <w:r>
              <w:rPr>
                <w:bCs/>
                <w:vertAlign w:val="superscript"/>
              </w:rPr>
              <w:t>0.75</w:t>
            </w:r>
          </w:p>
          <w:p w14:paraId="750C86BB">
            <w:pPr>
              <w:ind w:firstLine="420"/>
              <w:rPr>
                <w:bCs/>
              </w:rPr>
            </w:pPr>
            <w:r>
              <w:rPr>
                <w:bCs/>
              </w:rPr>
              <w:t>式中，Q-汽车行驶时的扬尘，kg/km·辆；</w:t>
            </w:r>
          </w:p>
          <w:p w14:paraId="7C99B1BC">
            <w:pPr>
              <w:ind w:left="619" w:leftChars="295" w:firstLine="420"/>
              <w:rPr>
                <w:bCs/>
              </w:rPr>
            </w:pPr>
            <w:r>
              <w:rPr>
                <w:bCs/>
              </w:rPr>
              <w:t>V-汽车行驶速度，km/h，取20 km/h；</w:t>
            </w:r>
          </w:p>
          <w:p w14:paraId="2F44789A">
            <w:pPr>
              <w:ind w:left="619" w:leftChars="295" w:firstLine="420"/>
              <w:rPr>
                <w:bCs/>
              </w:rPr>
            </w:pPr>
            <w:r>
              <w:rPr>
                <w:bCs/>
              </w:rPr>
              <w:t>W-汽车载重量，t，取35t计；</w:t>
            </w:r>
          </w:p>
          <w:p w14:paraId="70D376CC">
            <w:pPr>
              <w:ind w:left="619" w:leftChars="295" w:firstLine="420"/>
              <w:rPr>
                <w:bCs/>
              </w:rPr>
            </w:pPr>
            <w:r>
              <w:rPr>
                <w:bCs/>
              </w:rPr>
              <w:t>P-道路表面积尘量，kg/m</w:t>
            </w:r>
            <w:r>
              <w:rPr>
                <w:bCs/>
                <w:vertAlign w:val="superscript"/>
              </w:rPr>
              <w:t>2</w:t>
            </w:r>
            <w:r>
              <w:rPr>
                <w:bCs/>
              </w:rPr>
              <w:t>，取0.</w:t>
            </w:r>
            <w:r>
              <w:rPr>
                <w:rFonts w:hint="eastAsia"/>
                <w:bCs/>
              </w:rPr>
              <w:t>1</w:t>
            </w:r>
            <w:r>
              <w:rPr>
                <w:bCs/>
              </w:rPr>
              <w:t>kg/m</w:t>
            </w:r>
            <w:r>
              <w:rPr>
                <w:bCs/>
                <w:vertAlign w:val="superscript"/>
              </w:rPr>
              <w:t>2</w:t>
            </w:r>
            <w:r>
              <w:rPr>
                <w:bCs/>
              </w:rPr>
              <w:t>。</w:t>
            </w:r>
          </w:p>
          <w:p w14:paraId="7B815B8E">
            <w:pPr>
              <w:ind w:firstLine="420"/>
            </w:pPr>
            <w:r>
              <w:rPr>
                <w:bCs/>
              </w:rPr>
              <w:t>经上述计算，运输车辆行驶时空车的扬尘产生量为0.113kg/km•辆，重车的扬尘产生量为0.592kg/km•辆</w:t>
            </w:r>
            <w:r>
              <w:rPr>
                <w:rFonts w:hint="eastAsia"/>
                <w:bCs/>
              </w:rPr>
              <w:t>。</w:t>
            </w:r>
            <w:r>
              <w:rPr>
                <w:bCs/>
              </w:rPr>
              <w:t>项目车辆在厂区内行驶距离按100m计，则运输车扬尘产生量为0.247t/a。</w:t>
            </w:r>
          </w:p>
          <w:p w14:paraId="2CA242B5">
            <w:pPr>
              <w:ind w:firstLine="422"/>
              <w:rPr>
                <w:bCs/>
              </w:rPr>
            </w:pPr>
            <w:r>
              <w:rPr>
                <w:rFonts w:hint="eastAsia"/>
                <w:b/>
              </w:rPr>
              <w:t>污染</w:t>
            </w:r>
            <w:r>
              <w:rPr>
                <w:b/>
              </w:rPr>
              <w:t>治理措施</w:t>
            </w:r>
            <w:r>
              <w:rPr>
                <w:bCs/>
              </w:rPr>
              <w:t>：为保证运输车辆扬尘不会对周围环境造成影响，</w:t>
            </w:r>
            <w:r>
              <w:rPr>
                <w:rFonts w:hint="eastAsia"/>
                <w:bCs/>
              </w:rPr>
              <w:t>环评要求</w:t>
            </w:r>
            <w:r>
              <w:rPr>
                <w:bCs/>
              </w:rPr>
              <w:t>建设单位采取以下治理措施：</w:t>
            </w:r>
          </w:p>
          <w:p w14:paraId="67E5F7C9">
            <w:pPr>
              <w:ind w:firstLine="420"/>
              <w:rPr>
                <w:bCs/>
              </w:rPr>
            </w:pPr>
            <w:r>
              <w:rPr>
                <w:rFonts w:hint="eastAsia"/>
                <w:bCs/>
              </w:rPr>
              <w:t>①</w:t>
            </w:r>
            <w:r>
              <w:rPr>
                <w:bCs/>
              </w:rPr>
              <w:t>对项目区道路地面进行硬化，每天进行3次洒水降尘，还应定期维护厂区道路地面；</w:t>
            </w:r>
          </w:p>
          <w:p w14:paraId="7C5FD8A5">
            <w:pPr>
              <w:ind w:firstLine="420"/>
              <w:rPr>
                <w:bCs/>
              </w:rPr>
            </w:pPr>
            <w:r>
              <w:rPr>
                <w:rFonts w:hint="eastAsia"/>
                <w:bCs/>
              </w:rPr>
              <w:t>②</w:t>
            </w:r>
            <w:r>
              <w:rPr>
                <w:bCs/>
              </w:rPr>
              <w:t>厂区设置车辆冲洗设施，清洗车轮泥土；</w:t>
            </w:r>
          </w:p>
          <w:p w14:paraId="04073119">
            <w:pPr>
              <w:ind w:firstLine="420"/>
              <w:rPr>
                <w:bCs/>
              </w:rPr>
            </w:pPr>
            <w:r>
              <w:rPr>
                <w:rFonts w:hint="eastAsia"/>
                <w:bCs/>
              </w:rPr>
              <w:t>③</w:t>
            </w:r>
            <w:r>
              <w:rPr>
                <w:bCs/>
              </w:rPr>
              <w:t>车辆运输过程，选用密闭车辆或车辆加盖防尘帆布，不得超重、超载，沿途运输途径敏感目标时应减速行驶，低速通过。类比同类项目分析，为减少车辆运输起尘，对厂区道路堆场进行硬化处理，对汽车和行使路面进行洒水降尘抑尘效率能达到60%以上。</w:t>
            </w:r>
          </w:p>
          <w:p w14:paraId="5289B124">
            <w:pPr>
              <w:ind w:firstLine="420"/>
            </w:pPr>
            <w:r>
              <w:rPr>
                <w:bCs/>
              </w:rPr>
              <w:t>采取以上治理措施后，抑尘效率</w:t>
            </w:r>
            <w:r>
              <w:rPr>
                <w:rFonts w:hint="eastAsia"/>
                <w:bCs/>
              </w:rPr>
              <w:t>取</w:t>
            </w:r>
            <w:r>
              <w:rPr>
                <w:bCs/>
              </w:rPr>
              <w:t>60%，同时减少原辅料运输过程中对沿途环境产生的扬尘污染，则车辆运输过程</w:t>
            </w:r>
            <w:r>
              <w:rPr>
                <w:rFonts w:hint="eastAsia"/>
                <w:bCs/>
              </w:rPr>
              <w:t>中</w:t>
            </w:r>
            <w:r>
              <w:rPr>
                <w:bCs/>
              </w:rPr>
              <w:t>无组织扬尘排放量为0.099t/a。</w:t>
            </w:r>
          </w:p>
          <w:p w14:paraId="07216774">
            <w:pPr>
              <w:ind w:firstLine="420"/>
            </w:pPr>
            <w:r>
              <w:rPr>
                <w:rFonts w:hint="eastAsia"/>
              </w:rPr>
              <w:t>（</w:t>
            </w:r>
            <w:r>
              <w:t>5</w:t>
            </w:r>
            <w:r>
              <w:rPr>
                <w:rFonts w:hint="eastAsia"/>
              </w:rPr>
              <w:t>）车辆尾气</w:t>
            </w:r>
          </w:p>
          <w:p w14:paraId="58DE6C98">
            <w:pPr>
              <w:ind w:firstLine="420"/>
              <w:rPr>
                <w:bCs/>
              </w:rPr>
            </w:pPr>
            <w:r>
              <w:rPr>
                <w:bCs/>
              </w:rPr>
              <w:t>项目营运期将有一定量的车辆进出于场内，车辆排放尾气污染物主要有SO</w:t>
            </w:r>
            <w:r>
              <w:rPr>
                <w:bCs/>
                <w:vertAlign w:val="subscript"/>
              </w:rPr>
              <w:t>2</w:t>
            </w:r>
            <w:r>
              <w:rPr>
                <w:bCs/>
              </w:rPr>
              <w:t>、CO、NO</w:t>
            </w:r>
            <w:r>
              <w:rPr>
                <w:bCs/>
                <w:vertAlign w:val="subscript"/>
              </w:rPr>
              <w:t>X</w:t>
            </w:r>
            <w:r>
              <w:rPr>
                <w:bCs/>
              </w:rPr>
              <w:t>等，车辆尾气属于无组织排放方式，具有间歇性和流动性等特点，且场内空旷不会对周边环境造成明显的影响。</w:t>
            </w:r>
          </w:p>
          <w:p w14:paraId="4E2C1BCD">
            <w:pPr>
              <w:ind w:firstLine="422"/>
              <w:rPr>
                <w:bCs/>
              </w:rPr>
            </w:pPr>
            <w:r>
              <w:rPr>
                <w:b/>
                <w:bCs/>
              </w:rPr>
              <w:t>治理措施：</w:t>
            </w:r>
            <w:r>
              <w:rPr>
                <w:bCs/>
              </w:rPr>
              <w:t>选用符合燃油标准的油品；选择环保型设备，加强车辆和施工机械维护，确保正常使用，项目所有燃油废气、汽车尾气排放应执行《</w:t>
            </w:r>
            <w:r>
              <w:rPr>
                <w:rFonts w:hint="eastAsia"/>
                <w:bCs/>
              </w:rPr>
              <w:t>重型柴油车污染物排放限值及测量方法</w:t>
            </w:r>
            <w:r>
              <w:rPr>
                <w:bCs/>
              </w:rPr>
              <w:t>（中国</w:t>
            </w:r>
            <w:r>
              <w:rPr>
                <w:rFonts w:hint="eastAsia"/>
                <w:bCs/>
              </w:rPr>
              <w:t>第六</w:t>
            </w:r>
            <w:r>
              <w:rPr>
                <w:bCs/>
              </w:rPr>
              <w:t>阶段）》（GB 17691-2018）尾气排放标准；运输车辆按规定方向进出，减少怠速行驶，将尾气排放降到最低。</w:t>
            </w:r>
          </w:p>
          <w:p w14:paraId="4D445327">
            <w:pPr>
              <w:ind w:firstLine="420"/>
              <w:rPr>
                <w:bCs/>
              </w:rPr>
            </w:pPr>
            <w:r>
              <w:rPr>
                <w:rFonts w:hint="eastAsia"/>
                <w:bCs/>
              </w:rPr>
              <w:t>重污染天气应按照《重污染天气重点行业移动源应急管理技术指南（试行）》中相关管控要求执行。具体如下：</w:t>
            </w:r>
          </w:p>
          <w:p w14:paraId="2A24CA97">
            <w:pPr>
              <w:ind w:firstLine="420"/>
            </w:pPr>
            <w:r>
              <w:rPr>
                <w:rFonts w:hint="eastAsia"/>
              </w:rPr>
              <w:t>①禁止使用国三以下排放标准的非道路移动机械进入重点管控区域周边范围内作业；</w:t>
            </w:r>
          </w:p>
          <w:p w14:paraId="0C194E26">
            <w:pPr>
              <w:ind w:firstLine="420"/>
            </w:pPr>
            <w:r>
              <w:rPr>
                <w:rFonts w:hint="eastAsia"/>
              </w:rPr>
              <w:t>②严格实施新车国五、国六排放标准，未达标的不得注册登记。</w:t>
            </w:r>
          </w:p>
          <w:p w14:paraId="07B2E40B">
            <w:pPr>
              <w:ind w:firstLine="420"/>
            </w:pPr>
            <w:r>
              <w:rPr>
                <w:rFonts w:hint="eastAsia"/>
              </w:rPr>
              <w:t>③重污染天气期间，停止使用国四及以下重型载货车辆进行运输。</w:t>
            </w:r>
          </w:p>
          <w:p w14:paraId="13D03F3B">
            <w:pPr>
              <w:ind w:firstLine="420"/>
            </w:pPr>
            <w:r>
              <w:rPr>
                <w:rFonts w:hint="eastAsia"/>
              </w:rPr>
              <w:t>（</w:t>
            </w:r>
            <w:r>
              <w:t>6</w:t>
            </w:r>
            <w:r>
              <w:rPr>
                <w:rFonts w:hint="eastAsia"/>
              </w:rPr>
              <w:t>）食堂油烟</w:t>
            </w:r>
          </w:p>
          <w:p w14:paraId="653FF42F">
            <w:pPr>
              <w:ind w:firstLine="420"/>
            </w:pPr>
            <w:r>
              <w:rPr>
                <w:rFonts w:hint="eastAsia"/>
              </w:rPr>
              <w:t>本项目设置一座食堂（</w:t>
            </w:r>
            <w:r>
              <w:t>2</w:t>
            </w:r>
            <w:r>
              <w:rPr>
                <w:rFonts w:hint="eastAsia"/>
              </w:rPr>
              <w:t>个灶头），为公司职工提供一日三餐。根据《中国居民膳食指南》中推荐每人每日食用油的摄入量为25~30g，本次环评取30g/人·d，本项目就餐职工1</w:t>
            </w:r>
            <w:r>
              <w:t>5</w:t>
            </w:r>
            <w:r>
              <w:rPr>
                <w:rFonts w:hint="eastAsia"/>
              </w:rPr>
              <w:t>人，年工作</w:t>
            </w:r>
            <w:r>
              <w:t>3</w:t>
            </w:r>
            <w:r>
              <w:rPr>
                <w:rFonts w:hint="eastAsia"/>
              </w:rPr>
              <w:t>00天，则耗油量为</w:t>
            </w:r>
            <w:r>
              <w:t>0.135</w:t>
            </w:r>
            <w:r>
              <w:rPr>
                <w:rFonts w:hint="eastAsia"/>
              </w:rPr>
              <w:t>t</w:t>
            </w:r>
            <w:r>
              <w:t>/</w:t>
            </w:r>
            <w:r>
              <w:rPr>
                <w:rFonts w:hint="eastAsia"/>
              </w:rPr>
              <w:t>a。根据不同的炒炸工况，油的挥发量不同，一般油烟挥发量占总耗油量的2%-4%，环评取3%。则项目食堂产生的油烟量为</w:t>
            </w:r>
            <w:r>
              <w:t>0.405</w:t>
            </w:r>
            <w:r>
              <w:rPr>
                <w:rFonts w:hint="eastAsia"/>
              </w:rPr>
              <w:t>kg/a。</w:t>
            </w:r>
          </w:p>
          <w:p w14:paraId="7A030DE7">
            <w:pPr>
              <w:ind w:firstLine="420"/>
            </w:pPr>
            <w:r>
              <w:rPr>
                <w:rFonts w:hint="eastAsia"/>
              </w:rPr>
              <w:t>食堂产生的油烟的工序每天工作3h，油烟经抽油烟机处理后通过食堂屋顶的烟囱排放。抽油烟机设计风量6</w:t>
            </w:r>
            <w:r>
              <w:t>00</w:t>
            </w:r>
            <w:r>
              <w:rPr>
                <w:rFonts w:hint="eastAsia"/>
              </w:rPr>
              <w:t>m</w:t>
            </w:r>
            <w:r>
              <w:rPr>
                <w:vertAlign w:val="superscript"/>
              </w:rPr>
              <w:t>3</w:t>
            </w:r>
            <w:r>
              <w:t>/</w:t>
            </w:r>
            <w:r>
              <w:rPr>
                <w:rFonts w:hint="eastAsia"/>
              </w:rPr>
              <w:t>h，处理效率不低于6</w:t>
            </w:r>
            <w:r>
              <w:t>0%</w:t>
            </w:r>
            <w:r>
              <w:rPr>
                <w:rFonts w:hint="eastAsia"/>
              </w:rPr>
              <w:t>，则油烟排放浓度为0</w:t>
            </w:r>
            <w:r>
              <w:t>.3</w:t>
            </w:r>
            <w:r>
              <w:rPr>
                <w:rFonts w:hint="eastAsia"/>
              </w:rPr>
              <w:t>mg</w:t>
            </w:r>
            <w:r>
              <w:t>/</w:t>
            </w:r>
            <w:r>
              <w:rPr>
                <w:rFonts w:hint="eastAsia"/>
              </w:rPr>
              <w:t>m</w:t>
            </w:r>
            <w:r>
              <w:rPr>
                <w:vertAlign w:val="superscript"/>
              </w:rPr>
              <w:t>3</w:t>
            </w:r>
            <w:r>
              <w:rPr>
                <w:rFonts w:hint="eastAsia"/>
              </w:rPr>
              <w:t>，排放量为0</w:t>
            </w:r>
            <w:r>
              <w:t>.162</w:t>
            </w:r>
            <w:r>
              <w:rPr>
                <w:rFonts w:hint="eastAsia"/>
              </w:rPr>
              <w:t>kg</w:t>
            </w:r>
            <w:r>
              <w:t>/</w:t>
            </w:r>
            <w:r>
              <w:rPr>
                <w:rFonts w:hint="eastAsia"/>
              </w:rPr>
              <w:t>a，满足《饮食业油烟排放标准（试行）》（GB18483-2001）标准要求。</w:t>
            </w:r>
          </w:p>
          <w:p w14:paraId="36F9319B">
            <w:pPr>
              <w:ind w:firstLine="420"/>
            </w:pPr>
            <w:r>
              <w:rPr>
                <w:rFonts w:hint="eastAsia"/>
              </w:rPr>
              <w:t>（</w:t>
            </w:r>
            <w:r>
              <w:t>7</w:t>
            </w:r>
            <w:r>
              <w:rPr>
                <w:rFonts w:hint="eastAsia"/>
              </w:rPr>
              <w:t>）生物质锅炉燃烧废气</w:t>
            </w:r>
          </w:p>
          <w:p w14:paraId="0D5A77ED">
            <w:pPr>
              <w:ind w:firstLine="420"/>
            </w:pPr>
            <w:r>
              <w:rPr>
                <w:rFonts w:hint="eastAsia"/>
              </w:rPr>
              <w:t>本项目拟建1台1</w:t>
            </w:r>
            <w:r>
              <w:t>0</w:t>
            </w:r>
            <w:r>
              <w:rPr>
                <w:rFonts w:hint="eastAsia"/>
              </w:rPr>
              <w:t>t</w:t>
            </w:r>
            <w:r>
              <w:t>/</w:t>
            </w:r>
            <w:r>
              <w:rPr>
                <w:rFonts w:hint="eastAsia"/>
              </w:rPr>
              <w:t>h生物质燃料锅炉，根据《排放源统计调查产排污核算方法和系数手册-</w:t>
            </w:r>
            <w:r>
              <w:t>4430</w:t>
            </w:r>
            <w:r>
              <w:rPr>
                <w:rFonts w:hint="eastAsia"/>
              </w:rPr>
              <w:t>工业锅炉（热力供应）行业系数手册》，生物质锅炉废气污染物产生情况如下：</w:t>
            </w:r>
          </w:p>
          <w:p w14:paraId="7F34E547">
            <w:pPr>
              <w:pStyle w:val="156"/>
            </w:pPr>
            <w:r>
              <w:rPr>
                <w:rFonts w:hint="eastAsia"/>
              </w:rPr>
              <w:t>表4</w:t>
            </w:r>
            <w:r>
              <w:t xml:space="preserve">-4  </w:t>
            </w:r>
            <w:r>
              <w:rPr>
                <w:rFonts w:hint="eastAsia"/>
              </w:rPr>
              <w:t>生物质锅炉废气产生情况</w:t>
            </w:r>
          </w:p>
          <w:tbl>
            <w:tblPr>
              <w:tblStyle w:val="19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66"/>
              <w:gridCol w:w="1134"/>
              <w:gridCol w:w="993"/>
              <w:gridCol w:w="1275"/>
              <w:gridCol w:w="1843"/>
              <w:gridCol w:w="1645"/>
            </w:tblGrid>
            <w:tr w14:paraId="469B5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66" w:type="dxa"/>
                  <w:vAlign w:val="center"/>
                </w:tcPr>
                <w:p w14:paraId="58B26A7D">
                  <w:pPr>
                    <w:pStyle w:val="135"/>
                    <w:adjustRightInd w:val="0"/>
                    <w:snapToGrid w:val="0"/>
                    <w:rPr>
                      <w:b/>
                      <w:bCs/>
                    </w:rPr>
                  </w:pPr>
                  <w:r>
                    <w:rPr>
                      <w:rFonts w:hint="eastAsia"/>
                      <w:b/>
                      <w:bCs/>
                    </w:rPr>
                    <w:t>污染物</w:t>
                  </w:r>
                </w:p>
              </w:tc>
              <w:tc>
                <w:tcPr>
                  <w:tcW w:w="1134" w:type="dxa"/>
                  <w:vAlign w:val="center"/>
                </w:tcPr>
                <w:p w14:paraId="4FAC26AF">
                  <w:pPr>
                    <w:pStyle w:val="135"/>
                    <w:adjustRightInd w:val="0"/>
                    <w:snapToGrid w:val="0"/>
                    <w:rPr>
                      <w:b/>
                      <w:bCs/>
                    </w:rPr>
                  </w:pPr>
                  <w:r>
                    <w:rPr>
                      <w:rFonts w:hint="eastAsia"/>
                      <w:b/>
                      <w:bCs/>
                    </w:rPr>
                    <w:t>核算方法</w:t>
                  </w:r>
                </w:p>
              </w:tc>
              <w:tc>
                <w:tcPr>
                  <w:tcW w:w="993" w:type="dxa"/>
                  <w:vAlign w:val="center"/>
                </w:tcPr>
                <w:p w14:paraId="71AF02C1">
                  <w:pPr>
                    <w:pStyle w:val="135"/>
                    <w:adjustRightInd w:val="0"/>
                    <w:snapToGrid w:val="0"/>
                    <w:rPr>
                      <w:b/>
                      <w:bCs/>
                    </w:rPr>
                  </w:pPr>
                  <w:r>
                    <w:rPr>
                      <w:rFonts w:hint="eastAsia"/>
                      <w:b/>
                      <w:bCs/>
                    </w:rPr>
                    <w:t>年工作时间</w:t>
                  </w:r>
                </w:p>
              </w:tc>
              <w:tc>
                <w:tcPr>
                  <w:tcW w:w="1275" w:type="dxa"/>
                  <w:vAlign w:val="center"/>
                </w:tcPr>
                <w:p w14:paraId="1A54E949">
                  <w:pPr>
                    <w:pStyle w:val="135"/>
                    <w:adjustRightInd w:val="0"/>
                    <w:snapToGrid w:val="0"/>
                    <w:rPr>
                      <w:b/>
                      <w:bCs/>
                    </w:rPr>
                  </w:pPr>
                  <w:r>
                    <w:rPr>
                      <w:rFonts w:hint="eastAsia"/>
                      <w:b/>
                      <w:bCs/>
                    </w:rPr>
                    <w:t>原料使用量</w:t>
                  </w:r>
                </w:p>
              </w:tc>
              <w:tc>
                <w:tcPr>
                  <w:tcW w:w="1843" w:type="dxa"/>
                  <w:vAlign w:val="center"/>
                </w:tcPr>
                <w:p w14:paraId="4686439A">
                  <w:pPr>
                    <w:pStyle w:val="135"/>
                    <w:adjustRightInd w:val="0"/>
                    <w:snapToGrid w:val="0"/>
                    <w:rPr>
                      <w:b/>
                      <w:bCs/>
                    </w:rPr>
                  </w:pPr>
                  <w:r>
                    <w:rPr>
                      <w:rFonts w:hint="eastAsia"/>
                      <w:b/>
                      <w:bCs/>
                    </w:rPr>
                    <w:t>产污系数</w:t>
                  </w:r>
                </w:p>
              </w:tc>
              <w:tc>
                <w:tcPr>
                  <w:tcW w:w="1645" w:type="dxa"/>
                  <w:vAlign w:val="center"/>
                </w:tcPr>
                <w:p w14:paraId="27DC399F">
                  <w:pPr>
                    <w:pStyle w:val="135"/>
                    <w:adjustRightInd w:val="0"/>
                    <w:snapToGrid w:val="0"/>
                    <w:rPr>
                      <w:b/>
                      <w:bCs/>
                    </w:rPr>
                  </w:pPr>
                  <w:r>
                    <w:rPr>
                      <w:rFonts w:hint="eastAsia"/>
                      <w:b/>
                      <w:bCs/>
                    </w:rPr>
                    <w:t>产生量</w:t>
                  </w:r>
                </w:p>
              </w:tc>
            </w:tr>
            <w:tr w14:paraId="7D9C3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66" w:type="dxa"/>
                  <w:vAlign w:val="center"/>
                </w:tcPr>
                <w:p w14:paraId="508A51FB">
                  <w:pPr>
                    <w:pStyle w:val="135"/>
                    <w:adjustRightInd w:val="0"/>
                    <w:snapToGrid w:val="0"/>
                  </w:pPr>
                  <w:r>
                    <w:rPr>
                      <w:rFonts w:hint="eastAsia"/>
                    </w:rPr>
                    <w:t>工业废气量</w:t>
                  </w:r>
                </w:p>
              </w:tc>
              <w:tc>
                <w:tcPr>
                  <w:tcW w:w="1134" w:type="dxa"/>
                  <w:vAlign w:val="center"/>
                </w:tcPr>
                <w:p w14:paraId="6577ED50">
                  <w:pPr>
                    <w:pStyle w:val="135"/>
                    <w:adjustRightInd w:val="0"/>
                    <w:snapToGrid w:val="0"/>
                  </w:pPr>
                  <w:r>
                    <w:rPr>
                      <w:rFonts w:hint="eastAsia"/>
                    </w:rPr>
                    <w:t>产污系数法</w:t>
                  </w:r>
                </w:p>
              </w:tc>
              <w:tc>
                <w:tcPr>
                  <w:tcW w:w="993" w:type="dxa"/>
                  <w:vMerge w:val="restart"/>
                  <w:vAlign w:val="center"/>
                </w:tcPr>
                <w:p w14:paraId="27834012">
                  <w:pPr>
                    <w:pStyle w:val="135"/>
                    <w:adjustRightInd w:val="0"/>
                    <w:snapToGrid w:val="0"/>
                  </w:pPr>
                  <w:r>
                    <w:rPr>
                      <w:rFonts w:hint="eastAsia"/>
                    </w:rPr>
                    <w:t>1</w:t>
                  </w:r>
                  <w:r>
                    <w:t>200</w:t>
                  </w:r>
                  <w:r>
                    <w:rPr>
                      <w:rFonts w:hint="eastAsia"/>
                    </w:rPr>
                    <w:t>h</w:t>
                  </w:r>
                  <w:r>
                    <w:t>/</w:t>
                  </w:r>
                  <w:r>
                    <w:rPr>
                      <w:rFonts w:hint="eastAsia"/>
                    </w:rPr>
                    <w:t>a</w:t>
                  </w:r>
                </w:p>
              </w:tc>
              <w:tc>
                <w:tcPr>
                  <w:tcW w:w="1275" w:type="dxa"/>
                  <w:vMerge w:val="restart"/>
                  <w:vAlign w:val="center"/>
                </w:tcPr>
                <w:p w14:paraId="44D7FBD1">
                  <w:pPr>
                    <w:pStyle w:val="135"/>
                    <w:adjustRightInd w:val="0"/>
                    <w:snapToGrid w:val="0"/>
                  </w:pPr>
                  <w:r>
                    <w:rPr>
                      <w:rFonts w:hint="eastAsia"/>
                    </w:rPr>
                    <w:t>2</w:t>
                  </w:r>
                  <w:r>
                    <w:t>310</w:t>
                  </w:r>
                  <w:r>
                    <w:rPr>
                      <w:rFonts w:hint="eastAsia"/>
                    </w:rPr>
                    <w:t>t</w:t>
                  </w:r>
                  <w:r>
                    <w:t>/</w:t>
                  </w:r>
                  <w:r>
                    <w:rPr>
                      <w:rFonts w:hint="eastAsia"/>
                    </w:rPr>
                    <w:t>a</w:t>
                  </w:r>
                </w:p>
              </w:tc>
              <w:tc>
                <w:tcPr>
                  <w:tcW w:w="1843" w:type="dxa"/>
                  <w:vAlign w:val="center"/>
                </w:tcPr>
                <w:p w14:paraId="2CE44E07">
                  <w:pPr>
                    <w:pStyle w:val="135"/>
                    <w:adjustRightInd w:val="0"/>
                    <w:snapToGrid w:val="0"/>
                  </w:pPr>
                  <w:r>
                    <w:rPr>
                      <w:rFonts w:hint="eastAsia"/>
                    </w:rPr>
                    <w:t>6</w:t>
                  </w:r>
                  <w:r>
                    <w:t>240</w:t>
                  </w:r>
                  <w:r>
                    <w:rPr>
                      <w:rFonts w:hint="eastAsia"/>
                    </w:rPr>
                    <w:t>标立方米/吨-原料</w:t>
                  </w:r>
                </w:p>
              </w:tc>
              <w:tc>
                <w:tcPr>
                  <w:tcW w:w="1645" w:type="dxa"/>
                  <w:vAlign w:val="center"/>
                </w:tcPr>
                <w:p w14:paraId="4D9238DC">
                  <w:pPr>
                    <w:pStyle w:val="135"/>
                    <w:adjustRightInd w:val="0"/>
                    <w:snapToGrid w:val="0"/>
                  </w:pPr>
                  <w:r>
                    <w:rPr>
                      <w:rFonts w:hint="eastAsia"/>
                    </w:rPr>
                    <w:t>1</w:t>
                  </w:r>
                  <w:r>
                    <w:t>2011</w:t>
                  </w:r>
                  <w:r>
                    <w:rPr>
                      <w:rFonts w:hint="eastAsia"/>
                    </w:rPr>
                    <w:t>Nm</w:t>
                  </w:r>
                  <w:r>
                    <w:rPr>
                      <w:vertAlign w:val="superscript"/>
                    </w:rPr>
                    <w:t>3</w:t>
                  </w:r>
                  <w:r>
                    <w:t>/</w:t>
                  </w:r>
                  <w:r>
                    <w:rPr>
                      <w:rFonts w:hint="eastAsia"/>
                    </w:rPr>
                    <w:t>h</w:t>
                  </w:r>
                </w:p>
              </w:tc>
            </w:tr>
            <w:tr w14:paraId="165DA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66" w:type="dxa"/>
                  <w:vAlign w:val="center"/>
                </w:tcPr>
                <w:p w14:paraId="53D479F8">
                  <w:pPr>
                    <w:pStyle w:val="135"/>
                    <w:adjustRightInd w:val="0"/>
                    <w:snapToGrid w:val="0"/>
                  </w:pPr>
                  <w:r>
                    <w:rPr>
                      <w:rFonts w:hint="eastAsia"/>
                    </w:rPr>
                    <w:t>二氧化硫</w:t>
                  </w:r>
                </w:p>
              </w:tc>
              <w:tc>
                <w:tcPr>
                  <w:tcW w:w="1134" w:type="dxa"/>
                  <w:vAlign w:val="center"/>
                </w:tcPr>
                <w:p w14:paraId="19580885">
                  <w:pPr>
                    <w:pStyle w:val="135"/>
                    <w:adjustRightInd w:val="0"/>
                    <w:snapToGrid w:val="0"/>
                  </w:pPr>
                  <w:r>
                    <w:rPr>
                      <w:rFonts w:hint="eastAsia"/>
                    </w:rPr>
                    <w:t>产污系数法</w:t>
                  </w:r>
                </w:p>
              </w:tc>
              <w:tc>
                <w:tcPr>
                  <w:tcW w:w="993" w:type="dxa"/>
                  <w:vMerge w:val="continue"/>
                  <w:vAlign w:val="center"/>
                </w:tcPr>
                <w:p w14:paraId="687DB1F0">
                  <w:pPr>
                    <w:pStyle w:val="135"/>
                    <w:adjustRightInd w:val="0"/>
                    <w:snapToGrid w:val="0"/>
                  </w:pPr>
                </w:p>
              </w:tc>
              <w:tc>
                <w:tcPr>
                  <w:tcW w:w="1275" w:type="dxa"/>
                  <w:vMerge w:val="continue"/>
                  <w:vAlign w:val="center"/>
                </w:tcPr>
                <w:p w14:paraId="614B9F98">
                  <w:pPr>
                    <w:pStyle w:val="135"/>
                    <w:adjustRightInd w:val="0"/>
                    <w:snapToGrid w:val="0"/>
                  </w:pPr>
                </w:p>
              </w:tc>
              <w:tc>
                <w:tcPr>
                  <w:tcW w:w="1843" w:type="dxa"/>
                  <w:vAlign w:val="center"/>
                </w:tcPr>
                <w:p w14:paraId="2D367CC9">
                  <w:pPr>
                    <w:pStyle w:val="135"/>
                    <w:adjustRightInd w:val="0"/>
                    <w:snapToGrid w:val="0"/>
                  </w:pPr>
                  <w:r>
                    <w:rPr>
                      <w:rFonts w:hint="eastAsia"/>
                    </w:rPr>
                    <w:t>1</w:t>
                  </w:r>
                  <w:r>
                    <w:t>7</w:t>
                  </w:r>
                  <w:r>
                    <w:rPr>
                      <w:rFonts w:hint="eastAsia"/>
                    </w:rPr>
                    <w:t>S千克/吨-原料</w:t>
                  </w:r>
                </w:p>
              </w:tc>
              <w:tc>
                <w:tcPr>
                  <w:tcW w:w="1645" w:type="dxa"/>
                  <w:vAlign w:val="center"/>
                </w:tcPr>
                <w:p w14:paraId="1E5DFA72">
                  <w:pPr>
                    <w:pStyle w:val="135"/>
                    <w:adjustRightInd w:val="0"/>
                    <w:snapToGrid w:val="0"/>
                  </w:pPr>
                  <w:r>
                    <w:t>1.099</w:t>
                  </w:r>
                  <w:r>
                    <w:rPr>
                      <w:rFonts w:hint="eastAsia"/>
                    </w:rPr>
                    <w:t>t</w:t>
                  </w:r>
                  <w:r>
                    <w:t>/</w:t>
                  </w:r>
                  <w:r>
                    <w:rPr>
                      <w:rFonts w:hint="eastAsia"/>
                    </w:rPr>
                    <w:t>a</w:t>
                  </w:r>
                </w:p>
              </w:tc>
            </w:tr>
            <w:tr w14:paraId="033EA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66" w:type="dxa"/>
                  <w:vAlign w:val="center"/>
                </w:tcPr>
                <w:p w14:paraId="6C6ADEF5">
                  <w:pPr>
                    <w:pStyle w:val="135"/>
                    <w:adjustRightInd w:val="0"/>
                    <w:snapToGrid w:val="0"/>
                  </w:pPr>
                  <w:r>
                    <w:rPr>
                      <w:rFonts w:hint="eastAsia"/>
                    </w:rPr>
                    <w:t>颗粒物</w:t>
                  </w:r>
                </w:p>
              </w:tc>
              <w:tc>
                <w:tcPr>
                  <w:tcW w:w="1134" w:type="dxa"/>
                  <w:vAlign w:val="center"/>
                </w:tcPr>
                <w:p w14:paraId="5AF84022">
                  <w:pPr>
                    <w:pStyle w:val="135"/>
                    <w:adjustRightInd w:val="0"/>
                    <w:snapToGrid w:val="0"/>
                  </w:pPr>
                  <w:r>
                    <w:rPr>
                      <w:rFonts w:hint="eastAsia"/>
                    </w:rPr>
                    <w:t>产污系数法</w:t>
                  </w:r>
                </w:p>
              </w:tc>
              <w:tc>
                <w:tcPr>
                  <w:tcW w:w="993" w:type="dxa"/>
                  <w:vMerge w:val="continue"/>
                  <w:vAlign w:val="center"/>
                </w:tcPr>
                <w:p w14:paraId="22B666FD">
                  <w:pPr>
                    <w:pStyle w:val="135"/>
                    <w:adjustRightInd w:val="0"/>
                    <w:snapToGrid w:val="0"/>
                  </w:pPr>
                </w:p>
              </w:tc>
              <w:tc>
                <w:tcPr>
                  <w:tcW w:w="1275" w:type="dxa"/>
                  <w:vMerge w:val="continue"/>
                  <w:vAlign w:val="center"/>
                </w:tcPr>
                <w:p w14:paraId="00C13E2F">
                  <w:pPr>
                    <w:pStyle w:val="135"/>
                    <w:adjustRightInd w:val="0"/>
                    <w:snapToGrid w:val="0"/>
                  </w:pPr>
                </w:p>
              </w:tc>
              <w:tc>
                <w:tcPr>
                  <w:tcW w:w="1843" w:type="dxa"/>
                  <w:vAlign w:val="center"/>
                </w:tcPr>
                <w:p w14:paraId="107B3EC9">
                  <w:pPr>
                    <w:pStyle w:val="135"/>
                    <w:adjustRightInd w:val="0"/>
                    <w:snapToGrid w:val="0"/>
                  </w:pPr>
                  <w:r>
                    <w:t>0.5</w:t>
                  </w:r>
                  <w:r>
                    <w:rPr>
                      <w:rFonts w:hint="eastAsia"/>
                    </w:rPr>
                    <w:t>千克/吨-原料</w:t>
                  </w:r>
                </w:p>
              </w:tc>
              <w:tc>
                <w:tcPr>
                  <w:tcW w:w="1645" w:type="dxa"/>
                  <w:vAlign w:val="center"/>
                </w:tcPr>
                <w:p w14:paraId="632450DA">
                  <w:pPr>
                    <w:pStyle w:val="135"/>
                    <w:adjustRightInd w:val="0"/>
                    <w:snapToGrid w:val="0"/>
                  </w:pPr>
                  <w:r>
                    <w:rPr>
                      <w:rFonts w:hint="eastAsia"/>
                    </w:rPr>
                    <w:t>1</w:t>
                  </w:r>
                  <w:r>
                    <w:t>.155</w:t>
                  </w:r>
                  <w:r>
                    <w:rPr>
                      <w:rFonts w:hint="eastAsia"/>
                    </w:rPr>
                    <w:t>t</w:t>
                  </w:r>
                  <w:r>
                    <w:t>/</w:t>
                  </w:r>
                  <w:r>
                    <w:rPr>
                      <w:rFonts w:hint="eastAsia"/>
                    </w:rPr>
                    <w:t>a</w:t>
                  </w:r>
                </w:p>
              </w:tc>
            </w:tr>
            <w:tr w14:paraId="7EBDFF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66" w:type="dxa"/>
                  <w:vAlign w:val="center"/>
                </w:tcPr>
                <w:p w14:paraId="161FD6DB">
                  <w:pPr>
                    <w:pStyle w:val="135"/>
                    <w:adjustRightInd w:val="0"/>
                    <w:snapToGrid w:val="0"/>
                  </w:pPr>
                  <w:r>
                    <w:rPr>
                      <w:rFonts w:hint="eastAsia"/>
                    </w:rPr>
                    <w:t>氮氧化物</w:t>
                  </w:r>
                </w:p>
              </w:tc>
              <w:tc>
                <w:tcPr>
                  <w:tcW w:w="1134" w:type="dxa"/>
                  <w:vAlign w:val="center"/>
                </w:tcPr>
                <w:p w14:paraId="5E8247AE">
                  <w:pPr>
                    <w:pStyle w:val="135"/>
                    <w:adjustRightInd w:val="0"/>
                    <w:snapToGrid w:val="0"/>
                  </w:pPr>
                  <w:r>
                    <w:rPr>
                      <w:rFonts w:hint="eastAsia"/>
                    </w:rPr>
                    <w:t>产污系数法</w:t>
                  </w:r>
                </w:p>
              </w:tc>
              <w:tc>
                <w:tcPr>
                  <w:tcW w:w="993" w:type="dxa"/>
                  <w:vMerge w:val="continue"/>
                  <w:vAlign w:val="center"/>
                </w:tcPr>
                <w:p w14:paraId="08671791">
                  <w:pPr>
                    <w:pStyle w:val="135"/>
                    <w:adjustRightInd w:val="0"/>
                    <w:snapToGrid w:val="0"/>
                  </w:pPr>
                </w:p>
              </w:tc>
              <w:tc>
                <w:tcPr>
                  <w:tcW w:w="1275" w:type="dxa"/>
                  <w:vMerge w:val="continue"/>
                  <w:vAlign w:val="center"/>
                </w:tcPr>
                <w:p w14:paraId="4704D0ED">
                  <w:pPr>
                    <w:pStyle w:val="135"/>
                    <w:adjustRightInd w:val="0"/>
                    <w:snapToGrid w:val="0"/>
                  </w:pPr>
                </w:p>
              </w:tc>
              <w:tc>
                <w:tcPr>
                  <w:tcW w:w="1843" w:type="dxa"/>
                  <w:vAlign w:val="center"/>
                </w:tcPr>
                <w:p w14:paraId="1ECFF176">
                  <w:pPr>
                    <w:pStyle w:val="135"/>
                    <w:adjustRightInd w:val="0"/>
                    <w:snapToGrid w:val="0"/>
                  </w:pPr>
                  <w:r>
                    <w:rPr>
                      <w:rFonts w:hint="eastAsia"/>
                    </w:rPr>
                    <w:t>1</w:t>
                  </w:r>
                  <w:r>
                    <w:t>.02</w:t>
                  </w:r>
                  <w:r>
                    <w:rPr>
                      <w:rFonts w:hint="eastAsia"/>
                    </w:rPr>
                    <w:t>千克/吨-原料</w:t>
                  </w:r>
                </w:p>
              </w:tc>
              <w:tc>
                <w:tcPr>
                  <w:tcW w:w="1645" w:type="dxa"/>
                  <w:vAlign w:val="center"/>
                </w:tcPr>
                <w:p w14:paraId="2A6EFBC8">
                  <w:pPr>
                    <w:pStyle w:val="135"/>
                    <w:adjustRightInd w:val="0"/>
                    <w:snapToGrid w:val="0"/>
                  </w:pPr>
                  <w:r>
                    <w:rPr>
                      <w:rFonts w:hint="eastAsia"/>
                    </w:rPr>
                    <w:t>2</w:t>
                  </w:r>
                  <w:r>
                    <w:t>.356</w:t>
                  </w:r>
                  <w:r>
                    <w:rPr>
                      <w:rFonts w:hint="eastAsia"/>
                    </w:rPr>
                    <w:t>t</w:t>
                  </w:r>
                  <w:r>
                    <w:t>/</w:t>
                  </w:r>
                  <w:r>
                    <w:rPr>
                      <w:rFonts w:hint="eastAsia"/>
                    </w:rPr>
                    <w:t>a</w:t>
                  </w:r>
                </w:p>
              </w:tc>
            </w:tr>
            <w:tr w14:paraId="052FC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156" w:type="dxa"/>
                  <w:gridSpan w:val="6"/>
                  <w:vAlign w:val="center"/>
                </w:tcPr>
                <w:p w14:paraId="5257D75A">
                  <w:pPr>
                    <w:pStyle w:val="135"/>
                    <w:adjustRightInd w:val="0"/>
                    <w:snapToGrid w:val="0"/>
                    <w:jc w:val="both"/>
                    <w:rPr>
                      <w:b/>
                      <w:bCs/>
                    </w:rPr>
                  </w:pPr>
                  <w:r>
                    <w:rPr>
                      <w:rFonts w:hint="eastAsia"/>
                      <w:b/>
                      <w:bCs/>
                    </w:rPr>
                    <w:t>备注：（1）S为生物质燃料收到基硫含量（%），根据生物质燃料检测报告，项目采用的生物质燃料收到基全水分为6</w:t>
                  </w:r>
                  <w:r>
                    <w:rPr>
                      <w:b/>
                      <w:bCs/>
                    </w:rPr>
                    <w:t>.74%</w:t>
                  </w:r>
                  <w:r>
                    <w:rPr>
                      <w:rFonts w:hint="eastAsia"/>
                      <w:b/>
                      <w:bCs/>
                    </w:rPr>
                    <w:t>，干基硫含量为0</w:t>
                  </w:r>
                  <w:r>
                    <w:rPr>
                      <w:b/>
                      <w:bCs/>
                    </w:rPr>
                    <w:t>.03%</w:t>
                  </w:r>
                  <w:r>
                    <w:rPr>
                      <w:rFonts w:hint="eastAsia"/>
                      <w:b/>
                      <w:bCs/>
                    </w:rPr>
                    <w:t>，折算为收到基硫含量为0</w:t>
                  </w:r>
                  <w:r>
                    <w:rPr>
                      <w:b/>
                      <w:bCs/>
                    </w:rPr>
                    <w:t>.028%</w:t>
                  </w:r>
                  <w:r>
                    <w:rPr>
                      <w:rFonts w:hint="eastAsia"/>
                      <w:b/>
                      <w:bCs/>
                    </w:rPr>
                    <w:t>；</w:t>
                  </w:r>
                </w:p>
                <w:p w14:paraId="570F68AE">
                  <w:pPr>
                    <w:pStyle w:val="135"/>
                    <w:adjustRightInd w:val="0"/>
                    <w:snapToGrid w:val="0"/>
                    <w:jc w:val="both"/>
                  </w:pPr>
                  <w:r>
                    <w:rPr>
                      <w:rFonts w:hint="eastAsia"/>
                      <w:b/>
                      <w:bCs/>
                    </w:rPr>
                    <w:t>（2）根据前文计算结果，本项目生物质锅炉燃料消耗量为1</w:t>
                  </w:r>
                  <w:r>
                    <w:rPr>
                      <w:b/>
                      <w:bCs/>
                    </w:rPr>
                    <w:t>.925</w:t>
                  </w:r>
                  <w:r>
                    <w:rPr>
                      <w:rFonts w:hint="eastAsia"/>
                      <w:b/>
                      <w:bCs/>
                    </w:rPr>
                    <w:t>t</w:t>
                  </w:r>
                  <w:r>
                    <w:rPr>
                      <w:b/>
                      <w:bCs/>
                    </w:rPr>
                    <w:t>/</w:t>
                  </w:r>
                  <w:r>
                    <w:rPr>
                      <w:rFonts w:hint="eastAsia"/>
                      <w:b/>
                      <w:bCs/>
                    </w:rPr>
                    <w:t>h，2</w:t>
                  </w:r>
                  <w:r>
                    <w:rPr>
                      <w:b/>
                      <w:bCs/>
                    </w:rPr>
                    <w:t>310</w:t>
                  </w:r>
                  <w:r>
                    <w:rPr>
                      <w:rFonts w:hint="eastAsia"/>
                      <w:b/>
                      <w:bCs/>
                    </w:rPr>
                    <w:t>t</w:t>
                  </w:r>
                  <w:r>
                    <w:rPr>
                      <w:b/>
                      <w:bCs/>
                    </w:rPr>
                    <w:t>/</w:t>
                  </w:r>
                  <w:r>
                    <w:rPr>
                      <w:rFonts w:hint="eastAsia"/>
                      <w:b/>
                      <w:bCs/>
                    </w:rPr>
                    <w:t>a。</w:t>
                  </w:r>
                </w:p>
              </w:tc>
            </w:tr>
          </w:tbl>
          <w:p w14:paraId="0F3AA051">
            <w:pPr>
              <w:ind w:firstLine="422"/>
            </w:pPr>
            <w:r>
              <w:rPr>
                <w:rFonts w:hint="eastAsia"/>
                <w:b/>
                <w:bCs/>
              </w:rPr>
              <w:t>污染治理及排放情况</w:t>
            </w:r>
            <w:r>
              <w:rPr>
                <w:rFonts w:hint="eastAsia"/>
              </w:rPr>
              <w:t>：环评要求，本项目需采用专用生物质燃料锅炉，并配备低氮燃烧器和高效除尘设施（水膜除尘器+静电除尘器），氮氧化物去除效率不低于3</w:t>
            </w:r>
            <w:r>
              <w:t>0%</w:t>
            </w:r>
            <w:r>
              <w:rPr>
                <w:rFonts w:hint="eastAsia"/>
              </w:rPr>
              <w:t>，颗粒物去除效率不低于9</w:t>
            </w:r>
            <w:r>
              <w:t>5%</w:t>
            </w:r>
            <w:r>
              <w:rPr>
                <w:rFonts w:hint="eastAsia"/>
              </w:rPr>
              <w:t>，废气经处理后通过4</w:t>
            </w:r>
            <w:r>
              <w:t>0</w:t>
            </w:r>
            <w:r>
              <w:rPr>
                <w:rFonts w:hint="eastAsia"/>
              </w:rPr>
              <w:t>m排气筒排放。</w:t>
            </w:r>
          </w:p>
          <w:p w14:paraId="408E3321">
            <w:pPr>
              <w:pStyle w:val="156"/>
            </w:pPr>
            <w:r>
              <w:rPr>
                <w:rFonts w:hint="eastAsia"/>
              </w:rPr>
              <w:t>表4</w:t>
            </w:r>
            <w:r>
              <w:t xml:space="preserve">-5  </w:t>
            </w:r>
            <w:r>
              <w:rPr>
                <w:rFonts w:hint="eastAsia"/>
              </w:rPr>
              <w:t>项目生物质锅炉燃烧废气产生、治理及排放情况一览表</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37"/>
              <w:gridCol w:w="573"/>
              <w:gridCol w:w="1011"/>
              <w:gridCol w:w="989"/>
              <w:gridCol w:w="1117"/>
              <w:gridCol w:w="1031"/>
              <w:gridCol w:w="979"/>
              <w:gridCol w:w="967"/>
              <w:gridCol w:w="652"/>
            </w:tblGrid>
            <w:tr w14:paraId="692ABA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13" w:type="pct"/>
                  <w:vAlign w:val="center"/>
                </w:tcPr>
                <w:p w14:paraId="30943A25">
                  <w:pPr>
                    <w:pStyle w:val="135"/>
                    <w:adjustRightInd w:val="0"/>
                    <w:snapToGrid w:val="0"/>
                    <w:rPr>
                      <w:b/>
                      <w:bCs/>
                    </w:rPr>
                  </w:pPr>
                  <w:r>
                    <w:rPr>
                      <w:rFonts w:hint="eastAsia"/>
                      <w:b/>
                      <w:bCs/>
                    </w:rPr>
                    <w:t>污染物</w:t>
                  </w:r>
                </w:p>
              </w:tc>
              <w:tc>
                <w:tcPr>
                  <w:tcW w:w="351" w:type="pct"/>
                  <w:vAlign w:val="center"/>
                </w:tcPr>
                <w:p w14:paraId="41876ED0">
                  <w:pPr>
                    <w:pStyle w:val="135"/>
                    <w:adjustRightInd w:val="0"/>
                    <w:snapToGrid w:val="0"/>
                    <w:rPr>
                      <w:b/>
                      <w:bCs/>
                    </w:rPr>
                  </w:pPr>
                  <w:r>
                    <w:rPr>
                      <w:rFonts w:hint="eastAsia"/>
                      <w:b/>
                      <w:bCs/>
                    </w:rPr>
                    <w:t>产生量（t</w:t>
                  </w:r>
                  <w:r>
                    <w:rPr>
                      <w:b/>
                      <w:bCs/>
                    </w:rPr>
                    <w:t>/</w:t>
                  </w:r>
                  <w:r>
                    <w:rPr>
                      <w:rFonts w:hint="eastAsia"/>
                      <w:b/>
                      <w:bCs/>
                    </w:rPr>
                    <w:t>a）</w:t>
                  </w:r>
                </w:p>
              </w:tc>
              <w:tc>
                <w:tcPr>
                  <w:tcW w:w="620" w:type="pct"/>
                  <w:vAlign w:val="center"/>
                </w:tcPr>
                <w:p w14:paraId="4495937E">
                  <w:pPr>
                    <w:pStyle w:val="135"/>
                    <w:adjustRightInd w:val="0"/>
                    <w:snapToGrid w:val="0"/>
                    <w:rPr>
                      <w:b/>
                      <w:bCs/>
                    </w:rPr>
                  </w:pPr>
                  <w:r>
                    <w:rPr>
                      <w:rFonts w:hint="eastAsia"/>
                      <w:b/>
                      <w:bCs/>
                    </w:rPr>
                    <w:t>废气产生量</w:t>
                  </w:r>
                </w:p>
                <w:p w14:paraId="2501FE32">
                  <w:pPr>
                    <w:pStyle w:val="135"/>
                    <w:adjustRightInd w:val="0"/>
                    <w:snapToGrid w:val="0"/>
                    <w:rPr>
                      <w:b/>
                      <w:bCs/>
                    </w:rPr>
                  </w:pPr>
                  <w:r>
                    <w:rPr>
                      <w:rFonts w:hint="eastAsia"/>
                      <w:b/>
                      <w:bCs/>
                    </w:rPr>
                    <w:t>（</w:t>
                  </w:r>
                  <w:r>
                    <w:rPr>
                      <w:rFonts w:hint="eastAsia"/>
                    </w:rPr>
                    <w:t>Nm</w:t>
                  </w:r>
                  <w:r>
                    <w:rPr>
                      <w:vertAlign w:val="superscript"/>
                    </w:rPr>
                    <w:t>3</w:t>
                  </w:r>
                  <w:r>
                    <w:t>/</w:t>
                  </w:r>
                  <w:r>
                    <w:rPr>
                      <w:rFonts w:hint="eastAsia"/>
                    </w:rPr>
                    <w:t>h</w:t>
                  </w:r>
                  <w:r>
                    <w:rPr>
                      <w:rFonts w:hint="eastAsia"/>
                      <w:b/>
                      <w:bCs/>
                    </w:rPr>
                    <w:t>）</w:t>
                  </w:r>
                </w:p>
              </w:tc>
              <w:tc>
                <w:tcPr>
                  <w:tcW w:w="606" w:type="pct"/>
                  <w:vAlign w:val="center"/>
                </w:tcPr>
                <w:p w14:paraId="03B30572">
                  <w:pPr>
                    <w:pStyle w:val="135"/>
                    <w:adjustRightInd w:val="0"/>
                    <w:snapToGrid w:val="0"/>
                    <w:rPr>
                      <w:b/>
                      <w:bCs/>
                    </w:rPr>
                  </w:pPr>
                  <w:r>
                    <w:rPr>
                      <w:rFonts w:hint="eastAsia"/>
                      <w:b/>
                      <w:bCs/>
                    </w:rPr>
                    <w:t>治理措施</w:t>
                  </w:r>
                </w:p>
              </w:tc>
              <w:tc>
                <w:tcPr>
                  <w:tcW w:w="685" w:type="pct"/>
                  <w:vAlign w:val="center"/>
                </w:tcPr>
                <w:p w14:paraId="11428630">
                  <w:pPr>
                    <w:pStyle w:val="135"/>
                    <w:adjustRightInd w:val="0"/>
                    <w:snapToGrid w:val="0"/>
                    <w:rPr>
                      <w:b/>
                      <w:bCs/>
                    </w:rPr>
                  </w:pPr>
                  <w:r>
                    <w:rPr>
                      <w:rFonts w:hint="eastAsia"/>
                      <w:b/>
                      <w:bCs/>
                    </w:rPr>
                    <w:t>废气排放量（</w:t>
                  </w:r>
                  <w:r>
                    <w:rPr>
                      <w:rFonts w:hint="eastAsia"/>
                    </w:rPr>
                    <w:t>Nm</w:t>
                  </w:r>
                  <w:r>
                    <w:rPr>
                      <w:vertAlign w:val="superscript"/>
                    </w:rPr>
                    <w:t>3</w:t>
                  </w:r>
                  <w:r>
                    <w:t>/</w:t>
                  </w:r>
                  <w:r>
                    <w:rPr>
                      <w:rFonts w:hint="eastAsia"/>
                    </w:rPr>
                    <w:t>h</w:t>
                  </w:r>
                  <w:r>
                    <w:rPr>
                      <w:rFonts w:hint="eastAsia"/>
                      <w:b/>
                      <w:bCs/>
                    </w:rPr>
                    <w:t>）</w:t>
                  </w:r>
                </w:p>
              </w:tc>
              <w:tc>
                <w:tcPr>
                  <w:tcW w:w="632" w:type="pct"/>
                  <w:vAlign w:val="center"/>
                </w:tcPr>
                <w:p w14:paraId="0A8C094B">
                  <w:pPr>
                    <w:pStyle w:val="135"/>
                    <w:adjustRightInd w:val="0"/>
                    <w:snapToGrid w:val="0"/>
                    <w:rPr>
                      <w:b/>
                      <w:bCs/>
                    </w:rPr>
                  </w:pPr>
                  <w:r>
                    <w:rPr>
                      <w:rFonts w:hint="eastAsia"/>
                      <w:b/>
                      <w:bCs/>
                    </w:rPr>
                    <w:t>年排放时间（h</w:t>
                  </w:r>
                  <w:r>
                    <w:rPr>
                      <w:b/>
                      <w:bCs/>
                    </w:rPr>
                    <w:t>/</w:t>
                  </w:r>
                  <w:r>
                    <w:rPr>
                      <w:rFonts w:hint="eastAsia"/>
                      <w:b/>
                      <w:bCs/>
                    </w:rPr>
                    <w:t>a）</w:t>
                  </w:r>
                </w:p>
              </w:tc>
              <w:tc>
                <w:tcPr>
                  <w:tcW w:w="600" w:type="pct"/>
                  <w:vAlign w:val="center"/>
                </w:tcPr>
                <w:p w14:paraId="05E49EC4">
                  <w:pPr>
                    <w:pStyle w:val="135"/>
                    <w:adjustRightInd w:val="0"/>
                    <w:snapToGrid w:val="0"/>
                    <w:rPr>
                      <w:b/>
                      <w:bCs/>
                    </w:rPr>
                  </w:pPr>
                  <w:r>
                    <w:rPr>
                      <w:rFonts w:hint="eastAsia"/>
                      <w:b/>
                      <w:bCs/>
                    </w:rPr>
                    <w:t>排放浓度（mg</w:t>
                  </w:r>
                  <w:r>
                    <w:rPr>
                      <w:b/>
                      <w:bCs/>
                    </w:rPr>
                    <w:t>/</w:t>
                  </w:r>
                  <w:r>
                    <w:rPr>
                      <w:rFonts w:hint="eastAsia"/>
                      <w:b/>
                      <w:bCs/>
                    </w:rPr>
                    <w:t>m</w:t>
                  </w:r>
                  <w:r>
                    <w:rPr>
                      <w:b/>
                      <w:bCs/>
                      <w:vertAlign w:val="superscript"/>
                    </w:rPr>
                    <w:t>3</w:t>
                  </w:r>
                  <w:r>
                    <w:rPr>
                      <w:rFonts w:hint="eastAsia"/>
                      <w:b/>
                      <w:bCs/>
                    </w:rPr>
                    <w:t>）</w:t>
                  </w:r>
                </w:p>
              </w:tc>
              <w:tc>
                <w:tcPr>
                  <w:tcW w:w="593" w:type="pct"/>
                  <w:vAlign w:val="center"/>
                </w:tcPr>
                <w:p w14:paraId="2EAB6918">
                  <w:pPr>
                    <w:pStyle w:val="135"/>
                    <w:adjustRightInd w:val="0"/>
                    <w:snapToGrid w:val="0"/>
                    <w:rPr>
                      <w:b/>
                      <w:bCs/>
                    </w:rPr>
                  </w:pPr>
                  <w:r>
                    <w:rPr>
                      <w:rFonts w:hint="eastAsia"/>
                      <w:b/>
                      <w:bCs/>
                    </w:rPr>
                    <w:t>排放速率（kg</w:t>
                  </w:r>
                  <w:r>
                    <w:rPr>
                      <w:b/>
                      <w:bCs/>
                    </w:rPr>
                    <w:t>/</w:t>
                  </w:r>
                  <w:r>
                    <w:rPr>
                      <w:rFonts w:hint="eastAsia"/>
                      <w:b/>
                      <w:bCs/>
                    </w:rPr>
                    <w:t>h）</w:t>
                  </w:r>
                </w:p>
              </w:tc>
              <w:tc>
                <w:tcPr>
                  <w:tcW w:w="400" w:type="pct"/>
                  <w:vAlign w:val="center"/>
                </w:tcPr>
                <w:p w14:paraId="00EB97C9">
                  <w:pPr>
                    <w:pStyle w:val="135"/>
                    <w:adjustRightInd w:val="0"/>
                    <w:snapToGrid w:val="0"/>
                    <w:rPr>
                      <w:b/>
                      <w:bCs/>
                    </w:rPr>
                  </w:pPr>
                  <w:r>
                    <w:rPr>
                      <w:rFonts w:hint="eastAsia"/>
                      <w:b/>
                      <w:bCs/>
                    </w:rPr>
                    <w:t>排放量（t</w:t>
                  </w:r>
                  <w:r>
                    <w:rPr>
                      <w:b/>
                      <w:bCs/>
                    </w:rPr>
                    <w:t>/</w:t>
                  </w:r>
                  <w:r>
                    <w:rPr>
                      <w:rFonts w:hint="eastAsia"/>
                      <w:b/>
                      <w:bCs/>
                    </w:rPr>
                    <w:t>a）</w:t>
                  </w:r>
                </w:p>
              </w:tc>
            </w:tr>
            <w:tr w14:paraId="51BAF7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13" w:type="pct"/>
                  <w:vAlign w:val="center"/>
                </w:tcPr>
                <w:p w14:paraId="108C2C97">
                  <w:pPr>
                    <w:pStyle w:val="135"/>
                    <w:adjustRightInd w:val="0"/>
                    <w:snapToGrid w:val="0"/>
                  </w:pPr>
                  <w:r>
                    <w:rPr>
                      <w:rFonts w:hint="eastAsia"/>
                    </w:rPr>
                    <w:t>二氧化硫</w:t>
                  </w:r>
                </w:p>
              </w:tc>
              <w:tc>
                <w:tcPr>
                  <w:tcW w:w="351" w:type="pct"/>
                  <w:vAlign w:val="center"/>
                </w:tcPr>
                <w:p w14:paraId="6C975AD2">
                  <w:pPr>
                    <w:pStyle w:val="135"/>
                    <w:adjustRightInd w:val="0"/>
                    <w:snapToGrid w:val="0"/>
                  </w:pPr>
                  <w:r>
                    <w:t>1.099</w:t>
                  </w:r>
                </w:p>
              </w:tc>
              <w:tc>
                <w:tcPr>
                  <w:tcW w:w="620" w:type="pct"/>
                  <w:vMerge w:val="restart"/>
                  <w:vAlign w:val="center"/>
                </w:tcPr>
                <w:p w14:paraId="7BA38B8E">
                  <w:pPr>
                    <w:pStyle w:val="135"/>
                    <w:adjustRightInd w:val="0"/>
                    <w:snapToGrid w:val="0"/>
                  </w:pPr>
                  <w:r>
                    <w:rPr>
                      <w:rFonts w:hint="eastAsia"/>
                    </w:rPr>
                    <w:t>1</w:t>
                  </w:r>
                  <w:r>
                    <w:t>2011</w:t>
                  </w:r>
                </w:p>
              </w:tc>
              <w:tc>
                <w:tcPr>
                  <w:tcW w:w="606" w:type="pct"/>
                  <w:vMerge w:val="restart"/>
                  <w:vAlign w:val="center"/>
                </w:tcPr>
                <w:p w14:paraId="05840C73">
                  <w:pPr>
                    <w:pStyle w:val="135"/>
                    <w:adjustRightInd w:val="0"/>
                    <w:snapToGrid w:val="0"/>
                  </w:pPr>
                  <w:r>
                    <w:rPr>
                      <w:rFonts w:hint="eastAsia"/>
                    </w:rPr>
                    <w:t>低氮燃烧器+水膜除尘+静电除尘</w:t>
                  </w:r>
                </w:p>
              </w:tc>
              <w:tc>
                <w:tcPr>
                  <w:tcW w:w="685" w:type="pct"/>
                  <w:vMerge w:val="restart"/>
                  <w:vAlign w:val="center"/>
                </w:tcPr>
                <w:p w14:paraId="6C564D42">
                  <w:pPr>
                    <w:pStyle w:val="135"/>
                    <w:adjustRightInd w:val="0"/>
                    <w:snapToGrid w:val="0"/>
                  </w:pPr>
                  <w:r>
                    <w:rPr>
                      <w:rFonts w:hint="eastAsia"/>
                    </w:rPr>
                    <w:t>1</w:t>
                  </w:r>
                  <w:r>
                    <w:t>3212</w:t>
                  </w:r>
                  <w:r>
                    <w:rPr>
                      <w:rFonts w:hint="eastAsia"/>
                    </w:rPr>
                    <w:t>（考虑1</w:t>
                  </w:r>
                  <w:r>
                    <w:t>0%</w:t>
                  </w:r>
                  <w:r>
                    <w:rPr>
                      <w:rFonts w:hint="eastAsia"/>
                    </w:rPr>
                    <w:t>漏风系数）</w:t>
                  </w:r>
                </w:p>
              </w:tc>
              <w:tc>
                <w:tcPr>
                  <w:tcW w:w="632" w:type="pct"/>
                  <w:vMerge w:val="restart"/>
                  <w:vAlign w:val="center"/>
                </w:tcPr>
                <w:p w14:paraId="60D3BA3B">
                  <w:pPr>
                    <w:pStyle w:val="135"/>
                    <w:adjustRightInd w:val="0"/>
                    <w:snapToGrid w:val="0"/>
                  </w:pPr>
                  <w:r>
                    <w:rPr>
                      <w:rFonts w:hint="eastAsia"/>
                    </w:rPr>
                    <w:t>1</w:t>
                  </w:r>
                  <w:r>
                    <w:t>200</w:t>
                  </w:r>
                </w:p>
              </w:tc>
              <w:tc>
                <w:tcPr>
                  <w:tcW w:w="600" w:type="pct"/>
                  <w:vAlign w:val="center"/>
                </w:tcPr>
                <w:p w14:paraId="35DE4975">
                  <w:pPr>
                    <w:pStyle w:val="135"/>
                    <w:adjustRightInd w:val="0"/>
                    <w:snapToGrid w:val="0"/>
                  </w:pPr>
                  <w:r>
                    <w:rPr>
                      <w:rFonts w:hint="eastAsia"/>
                    </w:rPr>
                    <w:t>6</w:t>
                  </w:r>
                  <w:r>
                    <w:t>9</w:t>
                  </w:r>
                </w:p>
              </w:tc>
              <w:tc>
                <w:tcPr>
                  <w:tcW w:w="593" w:type="pct"/>
                  <w:vAlign w:val="center"/>
                </w:tcPr>
                <w:p w14:paraId="2BB4D164">
                  <w:pPr>
                    <w:pStyle w:val="135"/>
                    <w:adjustRightInd w:val="0"/>
                    <w:snapToGrid w:val="0"/>
                  </w:pPr>
                  <w:r>
                    <w:rPr>
                      <w:rFonts w:hint="eastAsia"/>
                    </w:rPr>
                    <w:t>0</w:t>
                  </w:r>
                  <w:r>
                    <w:t>.916</w:t>
                  </w:r>
                </w:p>
              </w:tc>
              <w:tc>
                <w:tcPr>
                  <w:tcW w:w="400" w:type="pct"/>
                  <w:vAlign w:val="center"/>
                </w:tcPr>
                <w:p w14:paraId="52D1B288">
                  <w:pPr>
                    <w:pStyle w:val="135"/>
                    <w:adjustRightInd w:val="0"/>
                    <w:snapToGrid w:val="0"/>
                  </w:pPr>
                  <w:r>
                    <w:rPr>
                      <w:rFonts w:hint="eastAsia"/>
                    </w:rPr>
                    <w:t>1</w:t>
                  </w:r>
                  <w:r>
                    <w:t>.099</w:t>
                  </w:r>
                </w:p>
              </w:tc>
            </w:tr>
            <w:tr w14:paraId="080B53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13" w:type="pct"/>
                  <w:vAlign w:val="center"/>
                </w:tcPr>
                <w:p w14:paraId="6F068359">
                  <w:pPr>
                    <w:pStyle w:val="135"/>
                    <w:adjustRightInd w:val="0"/>
                    <w:snapToGrid w:val="0"/>
                  </w:pPr>
                  <w:r>
                    <w:rPr>
                      <w:rFonts w:hint="eastAsia"/>
                    </w:rPr>
                    <w:t>颗粒物</w:t>
                  </w:r>
                </w:p>
              </w:tc>
              <w:tc>
                <w:tcPr>
                  <w:tcW w:w="351" w:type="pct"/>
                  <w:vAlign w:val="center"/>
                </w:tcPr>
                <w:p w14:paraId="67E9D721">
                  <w:pPr>
                    <w:pStyle w:val="135"/>
                    <w:adjustRightInd w:val="0"/>
                    <w:snapToGrid w:val="0"/>
                  </w:pPr>
                  <w:r>
                    <w:rPr>
                      <w:rFonts w:hint="eastAsia"/>
                    </w:rPr>
                    <w:t>1</w:t>
                  </w:r>
                  <w:r>
                    <w:t>.155</w:t>
                  </w:r>
                </w:p>
              </w:tc>
              <w:tc>
                <w:tcPr>
                  <w:tcW w:w="620" w:type="pct"/>
                  <w:vMerge w:val="continue"/>
                  <w:vAlign w:val="center"/>
                </w:tcPr>
                <w:p w14:paraId="120AD253">
                  <w:pPr>
                    <w:pStyle w:val="135"/>
                    <w:adjustRightInd w:val="0"/>
                    <w:snapToGrid w:val="0"/>
                  </w:pPr>
                </w:p>
              </w:tc>
              <w:tc>
                <w:tcPr>
                  <w:tcW w:w="606" w:type="pct"/>
                  <w:vMerge w:val="continue"/>
                  <w:vAlign w:val="center"/>
                </w:tcPr>
                <w:p w14:paraId="10EEF91D">
                  <w:pPr>
                    <w:pStyle w:val="135"/>
                    <w:adjustRightInd w:val="0"/>
                    <w:snapToGrid w:val="0"/>
                  </w:pPr>
                </w:p>
              </w:tc>
              <w:tc>
                <w:tcPr>
                  <w:tcW w:w="685" w:type="pct"/>
                  <w:vMerge w:val="continue"/>
                  <w:vAlign w:val="center"/>
                </w:tcPr>
                <w:p w14:paraId="0FCB1D5E">
                  <w:pPr>
                    <w:pStyle w:val="135"/>
                    <w:adjustRightInd w:val="0"/>
                    <w:snapToGrid w:val="0"/>
                  </w:pPr>
                </w:p>
              </w:tc>
              <w:tc>
                <w:tcPr>
                  <w:tcW w:w="632" w:type="pct"/>
                  <w:vMerge w:val="continue"/>
                  <w:vAlign w:val="center"/>
                </w:tcPr>
                <w:p w14:paraId="4C0C09B5">
                  <w:pPr>
                    <w:pStyle w:val="135"/>
                    <w:adjustRightInd w:val="0"/>
                    <w:snapToGrid w:val="0"/>
                  </w:pPr>
                </w:p>
              </w:tc>
              <w:tc>
                <w:tcPr>
                  <w:tcW w:w="600" w:type="pct"/>
                  <w:vAlign w:val="center"/>
                </w:tcPr>
                <w:p w14:paraId="3AD78522">
                  <w:pPr>
                    <w:pStyle w:val="135"/>
                    <w:adjustRightInd w:val="0"/>
                    <w:snapToGrid w:val="0"/>
                  </w:pPr>
                  <w:r>
                    <w:rPr>
                      <w:rFonts w:hint="eastAsia"/>
                    </w:rPr>
                    <w:t>3</w:t>
                  </w:r>
                  <w:r>
                    <w:t>.6</w:t>
                  </w:r>
                </w:p>
              </w:tc>
              <w:tc>
                <w:tcPr>
                  <w:tcW w:w="593" w:type="pct"/>
                  <w:vAlign w:val="center"/>
                </w:tcPr>
                <w:p w14:paraId="791B3AA5">
                  <w:pPr>
                    <w:pStyle w:val="135"/>
                    <w:adjustRightInd w:val="0"/>
                    <w:snapToGrid w:val="0"/>
                  </w:pPr>
                  <w:r>
                    <w:t>0.048</w:t>
                  </w:r>
                </w:p>
              </w:tc>
              <w:tc>
                <w:tcPr>
                  <w:tcW w:w="400" w:type="pct"/>
                  <w:vAlign w:val="center"/>
                </w:tcPr>
                <w:p w14:paraId="24A5CF38">
                  <w:pPr>
                    <w:pStyle w:val="135"/>
                    <w:adjustRightInd w:val="0"/>
                    <w:snapToGrid w:val="0"/>
                  </w:pPr>
                  <w:r>
                    <w:t>0.058</w:t>
                  </w:r>
                </w:p>
              </w:tc>
            </w:tr>
            <w:tr w14:paraId="03837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13" w:type="pct"/>
                  <w:vAlign w:val="center"/>
                </w:tcPr>
                <w:p w14:paraId="11F0E578">
                  <w:pPr>
                    <w:pStyle w:val="135"/>
                    <w:adjustRightInd w:val="0"/>
                    <w:snapToGrid w:val="0"/>
                  </w:pPr>
                  <w:r>
                    <w:rPr>
                      <w:rFonts w:hint="eastAsia"/>
                    </w:rPr>
                    <w:t>氮氧化物</w:t>
                  </w:r>
                </w:p>
              </w:tc>
              <w:tc>
                <w:tcPr>
                  <w:tcW w:w="351" w:type="pct"/>
                  <w:vAlign w:val="center"/>
                </w:tcPr>
                <w:p w14:paraId="619FE5C3">
                  <w:pPr>
                    <w:pStyle w:val="135"/>
                    <w:adjustRightInd w:val="0"/>
                    <w:snapToGrid w:val="0"/>
                  </w:pPr>
                  <w:r>
                    <w:rPr>
                      <w:rFonts w:hint="eastAsia"/>
                    </w:rPr>
                    <w:t>2</w:t>
                  </w:r>
                  <w:r>
                    <w:t>.356</w:t>
                  </w:r>
                </w:p>
              </w:tc>
              <w:tc>
                <w:tcPr>
                  <w:tcW w:w="620" w:type="pct"/>
                  <w:vMerge w:val="continue"/>
                  <w:vAlign w:val="center"/>
                </w:tcPr>
                <w:p w14:paraId="04BC62C2">
                  <w:pPr>
                    <w:pStyle w:val="135"/>
                    <w:adjustRightInd w:val="0"/>
                    <w:snapToGrid w:val="0"/>
                  </w:pPr>
                </w:p>
              </w:tc>
              <w:tc>
                <w:tcPr>
                  <w:tcW w:w="606" w:type="pct"/>
                  <w:vMerge w:val="continue"/>
                  <w:vAlign w:val="center"/>
                </w:tcPr>
                <w:p w14:paraId="4E3E5A62">
                  <w:pPr>
                    <w:pStyle w:val="135"/>
                    <w:adjustRightInd w:val="0"/>
                    <w:snapToGrid w:val="0"/>
                  </w:pPr>
                </w:p>
              </w:tc>
              <w:tc>
                <w:tcPr>
                  <w:tcW w:w="685" w:type="pct"/>
                  <w:vMerge w:val="continue"/>
                  <w:vAlign w:val="center"/>
                </w:tcPr>
                <w:p w14:paraId="1860A628">
                  <w:pPr>
                    <w:pStyle w:val="135"/>
                    <w:adjustRightInd w:val="0"/>
                    <w:snapToGrid w:val="0"/>
                  </w:pPr>
                </w:p>
              </w:tc>
              <w:tc>
                <w:tcPr>
                  <w:tcW w:w="632" w:type="pct"/>
                  <w:vMerge w:val="continue"/>
                  <w:vAlign w:val="center"/>
                </w:tcPr>
                <w:p w14:paraId="35B18AA9">
                  <w:pPr>
                    <w:pStyle w:val="135"/>
                    <w:adjustRightInd w:val="0"/>
                    <w:snapToGrid w:val="0"/>
                  </w:pPr>
                </w:p>
              </w:tc>
              <w:tc>
                <w:tcPr>
                  <w:tcW w:w="600" w:type="pct"/>
                  <w:vAlign w:val="center"/>
                </w:tcPr>
                <w:p w14:paraId="491E34B2">
                  <w:pPr>
                    <w:pStyle w:val="135"/>
                    <w:adjustRightInd w:val="0"/>
                    <w:snapToGrid w:val="0"/>
                  </w:pPr>
                  <w:r>
                    <w:rPr>
                      <w:rFonts w:hint="eastAsia"/>
                    </w:rPr>
                    <w:t>1</w:t>
                  </w:r>
                  <w:r>
                    <w:t>04</w:t>
                  </w:r>
                </w:p>
              </w:tc>
              <w:tc>
                <w:tcPr>
                  <w:tcW w:w="593" w:type="pct"/>
                  <w:vAlign w:val="center"/>
                </w:tcPr>
                <w:p w14:paraId="26D87B5D">
                  <w:pPr>
                    <w:pStyle w:val="135"/>
                    <w:adjustRightInd w:val="0"/>
                    <w:snapToGrid w:val="0"/>
                  </w:pPr>
                  <w:r>
                    <w:rPr>
                      <w:rFonts w:hint="eastAsia"/>
                    </w:rPr>
                    <w:t>1</w:t>
                  </w:r>
                  <w:r>
                    <w:t>.374</w:t>
                  </w:r>
                </w:p>
              </w:tc>
              <w:tc>
                <w:tcPr>
                  <w:tcW w:w="400" w:type="pct"/>
                  <w:vAlign w:val="center"/>
                </w:tcPr>
                <w:p w14:paraId="5A016B6F">
                  <w:pPr>
                    <w:pStyle w:val="135"/>
                    <w:adjustRightInd w:val="0"/>
                    <w:snapToGrid w:val="0"/>
                  </w:pPr>
                  <w:r>
                    <w:rPr>
                      <w:rFonts w:hint="eastAsia"/>
                    </w:rPr>
                    <w:t>1</w:t>
                  </w:r>
                  <w:r>
                    <w:t>.649</w:t>
                  </w:r>
                </w:p>
              </w:tc>
            </w:tr>
          </w:tbl>
          <w:p w14:paraId="6D6C466C">
            <w:pPr>
              <w:ind w:firstLine="420"/>
            </w:pPr>
            <w:r>
              <w:rPr>
                <w:rFonts w:hint="eastAsia"/>
              </w:rPr>
              <w:t>根据上文计算结果，锅炉废气污染物排放浓度满足《锅炉大气污染物排放标准》（GB</w:t>
            </w:r>
            <w:r>
              <w:t>13271-2014</w:t>
            </w:r>
            <w:r>
              <w:rPr>
                <w:rFonts w:hint="eastAsia"/>
              </w:rPr>
              <w:t>）表3燃煤锅炉特别排放限值要求。</w:t>
            </w:r>
          </w:p>
          <w:p w14:paraId="563BDC0F">
            <w:pPr>
              <w:pStyle w:val="156"/>
            </w:pPr>
            <w:r>
              <w:rPr>
                <w:rFonts w:hint="eastAsia"/>
              </w:rPr>
              <w:t>表</w:t>
            </w:r>
            <w:r>
              <w:t xml:space="preserve">4-6  </w:t>
            </w:r>
            <w:r>
              <w:rPr>
                <w:rFonts w:hint="eastAsia"/>
              </w:rPr>
              <w:t>项目废气排放口基本情况一览表</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825"/>
              <w:gridCol w:w="1134"/>
              <w:gridCol w:w="1559"/>
              <w:gridCol w:w="1276"/>
              <w:gridCol w:w="992"/>
              <w:gridCol w:w="1370"/>
            </w:tblGrid>
            <w:tr w14:paraId="4EF8D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119" w:type="pct"/>
                  <w:vAlign w:val="center"/>
                </w:tcPr>
                <w:p w14:paraId="7C2C8405">
                  <w:pPr>
                    <w:pStyle w:val="135"/>
                    <w:adjustRightInd w:val="0"/>
                    <w:snapToGrid w:val="0"/>
                    <w:rPr>
                      <w:b/>
                      <w:bCs/>
                    </w:rPr>
                  </w:pPr>
                  <w:r>
                    <w:rPr>
                      <w:rFonts w:hint="eastAsia"/>
                      <w:b/>
                      <w:bCs/>
                    </w:rPr>
                    <w:t>排放口名称及编号</w:t>
                  </w:r>
                </w:p>
              </w:tc>
              <w:tc>
                <w:tcPr>
                  <w:tcW w:w="695" w:type="pct"/>
                  <w:vAlign w:val="center"/>
                </w:tcPr>
                <w:p w14:paraId="52D1B212">
                  <w:pPr>
                    <w:pStyle w:val="135"/>
                    <w:adjustRightInd w:val="0"/>
                    <w:snapToGrid w:val="0"/>
                    <w:rPr>
                      <w:b/>
                      <w:bCs/>
                    </w:rPr>
                  </w:pPr>
                  <w:r>
                    <w:rPr>
                      <w:rFonts w:hint="eastAsia"/>
                      <w:b/>
                      <w:bCs/>
                    </w:rPr>
                    <w:t>高度（m）</w:t>
                  </w:r>
                </w:p>
              </w:tc>
              <w:tc>
                <w:tcPr>
                  <w:tcW w:w="956" w:type="pct"/>
                  <w:vAlign w:val="center"/>
                </w:tcPr>
                <w:p w14:paraId="51A94750">
                  <w:pPr>
                    <w:pStyle w:val="135"/>
                    <w:adjustRightInd w:val="0"/>
                    <w:snapToGrid w:val="0"/>
                    <w:rPr>
                      <w:b/>
                      <w:bCs/>
                    </w:rPr>
                  </w:pPr>
                  <w:r>
                    <w:rPr>
                      <w:rFonts w:hint="eastAsia"/>
                      <w:b/>
                      <w:bCs/>
                    </w:rPr>
                    <w:t>排气筒内径（m）</w:t>
                  </w:r>
                </w:p>
              </w:tc>
              <w:tc>
                <w:tcPr>
                  <w:tcW w:w="782" w:type="pct"/>
                  <w:vAlign w:val="center"/>
                </w:tcPr>
                <w:p w14:paraId="66219BAE">
                  <w:pPr>
                    <w:pStyle w:val="135"/>
                    <w:adjustRightInd w:val="0"/>
                    <w:snapToGrid w:val="0"/>
                    <w:rPr>
                      <w:b/>
                      <w:bCs/>
                    </w:rPr>
                  </w:pPr>
                  <w:r>
                    <w:rPr>
                      <w:rFonts w:hint="eastAsia"/>
                      <w:b/>
                      <w:bCs/>
                    </w:rPr>
                    <w:t>烟气温度（℃）</w:t>
                  </w:r>
                </w:p>
              </w:tc>
              <w:tc>
                <w:tcPr>
                  <w:tcW w:w="608" w:type="pct"/>
                  <w:vAlign w:val="center"/>
                </w:tcPr>
                <w:p w14:paraId="325E5753">
                  <w:pPr>
                    <w:pStyle w:val="135"/>
                    <w:adjustRightInd w:val="0"/>
                    <w:snapToGrid w:val="0"/>
                    <w:rPr>
                      <w:b/>
                      <w:bCs/>
                    </w:rPr>
                  </w:pPr>
                  <w:r>
                    <w:rPr>
                      <w:rFonts w:hint="eastAsia"/>
                      <w:b/>
                      <w:bCs/>
                    </w:rPr>
                    <w:t>排放口类型</w:t>
                  </w:r>
                </w:p>
              </w:tc>
              <w:tc>
                <w:tcPr>
                  <w:tcW w:w="840" w:type="pct"/>
                  <w:vAlign w:val="center"/>
                </w:tcPr>
                <w:p w14:paraId="6848E151">
                  <w:pPr>
                    <w:pStyle w:val="135"/>
                    <w:adjustRightInd w:val="0"/>
                    <w:snapToGrid w:val="0"/>
                    <w:rPr>
                      <w:b/>
                      <w:bCs/>
                    </w:rPr>
                  </w:pPr>
                  <w:r>
                    <w:rPr>
                      <w:rFonts w:hint="eastAsia"/>
                      <w:b/>
                      <w:bCs/>
                    </w:rPr>
                    <w:t>地理坐标</w:t>
                  </w:r>
                </w:p>
              </w:tc>
            </w:tr>
            <w:tr w14:paraId="399F1C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119" w:type="pct"/>
                  <w:vAlign w:val="center"/>
                </w:tcPr>
                <w:p w14:paraId="3C2799A9">
                  <w:pPr>
                    <w:pStyle w:val="135"/>
                    <w:adjustRightInd w:val="0"/>
                    <w:snapToGrid w:val="0"/>
                  </w:pPr>
                  <w:r>
                    <w:rPr>
                      <w:rFonts w:hint="eastAsia"/>
                    </w:rPr>
                    <w:t>锅炉烟气排放口DA</w:t>
                  </w:r>
                  <w:r>
                    <w:t>001</w:t>
                  </w:r>
                </w:p>
              </w:tc>
              <w:tc>
                <w:tcPr>
                  <w:tcW w:w="695" w:type="pct"/>
                  <w:vAlign w:val="center"/>
                </w:tcPr>
                <w:p w14:paraId="563ECAA0">
                  <w:pPr>
                    <w:pStyle w:val="135"/>
                    <w:adjustRightInd w:val="0"/>
                    <w:snapToGrid w:val="0"/>
                  </w:pPr>
                  <w:r>
                    <w:rPr>
                      <w:rFonts w:hint="eastAsia"/>
                    </w:rPr>
                    <w:t>4</w:t>
                  </w:r>
                  <w:r>
                    <w:t>0</w:t>
                  </w:r>
                </w:p>
              </w:tc>
              <w:tc>
                <w:tcPr>
                  <w:tcW w:w="956" w:type="pct"/>
                  <w:vAlign w:val="center"/>
                </w:tcPr>
                <w:p w14:paraId="41F03AFC">
                  <w:pPr>
                    <w:pStyle w:val="135"/>
                    <w:adjustRightInd w:val="0"/>
                    <w:snapToGrid w:val="0"/>
                  </w:pPr>
                  <w:r>
                    <w:rPr>
                      <w:rFonts w:hint="eastAsia"/>
                    </w:rPr>
                    <w:t>0</w:t>
                  </w:r>
                  <w:r>
                    <w:t>.5</w:t>
                  </w:r>
                </w:p>
              </w:tc>
              <w:tc>
                <w:tcPr>
                  <w:tcW w:w="782" w:type="pct"/>
                  <w:vAlign w:val="center"/>
                </w:tcPr>
                <w:p w14:paraId="3813ADBD">
                  <w:pPr>
                    <w:pStyle w:val="135"/>
                    <w:adjustRightInd w:val="0"/>
                    <w:snapToGrid w:val="0"/>
                  </w:pPr>
                  <w:r>
                    <w:rPr>
                      <w:rFonts w:hint="eastAsia"/>
                    </w:rPr>
                    <w:t>5</w:t>
                  </w:r>
                  <w:r>
                    <w:t>0</w:t>
                  </w:r>
                </w:p>
              </w:tc>
              <w:tc>
                <w:tcPr>
                  <w:tcW w:w="608" w:type="pct"/>
                  <w:vAlign w:val="center"/>
                </w:tcPr>
                <w:p w14:paraId="65FCFD7B">
                  <w:pPr>
                    <w:pStyle w:val="135"/>
                    <w:adjustRightInd w:val="0"/>
                    <w:snapToGrid w:val="0"/>
                  </w:pPr>
                  <w:r>
                    <w:rPr>
                      <w:rFonts w:hint="eastAsia"/>
                    </w:rPr>
                    <w:t>主要排放口</w:t>
                  </w:r>
                </w:p>
              </w:tc>
              <w:tc>
                <w:tcPr>
                  <w:tcW w:w="840" w:type="pct"/>
                  <w:vAlign w:val="center"/>
                </w:tcPr>
                <w:p w14:paraId="4B8CF1AA">
                  <w:pPr>
                    <w:pStyle w:val="135"/>
                    <w:adjustRightInd w:val="0"/>
                    <w:snapToGrid w:val="0"/>
                    <w:rPr>
                      <w:rFonts w:cs="Times New Roman"/>
                    </w:rPr>
                  </w:pPr>
                  <w:r>
                    <w:rPr>
                      <w:rFonts w:cs="Times New Roman"/>
                    </w:rPr>
                    <w:t>106°54′2.397″</w:t>
                  </w:r>
                </w:p>
                <w:p w14:paraId="35953F03">
                  <w:pPr>
                    <w:pStyle w:val="135"/>
                    <w:adjustRightInd w:val="0"/>
                    <w:snapToGrid w:val="0"/>
                    <w:rPr>
                      <w:rFonts w:cs="Times New Roman"/>
                    </w:rPr>
                  </w:pPr>
                  <w:r>
                    <w:rPr>
                      <w:rFonts w:cs="Times New Roman"/>
                    </w:rPr>
                    <w:t>31°51′11.788″</w:t>
                  </w:r>
                </w:p>
              </w:tc>
            </w:tr>
          </w:tbl>
          <w:p w14:paraId="3A0216C1">
            <w:pPr>
              <w:pStyle w:val="156"/>
            </w:pPr>
            <w:r>
              <w:rPr>
                <w:rFonts w:hint="eastAsia"/>
              </w:rPr>
              <w:t>表4</w:t>
            </w:r>
            <w:r>
              <w:t xml:space="preserve">-7  </w:t>
            </w:r>
            <w:r>
              <w:rPr>
                <w:rFonts w:hint="eastAsia"/>
              </w:rPr>
              <w:t>项目废气排放情况汇总表</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29"/>
              <w:gridCol w:w="848"/>
              <w:gridCol w:w="1134"/>
              <w:gridCol w:w="3117"/>
              <w:gridCol w:w="1135"/>
              <w:gridCol w:w="793"/>
            </w:tblGrid>
            <w:tr w14:paraId="2B9A0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92" w:type="pct"/>
                  <w:vAlign w:val="center"/>
                </w:tcPr>
                <w:p w14:paraId="24DEF957">
                  <w:pPr>
                    <w:pStyle w:val="135"/>
                    <w:adjustRightInd w:val="0"/>
                    <w:snapToGrid w:val="0"/>
                    <w:rPr>
                      <w:b/>
                      <w:bCs/>
                    </w:rPr>
                  </w:pPr>
                  <w:r>
                    <w:rPr>
                      <w:rFonts w:hint="eastAsia"/>
                      <w:b/>
                      <w:bCs/>
                    </w:rPr>
                    <w:t>污染源</w:t>
                  </w:r>
                </w:p>
              </w:tc>
              <w:tc>
                <w:tcPr>
                  <w:tcW w:w="520" w:type="pct"/>
                  <w:vAlign w:val="center"/>
                </w:tcPr>
                <w:p w14:paraId="19104E42">
                  <w:pPr>
                    <w:pStyle w:val="135"/>
                    <w:adjustRightInd w:val="0"/>
                    <w:snapToGrid w:val="0"/>
                    <w:rPr>
                      <w:b/>
                      <w:bCs/>
                    </w:rPr>
                  </w:pPr>
                  <w:r>
                    <w:rPr>
                      <w:rFonts w:hint="eastAsia"/>
                      <w:b/>
                      <w:bCs/>
                    </w:rPr>
                    <w:t>污染物</w:t>
                  </w:r>
                </w:p>
              </w:tc>
              <w:tc>
                <w:tcPr>
                  <w:tcW w:w="695" w:type="pct"/>
                  <w:vAlign w:val="center"/>
                </w:tcPr>
                <w:p w14:paraId="2196F0AD">
                  <w:pPr>
                    <w:pStyle w:val="135"/>
                    <w:adjustRightInd w:val="0"/>
                    <w:snapToGrid w:val="0"/>
                    <w:rPr>
                      <w:b/>
                      <w:bCs/>
                    </w:rPr>
                  </w:pPr>
                  <w:r>
                    <w:rPr>
                      <w:rFonts w:hint="eastAsia"/>
                      <w:b/>
                      <w:bCs/>
                    </w:rPr>
                    <w:t>产生量（t</w:t>
                  </w:r>
                  <w:r>
                    <w:rPr>
                      <w:b/>
                      <w:bCs/>
                    </w:rPr>
                    <w:t>/</w:t>
                  </w:r>
                  <w:r>
                    <w:rPr>
                      <w:rFonts w:hint="eastAsia"/>
                      <w:b/>
                      <w:bCs/>
                    </w:rPr>
                    <w:t>a）</w:t>
                  </w:r>
                </w:p>
              </w:tc>
              <w:tc>
                <w:tcPr>
                  <w:tcW w:w="1911" w:type="pct"/>
                  <w:vAlign w:val="center"/>
                </w:tcPr>
                <w:p w14:paraId="369BE741">
                  <w:pPr>
                    <w:pStyle w:val="135"/>
                    <w:adjustRightInd w:val="0"/>
                    <w:snapToGrid w:val="0"/>
                    <w:rPr>
                      <w:b/>
                      <w:bCs/>
                    </w:rPr>
                  </w:pPr>
                  <w:r>
                    <w:rPr>
                      <w:rFonts w:hint="eastAsia"/>
                      <w:b/>
                      <w:bCs/>
                    </w:rPr>
                    <w:t>治理措施</w:t>
                  </w:r>
                </w:p>
              </w:tc>
              <w:tc>
                <w:tcPr>
                  <w:tcW w:w="696" w:type="pct"/>
                  <w:vAlign w:val="center"/>
                </w:tcPr>
                <w:p w14:paraId="16036A41">
                  <w:pPr>
                    <w:pStyle w:val="135"/>
                    <w:adjustRightInd w:val="0"/>
                    <w:snapToGrid w:val="0"/>
                    <w:rPr>
                      <w:b/>
                      <w:bCs/>
                    </w:rPr>
                  </w:pPr>
                  <w:r>
                    <w:rPr>
                      <w:rFonts w:hint="eastAsia"/>
                      <w:b/>
                      <w:bCs/>
                    </w:rPr>
                    <w:t>排放量（t</w:t>
                  </w:r>
                  <w:r>
                    <w:rPr>
                      <w:b/>
                      <w:bCs/>
                    </w:rPr>
                    <w:t>/</w:t>
                  </w:r>
                  <w:r>
                    <w:rPr>
                      <w:rFonts w:hint="eastAsia"/>
                      <w:b/>
                      <w:bCs/>
                    </w:rPr>
                    <w:t>a）</w:t>
                  </w:r>
                </w:p>
              </w:tc>
              <w:tc>
                <w:tcPr>
                  <w:tcW w:w="486" w:type="pct"/>
                  <w:vAlign w:val="center"/>
                </w:tcPr>
                <w:p w14:paraId="1C0FF796">
                  <w:pPr>
                    <w:pStyle w:val="135"/>
                    <w:adjustRightInd w:val="0"/>
                    <w:snapToGrid w:val="0"/>
                    <w:rPr>
                      <w:b/>
                      <w:bCs/>
                    </w:rPr>
                  </w:pPr>
                  <w:r>
                    <w:rPr>
                      <w:rFonts w:hint="eastAsia"/>
                      <w:b/>
                      <w:bCs/>
                    </w:rPr>
                    <w:t>排放方式</w:t>
                  </w:r>
                </w:p>
              </w:tc>
            </w:tr>
            <w:tr w14:paraId="0AF2E9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92" w:type="pct"/>
                  <w:vAlign w:val="center"/>
                </w:tcPr>
                <w:p w14:paraId="4E7C365F">
                  <w:pPr>
                    <w:pStyle w:val="135"/>
                    <w:adjustRightInd w:val="0"/>
                    <w:snapToGrid w:val="0"/>
                  </w:pPr>
                  <w:r>
                    <w:rPr>
                      <w:rFonts w:hint="eastAsia"/>
                    </w:rPr>
                    <w:t>原料堆场</w:t>
                  </w:r>
                </w:p>
              </w:tc>
              <w:tc>
                <w:tcPr>
                  <w:tcW w:w="520" w:type="pct"/>
                  <w:vAlign w:val="center"/>
                </w:tcPr>
                <w:p w14:paraId="0E3EBF38">
                  <w:pPr>
                    <w:pStyle w:val="135"/>
                    <w:adjustRightInd w:val="0"/>
                    <w:snapToGrid w:val="0"/>
                  </w:pPr>
                  <w:r>
                    <w:rPr>
                      <w:rFonts w:hint="eastAsia"/>
                    </w:rPr>
                    <w:t>颗粒物</w:t>
                  </w:r>
                </w:p>
              </w:tc>
              <w:tc>
                <w:tcPr>
                  <w:tcW w:w="695" w:type="pct"/>
                  <w:vAlign w:val="center"/>
                </w:tcPr>
                <w:p w14:paraId="183A7F9E">
                  <w:pPr>
                    <w:pStyle w:val="135"/>
                    <w:adjustRightInd w:val="0"/>
                    <w:snapToGrid w:val="0"/>
                  </w:pPr>
                  <w:r>
                    <w:rPr>
                      <w:rFonts w:hint="eastAsia"/>
                    </w:rPr>
                    <w:t>4</w:t>
                  </w:r>
                  <w:r>
                    <w:t>2.857</w:t>
                  </w:r>
                </w:p>
              </w:tc>
              <w:tc>
                <w:tcPr>
                  <w:tcW w:w="1911" w:type="pct"/>
                  <w:vAlign w:val="center"/>
                </w:tcPr>
                <w:p w14:paraId="173E93B0">
                  <w:pPr>
                    <w:pStyle w:val="135"/>
                    <w:adjustRightInd w:val="0"/>
                    <w:snapToGrid w:val="0"/>
                  </w:pPr>
                  <w:r>
                    <w:rPr>
                      <w:rFonts w:hint="eastAsia"/>
                    </w:rPr>
                    <w:t>采用封闭式原料堆场，仅保留车辆出入口，顶部设置喷雾降尘装置。</w:t>
                  </w:r>
                </w:p>
              </w:tc>
              <w:tc>
                <w:tcPr>
                  <w:tcW w:w="696" w:type="pct"/>
                  <w:vAlign w:val="center"/>
                </w:tcPr>
                <w:p w14:paraId="56B47EC2">
                  <w:pPr>
                    <w:pStyle w:val="135"/>
                    <w:adjustRightInd w:val="0"/>
                    <w:snapToGrid w:val="0"/>
                  </w:pPr>
                  <w:r>
                    <w:rPr>
                      <w:rFonts w:hint="eastAsia"/>
                    </w:rPr>
                    <w:t>0</w:t>
                  </w:r>
                  <w:r>
                    <w:t>.111</w:t>
                  </w:r>
                </w:p>
              </w:tc>
              <w:tc>
                <w:tcPr>
                  <w:tcW w:w="486" w:type="pct"/>
                  <w:vAlign w:val="center"/>
                </w:tcPr>
                <w:p w14:paraId="656FBEAD">
                  <w:pPr>
                    <w:pStyle w:val="135"/>
                    <w:adjustRightInd w:val="0"/>
                    <w:snapToGrid w:val="0"/>
                  </w:pPr>
                  <w:r>
                    <w:rPr>
                      <w:rFonts w:hint="eastAsia"/>
                    </w:rPr>
                    <w:t>无组织</w:t>
                  </w:r>
                </w:p>
              </w:tc>
            </w:tr>
            <w:tr w14:paraId="78C75E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92" w:type="pct"/>
                  <w:vAlign w:val="center"/>
                </w:tcPr>
                <w:p w14:paraId="23FE9B6F">
                  <w:pPr>
                    <w:pStyle w:val="135"/>
                    <w:adjustRightInd w:val="0"/>
                    <w:snapToGrid w:val="0"/>
                  </w:pPr>
                  <w:r>
                    <w:rPr>
                      <w:rFonts w:hint="eastAsia"/>
                    </w:rPr>
                    <w:t>生产车间</w:t>
                  </w:r>
                </w:p>
              </w:tc>
              <w:tc>
                <w:tcPr>
                  <w:tcW w:w="520" w:type="pct"/>
                  <w:vAlign w:val="center"/>
                </w:tcPr>
                <w:p w14:paraId="799DB0A3">
                  <w:pPr>
                    <w:pStyle w:val="135"/>
                    <w:adjustRightInd w:val="0"/>
                    <w:snapToGrid w:val="0"/>
                  </w:pPr>
                  <w:r>
                    <w:rPr>
                      <w:rFonts w:hint="eastAsia"/>
                    </w:rPr>
                    <w:t>颗粒物</w:t>
                  </w:r>
                </w:p>
              </w:tc>
              <w:tc>
                <w:tcPr>
                  <w:tcW w:w="695" w:type="pct"/>
                  <w:vAlign w:val="center"/>
                </w:tcPr>
                <w:p w14:paraId="318E49B6">
                  <w:pPr>
                    <w:pStyle w:val="135"/>
                    <w:adjustRightInd w:val="0"/>
                    <w:snapToGrid w:val="0"/>
                  </w:pPr>
                  <w:r>
                    <w:rPr>
                      <w:rFonts w:hint="eastAsia"/>
                    </w:rPr>
                    <w:t>1</w:t>
                  </w:r>
                  <w:r>
                    <w:t>98.45</w:t>
                  </w:r>
                </w:p>
              </w:tc>
              <w:tc>
                <w:tcPr>
                  <w:tcW w:w="1911" w:type="pct"/>
                  <w:vAlign w:val="center"/>
                </w:tcPr>
                <w:p w14:paraId="3AAEA58E">
                  <w:pPr>
                    <w:pStyle w:val="135"/>
                    <w:adjustRightInd w:val="0"/>
                    <w:snapToGrid w:val="0"/>
                    <w:jc w:val="both"/>
                  </w:pPr>
                  <w:r>
                    <w:rPr>
                      <w:rFonts w:hint="eastAsia"/>
                      <w:bCs/>
                    </w:rPr>
                    <w:t>破碎机、上料机三面及顶部遮挡，同时在进料口顶部设置喷淋装置，因此加工后的物料在输送过程中含水率较高。整个生产车间全封闭，车间四周、顶棚设置喷雾装置。</w:t>
                  </w:r>
                </w:p>
              </w:tc>
              <w:tc>
                <w:tcPr>
                  <w:tcW w:w="696" w:type="pct"/>
                  <w:vAlign w:val="center"/>
                </w:tcPr>
                <w:p w14:paraId="59121BA4">
                  <w:pPr>
                    <w:pStyle w:val="135"/>
                    <w:adjustRightInd w:val="0"/>
                    <w:snapToGrid w:val="0"/>
                  </w:pPr>
                  <w:r>
                    <w:rPr>
                      <w:rFonts w:hint="eastAsia"/>
                    </w:rPr>
                    <w:t>0</w:t>
                  </w:r>
                  <w:r>
                    <w:t>.397</w:t>
                  </w:r>
                </w:p>
              </w:tc>
              <w:tc>
                <w:tcPr>
                  <w:tcW w:w="486" w:type="pct"/>
                  <w:vAlign w:val="center"/>
                </w:tcPr>
                <w:p w14:paraId="26BB415D">
                  <w:pPr>
                    <w:pStyle w:val="135"/>
                    <w:adjustRightInd w:val="0"/>
                    <w:snapToGrid w:val="0"/>
                  </w:pPr>
                  <w:r>
                    <w:rPr>
                      <w:rFonts w:hint="eastAsia"/>
                    </w:rPr>
                    <w:t>无组织</w:t>
                  </w:r>
                </w:p>
              </w:tc>
            </w:tr>
            <w:tr w14:paraId="4B528D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92" w:type="pct"/>
                  <w:vAlign w:val="center"/>
                </w:tcPr>
                <w:p w14:paraId="136E48AC">
                  <w:pPr>
                    <w:pStyle w:val="135"/>
                    <w:adjustRightInd w:val="0"/>
                    <w:snapToGrid w:val="0"/>
                  </w:pPr>
                  <w:r>
                    <w:rPr>
                      <w:rFonts w:hint="eastAsia"/>
                    </w:rPr>
                    <w:t>水泥筒仓</w:t>
                  </w:r>
                </w:p>
              </w:tc>
              <w:tc>
                <w:tcPr>
                  <w:tcW w:w="520" w:type="pct"/>
                  <w:vAlign w:val="center"/>
                </w:tcPr>
                <w:p w14:paraId="08E6AF27">
                  <w:pPr>
                    <w:pStyle w:val="135"/>
                    <w:adjustRightInd w:val="0"/>
                    <w:snapToGrid w:val="0"/>
                  </w:pPr>
                  <w:r>
                    <w:rPr>
                      <w:rFonts w:hint="eastAsia"/>
                    </w:rPr>
                    <w:t>颗粒物</w:t>
                  </w:r>
                </w:p>
              </w:tc>
              <w:tc>
                <w:tcPr>
                  <w:tcW w:w="695" w:type="pct"/>
                  <w:vAlign w:val="center"/>
                </w:tcPr>
                <w:p w14:paraId="14DA1548">
                  <w:pPr>
                    <w:pStyle w:val="135"/>
                    <w:adjustRightInd w:val="0"/>
                    <w:snapToGrid w:val="0"/>
                  </w:pPr>
                  <w:r>
                    <w:rPr>
                      <w:rFonts w:hint="eastAsia"/>
                    </w:rPr>
                    <w:t>1</w:t>
                  </w:r>
                  <w:r>
                    <w:t>.98</w:t>
                  </w:r>
                </w:p>
              </w:tc>
              <w:tc>
                <w:tcPr>
                  <w:tcW w:w="1911" w:type="pct"/>
                  <w:vAlign w:val="center"/>
                </w:tcPr>
                <w:p w14:paraId="0D6F21C8">
                  <w:pPr>
                    <w:pStyle w:val="135"/>
                    <w:adjustRightInd w:val="0"/>
                    <w:snapToGrid w:val="0"/>
                  </w:pPr>
                  <w:r>
                    <w:rPr>
                      <w:rFonts w:hint="eastAsia"/>
                    </w:rPr>
                    <w:t>仓顶呼吸口设置布袋除尘器。</w:t>
                  </w:r>
                </w:p>
              </w:tc>
              <w:tc>
                <w:tcPr>
                  <w:tcW w:w="696" w:type="pct"/>
                  <w:vAlign w:val="center"/>
                </w:tcPr>
                <w:p w14:paraId="7B6FB917">
                  <w:pPr>
                    <w:pStyle w:val="135"/>
                    <w:adjustRightInd w:val="0"/>
                    <w:snapToGrid w:val="0"/>
                  </w:pPr>
                  <w:r>
                    <w:rPr>
                      <w:rFonts w:hint="eastAsia"/>
                    </w:rPr>
                    <w:t>0</w:t>
                  </w:r>
                  <w:r>
                    <w:t>.02</w:t>
                  </w:r>
                </w:p>
              </w:tc>
              <w:tc>
                <w:tcPr>
                  <w:tcW w:w="486" w:type="pct"/>
                  <w:vAlign w:val="center"/>
                </w:tcPr>
                <w:p w14:paraId="081C937B">
                  <w:pPr>
                    <w:pStyle w:val="135"/>
                    <w:adjustRightInd w:val="0"/>
                    <w:snapToGrid w:val="0"/>
                  </w:pPr>
                  <w:r>
                    <w:rPr>
                      <w:rFonts w:hint="eastAsia"/>
                    </w:rPr>
                    <w:t>无组织</w:t>
                  </w:r>
                </w:p>
              </w:tc>
            </w:tr>
            <w:tr w14:paraId="5A9DDB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92" w:type="pct"/>
                  <w:vAlign w:val="center"/>
                </w:tcPr>
                <w:p w14:paraId="0FA7180B">
                  <w:pPr>
                    <w:pStyle w:val="135"/>
                    <w:adjustRightInd w:val="0"/>
                    <w:snapToGrid w:val="0"/>
                  </w:pPr>
                  <w:r>
                    <w:rPr>
                      <w:rFonts w:hint="eastAsia"/>
                    </w:rPr>
                    <w:t>石灰筒仓</w:t>
                  </w:r>
                </w:p>
              </w:tc>
              <w:tc>
                <w:tcPr>
                  <w:tcW w:w="520" w:type="pct"/>
                  <w:vAlign w:val="center"/>
                </w:tcPr>
                <w:p w14:paraId="18521093">
                  <w:pPr>
                    <w:pStyle w:val="135"/>
                    <w:adjustRightInd w:val="0"/>
                    <w:snapToGrid w:val="0"/>
                  </w:pPr>
                  <w:r>
                    <w:rPr>
                      <w:rFonts w:hint="eastAsia"/>
                    </w:rPr>
                    <w:t>颗粒物</w:t>
                  </w:r>
                </w:p>
              </w:tc>
              <w:tc>
                <w:tcPr>
                  <w:tcW w:w="695" w:type="pct"/>
                  <w:vAlign w:val="center"/>
                </w:tcPr>
                <w:p w14:paraId="1F52A22F">
                  <w:pPr>
                    <w:pStyle w:val="135"/>
                    <w:adjustRightInd w:val="0"/>
                    <w:snapToGrid w:val="0"/>
                  </w:pPr>
                  <w:r>
                    <w:rPr>
                      <w:rFonts w:hint="eastAsia"/>
                    </w:rPr>
                    <w:t>1</w:t>
                  </w:r>
                  <w:r>
                    <w:t>.44</w:t>
                  </w:r>
                </w:p>
              </w:tc>
              <w:tc>
                <w:tcPr>
                  <w:tcW w:w="1911" w:type="pct"/>
                  <w:vAlign w:val="center"/>
                </w:tcPr>
                <w:p w14:paraId="4024A331">
                  <w:pPr>
                    <w:pStyle w:val="135"/>
                    <w:adjustRightInd w:val="0"/>
                    <w:snapToGrid w:val="0"/>
                  </w:pPr>
                  <w:r>
                    <w:rPr>
                      <w:rFonts w:hint="eastAsia"/>
                    </w:rPr>
                    <w:t>仓顶呼吸口设置布袋除尘器。</w:t>
                  </w:r>
                </w:p>
              </w:tc>
              <w:tc>
                <w:tcPr>
                  <w:tcW w:w="696" w:type="pct"/>
                  <w:vAlign w:val="center"/>
                </w:tcPr>
                <w:p w14:paraId="58955887">
                  <w:pPr>
                    <w:pStyle w:val="135"/>
                    <w:adjustRightInd w:val="0"/>
                    <w:snapToGrid w:val="0"/>
                  </w:pPr>
                  <w:r>
                    <w:rPr>
                      <w:rFonts w:hint="eastAsia"/>
                    </w:rPr>
                    <w:t>0</w:t>
                  </w:r>
                  <w:r>
                    <w:t>.014</w:t>
                  </w:r>
                </w:p>
              </w:tc>
              <w:tc>
                <w:tcPr>
                  <w:tcW w:w="486" w:type="pct"/>
                  <w:vAlign w:val="center"/>
                </w:tcPr>
                <w:p w14:paraId="7472290D">
                  <w:pPr>
                    <w:pStyle w:val="135"/>
                    <w:adjustRightInd w:val="0"/>
                    <w:snapToGrid w:val="0"/>
                  </w:pPr>
                  <w:r>
                    <w:rPr>
                      <w:rFonts w:hint="eastAsia"/>
                    </w:rPr>
                    <w:t>无组织</w:t>
                  </w:r>
                </w:p>
              </w:tc>
            </w:tr>
            <w:tr w14:paraId="6B4FA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92" w:type="pct"/>
                  <w:vAlign w:val="center"/>
                </w:tcPr>
                <w:p w14:paraId="09152176">
                  <w:pPr>
                    <w:pStyle w:val="135"/>
                    <w:adjustRightInd w:val="0"/>
                    <w:snapToGrid w:val="0"/>
                  </w:pPr>
                  <w:r>
                    <w:rPr>
                      <w:rFonts w:hint="eastAsia"/>
                    </w:rPr>
                    <w:t>道路运输</w:t>
                  </w:r>
                </w:p>
              </w:tc>
              <w:tc>
                <w:tcPr>
                  <w:tcW w:w="520" w:type="pct"/>
                  <w:vAlign w:val="center"/>
                </w:tcPr>
                <w:p w14:paraId="0AB16B56">
                  <w:pPr>
                    <w:pStyle w:val="135"/>
                    <w:adjustRightInd w:val="0"/>
                    <w:snapToGrid w:val="0"/>
                  </w:pPr>
                  <w:r>
                    <w:rPr>
                      <w:rFonts w:hint="eastAsia"/>
                    </w:rPr>
                    <w:t>颗粒物</w:t>
                  </w:r>
                </w:p>
              </w:tc>
              <w:tc>
                <w:tcPr>
                  <w:tcW w:w="695" w:type="pct"/>
                  <w:vAlign w:val="center"/>
                </w:tcPr>
                <w:p w14:paraId="536F6FF3">
                  <w:pPr>
                    <w:pStyle w:val="135"/>
                    <w:adjustRightInd w:val="0"/>
                    <w:snapToGrid w:val="0"/>
                  </w:pPr>
                  <w:r>
                    <w:rPr>
                      <w:rFonts w:hint="eastAsia"/>
                    </w:rPr>
                    <w:t>0</w:t>
                  </w:r>
                  <w:r>
                    <w:t>.247</w:t>
                  </w:r>
                </w:p>
              </w:tc>
              <w:tc>
                <w:tcPr>
                  <w:tcW w:w="1911" w:type="pct"/>
                  <w:vAlign w:val="center"/>
                </w:tcPr>
                <w:p w14:paraId="75268F79">
                  <w:pPr>
                    <w:pStyle w:val="135"/>
                    <w:adjustRightInd w:val="0"/>
                    <w:snapToGrid w:val="0"/>
                  </w:pPr>
                  <w:r>
                    <w:rPr>
                      <w:rFonts w:hint="eastAsia"/>
                    </w:rPr>
                    <w:t>设置车辆冲洗设施，路面定时洒水，限值行驶车速等方式。</w:t>
                  </w:r>
                </w:p>
              </w:tc>
              <w:tc>
                <w:tcPr>
                  <w:tcW w:w="696" w:type="pct"/>
                  <w:vAlign w:val="center"/>
                </w:tcPr>
                <w:p w14:paraId="635AF8C2">
                  <w:pPr>
                    <w:pStyle w:val="135"/>
                    <w:adjustRightInd w:val="0"/>
                    <w:snapToGrid w:val="0"/>
                  </w:pPr>
                  <w:r>
                    <w:rPr>
                      <w:rFonts w:hint="eastAsia"/>
                    </w:rPr>
                    <w:t>0</w:t>
                  </w:r>
                  <w:r>
                    <w:t>.099</w:t>
                  </w:r>
                </w:p>
              </w:tc>
              <w:tc>
                <w:tcPr>
                  <w:tcW w:w="486" w:type="pct"/>
                  <w:vAlign w:val="center"/>
                </w:tcPr>
                <w:p w14:paraId="34062895">
                  <w:pPr>
                    <w:pStyle w:val="135"/>
                    <w:adjustRightInd w:val="0"/>
                    <w:snapToGrid w:val="0"/>
                  </w:pPr>
                  <w:r>
                    <w:rPr>
                      <w:rFonts w:hint="eastAsia"/>
                    </w:rPr>
                    <w:t>无组织</w:t>
                  </w:r>
                </w:p>
              </w:tc>
            </w:tr>
            <w:tr w14:paraId="52F8FB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92" w:type="pct"/>
                  <w:vMerge w:val="restart"/>
                  <w:vAlign w:val="center"/>
                </w:tcPr>
                <w:p w14:paraId="60A98C6B">
                  <w:pPr>
                    <w:pStyle w:val="135"/>
                    <w:adjustRightInd w:val="0"/>
                    <w:snapToGrid w:val="0"/>
                  </w:pPr>
                  <w:r>
                    <w:rPr>
                      <w:rFonts w:hint="eastAsia"/>
                    </w:rPr>
                    <w:t>生物质锅炉</w:t>
                  </w:r>
                </w:p>
              </w:tc>
              <w:tc>
                <w:tcPr>
                  <w:tcW w:w="520" w:type="pct"/>
                  <w:vAlign w:val="center"/>
                </w:tcPr>
                <w:p w14:paraId="637CDE7A">
                  <w:pPr>
                    <w:pStyle w:val="135"/>
                    <w:adjustRightInd w:val="0"/>
                    <w:snapToGrid w:val="0"/>
                  </w:pPr>
                  <w:r>
                    <w:rPr>
                      <w:rFonts w:hint="eastAsia"/>
                    </w:rPr>
                    <w:t>二氧化硫</w:t>
                  </w:r>
                </w:p>
              </w:tc>
              <w:tc>
                <w:tcPr>
                  <w:tcW w:w="695" w:type="pct"/>
                  <w:vAlign w:val="center"/>
                </w:tcPr>
                <w:p w14:paraId="486FE6F4">
                  <w:pPr>
                    <w:pStyle w:val="135"/>
                    <w:adjustRightInd w:val="0"/>
                    <w:snapToGrid w:val="0"/>
                  </w:pPr>
                  <w:r>
                    <w:rPr>
                      <w:rFonts w:hint="eastAsia"/>
                    </w:rPr>
                    <w:t>1</w:t>
                  </w:r>
                  <w:r>
                    <w:t>.099</w:t>
                  </w:r>
                </w:p>
              </w:tc>
              <w:tc>
                <w:tcPr>
                  <w:tcW w:w="1911" w:type="pct"/>
                  <w:vMerge w:val="restart"/>
                  <w:vAlign w:val="center"/>
                </w:tcPr>
                <w:p w14:paraId="07FC096B">
                  <w:pPr>
                    <w:pStyle w:val="135"/>
                    <w:adjustRightInd w:val="0"/>
                    <w:snapToGrid w:val="0"/>
                  </w:pPr>
                  <w:r>
                    <w:rPr>
                      <w:rFonts w:hint="eastAsia"/>
                    </w:rPr>
                    <w:t>采用专用生物质锅炉，锅炉安装低氮燃烧器，并配备水膜除尘+静电除尘器，尾气通过4</w:t>
                  </w:r>
                  <w:r>
                    <w:t>0</w:t>
                  </w:r>
                  <w:r>
                    <w:rPr>
                      <w:rFonts w:hint="eastAsia"/>
                    </w:rPr>
                    <w:t>m排气筒排放。</w:t>
                  </w:r>
                </w:p>
              </w:tc>
              <w:tc>
                <w:tcPr>
                  <w:tcW w:w="696" w:type="pct"/>
                  <w:vAlign w:val="center"/>
                </w:tcPr>
                <w:p w14:paraId="6B01FB20">
                  <w:pPr>
                    <w:pStyle w:val="135"/>
                    <w:adjustRightInd w:val="0"/>
                    <w:snapToGrid w:val="0"/>
                  </w:pPr>
                  <w:r>
                    <w:rPr>
                      <w:rFonts w:hint="eastAsia"/>
                    </w:rPr>
                    <w:t>1</w:t>
                  </w:r>
                  <w:r>
                    <w:t>.099</w:t>
                  </w:r>
                </w:p>
              </w:tc>
              <w:tc>
                <w:tcPr>
                  <w:tcW w:w="486" w:type="pct"/>
                  <w:vMerge w:val="restart"/>
                  <w:vAlign w:val="center"/>
                </w:tcPr>
                <w:p w14:paraId="460BEFBD">
                  <w:pPr>
                    <w:pStyle w:val="135"/>
                    <w:adjustRightInd w:val="0"/>
                    <w:snapToGrid w:val="0"/>
                  </w:pPr>
                  <w:r>
                    <w:rPr>
                      <w:rFonts w:hint="eastAsia"/>
                    </w:rPr>
                    <w:t>通过</w:t>
                  </w:r>
                  <w:r>
                    <w:t>40</w:t>
                  </w:r>
                  <w:r>
                    <w:rPr>
                      <w:rFonts w:hint="eastAsia"/>
                    </w:rPr>
                    <w:t>m排气筒排放</w:t>
                  </w:r>
                </w:p>
              </w:tc>
            </w:tr>
            <w:tr w14:paraId="1BA49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92" w:type="pct"/>
                  <w:vMerge w:val="continue"/>
                  <w:vAlign w:val="center"/>
                </w:tcPr>
                <w:p w14:paraId="31909865">
                  <w:pPr>
                    <w:pStyle w:val="135"/>
                    <w:adjustRightInd w:val="0"/>
                    <w:snapToGrid w:val="0"/>
                  </w:pPr>
                </w:p>
              </w:tc>
              <w:tc>
                <w:tcPr>
                  <w:tcW w:w="520" w:type="pct"/>
                  <w:vAlign w:val="center"/>
                </w:tcPr>
                <w:p w14:paraId="13332BB1">
                  <w:pPr>
                    <w:pStyle w:val="135"/>
                    <w:adjustRightInd w:val="0"/>
                    <w:snapToGrid w:val="0"/>
                  </w:pPr>
                  <w:r>
                    <w:rPr>
                      <w:rFonts w:hint="eastAsia"/>
                    </w:rPr>
                    <w:t>颗粒物</w:t>
                  </w:r>
                </w:p>
              </w:tc>
              <w:tc>
                <w:tcPr>
                  <w:tcW w:w="695" w:type="pct"/>
                  <w:vAlign w:val="center"/>
                </w:tcPr>
                <w:p w14:paraId="2D1FE657">
                  <w:pPr>
                    <w:pStyle w:val="135"/>
                    <w:adjustRightInd w:val="0"/>
                    <w:snapToGrid w:val="0"/>
                  </w:pPr>
                  <w:r>
                    <w:rPr>
                      <w:rFonts w:hint="eastAsia"/>
                    </w:rPr>
                    <w:t>1</w:t>
                  </w:r>
                  <w:r>
                    <w:t>.155</w:t>
                  </w:r>
                </w:p>
              </w:tc>
              <w:tc>
                <w:tcPr>
                  <w:tcW w:w="1911" w:type="pct"/>
                  <w:vMerge w:val="continue"/>
                  <w:vAlign w:val="center"/>
                </w:tcPr>
                <w:p w14:paraId="3BD4648F">
                  <w:pPr>
                    <w:pStyle w:val="135"/>
                    <w:adjustRightInd w:val="0"/>
                    <w:snapToGrid w:val="0"/>
                  </w:pPr>
                </w:p>
              </w:tc>
              <w:tc>
                <w:tcPr>
                  <w:tcW w:w="696" w:type="pct"/>
                  <w:vAlign w:val="center"/>
                </w:tcPr>
                <w:p w14:paraId="5E228A54">
                  <w:pPr>
                    <w:pStyle w:val="135"/>
                    <w:adjustRightInd w:val="0"/>
                    <w:snapToGrid w:val="0"/>
                  </w:pPr>
                  <w:r>
                    <w:rPr>
                      <w:rFonts w:hint="eastAsia"/>
                    </w:rPr>
                    <w:t>0</w:t>
                  </w:r>
                  <w:r>
                    <w:t>.058</w:t>
                  </w:r>
                </w:p>
              </w:tc>
              <w:tc>
                <w:tcPr>
                  <w:tcW w:w="486" w:type="pct"/>
                  <w:vMerge w:val="continue"/>
                  <w:vAlign w:val="center"/>
                </w:tcPr>
                <w:p w14:paraId="6E21A42F">
                  <w:pPr>
                    <w:pStyle w:val="135"/>
                    <w:adjustRightInd w:val="0"/>
                    <w:snapToGrid w:val="0"/>
                  </w:pPr>
                </w:p>
              </w:tc>
            </w:tr>
            <w:tr w14:paraId="7F3D52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92" w:type="pct"/>
                  <w:vMerge w:val="continue"/>
                  <w:vAlign w:val="center"/>
                </w:tcPr>
                <w:p w14:paraId="3905B453">
                  <w:pPr>
                    <w:pStyle w:val="135"/>
                    <w:adjustRightInd w:val="0"/>
                    <w:snapToGrid w:val="0"/>
                  </w:pPr>
                </w:p>
              </w:tc>
              <w:tc>
                <w:tcPr>
                  <w:tcW w:w="520" w:type="pct"/>
                  <w:vAlign w:val="center"/>
                </w:tcPr>
                <w:p w14:paraId="2AE3ACF2">
                  <w:pPr>
                    <w:pStyle w:val="135"/>
                    <w:adjustRightInd w:val="0"/>
                    <w:snapToGrid w:val="0"/>
                  </w:pPr>
                  <w:r>
                    <w:rPr>
                      <w:rFonts w:hint="eastAsia"/>
                    </w:rPr>
                    <w:t>氮氧化物</w:t>
                  </w:r>
                </w:p>
              </w:tc>
              <w:tc>
                <w:tcPr>
                  <w:tcW w:w="695" w:type="pct"/>
                  <w:vAlign w:val="center"/>
                </w:tcPr>
                <w:p w14:paraId="7B6E7CC1">
                  <w:pPr>
                    <w:pStyle w:val="135"/>
                    <w:adjustRightInd w:val="0"/>
                    <w:snapToGrid w:val="0"/>
                  </w:pPr>
                  <w:r>
                    <w:rPr>
                      <w:rFonts w:hint="eastAsia"/>
                    </w:rPr>
                    <w:t>2</w:t>
                  </w:r>
                  <w:r>
                    <w:t>.356</w:t>
                  </w:r>
                </w:p>
              </w:tc>
              <w:tc>
                <w:tcPr>
                  <w:tcW w:w="1911" w:type="pct"/>
                  <w:vMerge w:val="continue"/>
                  <w:vAlign w:val="center"/>
                </w:tcPr>
                <w:p w14:paraId="58B4E4D5">
                  <w:pPr>
                    <w:pStyle w:val="135"/>
                    <w:adjustRightInd w:val="0"/>
                    <w:snapToGrid w:val="0"/>
                  </w:pPr>
                </w:p>
              </w:tc>
              <w:tc>
                <w:tcPr>
                  <w:tcW w:w="696" w:type="pct"/>
                  <w:vAlign w:val="center"/>
                </w:tcPr>
                <w:p w14:paraId="2EBBAECC">
                  <w:pPr>
                    <w:pStyle w:val="135"/>
                    <w:adjustRightInd w:val="0"/>
                    <w:snapToGrid w:val="0"/>
                  </w:pPr>
                  <w:r>
                    <w:rPr>
                      <w:rFonts w:hint="eastAsia"/>
                    </w:rPr>
                    <w:t>1</w:t>
                  </w:r>
                  <w:r>
                    <w:t>.649</w:t>
                  </w:r>
                </w:p>
              </w:tc>
              <w:tc>
                <w:tcPr>
                  <w:tcW w:w="486" w:type="pct"/>
                  <w:vMerge w:val="continue"/>
                  <w:vAlign w:val="center"/>
                </w:tcPr>
                <w:p w14:paraId="712DA5C4">
                  <w:pPr>
                    <w:pStyle w:val="135"/>
                    <w:adjustRightInd w:val="0"/>
                    <w:snapToGrid w:val="0"/>
                  </w:pPr>
                </w:p>
              </w:tc>
            </w:tr>
            <w:tr w14:paraId="4439D4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92" w:type="pct"/>
                  <w:vAlign w:val="center"/>
                </w:tcPr>
                <w:p w14:paraId="78B70FF1">
                  <w:pPr>
                    <w:pStyle w:val="135"/>
                    <w:adjustRightInd w:val="0"/>
                    <w:snapToGrid w:val="0"/>
                  </w:pPr>
                  <w:r>
                    <w:rPr>
                      <w:rFonts w:hint="eastAsia"/>
                    </w:rPr>
                    <w:t>食堂</w:t>
                  </w:r>
                </w:p>
              </w:tc>
              <w:tc>
                <w:tcPr>
                  <w:tcW w:w="520" w:type="pct"/>
                  <w:vAlign w:val="center"/>
                </w:tcPr>
                <w:p w14:paraId="21EB82BE">
                  <w:pPr>
                    <w:pStyle w:val="135"/>
                    <w:adjustRightInd w:val="0"/>
                    <w:snapToGrid w:val="0"/>
                  </w:pPr>
                  <w:r>
                    <w:rPr>
                      <w:rFonts w:hint="eastAsia"/>
                    </w:rPr>
                    <w:t>油烟</w:t>
                  </w:r>
                </w:p>
              </w:tc>
              <w:tc>
                <w:tcPr>
                  <w:tcW w:w="695" w:type="pct"/>
                  <w:vAlign w:val="center"/>
                </w:tcPr>
                <w:p w14:paraId="630385F8">
                  <w:pPr>
                    <w:pStyle w:val="135"/>
                    <w:adjustRightInd w:val="0"/>
                    <w:snapToGrid w:val="0"/>
                  </w:pPr>
                  <w:r>
                    <w:rPr>
                      <w:rFonts w:hint="eastAsia"/>
                    </w:rPr>
                    <w:t>0</w:t>
                  </w:r>
                  <w:r>
                    <w:t>.405</w:t>
                  </w:r>
                  <w:r>
                    <w:rPr>
                      <w:rFonts w:hint="eastAsia"/>
                    </w:rPr>
                    <w:t>kg</w:t>
                  </w:r>
                  <w:r>
                    <w:t>/</w:t>
                  </w:r>
                  <w:r>
                    <w:rPr>
                      <w:rFonts w:hint="eastAsia"/>
                    </w:rPr>
                    <w:t>a</w:t>
                  </w:r>
                </w:p>
              </w:tc>
              <w:tc>
                <w:tcPr>
                  <w:tcW w:w="1911" w:type="pct"/>
                  <w:vAlign w:val="center"/>
                </w:tcPr>
                <w:p w14:paraId="193757DC">
                  <w:pPr>
                    <w:pStyle w:val="135"/>
                    <w:adjustRightInd w:val="0"/>
                    <w:snapToGrid w:val="0"/>
                  </w:pPr>
                  <w:r>
                    <w:rPr>
                      <w:rFonts w:hint="eastAsia"/>
                    </w:rPr>
                    <w:t>经抽油烟机处理后通过屋顶烟囱排放</w:t>
                  </w:r>
                </w:p>
              </w:tc>
              <w:tc>
                <w:tcPr>
                  <w:tcW w:w="696" w:type="pct"/>
                  <w:vAlign w:val="center"/>
                </w:tcPr>
                <w:p w14:paraId="7B324173">
                  <w:pPr>
                    <w:pStyle w:val="135"/>
                    <w:adjustRightInd w:val="0"/>
                    <w:snapToGrid w:val="0"/>
                  </w:pPr>
                  <w:r>
                    <w:rPr>
                      <w:rFonts w:hint="eastAsia"/>
                    </w:rPr>
                    <w:t>0</w:t>
                  </w:r>
                  <w:r>
                    <w:t>.162</w:t>
                  </w:r>
                  <w:r>
                    <w:rPr>
                      <w:rFonts w:hint="eastAsia"/>
                    </w:rPr>
                    <w:t>kg</w:t>
                  </w:r>
                  <w:r>
                    <w:t>/</w:t>
                  </w:r>
                  <w:r>
                    <w:rPr>
                      <w:rFonts w:hint="eastAsia"/>
                    </w:rPr>
                    <w:t>a</w:t>
                  </w:r>
                </w:p>
              </w:tc>
              <w:tc>
                <w:tcPr>
                  <w:tcW w:w="486" w:type="pct"/>
                  <w:vAlign w:val="center"/>
                </w:tcPr>
                <w:p w14:paraId="5205D143">
                  <w:pPr>
                    <w:pStyle w:val="135"/>
                    <w:adjustRightInd w:val="0"/>
                    <w:snapToGrid w:val="0"/>
                  </w:pPr>
                  <w:r>
                    <w:rPr>
                      <w:rFonts w:hint="eastAsia"/>
                    </w:rPr>
                    <w:t>/</w:t>
                  </w:r>
                </w:p>
              </w:tc>
            </w:tr>
          </w:tbl>
          <w:p w14:paraId="4D60E610">
            <w:pPr>
              <w:ind w:firstLine="422"/>
              <w:rPr>
                <w:b/>
                <w:bCs/>
              </w:rPr>
            </w:pPr>
            <w:r>
              <w:rPr>
                <w:rFonts w:hint="eastAsia"/>
                <w:b/>
                <w:bCs/>
              </w:rPr>
              <w:t>2、废气治理措施可行性分析</w:t>
            </w:r>
          </w:p>
          <w:p w14:paraId="3817F373">
            <w:pPr>
              <w:ind w:firstLine="422"/>
              <w:rPr>
                <w:b/>
                <w:bCs/>
              </w:rPr>
            </w:pPr>
            <w:r>
              <w:rPr>
                <w:rFonts w:hint="eastAsia"/>
                <w:b/>
                <w:bCs/>
              </w:rPr>
              <w:t>（1）无组织废气控制要求</w:t>
            </w:r>
          </w:p>
          <w:p w14:paraId="6DBA6BB9">
            <w:pPr>
              <w:ind w:firstLine="420"/>
            </w:pPr>
            <w:r>
              <w:rPr>
                <w:rFonts w:hint="eastAsia"/>
              </w:rPr>
              <w:t>为进一步控制项目产生的物质粉尘，本次评价提出以下控制措施：</w:t>
            </w:r>
          </w:p>
          <w:p w14:paraId="5B5CEBBC">
            <w:pPr>
              <w:ind w:firstLine="420"/>
            </w:pPr>
            <w:r>
              <w:rPr>
                <w:rFonts w:hint="eastAsia"/>
              </w:rPr>
              <w:t>①厂区内所有道路全部硬化处理，每天洒水次数不少于3次，极端天气可增加洒水频次；车辆限速行驶，减少运输扬尘；进出厂区车辆必须进行车轮冲洗，禁止赃车上路。</w:t>
            </w:r>
          </w:p>
          <w:p w14:paraId="1158C741">
            <w:pPr>
              <w:ind w:firstLine="420"/>
            </w:pPr>
            <w:r>
              <w:rPr>
                <w:rFonts w:hint="eastAsia"/>
              </w:rPr>
              <w:t>②生产车间进出口大门如无人员或车辆进出，则随时保持关闭状态。</w:t>
            </w:r>
          </w:p>
          <w:p w14:paraId="4FD078DA">
            <w:pPr>
              <w:ind w:firstLine="420"/>
            </w:pPr>
            <w:r>
              <w:rPr>
                <w:rFonts w:hint="eastAsia"/>
              </w:rPr>
              <w:t>③生产车间顶部喷雾头之间间距不超过2m，生产作业时需随时保持作业点上方喷雾装置处于工作状态。特殊情况（如卸料）时可采用雾炮机应急降尘，减少粉尘产生；</w:t>
            </w:r>
          </w:p>
          <w:p w14:paraId="23A4FB6C">
            <w:pPr>
              <w:ind w:firstLine="420"/>
            </w:pPr>
            <w:r>
              <w:rPr>
                <w:rFonts w:hint="eastAsia"/>
              </w:rPr>
              <w:t>④制定重污染天气及极端天然气应急预案，在重污染天气时按政府要求限产、停产；</w:t>
            </w:r>
          </w:p>
          <w:p w14:paraId="29101093">
            <w:pPr>
              <w:ind w:firstLine="420"/>
            </w:pPr>
            <w:r>
              <w:rPr>
                <w:rFonts w:hint="eastAsia"/>
              </w:rPr>
              <w:t>⑤强化移动源污染控制，禁止使用不满足国家标准的运输车辆和非道路移动车辆。</w:t>
            </w:r>
          </w:p>
          <w:p w14:paraId="6F49AF9B">
            <w:pPr>
              <w:ind w:firstLine="420"/>
            </w:pPr>
            <w:r>
              <w:rPr>
                <w:rFonts w:hint="eastAsia"/>
              </w:rPr>
              <w:t>通过采取上述无组织废气控制措施，项目厂界废气排放可满足《砖瓦工业大气污染物排放标准</w:t>
            </w:r>
            <w:r>
              <w:t>》（</w:t>
            </w:r>
            <w:r>
              <w:rPr>
                <w:rFonts w:hint="eastAsia"/>
              </w:rPr>
              <w:t>GB</w:t>
            </w:r>
            <w:r>
              <w:t xml:space="preserve"> 29620-2013）表3</w:t>
            </w:r>
            <w:r>
              <w:rPr>
                <w:rFonts w:hint="eastAsia"/>
              </w:rPr>
              <w:t>排放限值要求。</w:t>
            </w:r>
          </w:p>
          <w:p w14:paraId="7AA22B26">
            <w:pPr>
              <w:ind w:firstLine="422"/>
              <w:rPr>
                <w:b/>
                <w:bCs/>
              </w:rPr>
            </w:pPr>
            <w:r>
              <w:rPr>
                <w:rFonts w:hint="eastAsia"/>
                <w:b/>
                <w:bCs/>
              </w:rPr>
              <w:t>（2）有组织废气治理措施可行性分析</w:t>
            </w:r>
          </w:p>
          <w:p w14:paraId="5C74E291">
            <w:pPr>
              <w:ind w:firstLine="420"/>
            </w:pPr>
            <w:r>
              <w:rPr>
                <w:rFonts w:hint="eastAsia"/>
              </w:rPr>
              <w:t>本项目采用专用生物质锅炉，锅炉安装低氮燃烧器，并配备水膜除尘+静电除尘器，尾气通过4</w:t>
            </w:r>
            <w:r>
              <w:t>0</w:t>
            </w:r>
            <w:r>
              <w:rPr>
                <w:rFonts w:hint="eastAsia"/>
              </w:rPr>
              <w:t>m排气筒排放。废气治理采用《排放源统计调查产排污核算方法和系数手册-</w:t>
            </w:r>
            <w:r>
              <w:t>4430</w:t>
            </w:r>
            <w:r>
              <w:rPr>
                <w:rFonts w:hint="eastAsia"/>
              </w:rPr>
              <w:t>工业锅炉（热力供应）行业系数手册》中推荐的废气治理技术，污染物设计去除效率在推荐去除效率范围内，污染物预测排放浓度满足相关排放标准要求，且符合《巴中市人民政府关于调整划定巴中市中心城区高污染燃料禁燃区的通告》中相关要求。</w:t>
            </w:r>
          </w:p>
          <w:p w14:paraId="7BB1471B">
            <w:pPr>
              <w:ind w:firstLine="420"/>
            </w:pPr>
            <w:r>
              <w:rPr>
                <w:rFonts w:hint="eastAsia"/>
              </w:rPr>
              <w:t>综上，本项目采取的废气治理措施是可行性的。</w:t>
            </w:r>
          </w:p>
          <w:p w14:paraId="50F7F6D5">
            <w:pPr>
              <w:ind w:firstLine="422"/>
              <w:rPr>
                <w:b/>
              </w:rPr>
            </w:pPr>
            <w:r>
              <w:rPr>
                <w:rFonts w:hint="eastAsia"/>
                <w:b/>
              </w:rPr>
              <w:t>3、废气非正常排放情况</w:t>
            </w:r>
          </w:p>
          <w:p w14:paraId="7D5FB295">
            <w:pPr>
              <w:ind w:firstLine="420"/>
              <w:rPr>
                <w:bCs/>
              </w:rPr>
            </w:pPr>
            <w:r>
              <w:rPr>
                <w:rFonts w:hint="eastAsia"/>
                <w:bCs/>
              </w:rPr>
              <w:t>非正常工况主要是污染物控制措施达不到应有的效率导致污染物非正常排放。结合项目实际情况考虑，本项目主要污染物非正常工况的排放情况如下：</w:t>
            </w:r>
          </w:p>
          <w:p w14:paraId="09D7F2E3">
            <w:pPr>
              <w:pStyle w:val="156"/>
              <w:keepNext/>
            </w:pPr>
            <w:r>
              <w:rPr>
                <w:rFonts w:hint="eastAsia"/>
              </w:rPr>
              <w:t>表4</w:t>
            </w:r>
            <w:r>
              <w:t xml:space="preserve">-8  </w:t>
            </w:r>
            <w:r>
              <w:rPr>
                <w:rFonts w:hint="eastAsia"/>
              </w:rPr>
              <w:t>废气非正常排放情况统计表</w:t>
            </w:r>
          </w:p>
          <w:tbl>
            <w:tblPr>
              <w:tblStyle w:val="194"/>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59"/>
              <w:gridCol w:w="908"/>
              <w:gridCol w:w="992"/>
              <w:gridCol w:w="1134"/>
              <w:gridCol w:w="2260"/>
              <w:gridCol w:w="1503"/>
            </w:tblGrid>
            <w:tr w14:paraId="5F3470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1359" w:type="dxa"/>
                  <w:vAlign w:val="center"/>
                </w:tcPr>
                <w:p w14:paraId="51E61201">
                  <w:pPr>
                    <w:pStyle w:val="135"/>
                    <w:adjustRightInd w:val="0"/>
                    <w:snapToGrid w:val="0"/>
                    <w:rPr>
                      <w:b/>
                      <w:bCs/>
                    </w:rPr>
                  </w:pPr>
                  <w:r>
                    <w:rPr>
                      <w:rFonts w:hint="eastAsia"/>
                      <w:b/>
                      <w:bCs/>
                    </w:rPr>
                    <w:t>污染源名称</w:t>
                  </w:r>
                </w:p>
              </w:tc>
              <w:tc>
                <w:tcPr>
                  <w:tcW w:w="908" w:type="dxa"/>
                  <w:vAlign w:val="center"/>
                </w:tcPr>
                <w:p w14:paraId="024D8C9B">
                  <w:pPr>
                    <w:pStyle w:val="135"/>
                    <w:adjustRightInd w:val="0"/>
                    <w:snapToGrid w:val="0"/>
                    <w:rPr>
                      <w:b/>
                      <w:bCs/>
                    </w:rPr>
                  </w:pPr>
                  <w:r>
                    <w:rPr>
                      <w:rFonts w:hint="eastAsia"/>
                      <w:b/>
                      <w:bCs/>
                    </w:rPr>
                    <w:t>污染物</w:t>
                  </w:r>
                </w:p>
              </w:tc>
              <w:tc>
                <w:tcPr>
                  <w:tcW w:w="992" w:type="dxa"/>
                  <w:vAlign w:val="center"/>
                </w:tcPr>
                <w:p w14:paraId="7417BA6C">
                  <w:pPr>
                    <w:pStyle w:val="135"/>
                    <w:adjustRightInd w:val="0"/>
                    <w:snapToGrid w:val="0"/>
                    <w:rPr>
                      <w:b/>
                      <w:bCs/>
                    </w:rPr>
                  </w:pPr>
                  <w:r>
                    <w:rPr>
                      <w:rFonts w:hint="eastAsia"/>
                      <w:b/>
                      <w:bCs/>
                    </w:rPr>
                    <w:t>持续时间</w:t>
                  </w:r>
                </w:p>
              </w:tc>
              <w:tc>
                <w:tcPr>
                  <w:tcW w:w="1134" w:type="dxa"/>
                  <w:vAlign w:val="center"/>
                </w:tcPr>
                <w:p w14:paraId="4D57B034">
                  <w:pPr>
                    <w:pStyle w:val="135"/>
                    <w:adjustRightInd w:val="0"/>
                    <w:snapToGrid w:val="0"/>
                    <w:rPr>
                      <w:b/>
                      <w:bCs/>
                    </w:rPr>
                  </w:pPr>
                  <w:r>
                    <w:rPr>
                      <w:rFonts w:hint="eastAsia"/>
                      <w:b/>
                      <w:bCs/>
                    </w:rPr>
                    <w:t>频次</w:t>
                  </w:r>
                </w:p>
              </w:tc>
              <w:tc>
                <w:tcPr>
                  <w:tcW w:w="2260" w:type="dxa"/>
                  <w:vAlign w:val="center"/>
                </w:tcPr>
                <w:p w14:paraId="380FAC1C">
                  <w:pPr>
                    <w:pStyle w:val="135"/>
                    <w:adjustRightInd w:val="0"/>
                    <w:snapToGrid w:val="0"/>
                    <w:rPr>
                      <w:b/>
                      <w:bCs/>
                    </w:rPr>
                  </w:pPr>
                  <w:r>
                    <w:rPr>
                      <w:rFonts w:hint="eastAsia"/>
                      <w:b/>
                      <w:bCs/>
                    </w:rPr>
                    <w:t>非正常原因</w:t>
                  </w:r>
                </w:p>
              </w:tc>
              <w:tc>
                <w:tcPr>
                  <w:tcW w:w="1503" w:type="dxa"/>
                  <w:vAlign w:val="center"/>
                </w:tcPr>
                <w:p w14:paraId="4C4A7341">
                  <w:pPr>
                    <w:pStyle w:val="135"/>
                    <w:adjustRightInd w:val="0"/>
                    <w:snapToGrid w:val="0"/>
                    <w:rPr>
                      <w:b/>
                      <w:bCs/>
                    </w:rPr>
                  </w:pPr>
                  <w:r>
                    <w:rPr>
                      <w:rFonts w:hint="eastAsia"/>
                      <w:b/>
                      <w:bCs/>
                    </w:rPr>
                    <w:t>排放速率（kg</w:t>
                  </w:r>
                  <w:r>
                    <w:rPr>
                      <w:b/>
                      <w:bCs/>
                    </w:rPr>
                    <w:t>/</w:t>
                  </w:r>
                  <w:r>
                    <w:rPr>
                      <w:rFonts w:hint="eastAsia"/>
                      <w:b/>
                      <w:bCs/>
                    </w:rPr>
                    <w:t>h）</w:t>
                  </w:r>
                </w:p>
              </w:tc>
            </w:tr>
            <w:tr w14:paraId="1BD40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359" w:type="dxa"/>
                  <w:vMerge w:val="restart"/>
                  <w:vAlign w:val="center"/>
                </w:tcPr>
                <w:p w14:paraId="79CFFA83">
                  <w:pPr>
                    <w:pStyle w:val="135"/>
                    <w:adjustRightInd w:val="0"/>
                    <w:snapToGrid w:val="0"/>
                  </w:pPr>
                  <w:r>
                    <w:rPr>
                      <w:rFonts w:hint="eastAsia"/>
                    </w:rPr>
                    <w:t>锅炉排气筒</w:t>
                  </w:r>
                </w:p>
              </w:tc>
              <w:tc>
                <w:tcPr>
                  <w:tcW w:w="908" w:type="dxa"/>
                  <w:vAlign w:val="center"/>
                </w:tcPr>
                <w:p w14:paraId="3ACA737E">
                  <w:pPr>
                    <w:pStyle w:val="135"/>
                    <w:adjustRightInd w:val="0"/>
                    <w:snapToGrid w:val="0"/>
                  </w:pPr>
                  <w:r>
                    <w:rPr>
                      <w:rFonts w:hint="eastAsia"/>
                    </w:rPr>
                    <w:t>二氧化硫</w:t>
                  </w:r>
                </w:p>
              </w:tc>
              <w:tc>
                <w:tcPr>
                  <w:tcW w:w="992" w:type="dxa"/>
                  <w:vMerge w:val="restart"/>
                  <w:vAlign w:val="center"/>
                </w:tcPr>
                <w:p w14:paraId="03BD8504">
                  <w:pPr>
                    <w:pStyle w:val="135"/>
                    <w:adjustRightInd w:val="0"/>
                    <w:snapToGrid w:val="0"/>
                  </w:pPr>
                  <w:r>
                    <w:t>1</w:t>
                  </w:r>
                  <w:r>
                    <w:rPr>
                      <w:rFonts w:hint="eastAsia"/>
                    </w:rPr>
                    <w:t>h</w:t>
                  </w:r>
                  <w:r>
                    <w:t>~2</w:t>
                  </w:r>
                  <w:r>
                    <w:rPr>
                      <w:rFonts w:hint="eastAsia"/>
                    </w:rPr>
                    <w:t>h</w:t>
                  </w:r>
                </w:p>
              </w:tc>
              <w:tc>
                <w:tcPr>
                  <w:tcW w:w="1134" w:type="dxa"/>
                  <w:vMerge w:val="restart"/>
                  <w:vAlign w:val="center"/>
                </w:tcPr>
                <w:p w14:paraId="18A48E92">
                  <w:pPr>
                    <w:pStyle w:val="135"/>
                    <w:adjustRightInd w:val="0"/>
                    <w:snapToGrid w:val="0"/>
                  </w:pPr>
                  <w:r>
                    <w:rPr>
                      <w:rFonts w:hint="eastAsia"/>
                    </w:rPr>
                    <w:t>1</w:t>
                  </w:r>
                  <w:r>
                    <w:t>~2</w:t>
                  </w:r>
                  <w:r>
                    <w:rPr>
                      <w:rFonts w:hint="eastAsia"/>
                    </w:rPr>
                    <w:t>次</w:t>
                  </w:r>
                </w:p>
              </w:tc>
              <w:tc>
                <w:tcPr>
                  <w:tcW w:w="2260" w:type="dxa"/>
                  <w:vMerge w:val="restart"/>
                  <w:vAlign w:val="center"/>
                </w:tcPr>
                <w:p w14:paraId="7BFE3FA4">
                  <w:pPr>
                    <w:pStyle w:val="135"/>
                    <w:adjustRightInd w:val="0"/>
                    <w:snapToGrid w:val="0"/>
                  </w:pPr>
                  <w:r>
                    <w:rPr>
                      <w:rFonts w:hint="eastAsia"/>
                    </w:rPr>
                    <w:t>低氮燃烧器故障，水幕除尘器、静电除尘器故障。</w:t>
                  </w:r>
                </w:p>
              </w:tc>
              <w:tc>
                <w:tcPr>
                  <w:tcW w:w="1503" w:type="dxa"/>
                  <w:vAlign w:val="center"/>
                </w:tcPr>
                <w:p w14:paraId="63DC7727">
                  <w:pPr>
                    <w:pStyle w:val="135"/>
                    <w:adjustRightInd w:val="0"/>
                    <w:snapToGrid w:val="0"/>
                  </w:pPr>
                  <w:r>
                    <w:rPr>
                      <w:rFonts w:hint="eastAsia"/>
                    </w:rPr>
                    <w:t>0</w:t>
                  </w:r>
                  <w:r>
                    <w:t>.916</w:t>
                  </w:r>
                </w:p>
              </w:tc>
            </w:tr>
            <w:tr w14:paraId="2B891F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359" w:type="dxa"/>
                  <w:vMerge w:val="continue"/>
                  <w:vAlign w:val="center"/>
                </w:tcPr>
                <w:p w14:paraId="3037895C">
                  <w:pPr>
                    <w:pStyle w:val="135"/>
                    <w:adjustRightInd w:val="0"/>
                    <w:snapToGrid w:val="0"/>
                  </w:pPr>
                </w:p>
              </w:tc>
              <w:tc>
                <w:tcPr>
                  <w:tcW w:w="908" w:type="dxa"/>
                  <w:vAlign w:val="center"/>
                </w:tcPr>
                <w:p w14:paraId="5D9D5E85">
                  <w:pPr>
                    <w:pStyle w:val="135"/>
                    <w:adjustRightInd w:val="0"/>
                    <w:snapToGrid w:val="0"/>
                  </w:pPr>
                  <w:r>
                    <w:rPr>
                      <w:rFonts w:hint="eastAsia"/>
                    </w:rPr>
                    <w:t>颗粒物</w:t>
                  </w:r>
                </w:p>
              </w:tc>
              <w:tc>
                <w:tcPr>
                  <w:tcW w:w="992" w:type="dxa"/>
                  <w:vMerge w:val="continue"/>
                  <w:vAlign w:val="center"/>
                </w:tcPr>
                <w:p w14:paraId="793FF4D2">
                  <w:pPr>
                    <w:pStyle w:val="135"/>
                    <w:adjustRightInd w:val="0"/>
                    <w:snapToGrid w:val="0"/>
                  </w:pPr>
                </w:p>
              </w:tc>
              <w:tc>
                <w:tcPr>
                  <w:tcW w:w="1134" w:type="dxa"/>
                  <w:vMerge w:val="continue"/>
                  <w:vAlign w:val="center"/>
                </w:tcPr>
                <w:p w14:paraId="25A01AB2">
                  <w:pPr>
                    <w:pStyle w:val="135"/>
                    <w:adjustRightInd w:val="0"/>
                    <w:snapToGrid w:val="0"/>
                  </w:pPr>
                </w:p>
              </w:tc>
              <w:tc>
                <w:tcPr>
                  <w:tcW w:w="2260" w:type="dxa"/>
                  <w:vMerge w:val="continue"/>
                  <w:vAlign w:val="center"/>
                </w:tcPr>
                <w:p w14:paraId="0A2CE2A1">
                  <w:pPr>
                    <w:pStyle w:val="135"/>
                    <w:adjustRightInd w:val="0"/>
                    <w:snapToGrid w:val="0"/>
                  </w:pPr>
                </w:p>
              </w:tc>
              <w:tc>
                <w:tcPr>
                  <w:tcW w:w="1503" w:type="dxa"/>
                  <w:vAlign w:val="center"/>
                </w:tcPr>
                <w:p w14:paraId="76FEE44C">
                  <w:pPr>
                    <w:pStyle w:val="135"/>
                    <w:adjustRightInd w:val="0"/>
                    <w:snapToGrid w:val="0"/>
                  </w:pPr>
                  <w:r>
                    <w:rPr>
                      <w:rFonts w:hint="eastAsia"/>
                    </w:rPr>
                    <w:t>0</w:t>
                  </w:r>
                  <w:r>
                    <w:t>.144</w:t>
                  </w:r>
                </w:p>
              </w:tc>
            </w:tr>
            <w:tr w14:paraId="354AC9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359" w:type="dxa"/>
                  <w:vMerge w:val="continue"/>
                  <w:vAlign w:val="center"/>
                </w:tcPr>
                <w:p w14:paraId="467A62FD">
                  <w:pPr>
                    <w:pStyle w:val="135"/>
                    <w:adjustRightInd w:val="0"/>
                    <w:snapToGrid w:val="0"/>
                  </w:pPr>
                </w:p>
              </w:tc>
              <w:tc>
                <w:tcPr>
                  <w:tcW w:w="908" w:type="dxa"/>
                  <w:vAlign w:val="center"/>
                </w:tcPr>
                <w:p w14:paraId="60344F23">
                  <w:pPr>
                    <w:pStyle w:val="135"/>
                    <w:adjustRightInd w:val="0"/>
                    <w:snapToGrid w:val="0"/>
                  </w:pPr>
                  <w:r>
                    <w:rPr>
                      <w:rFonts w:hint="eastAsia"/>
                    </w:rPr>
                    <w:t>氮氧化物</w:t>
                  </w:r>
                </w:p>
              </w:tc>
              <w:tc>
                <w:tcPr>
                  <w:tcW w:w="992" w:type="dxa"/>
                  <w:vMerge w:val="continue"/>
                  <w:vAlign w:val="center"/>
                </w:tcPr>
                <w:p w14:paraId="51CCD9A4">
                  <w:pPr>
                    <w:pStyle w:val="135"/>
                    <w:adjustRightInd w:val="0"/>
                    <w:snapToGrid w:val="0"/>
                  </w:pPr>
                </w:p>
              </w:tc>
              <w:tc>
                <w:tcPr>
                  <w:tcW w:w="1134" w:type="dxa"/>
                  <w:vMerge w:val="continue"/>
                  <w:vAlign w:val="center"/>
                </w:tcPr>
                <w:p w14:paraId="3AC63FF2">
                  <w:pPr>
                    <w:pStyle w:val="135"/>
                    <w:adjustRightInd w:val="0"/>
                    <w:snapToGrid w:val="0"/>
                  </w:pPr>
                </w:p>
              </w:tc>
              <w:tc>
                <w:tcPr>
                  <w:tcW w:w="2260" w:type="dxa"/>
                  <w:vMerge w:val="continue"/>
                  <w:vAlign w:val="center"/>
                </w:tcPr>
                <w:p w14:paraId="628FF8CF">
                  <w:pPr>
                    <w:pStyle w:val="135"/>
                    <w:adjustRightInd w:val="0"/>
                    <w:snapToGrid w:val="0"/>
                  </w:pPr>
                </w:p>
              </w:tc>
              <w:tc>
                <w:tcPr>
                  <w:tcW w:w="1503" w:type="dxa"/>
                  <w:vAlign w:val="center"/>
                </w:tcPr>
                <w:p w14:paraId="48490B7E">
                  <w:pPr>
                    <w:pStyle w:val="135"/>
                    <w:adjustRightInd w:val="0"/>
                    <w:snapToGrid w:val="0"/>
                  </w:pPr>
                  <w:r>
                    <w:rPr>
                      <w:rFonts w:hint="eastAsia"/>
                    </w:rPr>
                    <w:t>1</w:t>
                  </w:r>
                  <w:r>
                    <w:t>.963</w:t>
                  </w:r>
                </w:p>
              </w:tc>
            </w:tr>
          </w:tbl>
          <w:p w14:paraId="757082FA">
            <w:pPr>
              <w:ind w:firstLine="420"/>
            </w:pPr>
            <w:r>
              <w:rPr>
                <w:rFonts w:hint="eastAsia"/>
              </w:rPr>
              <w:t>由上表可知，在非正常工况下，项目锅炉排气筒排放的颗粒物、氮氧化物排放量明显增加，为防止项目非正常工况下超标排放对周边环境的影响，本环评提出以下措施：</w:t>
            </w:r>
          </w:p>
          <w:p w14:paraId="3BE19600">
            <w:pPr>
              <w:ind w:firstLine="420"/>
            </w:pPr>
            <w:r>
              <w:rPr>
                <w:rFonts w:hint="eastAsia"/>
              </w:rPr>
              <w:t>①安排专人负责各项环保设施设备的日常维护和管理，并定期检查、汇报情况，及时发现故障并处理，确保废气处理系统正常运行；</w:t>
            </w:r>
          </w:p>
          <w:p w14:paraId="58443EF6">
            <w:pPr>
              <w:ind w:firstLine="420"/>
            </w:pPr>
            <w:r>
              <w:rPr>
                <w:rFonts w:hint="eastAsia"/>
              </w:rPr>
              <w:t>②出现故障时应立即停车检修，待设备正常后再恢复生产；</w:t>
            </w:r>
          </w:p>
          <w:p w14:paraId="4D304FB7">
            <w:pPr>
              <w:ind w:firstLine="420"/>
            </w:pPr>
            <w:r>
              <w:rPr>
                <w:rFonts w:hint="eastAsia"/>
              </w:rPr>
              <w:t>③建立健全环保管理机构，并对环保管理人员和技术人员进行岗位培训；</w:t>
            </w:r>
          </w:p>
          <w:p w14:paraId="327F45EC">
            <w:pPr>
              <w:ind w:firstLine="420"/>
            </w:pPr>
            <w:r>
              <w:rPr>
                <w:rFonts w:hint="eastAsia"/>
              </w:rPr>
              <w:t>④定期委托具有专业资质的环境检测单位对项目污染物排放情况进行定期检测。</w:t>
            </w:r>
          </w:p>
          <w:p w14:paraId="731930C9">
            <w:pPr>
              <w:ind w:firstLine="422"/>
              <w:rPr>
                <w:b/>
              </w:rPr>
            </w:pPr>
            <w:r>
              <w:rPr>
                <w:b/>
              </w:rPr>
              <w:t>4</w:t>
            </w:r>
            <w:r>
              <w:rPr>
                <w:rFonts w:hint="eastAsia"/>
                <w:b/>
              </w:rPr>
              <w:t>、废气监测计划</w:t>
            </w:r>
          </w:p>
          <w:p w14:paraId="3AC9880A">
            <w:pPr>
              <w:ind w:firstLine="420"/>
            </w:pPr>
            <w:r>
              <w:rPr>
                <w:rFonts w:hint="eastAsia"/>
              </w:rPr>
              <w:t>根据《排污单位自行监测技术指南 砖瓦工业》（HJ</w:t>
            </w:r>
            <w:r>
              <w:t xml:space="preserve"> 1254-2022</w:t>
            </w:r>
            <w:r>
              <w:rPr>
                <w:rFonts w:hint="eastAsia"/>
              </w:rPr>
              <w:t>）《排污单位自行监测技术指南 火力发电及锅炉》（HJ</w:t>
            </w:r>
            <w:r>
              <w:t xml:space="preserve"> 820-2017</w:t>
            </w:r>
            <w:r>
              <w:rPr>
                <w:rFonts w:hint="eastAsia"/>
              </w:rPr>
              <w:t>）中相关要求，项目废气监测计划如下表所示：</w:t>
            </w:r>
          </w:p>
          <w:p w14:paraId="61D4A8CD">
            <w:pPr>
              <w:pStyle w:val="156"/>
              <w:keepNext/>
            </w:pPr>
            <w:r>
              <w:rPr>
                <w:rFonts w:hint="eastAsia"/>
              </w:rPr>
              <w:t>表4</w:t>
            </w:r>
            <w:r>
              <w:t xml:space="preserve">-9  </w:t>
            </w:r>
            <w:r>
              <w:rPr>
                <w:rFonts w:hint="eastAsia"/>
              </w:rPr>
              <w:t>项目废气监测要求一览表</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43"/>
              <w:gridCol w:w="989"/>
              <w:gridCol w:w="1844"/>
              <w:gridCol w:w="992"/>
              <w:gridCol w:w="850"/>
              <w:gridCol w:w="2638"/>
            </w:tblGrid>
            <w:tr w14:paraId="1DAF7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17" w:type="pct"/>
                  <w:vAlign w:val="center"/>
                </w:tcPr>
                <w:p w14:paraId="07BFEB9C">
                  <w:pPr>
                    <w:pStyle w:val="135"/>
                    <w:adjustRightInd w:val="0"/>
                    <w:snapToGrid w:val="0"/>
                    <w:rPr>
                      <w:b/>
                      <w:bCs/>
                    </w:rPr>
                  </w:pPr>
                  <w:r>
                    <w:rPr>
                      <w:rFonts w:hint="eastAsia"/>
                      <w:b/>
                      <w:bCs/>
                    </w:rPr>
                    <w:t>监测点位</w:t>
                  </w:r>
                </w:p>
              </w:tc>
              <w:tc>
                <w:tcPr>
                  <w:tcW w:w="606" w:type="pct"/>
                  <w:vAlign w:val="center"/>
                </w:tcPr>
                <w:p w14:paraId="058D896A">
                  <w:pPr>
                    <w:pStyle w:val="135"/>
                    <w:adjustRightInd w:val="0"/>
                    <w:snapToGrid w:val="0"/>
                    <w:rPr>
                      <w:b/>
                      <w:bCs/>
                    </w:rPr>
                  </w:pPr>
                  <w:r>
                    <w:rPr>
                      <w:b/>
                      <w:bCs/>
                    </w:rPr>
                    <w:t>类型</w:t>
                  </w:r>
                </w:p>
              </w:tc>
              <w:tc>
                <w:tcPr>
                  <w:tcW w:w="1130" w:type="pct"/>
                  <w:vAlign w:val="center"/>
                </w:tcPr>
                <w:p w14:paraId="21DD560A">
                  <w:pPr>
                    <w:pStyle w:val="135"/>
                    <w:adjustRightInd w:val="0"/>
                    <w:snapToGrid w:val="0"/>
                    <w:rPr>
                      <w:b/>
                      <w:bCs/>
                    </w:rPr>
                  </w:pPr>
                  <w:r>
                    <w:rPr>
                      <w:rFonts w:hint="eastAsia"/>
                      <w:b/>
                      <w:bCs/>
                    </w:rPr>
                    <w:t>点位描述</w:t>
                  </w:r>
                </w:p>
              </w:tc>
              <w:tc>
                <w:tcPr>
                  <w:tcW w:w="608" w:type="pct"/>
                  <w:vAlign w:val="center"/>
                </w:tcPr>
                <w:p w14:paraId="433A8FC1">
                  <w:pPr>
                    <w:pStyle w:val="135"/>
                    <w:adjustRightInd w:val="0"/>
                    <w:snapToGrid w:val="0"/>
                    <w:rPr>
                      <w:b/>
                      <w:bCs/>
                    </w:rPr>
                  </w:pPr>
                  <w:r>
                    <w:rPr>
                      <w:b/>
                      <w:bCs/>
                    </w:rPr>
                    <w:t>监测指标</w:t>
                  </w:r>
                </w:p>
              </w:tc>
              <w:tc>
                <w:tcPr>
                  <w:tcW w:w="521" w:type="pct"/>
                  <w:vAlign w:val="center"/>
                </w:tcPr>
                <w:p w14:paraId="38A9BBF3">
                  <w:pPr>
                    <w:pStyle w:val="135"/>
                    <w:adjustRightInd w:val="0"/>
                    <w:snapToGrid w:val="0"/>
                    <w:rPr>
                      <w:b/>
                      <w:bCs/>
                    </w:rPr>
                  </w:pPr>
                  <w:r>
                    <w:rPr>
                      <w:b/>
                      <w:bCs/>
                    </w:rPr>
                    <w:t>监测频次</w:t>
                  </w:r>
                </w:p>
              </w:tc>
              <w:tc>
                <w:tcPr>
                  <w:tcW w:w="1617" w:type="pct"/>
                  <w:vAlign w:val="center"/>
                </w:tcPr>
                <w:p w14:paraId="629C3523">
                  <w:pPr>
                    <w:pStyle w:val="135"/>
                    <w:adjustRightInd w:val="0"/>
                    <w:snapToGrid w:val="0"/>
                    <w:rPr>
                      <w:b/>
                      <w:bCs/>
                    </w:rPr>
                  </w:pPr>
                  <w:r>
                    <w:rPr>
                      <w:b/>
                      <w:bCs/>
                    </w:rPr>
                    <w:t>执行排放标准</w:t>
                  </w:r>
                </w:p>
              </w:tc>
            </w:tr>
            <w:tr w14:paraId="19D021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17" w:type="pct"/>
                  <w:vAlign w:val="center"/>
                </w:tcPr>
                <w:p w14:paraId="6F050079">
                  <w:pPr>
                    <w:pStyle w:val="135"/>
                    <w:adjustRightInd w:val="0"/>
                    <w:snapToGrid w:val="0"/>
                  </w:pPr>
                  <w:r>
                    <w:rPr>
                      <w:rFonts w:hint="eastAsia"/>
                    </w:rPr>
                    <w:t>厂界</w:t>
                  </w:r>
                </w:p>
              </w:tc>
              <w:tc>
                <w:tcPr>
                  <w:tcW w:w="606" w:type="pct"/>
                  <w:vAlign w:val="center"/>
                </w:tcPr>
                <w:p w14:paraId="2DF020AA">
                  <w:pPr>
                    <w:pStyle w:val="135"/>
                    <w:adjustRightInd w:val="0"/>
                    <w:snapToGrid w:val="0"/>
                  </w:pPr>
                  <w:r>
                    <w:t>无组织</w:t>
                  </w:r>
                </w:p>
              </w:tc>
              <w:tc>
                <w:tcPr>
                  <w:tcW w:w="1130" w:type="pct"/>
                  <w:vAlign w:val="center"/>
                </w:tcPr>
                <w:p w14:paraId="7021D33A">
                  <w:pPr>
                    <w:pStyle w:val="135"/>
                    <w:adjustRightInd w:val="0"/>
                    <w:snapToGrid w:val="0"/>
                    <w:jc w:val="both"/>
                  </w:pPr>
                  <w:r>
                    <w:rPr>
                      <w:rFonts w:hint="eastAsia"/>
                    </w:rPr>
                    <w:t>项目所在地上风向1个点位、</w:t>
                  </w:r>
                  <w:r>
                    <w:t>下风向2</w:t>
                  </w:r>
                  <w:r>
                    <w:rPr>
                      <w:rFonts w:hint="eastAsia"/>
                    </w:rPr>
                    <w:t>个点位</w:t>
                  </w:r>
                </w:p>
              </w:tc>
              <w:tc>
                <w:tcPr>
                  <w:tcW w:w="608" w:type="pct"/>
                  <w:vAlign w:val="center"/>
                </w:tcPr>
                <w:p w14:paraId="5CB13E1F">
                  <w:pPr>
                    <w:pStyle w:val="135"/>
                    <w:adjustRightInd w:val="0"/>
                    <w:snapToGrid w:val="0"/>
                  </w:pPr>
                  <w:r>
                    <w:rPr>
                      <w:rFonts w:hint="eastAsia"/>
                    </w:rPr>
                    <w:t>颗粒物</w:t>
                  </w:r>
                </w:p>
              </w:tc>
              <w:tc>
                <w:tcPr>
                  <w:tcW w:w="521" w:type="pct"/>
                  <w:vAlign w:val="center"/>
                </w:tcPr>
                <w:p w14:paraId="16A91464">
                  <w:pPr>
                    <w:pStyle w:val="135"/>
                    <w:adjustRightInd w:val="0"/>
                    <w:snapToGrid w:val="0"/>
                  </w:pPr>
                  <w:r>
                    <w:t>每年1次</w:t>
                  </w:r>
                </w:p>
              </w:tc>
              <w:tc>
                <w:tcPr>
                  <w:tcW w:w="1617" w:type="pct"/>
                  <w:vAlign w:val="center"/>
                </w:tcPr>
                <w:p w14:paraId="6F7FEDBB">
                  <w:pPr>
                    <w:pStyle w:val="135"/>
                    <w:adjustRightInd w:val="0"/>
                    <w:snapToGrid w:val="0"/>
                  </w:pPr>
                  <w:r>
                    <w:rPr>
                      <w:rFonts w:hint="eastAsia"/>
                    </w:rPr>
                    <w:t>《砖瓦工业大气污染物排放标准</w:t>
                  </w:r>
                  <w:r>
                    <w:t>》（</w:t>
                  </w:r>
                  <w:r>
                    <w:rPr>
                      <w:rFonts w:hint="eastAsia"/>
                    </w:rPr>
                    <w:t>GB</w:t>
                  </w:r>
                  <w:r>
                    <w:t xml:space="preserve"> 29620-2013）表3</w:t>
                  </w:r>
                </w:p>
              </w:tc>
            </w:tr>
            <w:tr w14:paraId="69E9F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17" w:type="pct"/>
                  <w:vMerge w:val="restart"/>
                  <w:vAlign w:val="center"/>
                </w:tcPr>
                <w:p w14:paraId="29629E19">
                  <w:pPr>
                    <w:pStyle w:val="135"/>
                    <w:adjustRightInd w:val="0"/>
                    <w:snapToGrid w:val="0"/>
                  </w:pPr>
                  <w:r>
                    <w:rPr>
                      <w:rFonts w:hint="eastAsia"/>
                    </w:rPr>
                    <w:t>锅炉排气筒</w:t>
                  </w:r>
                </w:p>
              </w:tc>
              <w:tc>
                <w:tcPr>
                  <w:tcW w:w="606" w:type="pct"/>
                  <w:vAlign w:val="center"/>
                </w:tcPr>
                <w:p w14:paraId="4757F482">
                  <w:pPr>
                    <w:pStyle w:val="135"/>
                    <w:adjustRightInd w:val="0"/>
                    <w:snapToGrid w:val="0"/>
                  </w:pPr>
                  <w:r>
                    <w:rPr>
                      <w:rFonts w:hint="eastAsia"/>
                    </w:rPr>
                    <w:t>二氧化硫</w:t>
                  </w:r>
                </w:p>
              </w:tc>
              <w:tc>
                <w:tcPr>
                  <w:tcW w:w="1130" w:type="pct"/>
                  <w:vMerge w:val="restart"/>
                  <w:vAlign w:val="center"/>
                </w:tcPr>
                <w:p w14:paraId="144BE763">
                  <w:pPr>
                    <w:pStyle w:val="135"/>
                    <w:adjustRightInd w:val="0"/>
                    <w:snapToGrid w:val="0"/>
                  </w:pPr>
                  <w:r>
                    <w:rPr>
                      <w:rFonts w:hint="eastAsia"/>
                    </w:rPr>
                    <w:t>排气筒监测孔</w:t>
                  </w:r>
                </w:p>
              </w:tc>
              <w:tc>
                <w:tcPr>
                  <w:tcW w:w="608" w:type="pct"/>
                  <w:vAlign w:val="center"/>
                </w:tcPr>
                <w:p w14:paraId="3EF8715E">
                  <w:pPr>
                    <w:pStyle w:val="135"/>
                    <w:adjustRightInd w:val="0"/>
                    <w:snapToGrid w:val="0"/>
                  </w:pPr>
                  <w:r>
                    <w:rPr>
                      <w:rFonts w:hint="eastAsia"/>
                    </w:rPr>
                    <w:t>二氧化硫</w:t>
                  </w:r>
                </w:p>
              </w:tc>
              <w:tc>
                <w:tcPr>
                  <w:tcW w:w="521" w:type="pct"/>
                  <w:vMerge w:val="restart"/>
                  <w:vAlign w:val="center"/>
                </w:tcPr>
                <w:p w14:paraId="5C220A06">
                  <w:pPr>
                    <w:pStyle w:val="135"/>
                    <w:adjustRightInd w:val="0"/>
                    <w:snapToGrid w:val="0"/>
                  </w:pPr>
                  <w:r>
                    <w:rPr>
                      <w:rFonts w:hint="eastAsia"/>
                    </w:rPr>
                    <w:t>每月1次</w:t>
                  </w:r>
                </w:p>
              </w:tc>
              <w:tc>
                <w:tcPr>
                  <w:tcW w:w="1617" w:type="pct"/>
                  <w:vMerge w:val="restart"/>
                  <w:vAlign w:val="center"/>
                </w:tcPr>
                <w:p w14:paraId="20E77115">
                  <w:pPr>
                    <w:pStyle w:val="135"/>
                    <w:adjustRightInd w:val="0"/>
                    <w:snapToGrid w:val="0"/>
                  </w:pPr>
                  <w:r>
                    <w:rPr>
                      <w:rFonts w:hint="eastAsia"/>
                    </w:rPr>
                    <w:t>《锅炉大气污染物排放标准》（GB</w:t>
                  </w:r>
                  <w:r>
                    <w:t>13271-2014</w:t>
                  </w:r>
                  <w:r>
                    <w:rPr>
                      <w:rFonts w:hint="eastAsia"/>
                    </w:rPr>
                    <w:t>）表3燃煤锅炉大气污染物特别排放限值</w:t>
                  </w:r>
                </w:p>
              </w:tc>
            </w:tr>
            <w:tr w14:paraId="6D7E09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17" w:type="pct"/>
                  <w:vMerge w:val="continue"/>
                  <w:vAlign w:val="center"/>
                </w:tcPr>
                <w:p w14:paraId="39C9683E">
                  <w:pPr>
                    <w:pStyle w:val="135"/>
                    <w:adjustRightInd w:val="0"/>
                    <w:snapToGrid w:val="0"/>
                  </w:pPr>
                </w:p>
              </w:tc>
              <w:tc>
                <w:tcPr>
                  <w:tcW w:w="606" w:type="pct"/>
                  <w:vAlign w:val="center"/>
                </w:tcPr>
                <w:p w14:paraId="7EB0E517">
                  <w:pPr>
                    <w:pStyle w:val="135"/>
                    <w:adjustRightInd w:val="0"/>
                    <w:snapToGrid w:val="0"/>
                  </w:pPr>
                  <w:r>
                    <w:rPr>
                      <w:rFonts w:hint="eastAsia"/>
                    </w:rPr>
                    <w:t>颗粒物</w:t>
                  </w:r>
                </w:p>
              </w:tc>
              <w:tc>
                <w:tcPr>
                  <w:tcW w:w="1130" w:type="pct"/>
                  <w:vMerge w:val="continue"/>
                  <w:vAlign w:val="center"/>
                </w:tcPr>
                <w:p w14:paraId="6351AA00">
                  <w:pPr>
                    <w:pStyle w:val="135"/>
                    <w:adjustRightInd w:val="0"/>
                    <w:snapToGrid w:val="0"/>
                  </w:pPr>
                </w:p>
              </w:tc>
              <w:tc>
                <w:tcPr>
                  <w:tcW w:w="608" w:type="pct"/>
                  <w:vAlign w:val="center"/>
                </w:tcPr>
                <w:p w14:paraId="4EF3AB93">
                  <w:pPr>
                    <w:pStyle w:val="135"/>
                    <w:adjustRightInd w:val="0"/>
                    <w:snapToGrid w:val="0"/>
                  </w:pPr>
                  <w:r>
                    <w:rPr>
                      <w:rFonts w:hint="eastAsia"/>
                    </w:rPr>
                    <w:t>颗粒物</w:t>
                  </w:r>
                </w:p>
              </w:tc>
              <w:tc>
                <w:tcPr>
                  <w:tcW w:w="521" w:type="pct"/>
                  <w:vMerge w:val="continue"/>
                  <w:vAlign w:val="center"/>
                </w:tcPr>
                <w:p w14:paraId="7509FD9E">
                  <w:pPr>
                    <w:pStyle w:val="135"/>
                    <w:adjustRightInd w:val="0"/>
                    <w:snapToGrid w:val="0"/>
                  </w:pPr>
                </w:p>
              </w:tc>
              <w:tc>
                <w:tcPr>
                  <w:tcW w:w="1617" w:type="pct"/>
                  <w:vMerge w:val="continue"/>
                  <w:vAlign w:val="center"/>
                </w:tcPr>
                <w:p w14:paraId="1B5380B9">
                  <w:pPr>
                    <w:pStyle w:val="135"/>
                    <w:adjustRightInd w:val="0"/>
                    <w:snapToGrid w:val="0"/>
                  </w:pPr>
                </w:p>
              </w:tc>
            </w:tr>
            <w:tr w14:paraId="0C7CA3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17" w:type="pct"/>
                  <w:vMerge w:val="continue"/>
                  <w:vAlign w:val="center"/>
                </w:tcPr>
                <w:p w14:paraId="4BCFCBA3">
                  <w:pPr>
                    <w:pStyle w:val="135"/>
                    <w:adjustRightInd w:val="0"/>
                    <w:snapToGrid w:val="0"/>
                  </w:pPr>
                </w:p>
              </w:tc>
              <w:tc>
                <w:tcPr>
                  <w:tcW w:w="606" w:type="pct"/>
                  <w:vAlign w:val="center"/>
                </w:tcPr>
                <w:p w14:paraId="7DC41530">
                  <w:pPr>
                    <w:pStyle w:val="135"/>
                    <w:adjustRightInd w:val="0"/>
                    <w:snapToGrid w:val="0"/>
                  </w:pPr>
                  <w:r>
                    <w:rPr>
                      <w:rFonts w:hint="eastAsia"/>
                    </w:rPr>
                    <w:t>氮氧化物</w:t>
                  </w:r>
                </w:p>
              </w:tc>
              <w:tc>
                <w:tcPr>
                  <w:tcW w:w="1130" w:type="pct"/>
                  <w:vMerge w:val="continue"/>
                  <w:vAlign w:val="center"/>
                </w:tcPr>
                <w:p w14:paraId="666DBEA2">
                  <w:pPr>
                    <w:pStyle w:val="135"/>
                    <w:adjustRightInd w:val="0"/>
                    <w:snapToGrid w:val="0"/>
                  </w:pPr>
                </w:p>
              </w:tc>
              <w:tc>
                <w:tcPr>
                  <w:tcW w:w="608" w:type="pct"/>
                  <w:vAlign w:val="center"/>
                </w:tcPr>
                <w:p w14:paraId="1B3731C8">
                  <w:pPr>
                    <w:pStyle w:val="135"/>
                    <w:adjustRightInd w:val="0"/>
                    <w:snapToGrid w:val="0"/>
                  </w:pPr>
                  <w:r>
                    <w:rPr>
                      <w:rFonts w:hint="eastAsia"/>
                    </w:rPr>
                    <w:t>氮氧化物</w:t>
                  </w:r>
                </w:p>
              </w:tc>
              <w:tc>
                <w:tcPr>
                  <w:tcW w:w="521" w:type="pct"/>
                  <w:vMerge w:val="continue"/>
                  <w:vAlign w:val="center"/>
                </w:tcPr>
                <w:p w14:paraId="2F7D92D5">
                  <w:pPr>
                    <w:pStyle w:val="135"/>
                    <w:adjustRightInd w:val="0"/>
                    <w:snapToGrid w:val="0"/>
                  </w:pPr>
                </w:p>
              </w:tc>
              <w:tc>
                <w:tcPr>
                  <w:tcW w:w="1617" w:type="pct"/>
                  <w:vMerge w:val="continue"/>
                  <w:vAlign w:val="center"/>
                </w:tcPr>
                <w:p w14:paraId="7F76D2A9">
                  <w:pPr>
                    <w:pStyle w:val="135"/>
                    <w:adjustRightInd w:val="0"/>
                    <w:snapToGrid w:val="0"/>
                  </w:pPr>
                </w:p>
              </w:tc>
            </w:tr>
            <w:tr w14:paraId="01B921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17" w:type="pct"/>
                  <w:vMerge w:val="continue"/>
                  <w:vAlign w:val="center"/>
                </w:tcPr>
                <w:p w14:paraId="09C3A159">
                  <w:pPr>
                    <w:pStyle w:val="135"/>
                    <w:adjustRightInd w:val="0"/>
                    <w:snapToGrid w:val="0"/>
                  </w:pPr>
                </w:p>
              </w:tc>
              <w:tc>
                <w:tcPr>
                  <w:tcW w:w="606" w:type="pct"/>
                  <w:vAlign w:val="center"/>
                </w:tcPr>
                <w:p w14:paraId="311180E4">
                  <w:pPr>
                    <w:pStyle w:val="135"/>
                    <w:adjustRightInd w:val="0"/>
                    <w:snapToGrid w:val="0"/>
                  </w:pPr>
                  <w:r>
                    <w:rPr>
                      <w:rFonts w:hint="eastAsia"/>
                    </w:rPr>
                    <w:t>林格曼黑度</w:t>
                  </w:r>
                </w:p>
              </w:tc>
              <w:tc>
                <w:tcPr>
                  <w:tcW w:w="1130" w:type="pct"/>
                  <w:vMerge w:val="continue"/>
                  <w:vAlign w:val="center"/>
                </w:tcPr>
                <w:p w14:paraId="078A6F17">
                  <w:pPr>
                    <w:pStyle w:val="135"/>
                    <w:adjustRightInd w:val="0"/>
                    <w:snapToGrid w:val="0"/>
                  </w:pPr>
                </w:p>
              </w:tc>
              <w:tc>
                <w:tcPr>
                  <w:tcW w:w="608" w:type="pct"/>
                  <w:vAlign w:val="center"/>
                </w:tcPr>
                <w:p w14:paraId="64D48B09">
                  <w:pPr>
                    <w:pStyle w:val="135"/>
                    <w:adjustRightInd w:val="0"/>
                    <w:snapToGrid w:val="0"/>
                  </w:pPr>
                  <w:r>
                    <w:rPr>
                      <w:rFonts w:hint="eastAsia"/>
                    </w:rPr>
                    <w:t>林格曼黑度</w:t>
                  </w:r>
                </w:p>
              </w:tc>
              <w:tc>
                <w:tcPr>
                  <w:tcW w:w="521" w:type="pct"/>
                  <w:vMerge w:val="continue"/>
                  <w:vAlign w:val="center"/>
                </w:tcPr>
                <w:p w14:paraId="48E6D5A0">
                  <w:pPr>
                    <w:pStyle w:val="135"/>
                    <w:adjustRightInd w:val="0"/>
                    <w:snapToGrid w:val="0"/>
                  </w:pPr>
                </w:p>
              </w:tc>
              <w:tc>
                <w:tcPr>
                  <w:tcW w:w="1617" w:type="pct"/>
                  <w:vMerge w:val="continue"/>
                  <w:vAlign w:val="center"/>
                </w:tcPr>
                <w:p w14:paraId="5A9E308B">
                  <w:pPr>
                    <w:pStyle w:val="135"/>
                    <w:adjustRightInd w:val="0"/>
                    <w:snapToGrid w:val="0"/>
                  </w:pPr>
                </w:p>
              </w:tc>
            </w:tr>
            <w:tr w14:paraId="59BB98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17" w:type="pct"/>
                  <w:vAlign w:val="center"/>
                </w:tcPr>
                <w:p w14:paraId="7009AF02">
                  <w:pPr>
                    <w:pStyle w:val="135"/>
                    <w:adjustRightInd w:val="0"/>
                    <w:snapToGrid w:val="0"/>
                  </w:pPr>
                  <w:r>
                    <w:rPr>
                      <w:rFonts w:hint="eastAsia"/>
                    </w:rPr>
                    <w:t>食堂烟囱排气筒</w:t>
                  </w:r>
                </w:p>
              </w:tc>
              <w:tc>
                <w:tcPr>
                  <w:tcW w:w="606" w:type="pct"/>
                  <w:vAlign w:val="center"/>
                </w:tcPr>
                <w:p w14:paraId="3E8BDAAF">
                  <w:pPr>
                    <w:pStyle w:val="135"/>
                    <w:adjustRightInd w:val="0"/>
                    <w:snapToGrid w:val="0"/>
                  </w:pPr>
                  <w:r>
                    <w:rPr>
                      <w:rFonts w:hint="eastAsia"/>
                    </w:rPr>
                    <w:t>油烟</w:t>
                  </w:r>
                </w:p>
              </w:tc>
              <w:tc>
                <w:tcPr>
                  <w:tcW w:w="1130" w:type="pct"/>
                  <w:vAlign w:val="center"/>
                </w:tcPr>
                <w:p w14:paraId="16514843">
                  <w:pPr>
                    <w:pStyle w:val="135"/>
                    <w:adjustRightInd w:val="0"/>
                    <w:snapToGrid w:val="0"/>
                  </w:pPr>
                  <w:r>
                    <w:rPr>
                      <w:rFonts w:hint="eastAsia"/>
                    </w:rPr>
                    <w:t>排气筒监测孔</w:t>
                  </w:r>
                </w:p>
              </w:tc>
              <w:tc>
                <w:tcPr>
                  <w:tcW w:w="608" w:type="pct"/>
                  <w:vAlign w:val="center"/>
                </w:tcPr>
                <w:p w14:paraId="474E0044">
                  <w:pPr>
                    <w:pStyle w:val="135"/>
                    <w:adjustRightInd w:val="0"/>
                    <w:snapToGrid w:val="0"/>
                  </w:pPr>
                  <w:r>
                    <w:rPr>
                      <w:rFonts w:hint="eastAsia"/>
                    </w:rPr>
                    <w:t>油烟</w:t>
                  </w:r>
                </w:p>
              </w:tc>
              <w:tc>
                <w:tcPr>
                  <w:tcW w:w="521" w:type="pct"/>
                  <w:vAlign w:val="center"/>
                </w:tcPr>
                <w:p w14:paraId="166D06F3">
                  <w:pPr>
                    <w:pStyle w:val="135"/>
                    <w:adjustRightInd w:val="0"/>
                    <w:snapToGrid w:val="0"/>
                  </w:pPr>
                  <w:r>
                    <w:rPr>
                      <w:rFonts w:hint="eastAsia"/>
                    </w:rPr>
                    <w:t>每年1次</w:t>
                  </w:r>
                </w:p>
              </w:tc>
              <w:tc>
                <w:tcPr>
                  <w:tcW w:w="1617" w:type="pct"/>
                  <w:vAlign w:val="center"/>
                </w:tcPr>
                <w:p w14:paraId="6FB04E5F">
                  <w:pPr>
                    <w:pStyle w:val="135"/>
                    <w:adjustRightInd w:val="0"/>
                    <w:snapToGrid w:val="0"/>
                  </w:pPr>
                  <w:r>
                    <w:rPr>
                      <w:rFonts w:hint="eastAsia"/>
                    </w:rPr>
                    <w:t>《饮食业油烟排放标准（试行）》（GB18483-2001）</w:t>
                  </w:r>
                </w:p>
              </w:tc>
            </w:tr>
          </w:tbl>
          <w:p w14:paraId="65BFAD90">
            <w:pPr>
              <w:ind w:firstLine="422"/>
              <w:rPr>
                <w:b/>
              </w:rPr>
            </w:pPr>
            <w:r>
              <w:rPr>
                <w:b/>
              </w:rPr>
              <w:t>5</w:t>
            </w:r>
            <w:r>
              <w:rPr>
                <w:rFonts w:hint="eastAsia"/>
                <w:b/>
              </w:rPr>
              <w:t>、大气环境影响分析</w:t>
            </w:r>
          </w:p>
          <w:p w14:paraId="6C5DC38D">
            <w:pPr>
              <w:ind w:firstLine="420"/>
              <w:rPr>
                <w:lang w:bidi="ar"/>
              </w:rPr>
            </w:pPr>
            <w:r>
              <w:rPr>
                <w:rFonts w:hint="eastAsia"/>
                <w:bCs/>
                <w:lang w:bidi="ar"/>
              </w:rPr>
              <w:t>企业通过设置生产区、堆场封闭、车辆遮盖措施、道路硬化、定期清扫、设置洒水降尘设施等措施，确保项目物料运输粉尘、堆场装卸粉尘、加工粉尘等工业粉尘厂界无组织达标排放，厂界颗粒物排放满足</w:t>
            </w:r>
            <w:r>
              <w:rPr>
                <w:rFonts w:hint="eastAsia"/>
              </w:rPr>
              <w:t>《砖瓦工业大气污染物排放标准</w:t>
            </w:r>
            <w:r>
              <w:t>》（</w:t>
            </w:r>
            <w:r>
              <w:rPr>
                <w:rFonts w:hint="eastAsia"/>
              </w:rPr>
              <w:t>GB</w:t>
            </w:r>
            <w:r>
              <w:t xml:space="preserve"> 29620-2013）表3</w:t>
            </w:r>
            <w:r>
              <w:rPr>
                <w:rFonts w:hint="eastAsia"/>
              </w:rPr>
              <w:t>排放限值要求；生物锅炉燃烧废气采用低氮燃烧器+水膜除尘+静电除尘治理措施，废气排放满足《锅炉大气污染物排放标准》（GB</w:t>
            </w:r>
            <w:r>
              <w:t>13271-2014</w:t>
            </w:r>
            <w:r>
              <w:rPr>
                <w:rFonts w:hint="eastAsia"/>
              </w:rPr>
              <w:t>）表3燃煤锅炉大气污染物特别排放限值要求</w:t>
            </w:r>
            <w:r>
              <w:rPr>
                <w:rFonts w:hint="eastAsia"/>
                <w:bCs/>
                <w:lang w:bidi="ar"/>
              </w:rPr>
              <w:t>；运输车辆尾气、扬尘在采取相关措施后均能将影响控制在最低；食堂油烟经抽油烟机处理后可达标排放。</w:t>
            </w:r>
          </w:p>
          <w:p w14:paraId="45231BCE">
            <w:pPr>
              <w:ind w:firstLine="420"/>
              <w:rPr>
                <w:lang w:bidi="ar"/>
              </w:rPr>
            </w:pPr>
            <w:r>
              <w:rPr>
                <w:rFonts w:hint="eastAsia"/>
                <w:lang w:bidi="ar"/>
              </w:rPr>
              <w:t>综上，本项目产生的废气能得到有效治理，对评价范围内的大气环境影响较小，不会改变评价范围内的大气环境功能，不会对评价范围内的保护目标造成明显不利影响。本项目废气的排放在落实本次评价的废气治理措施后，对区域大气环境质量影响较小。</w:t>
            </w:r>
          </w:p>
          <w:p w14:paraId="0A6897B4">
            <w:pPr>
              <w:pStyle w:val="157"/>
            </w:pPr>
            <w:r>
              <w:rPr>
                <w:rFonts w:hint="eastAsia"/>
              </w:rPr>
              <w:t>三、</w:t>
            </w:r>
            <w:r>
              <w:t>噪声</w:t>
            </w:r>
          </w:p>
          <w:p w14:paraId="309BB9E8">
            <w:pPr>
              <w:ind w:firstLine="422"/>
              <w:rPr>
                <w:b/>
              </w:rPr>
            </w:pPr>
            <w:r>
              <w:rPr>
                <w:rFonts w:hint="eastAsia"/>
                <w:b/>
              </w:rPr>
              <w:t>1、噪声源强</w:t>
            </w:r>
          </w:p>
          <w:p w14:paraId="4F9F52EA">
            <w:pPr>
              <w:ind w:firstLine="420"/>
            </w:pPr>
            <w:r>
              <w:rPr>
                <w:rFonts w:hint="eastAsia"/>
              </w:rPr>
              <w:t>本项目噪声主要来源于装载机、破碎机、球磨机等设备运行噪声，噪声值范围为</w:t>
            </w:r>
            <w:r>
              <w:t>70</w:t>
            </w:r>
            <w:r>
              <w:rPr>
                <w:rFonts w:hint="eastAsia"/>
              </w:rPr>
              <w:t>~</w:t>
            </w:r>
            <w:r>
              <w:t>95</w:t>
            </w:r>
            <w:r>
              <w:rPr>
                <w:rFonts w:hint="eastAsia"/>
              </w:rPr>
              <w:t>dB（A）之间，各类噪声源强如下表所示：</w:t>
            </w:r>
          </w:p>
          <w:p w14:paraId="30B7753A">
            <w:pPr>
              <w:pStyle w:val="156"/>
              <w:keepNext/>
              <w:ind w:firstLine="420"/>
            </w:pPr>
            <w:r>
              <w:rPr>
                <w:rFonts w:hint="eastAsia"/>
              </w:rPr>
              <w:t>表</w:t>
            </w:r>
            <w:r>
              <w:t>4</w:t>
            </w:r>
            <w:r>
              <w:rPr>
                <w:rFonts w:hint="eastAsia"/>
              </w:rPr>
              <w:t>-</w:t>
            </w:r>
            <w:r>
              <w:t xml:space="preserve">10  </w:t>
            </w:r>
            <w:r>
              <w:rPr>
                <w:rFonts w:hint="eastAsia"/>
              </w:rPr>
              <w:t>工业企业噪声源强调查清单（室内声源）</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50"/>
              <w:gridCol w:w="944"/>
              <w:gridCol w:w="591"/>
              <w:gridCol w:w="870"/>
              <w:gridCol w:w="424"/>
              <w:gridCol w:w="1665"/>
              <w:gridCol w:w="568"/>
              <w:gridCol w:w="706"/>
              <w:gridCol w:w="568"/>
              <w:gridCol w:w="780"/>
              <w:gridCol w:w="590"/>
            </w:tblGrid>
            <w:tr w14:paraId="4BC64E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76" w:type="pct"/>
                  <w:vMerge w:val="restart"/>
                  <w:vAlign w:val="center"/>
                </w:tcPr>
                <w:p w14:paraId="0415EA74">
                  <w:pPr>
                    <w:pStyle w:val="135"/>
                    <w:wordWrap w:val="0"/>
                    <w:adjustRightInd w:val="0"/>
                    <w:snapToGrid w:val="0"/>
                    <w:rPr>
                      <w:b/>
                      <w:szCs w:val="18"/>
                    </w:rPr>
                  </w:pPr>
                  <w:r>
                    <w:rPr>
                      <w:rFonts w:hint="eastAsia"/>
                      <w:b/>
                      <w:szCs w:val="18"/>
                    </w:rPr>
                    <w:t>建筑物名称</w:t>
                  </w:r>
                </w:p>
              </w:tc>
              <w:tc>
                <w:tcPr>
                  <w:tcW w:w="579" w:type="pct"/>
                  <w:vMerge w:val="restart"/>
                  <w:vAlign w:val="center"/>
                </w:tcPr>
                <w:p w14:paraId="57D022DB">
                  <w:pPr>
                    <w:pStyle w:val="135"/>
                    <w:wordWrap w:val="0"/>
                    <w:adjustRightInd w:val="0"/>
                    <w:snapToGrid w:val="0"/>
                    <w:rPr>
                      <w:b/>
                      <w:szCs w:val="18"/>
                    </w:rPr>
                  </w:pPr>
                  <w:r>
                    <w:rPr>
                      <w:rFonts w:hint="eastAsia"/>
                      <w:b/>
                      <w:szCs w:val="18"/>
                    </w:rPr>
                    <w:t>声源名称</w:t>
                  </w:r>
                </w:p>
              </w:tc>
              <w:tc>
                <w:tcPr>
                  <w:tcW w:w="362" w:type="pct"/>
                  <w:vMerge w:val="restart"/>
                  <w:vAlign w:val="center"/>
                </w:tcPr>
                <w:p w14:paraId="66D606AB">
                  <w:pPr>
                    <w:pStyle w:val="135"/>
                    <w:wordWrap w:val="0"/>
                    <w:adjustRightInd w:val="0"/>
                    <w:snapToGrid w:val="0"/>
                    <w:rPr>
                      <w:b/>
                      <w:szCs w:val="18"/>
                    </w:rPr>
                  </w:pPr>
                  <w:r>
                    <w:rPr>
                      <w:rFonts w:hint="eastAsia"/>
                      <w:b/>
                      <w:szCs w:val="18"/>
                    </w:rPr>
                    <w:t>型号</w:t>
                  </w:r>
                </w:p>
              </w:tc>
              <w:tc>
                <w:tcPr>
                  <w:tcW w:w="793" w:type="pct"/>
                  <w:gridSpan w:val="2"/>
                  <w:vAlign w:val="center"/>
                </w:tcPr>
                <w:p w14:paraId="3BCAC987">
                  <w:pPr>
                    <w:pStyle w:val="135"/>
                    <w:wordWrap w:val="0"/>
                    <w:adjustRightInd w:val="0"/>
                    <w:snapToGrid w:val="0"/>
                    <w:rPr>
                      <w:b/>
                      <w:szCs w:val="18"/>
                    </w:rPr>
                  </w:pPr>
                  <w:r>
                    <w:rPr>
                      <w:rFonts w:hint="eastAsia"/>
                      <w:b/>
                      <w:szCs w:val="18"/>
                    </w:rPr>
                    <w:t>声源源强</w:t>
                  </w:r>
                </w:p>
              </w:tc>
              <w:tc>
                <w:tcPr>
                  <w:tcW w:w="1021" w:type="pct"/>
                  <w:vMerge w:val="restart"/>
                  <w:vAlign w:val="center"/>
                </w:tcPr>
                <w:p w14:paraId="6DA22019">
                  <w:pPr>
                    <w:pStyle w:val="135"/>
                    <w:wordWrap w:val="0"/>
                    <w:adjustRightInd w:val="0"/>
                    <w:snapToGrid w:val="0"/>
                    <w:rPr>
                      <w:b/>
                      <w:szCs w:val="18"/>
                    </w:rPr>
                  </w:pPr>
                  <w:r>
                    <w:rPr>
                      <w:rFonts w:hint="eastAsia"/>
                      <w:b/>
                      <w:szCs w:val="18"/>
                    </w:rPr>
                    <w:t>声源控制措施</w:t>
                  </w:r>
                </w:p>
              </w:tc>
              <w:tc>
                <w:tcPr>
                  <w:tcW w:w="348" w:type="pct"/>
                  <w:vMerge w:val="restart"/>
                  <w:vAlign w:val="center"/>
                </w:tcPr>
                <w:p w14:paraId="7FB65A09">
                  <w:pPr>
                    <w:pStyle w:val="135"/>
                    <w:wordWrap w:val="0"/>
                    <w:adjustRightInd w:val="0"/>
                    <w:snapToGrid w:val="0"/>
                    <w:rPr>
                      <w:b/>
                      <w:szCs w:val="18"/>
                    </w:rPr>
                  </w:pPr>
                  <w:r>
                    <w:rPr>
                      <w:rFonts w:hint="eastAsia"/>
                      <w:b/>
                      <w:szCs w:val="18"/>
                    </w:rPr>
                    <w:t>距离室内边界</w:t>
                  </w:r>
                </w:p>
              </w:tc>
              <w:tc>
                <w:tcPr>
                  <w:tcW w:w="433" w:type="pct"/>
                  <w:vMerge w:val="restart"/>
                  <w:vAlign w:val="center"/>
                </w:tcPr>
                <w:p w14:paraId="11A90E53">
                  <w:pPr>
                    <w:pStyle w:val="135"/>
                    <w:wordWrap w:val="0"/>
                    <w:adjustRightInd w:val="0"/>
                    <w:snapToGrid w:val="0"/>
                    <w:rPr>
                      <w:b/>
                      <w:szCs w:val="18"/>
                    </w:rPr>
                  </w:pPr>
                  <w:r>
                    <w:rPr>
                      <w:rFonts w:hint="eastAsia"/>
                      <w:b/>
                      <w:szCs w:val="18"/>
                    </w:rPr>
                    <w:t>室内边界声压级</w:t>
                  </w:r>
                </w:p>
              </w:tc>
              <w:tc>
                <w:tcPr>
                  <w:tcW w:w="348" w:type="pct"/>
                  <w:vMerge w:val="restart"/>
                  <w:vAlign w:val="center"/>
                </w:tcPr>
                <w:p w14:paraId="1D972DCB">
                  <w:pPr>
                    <w:pStyle w:val="135"/>
                    <w:wordWrap w:val="0"/>
                    <w:adjustRightInd w:val="0"/>
                    <w:snapToGrid w:val="0"/>
                    <w:rPr>
                      <w:b/>
                      <w:szCs w:val="18"/>
                    </w:rPr>
                  </w:pPr>
                  <w:r>
                    <w:rPr>
                      <w:rFonts w:hint="eastAsia"/>
                      <w:b/>
                      <w:szCs w:val="18"/>
                    </w:rPr>
                    <w:t>建筑物插入损失</w:t>
                  </w:r>
                </w:p>
              </w:tc>
              <w:tc>
                <w:tcPr>
                  <w:tcW w:w="840" w:type="pct"/>
                  <w:gridSpan w:val="2"/>
                  <w:vAlign w:val="center"/>
                </w:tcPr>
                <w:p w14:paraId="4BC47B98">
                  <w:pPr>
                    <w:pStyle w:val="135"/>
                    <w:wordWrap w:val="0"/>
                    <w:adjustRightInd w:val="0"/>
                    <w:snapToGrid w:val="0"/>
                    <w:rPr>
                      <w:b/>
                      <w:szCs w:val="18"/>
                    </w:rPr>
                  </w:pPr>
                  <w:r>
                    <w:rPr>
                      <w:rFonts w:hint="eastAsia"/>
                      <w:b/>
                      <w:szCs w:val="18"/>
                    </w:rPr>
                    <w:t>建筑物外噪声</w:t>
                  </w:r>
                </w:p>
              </w:tc>
            </w:tr>
            <w:tr w14:paraId="35E8C7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76" w:type="pct"/>
                  <w:vMerge w:val="continue"/>
                  <w:vAlign w:val="center"/>
                </w:tcPr>
                <w:p w14:paraId="265535D7">
                  <w:pPr>
                    <w:pStyle w:val="135"/>
                    <w:wordWrap w:val="0"/>
                    <w:adjustRightInd w:val="0"/>
                    <w:snapToGrid w:val="0"/>
                    <w:rPr>
                      <w:b/>
                      <w:szCs w:val="18"/>
                    </w:rPr>
                  </w:pPr>
                </w:p>
              </w:tc>
              <w:tc>
                <w:tcPr>
                  <w:tcW w:w="579" w:type="pct"/>
                  <w:vMerge w:val="continue"/>
                  <w:vAlign w:val="center"/>
                </w:tcPr>
                <w:p w14:paraId="2DFF3FD7">
                  <w:pPr>
                    <w:pStyle w:val="135"/>
                    <w:wordWrap w:val="0"/>
                    <w:adjustRightInd w:val="0"/>
                    <w:snapToGrid w:val="0"/>
                    <w:rPr>
                      <w:b/>
                      <w:szCs w:val="18"/>
                    </w:rPr>
                  </w:pPr>
                </w:p>
              </w:tc>
              <w:tc>
                <w:tcPr>
                  <w:tcW w:w="362" w:type="pct"/>
                  <w:vMerge w:val="continue"/>
                  <w:vAlign w:val="center"/>
                </w:tcPr>
                <w:p w14:paraId="3440E091">
                  <w:pPr>
                    <w:pStyle w:val="135"/>
                    <w:wordWrap w:val="0"/>
                    <w:adjustRightInd w:val="0"/>
                    <w:snapToGrid w:val="0"/>
                    <w:rPr>
                      <w:b/>
                      <w:szCs w:val="18"/>
                    </w:rPr>
                  </w:pPr>
                </w:p>
              </w:tc>
              <w:tc>
                <w:tcPr>
                  <w:tcW w:w="533" w:type="pct"/>
                  <w:vAlign w:val="center"/>
                </w:tcPr>
                <w:p w14:paraId="37F3DCC3">
                  <w:pPr>
                    <w:pStyle w:val="135"/>
                    <w:adjustRightInd w:val="0"/>
                    <w:snapToGrid w:val="0"/>
                    <w:jc w:val="both"/>
                    <w:rPr>
                      <w:b/>
                      <w:szCs w:val="18"/>
                    </w:rPr>
                  </w:pPr>
                  <w:r>
                    <w:rPr>
                      <w:rFonts w:hint="eastAsia"/>
                      <w:b/>
                      <w:szCs w:val="18"/>
                    </w:rPr>
                    <w:t>声压级/距声源距离[</w:t>
                  </w:r>
                  <w:r>
                    <w:rPr>
                      <w:rFonts w:hint="eastAsia"/>
                      <w:bCs/>
                      <w:szCs w:val="18"/>
                    </w:rPr>
                    <w:t>dB(A</w:t>
                  </w:r>
                  <w:r>
                    <w:rPr>
                      <w:bCs/>
                      <w:szCs w:val="18"/>
                    </w:rPr>
                    <w:t>)</w:t>
                  </w:r>
                  <w:r>
                    <w:rPr>
                      <w:rFonts w:hint="eastAsia"/>
                      <w:bCs/>
                      <w:szCs w:val="18"/>
                    </w:rPr>
                    <w:t>/</w:t>
                  </w:r>
                  <w:r>
                    <w:rPr>
                      <w:bCs/>
                      <w:szCs w:val="18"/>
                    </w:rPr>
                    <w:t>1</w:t>
                  </w:r>
                  <w:r>
                    <w:rPr>
                      <w:rFonts w:hint="eastAsia"/>
                      <w:bCs/>
                      <w:szCs w:val="18"/>
                    </w:rPr>
                    <w:t>m</w:t>
                  </w:r>
                  <w:r>
                    <w:rPr>
                      <w:b/>
                      <w:szCs w:val="18"/>
                    </w:rPr>
                    <w:t>]</w:t>
                  </w:r>
                </w:p>
              </w:tc>
              <w:tc>
                <w:tcPr>
                  <w:tcW w:w="260" w:type="pct"/>
                  <w:vAlign w:val="center"/>
                </w:tcPr>
                <w:p w14:paraId="216906A0">
                  <w:pPr>
                    <w:pStyle w:val="135"/>
                    <w:wordWrap w:val="0"/>
                    <w:adjustRightInd w:val="0"/>
                    <w:snapToGrid w:val="0"/>
                    <w:rPr>
                      <w:b/>
                      <w:szCs w:val="18"/>
                    </w:rPr>
                  </w:pPr>
                  <w:r>
                    <w:rPr>
                      <w:rFonts w:hint="eastAsia"/>
                      <w:b/>
                      <w:szCs w:val="18"/>
                    </w:rPr>
                    <w:t>声功率级</w:t>
                  </w:r>
                </w:p>
              </w:tc>
              <w:tc>
                <w:tcPr>
                  <w:tcW w:w="1021" w:type="pct"/>
                  <w:vMerge w:val="continue"/>
                  <w:vAlign w:val="center"/>
                </w:tcPr>
                <w:p w14:paraId="552FDD2C">
                  <w:pPr>
                    <w:pStyle w:val="135"/>
                    <w:wordWrap w:val="0"/>
                    <w:adjustRightInd w:val="0"/>
                    <w:snapToGrid w:val="0"/>
                    <w:rPr>
                      <w:b/>
                      <w:szCs w:val="18"/>
                    </w:rPr>
                  </w:pPr>
                </w:p>
              </w:tc>
              <w:tc>
                <w:tcPr>
                  <w:tcW w:w="348" w:type="pct"/>
                  <w:vMerge w:val="continue"/>
                  <w:vAlign w:val="center"/>
                </w:tcPr>
                <w:p w14:paraId="2844D1E7">
                  <w:pPr>
                    <w:pStyle w:val="135"/>
                    <w:wordWrap w:val="0"/>
                    <w:adjustRightInd w:val="0"/>
                    <w:snapToGrid w:val="0"/>
                    <w:rPr>
                      <w:b/>
                      <w:szCs w:val="18"/>
                    </w:rPr>
                  </w:pPr>
                </w:p>
              </w:tc>
              <w:tc>
                <w:tcPr>
                  <w:tcW w:w="433" w:type="pct"/>
                  <w:vMerge w:val="continue"/>
                  <w:vAlign w:val="center"/>
                </w:tcPr>
                <w:p w14:paraId="73355A7D">
                  <w:pPr>
                    <w:pStyle w:val="135"/>
                    <w:wordWrap w:val="0"/>
                    <w:adjustRightInd w:val="0"/>
                    <w:snapToGrid w:val="0"/>
                    <w:rPr>
                      <w:b/>
                      <w:szCs w:val="18"/>
                    </w:rPr>
                  </w:pPr>
                </w:p>
              </w:tc>
              <w:tc>
                <w:tcPr>
                  <w:tcW w:w="348" w:type="pct"/>
                  <w:vMerge w:val="continue"/>
                  <w:vAlign w:val="center"/>
                </w:tcPr>
                <w:p w14:paraId="60DD69DD">
                  <w:pPr>
                    <w:pStyle w:val="135"/>
                    <w:wordWrap w:val="0"/>
                    <w:adjustRightInd w:val="0"/>
                    <w:snapToGrid w:val="0"/>
                    <w:rPr>
                      <w:b/>
                      <w:szCs w:val="18"/>
                    </w:rPr>
                  </w:pPr>
                </w:p>
              </w:tc>
              <w:tc>
                <w:tcPr>
                  <w:tcW w:w="478" w:type="pct"/>
                  <w:vAlign w:val="center"/>
                </w:tcPr>
                <w:p w14:paraId="29333840">
                  <w:pPr>
                    <w:pStyle w:val="135"/>
                    <w:wordWrap w:val="0"/>
                    <w:adjustRightInd w:val="0"/>
                    <w:snapToGrid w:val="0"/>
                    <w:rPr>
                      <w:b/>
                      <w:szCs w:val="18"/>
                    </w:rPr>
                  </w:pPr>
                  <w:r>
                    <w:rPr>
                      <w:rFonts w:hint="eastAsia"/>
                      <w:b/>
                      <w:szCs w:val="18"/>
                    </w:rPr>
                    <w:t>声压级</w:t>
                  </w:r>
                </w:p>
              </w:tc>
              <w:tc>
                <w:tcPr>
                  <w:tcW w:w="362" w:type="pct"/>
                  <w:vAlign w:val="center"/>
                </w:tcPr>
                <w:p w14:paraId="2D01B77B">
                  <w:pPr>
                    <w:pStyle w:val="135"/>
                    <w:wordWrap w:val="0"/>
                    <w:adjustRightInd w:val="0"/>
                    <w:snapToGrid w:val="0"/>
                    <w:rPr>
                      <w:b/>
                      <w:szCs w:val="18"/>
                    </w:rPr>
                  </w:pPr>
                  <w:r>
                    <w:rPr>
                      <w:rFonts w:hint="eastAsia"/>
                      <w:b/>
                      <w:szCs w:val="18"/>
                    </w:rPr>
                    <w:t>建筑物外距离</w:t>
                  </w:r>
                </w:p>
              </w:tc>
            </w:tr>
            <w:tr w14:paraId="72DD20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76" w:type="pct"/>
                  <w:vMerge w:val="restart"/>
                  <w:vAlign w:val="center"/>
                </w:tcPr>
                <w:p w14:paraId="67378166">
                  <w:pPr>
                    <w:pStyle w:val="135"/>
                    <w:wordWrap w:val="0"/>
                    <w:adjustRightInd w:val="0"/>
                    <w:snapToGrid w:val="0"/>
                    <w:rPr>
                      <w:bCs/>
                      <w:szCs w:val="18"/>
                    </w:rPr>
                  </w:pPr>
                  <w:r>
                    <w:rPr>
                      <w:rFonts w:hint="eastAsia"/>
                      <w:bCs/>
                      <w:szCs w:val="18"/>
                    </w:rPr>
                    <w:t>原料堆场</w:t>
                  </w:r>
                </w:p>
              </w:tc>
              <w:tc>
                <w:tcPr>
                  <w:tcW w:w="579" w:type="pct"/>
                  <w:vAlign w:val="center"/>
                </w:tcPr>
                <w:p w14:paraId="576C07C3">
                  <w:pPr>
                    <w:pStyle w:val="135"/>
                    <w:wordWrap w:val="0"/>
                    <w:adjustRightInd w:val="0"/>
                    <w:snapToGrid w:val="0"/>
                    <w:rPr>
                      <w:bCs/>
                      <w:szCs w:val="18"/>
                    </w:rPr>
                  </w:pPr>
                  <w:r>
                    <w:rPr>
                      <w:rFonts w:hint="eastAsia"/>
                      <w:szCs w:val="18"/>
                    </w:rPr>
                    <w:t>装载机</w:t>
                  </w:r>
                </w:p>
              </w:tc>
              <w:tc>
                <w:tcPr>
                  <w:tcW w:w="362" w:type="pct"/>
                  <w:vAlign w:val="center"/>
                </w:tcPr>
                <w:p w14:paraId="66729848">
                  <w:pPr>
                    <w:pStyle w:val="135"/>
                    <w:wordWrap w:val="0"/>
                    <w:adjustRightInd w:val="0"/>
                    <w:snapToGrid w:val="0"/>
                    <w:rPr>
                      <w:bCs/>
                      <w:szCs w:val="18"/>
                    </w:rPr>
                  </w:pPr>
                  <w:r>
                    <w:t>/</w:t>
                  </w:r>
                </w:p>
              </w:tc>
              <w:tc>
                <w:tcPr>
                  <w:tcW w:w="533" w:type="pct"/>
                  <w:vAlign w:val="center"/>
                </w:tcPr>
                <w:p w14:paraId="5548F731">
                  <w:pPr>
                    <w:pStyle w:val="135"/>
                    <w:wordWrap w:val="0"/>
                    <w:adjustRightInd w:val="0"/>
                    <w:snapToGrid w:val="0"/>
                    <w:rPr>
                      <w:bCs/>
                      <w:szCs w:val="18"/>
                    </w:rPr>
                  </w:pPr>
                  <w:r>
                    <w:rPr>
                      <w:bCs/>
                      <w:szCs w:val="18"/>
                    </w:rPr>
                    <w:t>80</w:t>
                  </w:r>
                </w:p>
              </w:tc>
              <w:tc>
                <w:tcPr>
                  <w:tcW w:w="260" w:type="pct"/>
                  <w:vAlign w:val="center"/>
                </w:tcPr>
                <w:p w14:paraId="6B40085C">
                  <w:pPr>
                    <w:pStyle w:val="135"/>
                    <w:wordWrap w:val="0"/>
                    <w:adjustRightInd w:val="0"/>
                    <w:snapToGrid w:val="0"/>
                    <w:rPr>
                      <w:bCs/>
                      <w:szCs w:val="18"/>
                    </w:rPr>
                  </w:pPr>
                  <w:r>
                    <w:rPr>
                      <w:rFonts w:hint="eastAsia"/>
                      <w:bCs/>
                      <w:szCs w:val="18"/>
                    </w:rPr>
                    <w:t>/</w:t>
                  </w:r>
                </w:p>
              </w:tc>
              <w:tc>
                <w:tcPr>
                  <w:tcW w:w="1021" w:type="pct"/>
                  <w:vAlign w:val="center"/>
                </w:tcPr>
                <w:p w14:paraId="128DB167">
                  <w:pPr>
                    <w:pStyle w:val="135"/>
                    <w:wordWrap w:val="0"/>
                    <w:adjustRightInd w:val="0"/>
                    <w:snapToGrid w:val="0"/>
                    <w:rPr>
                      <w:bCs/>
                      <w:szCs w:val="18"/>
                    </w:rPr>
                  </w:pPr>
                  <w:r>
                    <w:rPr>
                      <w:rFonts w:hint="eastAsia"/>
                      <w:szCs w:val="18"/>
                    </w:rPr>
                    <w:t>控制车速、厂房隔声</w:t>
                  </w:r>
                </w:p>
              </w:tc>
              <w:tc>
                <w:tcPr>
                  <w:tcW w:w="348" w:type="pct"/>
                  <w:vAlign w:val="center"/>
                </w:tcPr>
                <w:p w14:paraId="60DB792F">
                  <w:pPr>
                    <w:pStyle w:val="135"/>
                    <w:adjustRightInd w:val="0"/>
                    <w:snapToGrid w:val="0"/>
                  </w:pPr>
                  <w:r>
                    <w:rPr>
                      <w:rFonts w:hint="eastAsia"/>
                    </w:rPr>
                    <w:t>15</w:t>
                  </w:r>
                </w:p>
              </w:tc>
              <w:tc>
                <w:tcPr>
                  <w:tcW w:w="433" w:type="pct"/>
                  <w:vAlign w:val="center"/>
                </w:tcPr>
                <w:p w14:paraId="5EC4E5D3">
                  <w:pPr>
                    <w:pStyle w:val="135"/>
                    <w:adjustRightInd w:val="0"/>
                    <w:snapToGrid w:val="0"/>
                  </w:pPr>
                  <w:r>
                    <w:rPr>
                      <w:rFonts w:hint="eastAsia"/>
                    </w:rPr>
                    <w:t>59.92</w:t>
                  </w:r>
                </w:p>
              </w:tc>
              <w:tc>
                <w:tcPr>
                  <w:tcW w:w="348" w:type="pct"/>
                  <w:vAlign w:val="center"/>
                </w:tcPr>
                <w:p w14:paraId="42B1C31E">
                  <w:pPr>
                    <w:pStyle w:val="135"/>
                    <w:wordWrap w:val="0"/>
                    <w:adjustRightInd w:val="0"/>
                    <w:snapToGrid w:val="0"/>
                    <w:rPr>
                      <w:bCs/>
                      <w:szCs w:val="18"/>
                    </w:rPr>
                  </w:pPr>
                  <w:r>
                    <w:rPr>
                      <w:bCs/>
                      <w:szCs w:val="18"/>
                    </w:rPr>
                    <w:t>8</w:t>
                  </w:r>
                </w:p>
              </w:tc>
              <w:tc>
                <w:tcPr>
                  <w:tcW w:w="478" w:type="pct"/>
                  <w:vAlign w:val="center"/>
                </w:tcPr>
                <w:p w14:paraId="38972C37">
                  <w:pPr>
                    <w:pStyle w:val="135"/>
                    <w:adjustRightInd w:val="0"/>
                    <w:snapToGrid w:val="0"/>
                  </w:pPr>
                  <w:r>
                    <w:rPr>
                      <w:rFonts w:hint="eastAsia"/>
                    </w:rPr>
                    <w:t xml:space="preserve">45.92 </w:t>
                  </w:r>
                </w:p>
              </w:tc>
              <w:tc>
                <w:tcPr>
                  <w:tcW w:w="362" w:type="pct"/>
                  <w:vAlign w:val="center"/>
                </w:tcPr>
                <w:p w14:paraId="1A881D6A">
                  <w:pPr>
                    <w:pStyle w:val="135"/>
                    <w:wordWrap w:val="0"/>
                    <w:adjustRightInd w:val="0"/>
                    <w:snapToGrid w:val="0"/>
                    <w:rPr>
                      <w:bCs/>
                      <w:szCs w:val="18"/>
                    </w:rPr>
                  </w:pPr>
                  <w:r>
                    <w:rPr>
                      <w:rFonts w:hint="eastAsia"/>
                      <w:bCs/>
                      <w:szCs w:val="18"/>
                    </w:rPr>
                    <w:t>1m</w:t>
                  </w:r>
                </w:p>
              </w:tc>
            </w:tr>
            <w:tr w14:paraId="16D02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76" w:type="pct"/>
                  <w:vMerge w:val="continue"/>
                  <w:vAlign w:val="center"/>
                </w:tcPr>
                <w:p w14:paraId="006A10D6">
                  <w:pPr>
                    <w:pStyle w:val="135"/>
                    <w:wordWrap w:val="0"/>
                    <w:adjustRightInd w:val="0"/>
                    <w:snapToGrid w:val="0"/>
                    <w:rPr>
                      <w:bCs/>
                      <w:szCs w:val="18"/>
                    </w:rPr>
                  </w:pPr>
                </w:p>
              </w:tc>
              <w:tc>
                <w:tcPr>
                  <w:tcW w:w="579" w:type="pct"/>
                  <w:vAlign w:val="center"/>
                </w:tcPr>
                <w:p w14:paraId="001480C4">
                  <w:pPr>
                    <w:pStyle w:val="135"/>
                    <w:adjustRightInd w:val="0"/>
                    <w:snapToGrid w:val="0"/>
                    <w:rPr>
                      <w:bCs/>
                      <w:szCs w:val="18"/>
                    </w:rPr>
                  </w:pPr>
                  <w:r>
                    <w:rPr>
                      <w:rFonts w:hint="eastAsia" w:ascii="宋体" w:hAnsi="宋体"/>
                      <w:szCs w:val="18"/>
                    </w:rPr>
                    <w:t>破碎机</w:t>
                  </w:r>
                </w:p>
              </w:tc>
              <w:tc>
                <w:tcPr>
                  <w:tcW w:w="362" w:type="pct"/>
                  <w:vAlign w:val="center"/>
                </w:tcPr>
                <w:p w14:paraId="2D9C9A53">
                  <w:pPr>
                    <w:pStyle w:val="135"/>
                    <w:wordWrap w:val="0"/>
                    <w:adjustRightInd w:val="0"/>
                    <w:snapToGrid w:val="0"/>
                    <w:rPr>
                      <w:bCs/>
                      <w:szCs w:val="18"/>
                    </w:rPr>
                  </w:pPr>
                  <w:r>
                    <w:rPr>
                      <w:rFonts w:hint="eastAsia"/>
                    </w:rPr>
                    <w:t>G</w:t>
                  </w:r>
                  <w:r>
                    <w:t>P500</w:t>
                  </w:r>
                </w:p>
              </w:tc>
              <w:tc>
                <w:tcPr>
                  <w:tcW w:w="533" w:type="pct"/>
                  <w:vAlign w:val="center"/>
                </w:tcPr>
                <w:p w14:paraId="6BD92D30">
                  <w:pPr>
                    <w:pStyle w:val="135"/>
                    <w:wordWrap w:val="0"/>
                    <w:adjustRightInd w:val="0"/>
                    <w:snapToGrid w:val="0"/>
                    <w:rPr>
                      <w:bCs/>
                      <w:szCs w:val="18"/>
                    </w:rPr>
                  </w:pPr>
                  <w:r>
                    <w:rPr>
                      <w:bCs/>
                      <w:szCs w:val="18"/>
                    </w:rPr>
                    <w:t>90</w:t>
                  </w:r>
                </w:p>
              </w:tc>
              <w:tc>
                <w:tcPr>
                  <w:tcW w:w="260" w:type="pct"/>
                  <w:vAlign w:val="center"/>
                </w:tcPr>
                <w:p w14:paraId="05A785A9">
                  <w:pPr>
                    <w:pStyle w:val="135"/>
                    <w:wordWrap w:val="0"/>
                    <w:adjustRightInd w:val="0"/>
                    <w:snapToGrid w:val="0"/>
                    <w:rPr>
                      <w:bCs/>
                      <w:szCs w:val="18"/>
                    </w:rPr>
                  </w:pPr>
                  <w:r>
                    <w:rPr>
                      <w:rFonts w:hint="eastAsia"/>
                      <w:bCs/>
                      <w:szCs w:val="18"/>
                    </w:rPr>
                    <w:t>/</w:t>
                  </w:r>
                </w:p>
              </w:tc>
              <w:tc>
                <w:tcPr>
                  <w:tcW w:w="1021" w:type="pct"/>
                  <w:vAlign w:val="center"/>
                </w:tcPr>
                <w:p w14:paraId="06BF5FF7">
                  <w:pPr>
                    <w:pStyle w:val="135"/>
                    <w:wordWrap w:val="0"/>
                    <w:adjustRightInd w:val="0"/>
                    <w:snapToGrid w:val="0"/>
                    <w:rPr>
                      <w:szCs w:val="18"/>
                    </w:rPr>
                  </w:pPr>
                  <w:r>
                    <w:rPr>
                      <w:rFonts w:hint="eastAsia"/>
                      <w:szCs w:val="18"/>
                    </w:rPr>
                    <w:t>下沉式减振基础、厂房隔声</w:t>
                  </w:r>
                </w:p>
              </w:tc>
              <w:tc>
                <w:tcPr>
                  <w:tcW w:w="348" w:type="pct"/>
                  <w:vAlign w:val="center"/>
                </w:tcPr>
                <w:p w14:paraId="76D149B7">
                  <w:pPr>
                    <w:pStyle w:val="135"/>
                    <w:adjustRightInd w:val="0"/>
                    <w:snapToGrid w:val="0"/>
                  </w:pPr>
                  <w:r>
                    <w:rPr>
                      <w:rFonts w:hint="eastAsia"/>
                    </w:rPr>
                    <w:t>15</w:t>
                  </w:r>
                </w:p>
              </w:tc>
              <w:tc>
                <w:tcPr>
                  <w:tcW w:w="433" w:type="pct"/>
                  <w:vAlign w:val="center"/>
                </w:tcPr>
                <w:p w14:paraId="5605DA27">
                  <w:pPr>
                    <w:pStyle w:val="135"/>
                    <w:adjustRightInd w:val="0"/>
                    <w:snapToGrid w:val="0"/>
                  </w:pPr>
                  <w:r>
                    <w:rPr>
                      <w:rFonts w:hint="eastAsia"/>
                    </w:rPr>
                    <w:t>72.93</w:t>
                  </w:r>
                </w:p>
              </w:tc>
              <w:tc>
                <w:tcPr>
                  <w:tcW w:w="348" w:type="pct"/>
                  <w:vAlign w:val="center"/>
                </w:tcPr>
                <w:p w14:paraId="398F00EE">
                  <w:pPr>
                    <w:pStyle w:val="135"/>
                    <w:wordWrap w:val="0"/>
                    <w:adjustRightInd w:val="0"/>
                    <w:snapToGrid w:val="0"/>
                    <w:rPr>
                      <w:bCs/>
                      <w:szCs w:val="18"/>
                    </w:rPr>
                  </w:pPr>
                  <w:r>
                    <w:rPr>
                      <w:rFonts w:hint="eastAsia"/>
                      <w:bCs/>
                      <w:szCs w:val="18"/>
                    </w:rPr>
                    <w:t>8</w:t>
                  </w:r>
                </w:p>
              </w:tc>
              <w:tc>
                <w:tcPr>
                  <w:tcW w:w="478" w:type="pct"/>
                  <w:vAlign w:val="center"/>
                </w:tcPr>
                <w:p w14:paraId="3E23807B">
                  <w:pPr>
                    <w:pStyle w:val="135"/>
                    <w:adjustRightInd w:val="0"/>
                    <w:snapToGrid w:val="0"/>
                  </w:pPr>
                  <w:r>
                    <w:rPr>
                      <w:rFonts w:hint="eastAsia"/>
                    </w:rPr>
                    <w:t xml:space="preserve">58.93 </w:t>
                  </w:r>
                </w:p>
              </w:tc>
              <w:tc>
                <w:tcPr>
                  <w:tcW w:w="362" w:type="pct"/>
                  <w:vAlign w:val="center"/>
                </w:tcPr>
                <w:p w14:paraId="7304B63D">
                  <w:pPr>
                    <w:pStyle w:val="135"/>
                    <w:wordWrap w:val="0"/>
                    <w:adjustRightInd w:val="0"/>
                    <w:snapToGrid w:val="0"/>
                    <w:rPr>
                      <w:bCs/>
                      <w:szCs w:val="18"/>
                    </w:rPr>
                  </w:pPr>
                  <w:r>
                    <w:rPr>
                      <w:rFonts w:hint="eastAsia"/>
                      <w:bCs/>
                      <w:szCs w:val="18"/>
                    </w:rPr>
                    <w:t>1m</w:t>
                  </w:r>
                </w:p>
              </w:tc>
            </w:tr>
            <w:tr w14:paraId="4B6AF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76" w:type="pct"/>
                  <w:vAlign w:val="center"/>
                </w:tcPr>
                <w:p w14:paraId="1A099B9C">
                  <w:pPr>
                    <w:pStyle w:val="135"/>
                    <w:wordWrap w:val="0"/>
                    <w:adjustRightInd w:val="0"/>
                    <w:snapToGrid w:val="0"/>
                    <w:rPr>
                      <w:bCs/>
                      <w:szCs w:val="18"/>
                    </w:rPr>
                  </w:pPr>
                  <w:r>
                    <w:rPr>
                      <w:rFonts w:hint="eastAsia"/>
                      <w:bCs/>
                      <w:szCs w:val="18"/>
                    </w:rPr>
                    <w:t>锅炉房</w:t>
                  </w:r>
                </w:p>
              </w:tc>
              <w:tc>
                <w:tcPr>
                  <w:tcW w:w="579" w:type="pct"/>
                  <w:vAlign w:val="center"/>
                </w:tcPr>
                <w:p w14:paraId="7DA36518">
                  <w:pPr>
                    <w:pStyle w:val="135"/>
                    <w:wordWrap w:val="0"/>
                    <w:adjustRightInd w:val="0"/>
                    <w:snapToGrid w:val="0"/>
                    <w:rPr>
                      <w:bCs/>
                      <w:szCs w:val="18"/>
                    </w:rPr>
                  </w:pPr>
                  <w:r>
                    <w:rPr>
                      <w:rFonts w:hint="eastAsia"/>
                      <w:bCs/>
                      <w:szCs w:val="18"/>
                    </w:rPr>
                    <w:t>生物质锅炉</w:t>
                  </w:r>
                </w:p>
              </w:tc>
              <w:tc>
                <w:tcPr>
                  <w:tcW w:w="362" w:type="pct"/>
                  <w:vAlign w:val="center"/>
                </w:tcPr>
                <w:p w14:paraId="006A371E">
                  <w:pPr>
                    <w:pStyle w:val="135"/>
                    <w:wordWrap w:val="0"/>
                    <w:adjustRightInd w:val="0"/>
                    <w:snapToGrid w:val="0"/>
                    <w:rPr>
                      <w:bCs/>
                      <w:szCs w:val="18"/>
                    </w:rPr>
                  </w:pPr>
                  <w:r>
                    <w:rPr>
                      <w:rFonts w:hint="eastAsia"/>
                      <w:bCs/>
                      <w:szCs w:val="18"/>
                    </w:rPr>
                    <w:t>1</w:t>
                  </w:r>
                  <w:r>
                    <w:rPr>
                      <w:bCs/>
                      <w:szCs w:val="18"/>
                    </w:rPr>
                    <w:t>0</w:t>
                  </w:r>
                  <w:r>
                    <w:rPr>
                      <w:rFonts w:hint="eastAsia"/>
                      <w:bCs/>
                      <w:szCs w:val="18"/>
                    </w:rPr>
                    <w:t>t</w:t>
                  </w:r>
                  <w:r>
                    <w:rPr>
                      <w:bCs/>
                      <w:szCs w:val="18"/>
                    </w:rPr>
                    <w:t>/</w:t>
                  </w:r>
                  <w:r>
                    <w:rPr>
                      <w:rFonts w:hint="eastAsia"/>
                      <w:bCs/>
                      <w:szCs w:val="18"/>
                    </w:rPr>
                    <w:t>h</w:t>
                  </w:r>
                </w:p>
              </w:tc>
              <w:tc>
                <w:tcPr>
                  <w:tcW w:w="533" w:type="pct"/>
                  <w:vAlign w:val="center"/>
                </w:tcPr>
                <w:p w14:paraId="05D134DF">
                  <w:pPr>
                    <w:pStyle w:val="135"/>
                    <w:wordWrap w:val="0"/>
                    <w:adjustRightInd w:val="0"/>
                    <w:snapToGrid w:val="0"/>
                    <w:rPr>
                      <w:bCs/>
                      <w:szCs w:val="18"/>
                    </w:rPr>
                  </w:pPr>
                  <w:r>
                    <w:rPr>
                      <w:rFonts w:hint="eastAsia"/>
                      <w:bCs/>
                      <w:szCs w:val="18"/>
                    </w:rPr>
                    <w:t>7</w:t>
                  </w:r>
                  <w:r>
                    <w:rPr>
                      <w:bCs/>
                      <w:szCs w:val="18"/>
                    </w:rPr>
                    <w:t>0</w:t>
                  </w:r>
                </w:p>
              </w:tc>
              <w:tc>
                <w:tcPr>
                  <w:tcW w:w="260" w:type="pct"/>
                  <w:vAlign w:val="center"/>
                </w:tcPr>
                <w:p w14:paraId="45E6009E">
                  <w:pPr>
                    <w:pStyle w:val="135"/>
                    <w:wordWrap w:val="0"/>
                    <w:adjustRightInd w:val="0"/>
                    <w:snapToGrid w:val="0"/>
                    <w:rPr>
                      <w:bCs/>
                      <w:szCs w:val="18"/>
                    </w:rPr>
                  </w:pPr>
                  <w:r>
                    <w:rPr>
                      <w:rFonts w:hint="eastAsia"/>
                      <w:bCs/>
                      <w:szCs w:val="18"/>
                    </w:rPr>
                    <w:t>/</w:t>
                  </w:r>
                </w:p>
              </w:tc>
              <w:tc>
                <w:tcPr>
                  <w:tcW w:w="1021" w:type="pct"/>
                  <w:vMerge w:val="restart"/>
                  <w:vAlign w:val="center"/>
                </w:tcPr>
                <w:p w14:paraId="23B275D0">
                  <w:pPr>
                    <w:pStyle w:val="135"/>
                    <w:wordWrap w:val="0"/>
                    <w:adjustRightInd w:val="0"/>
                    <w:snapToGrid w:val="0"/>
                    <w:rPr>
                      <w:szCs w:val="18"/>
                    </w:rPr>
                  </w:pPr>
                  <w:r>
                    <w:rPr>
                      <w:rFonts w:hint="eastAsia"/>
                      <w:szCs w:val="18"/>
                    </w:rPr>
                    <w:t>减振基础、厂房隔声</w:t>
                  </w:r>
                </w:p>
              </w:tc>
              <w:tc>
                <w:tcPr>
                  <w:tcW w:w="348" w:type="pct"/>
                  <w:vAlign w:val="center"/>
                </w:tcPr>
                <w:p w14:paraId="105E80EF">
                  <w:pPr>
                    <w:pStyle w:val="135"/>
                    <w:adjustRightInd w:val="0"/>
                    <w:snapToGrid w:val="0"/>
                  </w:pPr>
                  <w:r>
                    <w:rPr>
                      <w:rFonts w:hint="eastAsia"/>
                    </w:rPr>
                    <w:t>14.5</w:t>
                  </w:r>
                </w:p>
              </w:tc>
              <w:tc>
                <w:tcPr>
                  <w:tcW w:w="433" w:type="pct"/>
                  <w:vAlign w:val="center"/>
                </w:tcPr>
                <w:p w14:paraId="14851889">
                  <w:pPr>
                    <w:pStyle w:val="135"/>
                    <w:adjustRightInd w:val="0"/>
                    <w:snapToGrid w:val="0"/>
                  </w:pPr>
                  <w:r>
                    <w:rPr>
                      <w:rFonts w:hint="eastAsia"/>
                    </w:rPr>
                    <w:t>49.25</w:t>
                  </w:r>
                </w:p>
              </w:tc>
              <w:tc>
                <w:tcPr>
                  <w:tcW w:w="348" w:type="pct"/>
                  <w:vAlign w:val="center"/>
                </w:tcPr>
                <w:p w14:paraId="510AECBA">
                  <w:pPr>
                    <w:pStyle w:val="135"/>
                    <w:wordWrap w:val="0"/>
                    <w:adjustRightInd w:val="0"/>
                    <w:snapToGrid w:val="0"/>
                    <w:rPr>
                      <w:bCs/>
                      <w:szCs w:val="18"/>
                    </w:rPr>
                  </w:pPr>
                  <w:r>
                    <w:rPr>
                      <w:rFonts w:hint="eastAsia"/>
                      <w:bCs/>
                      <w:szCs w:val="18"/>
                    </w:rPr>
                    <w:t>8</w:t>
                  </w:r>
                </w:p>
              </w:tc>
              <w:tc>
                <w:tcPr>
                  <w:tcW w:w="478" w:type="pct"/>
                  <w:vAlign w:val="center"/>
                </w:tcPr>
                <w:p w14:paraId="2B2874D0">
                  <w:pPr>
                    <w:pStyle w:val="135"/>
                    <w:adjustRightInd w:val="0"/>
                    <w:snapToGrid w:val="0"/>
                  </w:pPr>
                  <w:r>
                    <w:rPr>
                      <w:rFonts w:hint="eastAsia"/>
                    </w:rPr>
                    <w:t xml:space="preserve">35.25 </w:t>
                  </w:r>
                </w:p>
              </w:tc>
              <w:tc>
                <w:tcPr>
                  <w:tcW w:w="362" w:type="pct"/>
                  <w:vAlign w:val="center"/>
                </w:tcPr>
                <w:p w14:paraId="4A160FDA">
                  <w:pPr>
                    <w:pStyle w:val="135"/>
                    <w:wordWrap w:val="0"/>
                    <w:adjustRightInd w:val="0"/>
                    <w:snapToGrid w:val="0"/>
                    <w:rPr>
                      <w:bCs/>
                      <w:szCs w:val="18"/>
                    </w:rPr>
                  </w:pPr>
                  <w:r>
                    <w:rPr>
                      <w:rFonts w:hint="eastAsia"/>
                      <w:bCs/>
                      <w:szCs w:val="18"/>
                    </w:rPr>
                    <w:t>1m</w:t>
                  </w:r>
                </w:p>
              </w:tc>
            </w:tr>
            <w:tr w14:paraId="0CFEEC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76" w:type="pct"/>
                  <w:vMerge w:val="restart"/>
                  <w:vAlign w:val="center"/>
                </w:tcPr>
                <w:p w14:paraId="3012FB2E">
                  <w:pPr>
                    <w:pStyle w:val="135"/>
                    <w:wordWrap w:val="0"/>
                    <w:adjustRightInd w:val="0"/>
                    <w:snapToGrid w:val="0"/>
                    <w:rPr>
                      <w:bCs/>
                      <w:szCs w:val="18"/>
                    </w:rPr>
                  </w:pPr>
                  <w:r>
                    <w:rPr>
                      <w:rFonts w:hint="eastAsia"/>
                      <w:bCs/>
                      <w:szCs w:val="18"/>
                    </w:rPr>
                    <w:t>生产车间</w:t>
                  </w:r>
                </w:p>
              </w:tc>
              <w:tc>
                <w:tcPr>
                  <w:tcW w:w="579" w:type="pct"/>
                  <w:vAlign w:val="center"/>
                </w:tcPr>
                <w:p w14:paraId="633ADFFC">
                  <w:pPr>
                    <w:pStyle w:val="135"/>
                    <w:wordWrap w:val="0"/>
                    <w:adjustRightInd w:val="0"/>
                    <w:snapToGrid w:val="0"/>
                    <w:rPr>
                      <w:bCs/>
                      <w:szCs w:val="18"/>
                    </w:rPr>
                  </w:pPr>
                  <w:r>
                    <w:rPr>
                      <w:rFonts w:hint="eastAsia"/>
                      <w:bCs/>
                      <w:szCs w:val="18"/>
                    </w:rPr>
                    <w:t>球磨机</w:t>
                  </w:r>
                </w:p>
              </w:tc>
              <w:tc>
                <w:tcPr>
                  <w:tcW w:w="362" w:type="pct"/>
                  <w:vAlign w:val="center"/>
                </w:tcPr>
                <w:p w14:paraId="64AFC34D">
                  <w:pPr>
                    <w:pStyle w:val="135"/>
                    <w:wordWrap w:val="0"/>
                    <w:adjustRightInd w:val="0"/>
                    <w:snapToGrid w:val="0"/>
                    <w:rPr>
                      <w:bCs/>
                      <w:szCs w:val="18"/>
                    </w:rPr>
                  </w:pPr>
                  <w:r>
                    <w:t>22X9M</w:t>
                  </w:r>
                </w:p>
              </w:tc>
              <w:tc>
                <w:tcPr>
                  <w:tcW w:w="533" w:type="pct"/>
                  <w:vAlign w:val="center"/>
                </w:tcPr>
                <w:p w14:paraId="45E44B5F">
                  <w:pPr>
                    <w:pStyle w:val="135"/>
                    <w:wordWrap w:val="0"/>
                    <w:adjustRightInd w:val="0"/>
                    <w:snapToGrid w:val="0"/>
                    <w:rPr>
                      <w:bCs/>
                      <w:szCs w:val="18"/>
                    </w:rPr>
                  </w:pPr>
                  <w:r>
                    <w:rPr>
                      <w:rFonts w:hint="eastAsia"/>
                      <w:bCs/>
                      <w:szCs w:val="18"/>
                    </w:rPr>
                    <w:t>9</w:t>
                  </w:r>
                  <w:r>
                    <w:rPr>
                      <w:bCs/>
                      <w:szCs w:val="18"/>
                    </w:rPr>
                    <w:t>5</w:t>
                  </w:r>
                </w:p>
              </w:tc>
              <w:tc>
                <w:tcPr>
                  <w:tcW w:w="260" w:type="pct"/>
                  <w:vAlign w:val="center"/>
                </w:tcPr>
                <w:p w14:paraId="622C52A7">
                  <w:pPr>
                    <w:pStyle w:val="135"/>
                    <w:wordWrap w:val="0"/>
                    <w:adjustRightInd w:val="0"/>
                    <w:snapToGrid w:val="0"/>
                    <w:rPr>
                      <w:bCs/>
                      <w:szCs w:val="18"/>
                    </w:rPr>
                  </w:pPr>
                  <w:r>
                    <w:rPr>
                      <w:rFonts w:hint="eastAsia"/>
                      <w:bCs/>
                      <w:szCs w:val="18"/>
                    </w:rPr>
                    <w:t>/</w:t>
                  </w:r>
                </w:p>
              </w:tc>
              <w:tc>
                <w:tcPr>
                  <w:tcW w:w="1021" w:type="pct"/>
                  <w:vMerge w:val="continue"/>
                  <w:vAlign w:val="center"/>
                </w:tcPr>
                <w:p w14:paraId="596BB406">
                  <w:pPr>
                    <w:pStyle w:val="135"/>
                    <w:wordWrap w:val="0"/>
                    <w:adjustRightInd w:val="0"/>
                    <w:snapToGrid w:val="0"/>
                    <w:rPr>
                      <w:szCs w:val="18"/>
                    </w:rPr>
                  </w:pPr>
                </w:p>
              </w:tc>
              <w:tc>
                <w:tcPr>
                  <w:tcW w:w="348" w:type="pct"/>
                  <w:vAlign w:val="center"/>
                </w:tcPr>
                <w:p w14:paraId="13E61E7A">
                  <w:pPr>
                    <w:pStyle w:val="135"/>
                    <w:adjustRightInd w:val="0"/>
                    <w:snapToGrid w:val="0"/>
                  </w:pPr>
                  <w:r>
                    <w:rPr>
                      <w:rFonts w:hint="eastAsia"/>
                    </w:rPr>
                    <w:t>26.5</w:t>
                  </w:r>
                </w:p>
              </w:tc>
              <w:tc>
                <w:tcPr>
                  <w:tcW w:w="433" w:type="pct"/>
                  <w:vAlign w:val="center"/>
                </w:tcPr>
                <w:p w14:paraId="7E2BEF0E">
                  <w:pPr>
                    <w:pStyle w:val="135"/>
                    <w:adjustRightInd w:val="0"/>
                    <w:snapToGrid w:val="0"/>
                  </w:pPr>
                  <w:r>
                    <w:rPr>
                      <w:rFonts w:hint="eastAsia"/>
                    </w:rPr>
                    <w:t>67.27</w:t>
                  </w:r>
                </w:p>
              </w:tc>
              <w:tc>
                <w:tcPr>
                  <w:tcW w:w="348" w:type="pct"/>
                  <w:vAlign w:val="center"/>
                </w:tcPr>
                <w:p w14:paraId="767EE9E3">
                  <w:pPr>
                    <w:pStyle w:val="135"/>
                    <w:wordWrap w:val="0"/>
                    <w:adjustRightInd w:val="0"/>
                    <w:snapToGrid w:val="0"/>
                    <w:rPr>
                      <w:bCs/>
                      <w:szCs w:val="18"/>
                    </w:rPr>
                  </w:pPr>
                  <w:r>
                    <w:rPr>
                      <w:rFonts w:hint="eastAsia"/>
                      <w:bCs/>
                      <w:szCs w:val="18"/>
                    </w:rPr>
                    <w:t>8</w:t>
                  </w:r>
                </w:p>
              </w:tc>
              <w:tc>
                <w:tcPr>
                  <w:tcW w:w="478" w:type="pct"/>
                  <w:vAlign w:val="center"/>
                </w:tcPr>
                <w:p w14:paraId="7DDFA8C4">
                  <w:pPr>
                    <w:pStyle w:val="135"/>
                    <w:adjustRightInd w:val="0"/>
                    <w:snapToGrid w:val="0"/>
                  </w:pPr>
                  <w:r>
                    <w:rPr>
                      <w:rFonts w:hint="eastAsia"/>
                    </w:rPr>
                    <w:t xml:space="preserve">53.27 </w:t>
                  </w:r>
                </w:p>
              </w:tc>
              <w:tc>
                <w:tcPr>
                  <w:tcW w:w="362" w:type="pct"/>
                  <w:vAlign w:val="center"/>
                </w:tcPr>
                <w:p w14:paraId="085A586C">
                  <w:pPr>
                    <w:pStyle w:val="135"/>
                    <w:wordWrap w:val="0"/>
                    <w:adjustRightInd w:val="0"/>
                    <w:snapToGrid w:val="0"/>
                    <w:rPr>
                      <w:bCs/>
                      <w:szCs w:val="18"/>
                    </w:rPr>
                  </w:pPr>
                  <w:r>
                    <w:rPr>
                      <w:rFonts w:hint="eastAsia"/>
                      <w:bCs/>
                      <w:szCs w:val="18"/>
                    </w:rPr>
                    <w:t>1m</w:t>
                  </w:r>
                </w:p>
              </w:tc>
            </w:tr>
            <w:tr w14:paraId="31368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76" w:type="pct"/>
                  <w:vMerge w:val="continue"/>
                  <w:vAlign w:val="center"/>
                </w:tcPr>
                <w:p w14:paraId="57857436">
                  <w:pPr>
                    <w:pStyle w:val="135"/>
                    <w:wordWrap w:val="0"/>
                    <w:adjustRightInd w:val="0"/>
                    <w:snapToGrid w:val="0"/>
                    <w:rPr>
                      <w:bCs/>
                      <w:szCs w:val="18"/>
                    </w:rPr>
                  </w:pPr>
                </w:p>
              </w:tc>
              <w:tc>
                <w:tcPr>
                  <w:tcW w:w="579" w:type="pct"/>
                  <w:vAlign w:val="center"/>
                </w:tcPr>
                <w:p w14:paraId="35C8153B">
                  <w:pPr>
                    <w:pStyle w:val="135"/>
                    <w:adjustRightInd w:val="0"/>
                    <w:snapToGrid w:val="0"/>
                    <w:rPr>
                      <w:bCs/>
                      <w:szCs w:val="18"/>
                    </w:rPr>
                  </w:pPr>
                  <w:r>
                    <w:rPr>
                      <w:rFonts w:hint="eastAsia"/>
                      <w:bCs/>
                      <w:szCs w:val="18"/>
                    </w:rPr>
                    <w:t>搅拌机（8台）</w:t>
                  </w:r>
                </w:p>
              </w:tc>
              <w:tc>
                <w:tcPr>
                  <w:tcW w:w="362" w:type="pct"/>
                  <w:vAlign w:val="center"/>
                </w:tcPr>
                <w:p w14:paraId="57E35B90">
                  <w:pPr>
                    <w:pStyle w:val="135"/>
                    <w:wordWrap w:val="0"/>
                    <w:adjustRightInd w:val="0"/>
                    <w:snapToGrid w:val="0"/>
                    <w:rPr>
                      <w:bCs/>
                      <w:szCs w:val="18"/>
                    </w:rPr>
                  </w:pPr>
                  <w:r>
                    <w:rPr>
                      <w:rFonts w:hint="eastAsia"/>
                      <w:bCs/>
                      <w:szCs w:val="18"/>
                    </w:rPr>
                    <w:t>/</w:t>
                  </w:r>
                </w:p>
              </w:tc>
              <w:tc>
                <w:tcPr>
                  <w:tcW w:w="533" w:type="pct"/>
                  <w:vAlign w:val="center"/>
                </w:tcPr>
                <w:p w14:paraId="483C8911">
                  <w:pPr>
                    <w:pStyle w:val="135"/>
                    <w:wordWrap w:val="0"/>
                    <w:adjustRightInd w:val="0"/>
                    <w:snapToGrid w:val="0"/>
                    <w:rPr>
                      <w:bCs/>
                      <w:szCs w:val="18"/>
                    </w:rPr>
                  </w:pPr>
                  <w:r>
                    <w:rPr>
                      <w:bCs/>
                      <w:szCs w:val="18"/>
                    </w:rPr>
                    <w:t>70</w:t>
                  </w:r>
                </w:p>
              </w:tc>
              <w:tc>
                <w:tcPr>
                  <w:tcW w:w="260" w:type="pct"/>
                  <w:vAlign w:val="center"/>
                </w:tcPr>
                <w:p w14:paraId="55631E47">
                  <w:pPr>
                    <w:pStyle w:val="135"/>
                    <w:wordWrap w:val="0"/>
                    <w:adjustRightInd w:val="0"/>
                    <w:snapToGrid w:val="0"/>
                    <w:rPr>
                      <w:bCs/>
                      <w:szCs w:val="18"/>
                    </w:rPr>
                  </w:pPr>
                  <w:r>
                    <w:rPr>
                      <w:rFonts w:hint="eastAsia"/>
                      <w:bCs/>
                      <w:szCs w:val="18"/>
                    </w:rPr>
                    <w:t>/</w:t>
                  </w:r>
                </w:p>
              </w:tc>
              <w:tc>
                <w:tcPr>
                  <w:tcW w:w="1021" w:type="pct"/>
                  <w:vMerge w:val="continue"/>
                  <w:vAlign w:val="center"/>
                </w:tcPr>
                <w:p w14:paraId="568D601C">
                  <w:pPr>
                    <w:pStyle w:val="135"/>
                    <w:wordWrap w:val="0"/>
                    <w:adjustRightInd w:val="0"/>
                    <w:snapToGrid w:val="0"/>
                    <w:rPr>
                      <w:szCs w:val="18"/>
                    </w:rPr>
                  </w:pPr>
                </w:p>
              </w:tc>
              <w:tc>
                <w:tcPr>
                  <w:tcW w:w="348" w:type="pct"/>
                  <w:vAlign w:val="center"/>
                </w:tcPr>
                <w:p w14:paraId="08ACF59B">
                  <w:pPr>
                    <w:pStyle w:val="135"/>
                    <w:adjustRightInd w:val="0"/>
                    <w:snapToGrid w:val="0"/>
                  </w:pPr>
                  <w:r>
                    <w:rPr>
                      <w:rFonts w:hint="eastAsia"/>
                    </w:rPr>
                    <w:t>26.5</w:t>
                  </w:r>
                </w:p>
              </w:tc>
              <w:tc>
                <w:tcPr>
                  <w:tcW w:w="433" w:type="pct"/>
                  <w:vAlign w:val="center"/>
                </w:tcPr>
                <w:p w14:paraId="6E56F035">
                  <w:pPr>
                    <w:pStyle w:val="135"/>
                    <w:adjustRightInd w:val="0"/>
                    <w:snapToGrid w:val="0"/>
                  </w:pPr>
                  <w:r>
                    <w:rPr>
                      <w:rFonts w:hint="eastAsia"/>
                    </w:rPr>
                    <w:t>51.31</w:t>
                  </w:r>
                </w:p>
              </w:tc>
              <w:tc>
                <w:tcPr>
                  <w:tcW w:w="348" w:type="pct"/>
                  <w:vAlign w:val="center"/>
                </w:tcPr>
                <w:p w14:paraId="184A043D">
                  <w:pPr>
                    <w:pStyle w:val="135"/>
                    <w:wordWrap w:val="0"/>
                    <w:adjustRightInd w:val="0"/>
                    <w:snapToGrid w:val="0"/>
                    <w:rPr>
                      <w:bCs/>
                      <w:szCs w:val="18"/>
                    </w:rPr>
                  </w:pPr>
                  <w:r>
                    <w:rPr>
                      <w:rFonts w:hint="eastAsia"/>
                      <w:bCs/>
                      <w:szCs w:val="18"/>
                    </w:rPr>
                    <w:t>8</w:t>
                  </w:r>
                </w:p>
              </w:tc>
              <w:tc>
                <w:tcPr>
                  <w:tcW w:w="478" w:type="pct"/>
                  <w:vAlign w:val="center"/>
                </w:tcPr>
                <w:p w14:paraId="6A9149AF">
                  <w:pPr>
                    <w:pStyle w:val="135"/>
                    <w:adjustRightInd w:val="0"/>
                    <w:snapToGrid w:val="0"/>
                  </w:pPr>
                  <w:r>
                    <w:rPr>
                      <w:rFonts w:hint="eastAsia"/>
                    </w:rPr>
                    <w:t xml:space="preserve">37.31 </w:t>
                  </w:r>
                </w:p>
              </w:tc>
              <w:tc>
                <w:tcPr>
                  <w:tcW w:w="362" w:type="pct"/>
                  <w:vAlign w:val="center"/>
                </w:tcPr>
                <w:p w14:paraId="62C4C13F">
                  <w:pPr>
                    <w:pStyle w:val="135"/>
                    <w:wordWrap w:val="0"/>
                    <w:adjustRightInd w:val="0"/>
                    <w:snapToGrid w:val="0"/>
                    <w:rPr>
                      <w:bCs/>
                      <w:szCs w:val="18"/>
                    </w:rPr>
                  </w:pPr>
                  <w:r>
                    <w:rPr>
                      <w:rFonts w:hint="eastAsia"/>
                      <w:bCs/>
                      <w:szCs w:val="18"/>
                    </w:rPr>
                    <w:t>1m</w:t>
                  </w:r>
                </w:p>
              </w:tc>
            </w:tr>
            <w:tr w14:paraId="545AED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76" w:type="pct"/>
                  <w:vMerge w:val="continue"/>
                  <w:vAlign w:val="center"/>
                </w:tcPr>
                <w:p w14:paraId="3FD0CFD8">
                  <w:pPr>
                    <w:pStyle w:val="135"/>
                    <w:wordWrap w:val="0"/>
                    <w:adjustRightInd w:val="0"/>
                    <w:snapToGrid w:val="0"/>
                    <w:rPr>
                      <w:bCs/>
                      <w:szCs w:val="18"/>
                    </w:rPr>
                  </w:pPr>
                </w:p>
              </w:tc>
              <w:tc>
                <w:tcPr>
                  <w:tcW w:w="579" w:type="pct"/>
                  <w:vAlign w:val="center"/>
                </w:tcPr>
                <w:p w14:paraId="48C26829">
                  <w:pPr>
                    <w:pStyle w:val="135"/>
                    <w:adjustRightInd w:val="0"/>
                    <w:snapToGrid w:val="0"/>
                    <w:rPr>
                      <w:bCs/>
                      <w:szCs w:val="18"/>
                    </w:rPr>
                  </w:pPr>
                  <w:r>
                    <w:rPr>
                      <w:rFonts w:hint="eastAsia"/>
                      <w:bCs/>
                      <w:szCs w:val="18"/>
                    </w:rPr>
                    <w:t>切割机</w:t>
                  </w:r>
                </w:p>
              </w:tc>
              <w:tc>
                <w:tcPr>
                  <w:tcW w:w="362" w:type="pct"/>
                  <w:vAlign w:val="center"/>
                </w:tcPr>
                <w:p w14:paraId="6522CCCD">
                  <w:pPr>
                    <w:pStyle w:val="135"/>
                    <w:adjustRightInd w:val="0"/>
                    <w:snapToGrid w:val="0"/>
                    <w:jc w:val="both"/>
                    <w:rPr>
                      <w:bCs/>
                      <w:szCs w:val="18"/>
                    </w:rPr>
                  </w:pPr>
                  <w:r>
                    <w:t>RGQGJ</w:t>
                  </w:r>
                </w:p>
              </w:tc>
              <w:tc>
                <w:tcPr>
                  <w:tcW w:w="533" w:type="pct"/>
                  <w:vAlign w:val="center"/>
                </w:tcPr>
                <w:p w14:paraId="0317C17F">
                  <w:pPr>
                    <w:pStyle w:val="135"/>
                    <w:wordWrap w:val="0"/>
                    <w:adjustRightInd w:val="0"/>
                    <w:snapToGrid w:val="0"/>
                    <w:rPr>
                      <w:bCs/>
                      <w:szCs w:val="18"/>
                    </w:rPr>
                  </w:pPr>
                  <w:r>
                    <w:rPr>
                      <w:rFonts w:hint="eastAsia"/>
                      <w:bCs/>
                      <w:szCs w:val="18"/>
                    </w:rPr>
                    <w:t>9</w:t>
                  </w:r>
                  <w:r>
                    <w:rPr>
                      <w:bCs/>
                      <w:szCs w:val="18"/>
                    </w:rPr>
                    <w:t>5</w:t>
                  </w:r>
                </w:p>
              </w:tc>
              <w:tc>
                <w:tcPr>
                  <w:tcW w:w="260" w:type="pct"/>
                  <w:vAlign w:val="center"/>
                </w:tcPr>
                <w:p w14:paraId="4166E3A1">
                  <w:pPr>
                    <w:pStyle w:val="135"/>
                    <w:wordWrap w:val="0"/>
                    <w:adjustRightInd w:val="0"/>
                    <w:snapToGrid w:val="0"/>
                    <w:rPr>
                      <w:bCs/>
                      <w:szCs w:val="18"/>
                    </w:rPr>
                  </w:pPr>
                  <w:r>
                    <w:rPr>
                      <w:rFonts w:hint="eastAsia"/>
                      <w:bCs/>
                      <w:szCs w:val="18"/>
                    </w:rPr>
                    <w:t>/</w:t>
                  </w:r>
                </w:p>
              </w:tc>
              <w:tc>
                <w:tcPr>
                  <w:tcW w:w="1021" w:type="pct"/>
                  <w:vMerge w:val="continue"/>
                  <w:vAlign w:val="center"/>
                </w:tcPr>
                <w:p w14:paraId="23375DB3">
                  <w:pPr>
                    <w:pStyle w:val="135"/>
                    <w:wordWrap w:val="0"/>
                    <w:adjustRightInd w:val="0"/>
                    <w:snapToGrid w:val="0"/>
                    <w:rPr>
                      <w:szCs w:val="18"/>
                    </w:rPr>
                  </w:pPr>
                </w:p>
              </w:tc>
              <w:tc>
                <w:tcPr>
                  <w:tcW w:w="348" w:type="pct"/>
                  <w:vAlign w:val="center"/>
                </w:tcPr>
                <w:p w14:paraId="1E126E14">
                  <w:pPr>
                    <w:pStyle w:val="135"/>
                    <w:adjustRightInd w:val="0"/>
                    <w:snapToGrid w:val="0"/>
                  </w:pPr>
                  <w:r>
                    <w:rPr>
                      <w:rFonts w:hint="eastAsia"/>
                    </w:rPr>
                    <w:t>26.5</w:t>
                  </w:r>
                </w:p>
              </w:tc>
              <w:tc>
                <w:tcPr>
                  <w:tcW w:w="433" w:type="pct"/>
                  <w:vAlign w:val="center"/>
                </w:tcPr>
                <w:p w14:paraId="4415A4C5">
                  <w:pPr>
                    <w:pStyle w:val="135"/>
                    <w:adjustRightInd w:val="0"/>
                    <w:snapToGrid w:val="0"/>
                  </w:pPr>
                  <w:r>
                    <w:rPr>
                      <w:rFonts w:hint="eastAsia"/>
                    </w:rPr>
                    <w:t>67.27</w:t>
                  </w:r>
                </w:p>
              </w:tc>
              <w:tc>
                <w:tcPr>
                  <w:tcW w:w="348" w:type="pct"/>
                  <w:vAlign w:val="center"/>
                </w:tcPr>
                <w:p w14:paraId="0D5EF98E">
                  <w:pPr>
                    <w:pStyle w:val="135"/>
                    <w:wordWrap w:val="0"/>
                    <w:adjustRightInd w:val="0"/>
                    <w:snapToGrid w:val="0"/>
                    <w:rPr>
                      <w:bCs/>
                      <w:szCs w:val="18"/>
                    </w:rPr>
                  </w:pPr>
                  <w:r>
                    <w:rPr>
                      <w:rFonts w:hint="eastAsia"/>
                      <w:bCs/>
                      <w:szCs w:val="18"/>
                    </w:rPr>
                    <w:t>8</w:t>
                  </w:r>
                </w:p>
              </w:tc>
              <w:tc>
                <w:tcPr>
                  <w:tcW w:w="478" w:type="pct"/>
                  <w:vAlign w:val="center"/>
                </w:tcPr>
                <w:p w14:paraId="0F9863DA">
                  <w:pPr>
                    <w:pStyle w:val="135"/>
                    <w:adjustRightInd w:val="0"/>
                    <w:snapToGrid w:val="0"/>
                  </w:pPr>
                  <w:r>
                    <w:rPr>
                      <w:rFonts w:hint="eastAsia"/>
                    </w:rPr>
                    <w:t xml:space="preserve">53.27 </w:t>
                  </w:r>
                </w:p>
              </w:tc>
              <w:tc>
                <w:tcPr>
                  <w:tcW w:w="362" w:type="pct"/>
                  <w:vAlign w:val="center"/>
                </w:tcPr>
                <w:p w14:paraId="643B5C90">
                  <w:pPr>
                    <w:pStyle w:val="135"/>
                    <w:wordWrap w:val="0"/>
                    <w:adjustRightInd w:val="0"/>
                    <w:snapToGrid w:val="0"/>
                    <w:rPr>
                      <w:bCs/>
                      <w:szCs w:val="18"/>
                    </w:rPr>
                  </w:pPr>
                  <w:r>
                    <w:rPr>
                      <w:rFonts w:hint="eastAsia"/>
                      <w:bCs/>
                      <w:szCs w:val="18"/>
                    </w:rPr>
                    <w:t>1m</w:t>
                  </w:r>
                </w:p>
              </w:tc>
            </w:tr>
            <w:tr w14:paraId="00A70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276" w:type="pct"/>
                  <w:vMerge w:val="continue"/>
                  <w:vAlign w:val="center"/>
                </w:tcPr>
                <w:p w14:paraId="38AD38A6">
                  <w:pPr>
                    <w:pStyle w:val="135"/>
                    <w:wordWrap w:val="0"/>
                    <w:adjustRightInd w:val="0"/>
                    <w:snapToGrid w:val="0"/>
                    <w:rPr>
                      <w:bCs/>
                      <w:szCs w:val="18"/>
                    </w:rPr>
                  </w:pPr>
                </w:p>
              </w:tc>
              <w:tc>
                <w:tcPr>
                  <w:tcW w:w="579" w:type="pct"/>
                  <w:vAlign w:val="center"/>
                </w:tcPr>
                <w:p w14:paraId="686317C3">
                  <w:pPr>
                    <w:pStyle w:val="135"/>
                    <w:adjustRightInd w:val="0"/>
                    <w:snapToGrid w:val="0"/>
                    <w:jc w:val="both"/>
                    <w:rPr>
                      <w:bCs/>
                      <w:szCs w:val="18"/>
                    </w:rPr>
                  </w:pPr>
                  <w:r>
                    <w:rPr>
                      <w:rFonts w:hint="eastAsia"/>
                      <w:bCs/>
                      <w:szCs w:val="18"/>
                    </w:rPr>
                    <w:t>叉车（2台）</w:t>
                  </w:r>
                </w:p>
              </w:tc>
              <w:tc>
                <w:tcPr>
                  <w:tcW w:w="362" w:type="pct"/>
                  <w:vAlign w:val="center"/>
                </w:tcPr>
                <w:p w14:paraId="3C937D6A">
                  <w:pPr>
                    <w:pStyle w:val="135"/>
                    <w:wordWrap w:val="0"/>
                    <w:adjustRightInd w:val="0"/>
                    <w:snapToGrid w:val="0"/>
                    <w:rPr>
                      <w:bCs/>
                      <w:szCs w:val="18"/>
                    </w:rPr>
                  </w:pPr>
                  <w:r>
                    <w:t>CPC30</w:t>
                  </w:r>
                </w:p>
              </w:tc>
              <w:tc>
                <w:tcPr>
                  <w:tcW w:w="533" w:type="pct"/>
                  <w:vAlign w:val="center"/>
                </w:tcPr>
                <w:p w14:paraId="013F22BA">
                  <w:pPr>
                    <w:pStyle w:val="135"/>
                    <w:wordWrap w:val="0"/>
                    <w:adjustRightInd w:val="0"/>
                    <w:snapToGrid w:val="0"/>
                    <w:rPr>
                      <w:bCs/>
                      <w:szCs w:val="18"/>
                    </w:rPr>
                  </w:pPr>
                  <w:r>
                    <w:rPr>
                      <w:bCs/>
                      <w:szCs w:val="18"/>
                    </w:rPr>
                    <w:t>75</w:t>
                  </w:r>
                </w:p>
              </w:tc>
              <w:tc>
                <w:tcPr>
                  <w:tcW w:w="260" w:type="pct"/>
                  <w:vAlign w:val="center"/>
                </w:tcPr>
                <w:p w14:paraId="6E23FD87">
                  <w:pPr>
                    <w:pStyle w:val="135"/>
                    <w:wordWrap w:val="0"/>
                    <w:adjustRightInd w:val="0"/>
                    <w:snapToGrid w:val="0"/>
                    <w:rPr>
                      <w:bCs/>
                      <w:szCs w:val="18"/>
                    </w:rPr>
                  </w:pPr>
                  <w:r>
                    <w:rPr>
                      <w:rFonts w:hint="eastAsia"/>
                      <w:bCs/>
                      <w:szCs w:val="18"/>
                    </w:rPr>
                    <w:t>/</w:t>
                  </w:r>
                </w:p>
              </w:tc>
              <w:tc>
                <w:tcPr>
                  <w:tcW w:w="1021" w:type="pct"/>
                  <w:vMerge w:val="continue"/>
                  <w:vAlign w:val="center"/>
                </w:tcPr>
                <w:p w14:paraId="75C21A94">
                  <w:pPr>
                    <w:pStyle w:val="135"/>
                    <w:wordWrap w:val="0"/>
                    <w:adjustRightInd w:val="0"/>
                    <w:snapToGrid w:val="0"/>
                    <w:rPr>
                      <w:szCs w:val="18"/>
                    </w:rPr>
                  </w:pPr>
                </w:p>
              </w:tc>
              <w:tc>
                <w:tcPr>
                  <w:tcW w:w="348" w:type="pct"/>
                  <w:vAlign w:val="center"/>
                </w:tcPr>
                <w:p w14:paraId="328292C8">
                  <w:pPr>
                    <w:pStyle w:val="135"/>
                    <w:adjustRightInd w:val="0"/>
                    <w:snapToGrid w:val="0"/>
                  </w:pPr>
                  <w:r>
                    <w:rPr>
                      <w:rFonts w:hint="eastAsia"/>
                    </w:rPr>
                    <w:t>26.5</w:t>
                  </w:r>
                </w:p>
              </w:tc>
              <w:tc>
                <w:tcPr>
                  <w:tcW w:w="433" w:type="pct"/>
                  <w:vAlign w:val="center"/>
                </w:tcPr>
                <w:p w14:paraId="5645D59A">
                  <w:pPr>
                    <w:pStyle w:val="135"/>
                    <w:adjustRightInd w:val="0"/>
                    <w:snapToGrid w:val="0"/>
                  </w:pPr>
                  <w:r>
                    <w:rPr>
                      <w:rFonts w:hint="eastAsia"/>
                    </w:rPr>
                    <w:t>50.28</w:t>
                  </w:r>
                </w:p>
              </w:tc>
              <w:tc>
                <w:tcPr>
                  <w:tcW w:w="348" w:type="pct"/>
                  <w:vAlign w:val="center"/>
                </w:tcPr>
                <w:p w14:paraId="502051B5">
                  <w:pPr>
                    <w:pStyle w:val="135"/>
                    <w:wordWrap w:val="0"/>
                    <w:adjustRightInd w:val="0"/>
                    <w:snapToGrid w:val="0"/>
                    <w:rPr>
                      <w:bCs/>
                      <w:szCs w:val="18"/>
                    </w:rPr>
                  </w:pPr>
                  <w:r>
                    <w:rPr>
                      <w:rFonts w:hint="eastAsia"/>
                      <w:bCs/>
                      <w:szCs w:val="18"/>
                    </w:rPr>
                    <w:t>8</w:t>
                  </w:r>
                </w:p>
              </w:tc>
              <w:tc>
                <w:tcPr>
                  <w:tcW w:w="478" w:type="pct"/>
                  <w:vAlign w:val="center"/>
                </w:tcPr>
                <w:p w14:paraId="02EB61A7">
                  <w:pPr>
                    <w:pStyle w:val="135"/>
                    <w:adjustRightInd w:val="0"/>
                    <w:snapToGrid w:val="0"/>
                  </w:pPr>
                  <w:r>
                    <w:rPr>
                      <w:rFonts w:hint="eastAsia"/>
                    </w:rPr>
                    <w:t xml:space="preserve">36.28 </w:t>
                  </w:r>
                </w:p>
              </w:tc>
              <w:tc>
                <w:tcPr>
                  <w:tcW w:w="362" w:type="pct"/>
                  <w:vAlign w:val="center"/>
                </w:tcPr>
                <w:p w14:paraId="1B0DEF6E">
                  <w:pPr>
                    <w:pStyle w:val="135"/>
                    <w:wordWrap w:val="0"/>
                    <w:adjustRightInd w:val="0"/>
                    <w:snapToGrid w:val="0"/>
                    <w:rPr>
                      <w:bCs/>
                      <w:szCs w:val="18"/>
                    </w:rPr>
                  </w:pPr>
                  <w:r>
                    <w:rPr>
                      <w:rFonts w:hint="eastAsia"/>
                      <w:bCs/>
                      <w:szCs w:val="18"/>
                    </w:rPr>
                    <w:t>1m</w:t>
                  </w:r>
                </w:p>
              </w:tc>
            </w:tr>
          </w:tbl>
          <w:p w14:paraId="708E5959">
            <w:pPr>
              <w:ind w:firstLine="420"/>
            </w:pPr>
            <w:r>
              <w:rPr>
                <w:rFonts w:hint="eastAsia"/>
              </w:rPr>
              <w:t>项目主要采取了以下降噪措施：</w:t>
            </w:r>
          </w:p>
          <w:p w14:paraId="2006ADDC">
            <w:pPr>
              <w:ind w:firstLine="420"/>
            </w:pPr>
            <w:r>
              <w:rPr>
                <w:rFonts w:hint="eastAsia"/>
              </w:rPr>
              <w:t>①控制设备噪声：选用先进的低噪声设备，在满足工艺设计的前提下，尽量选用满足国际标准的低噪声、低振动型号的设备，降低噪声源强。</w:t>
            </w:r>
          </w:p>
          <w:p w14:paraId="3B489495">
            <w:pPr>
              <w:ind w:firstLine="420"/>
            </w:pPr>
            <w:r>
              <w:rPr>
                <w:rFonts w:hint="eastAsia"/>
              </w:rPr>
              <w:t>②设备减振、隔声：设备与地面接触部分加装橡胶垫减振，并在机组与地基之间安置减震基座。</w:t>
            </w:r>
          </w:p>
          <w:p w14:paraId="5E368D64">
            <w:pPr>
              <w:ind w:firstLine="420"/>
            </w:pPr>
            <w:r>
              <w:rPr>
                <w:rFonts w:hint="eastAsia"/>
              </w:rPr>
              <w:t>③破碎机等高噪声设备采用下沉式基础，减少噪声排放。</w:t>
            </w:r>
          </w:p>
          <w:p w14:paraId="6A78F2CA">
            <w:pPr>
              <w:ind w:firstLine="420"/>
            </w:pPr>
            <w:r>
              <w:rPr>
                <w:rFonts w:hint="eastAsia"/>
              </w:rPr>
              <w:t>④加强建筑物隔声措施：本项目生产区采取全密闭设置，项目设备均设置在厂房内，有效利用建筑隔声，采取隔声、吸声材料制作门窗、墙体等，防止噪声的扩散和传播。正常运行期间保持厂房门窗及车间门窗关闭状态。</w:t>
            </w:r>
          </w:p>
          <w:p w14:paraId="3D072758">
            <w:pPr>
              <w:ind w:firstLine="420"/>
            </w:pPr>
            <w:r>
              <w:rPr>
                <w:rFonts w:hint="eastAsia"/>
              </w:rPr>
              <w:t>⑤强化生产管理：确保各类防治措施有效运行，各设备均保持良好运行状态，防止突发噪声。</w:t>
            </w:r>
          </w:p>
          <w:p w14:paraId="2AE39831">
            <w:pPr>
              <w:ind w:firstLine="422"/>
              <w:rPr>
                <w:b/>
              </w:rPr>
            </w:pPr>
            <w:r>
              <w:rPr>
                <w:rFonts w:hint="eastAsia"/>
                <w:b/>
              </w:rPr>
              <w:t>2、厂界噪声达标情况分析</w:t>
            </w:r>
          </w:p>
          <w:p w14:paraId="695B33FF">
            <w:pPr>
              <w:ind w:firstLine="420"/>
            </w:pPr>
            <w:r>
              <w:rPr>
                <w:rFonts w:hint="eastAsia"/>
              </w:rPr>
              <w:t>（1）</w:t>
            </w:r>
            <w:r>
              <w:t>预测模式</w:t>
            </w:r>
          </w:p>
          <w:p w14:paraId="6AE6BB37">
            <w:pPr>
              <w:ind w:firstLine="420"/>
            </w:pPr>
            <w:r>
              <w:rPr>
                <w:rFonts w:hint="eastAsia"/>
              </w:rPr>
              <w:t>①</w:t>
            </w:r>
            <w:r>
              <w:t>室内声源等效为室外声源</w:t>
            </w:r>
          </w:p>
          <w:p w14:paraId="30A9174E">
            <w:pPr>
              <w:ind w:firstLine="420"/>
            </w:pPr>
            <w:r>
              <w:t>项目室内声源可采用等效室外声源声功率级法进行计算，设靠近开口处（或窗户）室内、室外某倍频带的声压级分别为L</w:t>
            </w:r>
            <w:r>
              <w:rPr>
                <w:vertAlign w:val="subscript"/>
              </w:rPr>
              <w:t>p1</w:t>
            </w:r>
            <w:r>
              <w:t>和L</w:t>
            </w:r>
            <w:r>
              <w:rPr>
                <w:vertAlign w:val="subscript"/>
              </w:rPr>
              <w:t>p2</w:t>
            </w:r>
            <w:r>
              <w:t>。若声源所在室内声场为近似扩散声场，则可按下式计算某一室内声源靠近围护结构处产生的倍频带声压级。</w:t>
            </w:r>
          </w:p>
          <w:p w14:paraId="61EFDB95">
            <w:pPr>
              <w:ind w:firstLine="420"/>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P1</m:t>
                    </m:r>
                    <m:ctrlPr>
                      <w:rPr>
                        <w:rFonts w:ascii="Cambria Math" w:hAnsi="Cambria Math"/>
                        <w:i/>
                      </w:rPr>
                    </m:ctrlPr>
                  </m:sub>
                </m:sSub>
                <m:r>
                  <m:rPr/>
                  <w:rPr>
                    <w:rFonts w:ascii="Cambria Math" w:hAnsi="Cambria Math"/>
                  </w:rPr>
                  <m:t>−(TL+6)</m:t>
                </m:r>
              </m:oMath>
            </m:oMathPara>
          </w:p>
          <w:p w14:paraId="49C7D193">
            <w:pPr>
              <w:ind w:firstLine="420"/>
            </w:pPr>
            <w:r>
              <w:t>式中，TL——隔墙（或窗户）倍频带的隔声量。</w:t>
            </w:r>
          </w:p>
          <w:p w14:paraId="11BFC434">
            <w:pPr>
              <w:ind w:firstLine="420"/>
            </w:pPr>
            <w:r>
              <w:rPr>
                <w:rFonts w:hint="eastAsia"/>
              </w:rPr>
              <w:t>②</w:t>
            </w:r>
            <w:r>
              <w:t>单个室外点声源在预测点的声级计算</w:t>
            </w:r>
          </w:p>
          <w:p w14:paraId="04D6C387">
            <w:pPr>
              <w:ind w:firstLine="420"/>
            </w:pPr>
            <w:r>
              <w:t>若已知声源的倍频带声压级Lp（r</w:t>
            </w:r>
            <w:r>
              <w:rPr>
                <w:vertAlign w:val="subscript"/>
              </w:rPr>
              <w:t>0</w:t>
            </w:r>
            <w:r>
              <w:t>）时，相同方向预测点位置的倍频带声压级Lp（r）按下式计算：</w:t>
            </w:r>
          </w:p>
          <w:p w14:paraId="3E17D435">
            <w:pPr>
              <w:ind w:firstLine="420"/>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m:t>
                    </m:r>
                    <m:ctrlPr>
                      <w:rPr>
                        <w:rFonts w:ascii="Cambria Math" w:hAnsi="Cambria Math"/>
                        <w:i/>
                      </w:rPr>
                    </m:ctrlPr>
                  </m:sub>
                </m:sSub>
                <m:d>
                  <m:dPr>
                    <m:ctrlPr>
                      <w:rPr>
                        <w:rFonts w:ascii="Cambria Math" w:hAnsi="Cambria Math"/>
                        <w:i/>
                      </w:rPr>
                    </m:ctrlPr>
                  </m:dPr>
                  <m:e>
                    <m:r>
                      <m:rPr/>
                      <w:rPr>
                        <w:rFonts w:ascii="Cambria Math" w:hAnsi="Cambria Math"/>
                      </w:rPr>
                      <m:t>r</m:t>
                    </m:r>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m:t>
                    </m:r>
                    <m:ctrlPr>
                      <w:rPr>
                        <w:rFonts w:ascii="Cambria Math" w:hAnsi="Cambria Math"/>
                        <w:i/>
                      </w:rPr>
                    </m:ctrlPr>
                  </m:sub>
                </m:sSub>
                <m:d>
                  <m:dPr>
                    <m:ctrlPr>
                      <w:rPr>
                        <w:rFonts w:ascii="Cambria Math" w:hAnsi="Cambria Math"/>
                        <w:i/>
                      </w:rPr>
                    </m:ctrlPr>
                  </m:dPr>
                  <m:e>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e>
                </m:d>
                <m:r>
                  <m:rPr/>
                  <w:rPr>
                    <w:rFonts w:ascii="Cambria Math" w:hAnsi="Cambria Math"/>
                  </w:rPr>
                  <m:t>+Dc−A</m:t>
                </m:r>
              </m:oMath>
            </m:oMathPara>
          </w:p>
          <w:p w14:paraId="3334B7A4">
            <w:pPr>
              <w:ind w:firstLine="420"/>
            </w:pPr>
            <m:oMathPara>
              <m:oMath>
                <m:r>
                  <m:rPr/>
                  <w:rPr>
                    <w:rFonts w:ascii="Cambria Math" w:hAnsi="Cambria Math"/>
                  </w:rPr>
                  <m:t>A=</m:t>
                </m:r>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div</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atm</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gr</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bar</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misc</m:t>
                    </m:r>
                    <m:ctrlPr>
                      <w:rPr>
                        <w:rFonts w:ascii="Cambria Math" w:hAnsi="Cambria Math"/>
                        <w:i/>
                      </w:rPr>
                    </m:ctrlPr>
                  </m:sub>
                </m:sSub>
              </m:oMath>
            </m:oMathPara>
          </w:p>
          <w:p w14:paraId="0875E5E0">
            <w:pPr>
              <w:ind w:firstLine="420"/>
            </w:pPr>
            <w:r>
              <w:t>式中，A——倍频带衰减，dB；</w:t>
            </w:r>
          </w:p>
          <w:p w14:paraId="2E0066F1">
            <w:pPr>
              <w:ind w:left="548" w:leftChars="261" w:firstLine="420"/>
            </w:pPr>
            <w:r>
              <w:t>Dc——指向性校正，dB；</w:t>
            </w:r>
          </w:p>
          <w:p w14:paraId="6079F79A">
            <w:pPr>
              <w:ind w:left="548" w:leftChars="261" w:firstLine="420"/>
            </w:pPr>
            <w:r>
              <w:t>A</w:t>
            </w:r>
            <w:r>
              <w:rPr>
                <w:vertAlign w:val="subscript"/>
              </w:rPr>
              <w:t>div</w:t>
            </w:r>
            <w:r>
              <w:t>——几何发散引起的倍频带衰减，dB；</w:t>
            </w:r>
          </w:p>
          <w:p w14:paraId="421CB6CC">
            <w:pPr>
              <w:ind w:left="548" w:leftChars="261" w:firstLine="420"/>
            </w:pPr>
            <w:r>
              <w:t>A</w:t>
            </w:r>
            <w:r>
              <w:rPr>
                <w:vertAlign w:val="subscript"/>
              </w:rPr>
              <w:t>atm</w:t>
            </w:r>
            <w:r>
              <w:t>——大气吸收引起的倍频带衰减，dB；</w:t>
            </w:r>
          </w:p>
          <w:p w14:paraId="629D8081">
            <w:pPr>
              <w:ind w:left="548" w:leftChars="261" w:firstLine="420"/>
            </w:pPr>
            <w:r>
              <w:t>A</w:t>
            </w:r>
            <w:r>
              <w:rPr>
                <w:vertAlign w:val="subscript"/>
              </w:rPr>
              <w:t>gr</w:t>
            </w:r>
            <w:r>
              <w:t>——地面效应引起的倍频带衰减，dB；</w:t>
            </w:r>
          </w:p>
          <w:p w14:paraId="4F57D13E">
            <w:pPr>
              <w:ind w:left="548" w:leftChars="261" w:firstLine="420"/>
            </w:pPr>
            <w:r>
              <w:t>A</w:t>
            </w:r>
            <w:r>
              <w:rPr>
                <w:vertAlign w:val="subscript"/>
              </w:rPr>
              <w:t>bar</w:t>
            </w:r>
            <w:r>
              <w:t>——声屏障引起的倍频带衰减，dB；</w:t>
            </w:r>
          </w:p>
          <w:p w14:paraId="77032571">
            <w:pPr>
              <w:ind w:left="548" w:leftChars="261" w:firstLine="420"/>
            </w:pPr>
            <w:r>
              <w:t>A</w:t>
            </w:r>
            <w:r>
              <w:rPr>
                <w:vertAlign w:val="subscript"/>
              </w:rPr>
              <w:t>misc</w:t>
            </w:r>
            <w:r>
              <w:t>——其他多方面效应引起的倍频带衰减，dB。</w:t>
            </w:r>
          </w:p>
          <w:p w14:paraId="4EC04BCC">
            <w:pPr>
              <w:ind w:firstLine="420"/>
            </w:pPr>
            <w:r>
              <w:t>项目所在区域地势平坦，本次评价只考虑几何发散（A</w:t>
            </w:r>
            <w:r>
              <w:rPr>
                <w:vertAlign w:val="subscript"/>
              </w:rPr>
              <w:t>div</w:t>
            </w:r>
            <w:r>
              <w:t>）、大气吸收（A</w:t>
            </w:r>
            <w:r>
              <w:rPr>
                <w:vertAlign w:val="subscript"/>
              </w:rPr>
              <w:t>atm</w:t>
            </w:r>
            <w:r>
              <w:t>）和声屏障（A</w:t>
            </w:r>
            <w:r>
              <w:rPr>
                <w:vertAlign w:val="subscript"/>
              </w:rPr>
              <w:t>bar</w:t>
            </w:r>
            <w:r>
              <w:t>）引起的衰减，不考虑地面效应（A</w:t>
            </w:r>
            <w:r>
              <w:rPr>
                <w:vertAlign w:val="subscript"/>
              </w:rPr>
              <w:t>gr</w:t>
            </w:r>
            <w:r>
              <w:t>）和其他多方面（A</w:t>
            </w:r>
            <w:r>
              <w:rPr>
                <w:vertAlign w:val="subscript"/>
              </w:rPr>
              <w:t>misc</w:t>
            </w:r>
            <w:r>
              <w:t>）引起的衰减。项目声源为无指向性声源，几何发散衰减（A</w:t>
            </w:r>
            <w:r>
              <w:rPr>
                <w:vertAlign w:val="subscript"/>
              </w:rPr>
              <w:t>div</w:t>
            </w:r>
            <w:r>
              <w:t>）按下式计算：</w:t>
            </w:r>
          </w:p>
          <w:p w14:paraId="4228B2BE">
            <w:pPr>
              <w:ind w:firstLine="420"/>
            </w:pPr>
            <m:oMathPara>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div</m:t>
                    </m:r>
                    <m:ctrlPr>
                      <w:rPr>
                        <w:rFonts w:ascii="Cambria Math" w:hAnsi="Cambria Math"/>
                        <w:i/>
                      </w:rPr>
                    </m:ctrlPr>
                  </m:sub>
                </m:sSub>
                <m:r>
                  <m:rPr/>
                  <w:rPr>
                    <w:rFonts w:ascii="Cambria Math" w:hAnsi="Cambria Math"/>
                  </w:rPr>
                  <m:t>=20</m:t>
                </m:r>
                <m:func>
                  <m:funcPr>
                    <m:ctrlPr>
                      <w:rPr>
                        <w:rFonts w:ascii="Cambria Math" w:hAnsi="Cambria Math"/>
                      </w:rPr>
                    </m:ctrlPr>
                  </m:funcPr>
                  <m:fName>
                    <m:r>
                      <m:rPr>
                        <m:sty m:val="p"/>
                      </m:rPr>
                      <w:rPr>
                        <w:rFonts w:ascii="Cambria Math" w:hAnsi="Cambria Math"/>
                      </w:rPr>
                      <m:t>lg</m:t>
                    </m:r>
                    <m:ctrlPr>
                      <w:rPr>
                        <w:rFonts w:ascii="Cambria Math" w:hAnsi="Cambria Math"/>
                      </w:rPr>
                    </m:ctrlPr>
                  </m:fName>
                  <m:e>
                    <m:d>
                      <m:dPr>
                        <m:ctrlPr>
                          <w:rPr>
                            <w:rFonts w:ascii="Cambria Math" w:hAnsi="Cambria Math"/>
                            <w:i/>
                          </w:rPr>
                        </m:ctrlPr>
                      </m:dPr>
                      <m:e>
                        <m:r>
                          <m:rPr/>
                          <w:rPr>
                            <w:rFonts w:ascii="Cambria Math" w:hAnsi="Cambria Math"/>
                          </w:rPr>
                          <m:t>r/</m:t>
                        </m:r>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0</m:t>
                            </m:r>
                            <m:ctrlPr>
                              <w:rPr>
                                <w:rFonts w:ascii="Cambria Math" w:hAnsi="Cambria Math"/>
                                <w:i/>
                              </w:rPr>
                            </m:ctrlPr>
                          </m:sub>
                        </m:sSub>
                        <m:ctrlPr>
                          <w:rPr>
                            <w:rFonts w:ascii="Cambria Math" w:hAnsi="Cambria Math"/>
                            <w:i/>
                          </w:rPr>
                        </m:ctrlPr>
                      </m:e>
                    </m:d>
                    <m:ctrlPr>
                      <w:rPr>
                        <w:rFonts w:ascii="Cambria Math" w:hAnsi="Cambria Math"/>
                      </w:rPr>
                    </m:ctrlPr>
                  </m:e>
                </m:func>
              </m:oMath>
            </m:oMathPara>
          </w:p>
          <w:p w14:paraId="2E5DF080">
            <w:pPr>
              <w:ind w:firstLine="420"/>
            </w:pPr>
            <w:r>
              <w:t>大气吸收引起的衰减（A</w:t>
            </w:r>
            <w:r>
              <w:rPr>
                <w:vertAlign w:val="subscript"/>
              </w:rPr>
              <w:t>atm</w:t>
            </w:r>
            <w:r>
              <w:t>）按下式计算：</w:t>
            </w:r>
          </w:p>
          <w:p w14:paraId="64E0314B">
            <w:pPr>
              <w:ind w:firstLine="420"/>
            </w:pPr>
            <m:oMathPara>
              <m:oMath>
                <m:sSub>
                  <m:sSubPr>
                    <m:ctrlPr>
                      <w:rPr>
                        <w:rFonts w:ascii="Cambria Math" w:hAnsi="Cambria Math"/>
                        <w:i/>
                      </w:rPr>
                    </m:ctrlPr>
                  </m:sSubPr>
                  <m:e>
                    <m:r>
                      <m:rPr/>
                      <w:rPr>
                        <w:rFonts w:ascii="Cambria Math" w:hAnsi="Cambria Math"/>
                      </w:rPr>
                      <m:t>A</m:t>
                    </m:r>
                    <m:ctrlPr>
                      <w:rPr>
                        <w:rFonts w:ascii="Cambria Math" w:hAnsi="Cambria Math"/>
                        <w:i/>
                      </w:rPr>
                    </m:ctrlPr>
                  </m:e>
                  <m:sub>
                    <m:r>
                      <m:rPr/>
                      <w:rPr>
                        <w:rFonts w:ascii="Cambria Math" w:hAnsi="Cambria Math"/>
                      </w:rPr>
                      <m:t>atm</m:t>
                    </m:r>
                    <m:ctrlPr>
                      <w:rPr>
                        <w:rFonts w:ascii="Cambria Math" w:hAnsi="Cambria Math"/>
                        <w:i/>
                      </w:rPr>
                    </m:ctrlPr>
                  </m:sub>
                </m:sSub>
                <m:r>
                  <m:rPr/>
                  <w:rPr>
                    <w:rFonts w:ascii="Cambria Math" w:hAnsi="Cambria Math"/>
                  </w:rPr>
                  <m:t>=</m:t>
                </m:r>
                <m:f>
                  <m:fPr>
                    <m:ctrlPr>
                      <w:rPr>
                        <w:rFonts w:ascii="Cambria Math" w:hAnsi="Cambria Math"/>
                        <w:i/>
                      </w:rPr>
                    </m:ctrlPr>
                  </m:fPr>
                  <m:num>
                    <m:r>
                      <m:rPr/>
                      <w:rPr>
                        <w:rFonts w:ascii="Cambria Math" w:hAnsi="Cambria Math"/>
                      </w:rPr>
                      <m:t>a(r−</m:t>
                    </m:r>
                    <m:sSub>
                      <m:sSubPr>
                        <m:ctrlPr>
                          <w:rPr>
                            <w:rFonts w:ascii="Cambria Math" w:hAnsi="Cambria Math"/>
                            <w:i/>
                          </w:rPr>
                        </m:ctrlPr>
                      </m:sSubPr>
                      <m:e>
                        <m:r>
                          <m:rPr/>
                          <w:rPr>
                            <w:rFonts w:ascii="Cambria Math" w:hAnsi="Cambria Math"/>
                          </w:rPr>
                          <m:t>r</m:t>
                        </m:r>
                        <m:ctrlPr>
                          <w:rPr>
                            <w:rFonts w:ascii="Cambria Math" w:hAnsi="Cambria Math"/>
                            <w:i/>
                          </w:rPr>
                        </m:ctrlPr>
                      </m:e>
                      <m:sub>
                        <m:r>
                          <m:rPr/>
                          <w:rPr>
                            <w:rFonts w:ascii="Cambria Math" w:hAnsi="Cambria Math"/>
                          </w:rPr>
                          <m:t>0</m:t>
                        </m:r>
                        <m:ctrlPr>
                          <w:rPr>
                            <w:rFonts w:ascii="Cambria Math" w:hAnsi="Cambria Math"/>
                            <w:i/>
                          </w:rPr>
                        </m:ctrlPr>
                      </m:sub>
                    </m:sSub>
                    <m:r>
                      <m:rPr/>
                      <w:rPr>
                        <w:rFonts w:ascii="Cambria Math" w:hAnsi="Cambria Math"/>
                      </w:rPr>
                      <m:t>)</m:t>
                    </m:r>
                    <m:ctrlPr>
                      <w:rPr>
                        <w:rFonts w:ascii="Cambria Math" w:hAnsi="Cambria Math"/>
                        <w:i/>
                      </w:rPr>
                    </m:ctrlPr>
                  </m:num>
                  <m:den>
                    <m:r>
                      <m:rPr/>
                      <w:rPr>
                        <w:rFonts w:ascii="Cambria Math" w:hAnsi="Cambria Math"/>
                      </w:rPr>
                      <m:t>1000</m:t>
                    </m:r>
                    <m:ctrlPr>
                      <w:rPr>
                        <w:rFonts w:ascii="Cambria Math" w:hAnsi="Cambria Math"/>
                        <w:i/>
                      </w:rPr>
                    </m:ctrlPr>
                  </m:den>
                </m:f>
              </m:oMath>
            </m:oMathPara>
          </w:p>
          <w:p w14:paraId="07CFFF70">
            <w:pPr>
              <w:ind w:firstLine="420"/>
            </w:pPr>
            <w:r>
              <w:t>式中，a——温度、湿度和声波频率的函数，根据建设项目所在区域常年平均气温和湿度选择相应的大气吸收衰减系数。</w:t>
            </w:r>
          </w:p>
          <w:p w14:paraId="51872276">
            <w:pPr>
              <w:ind w:firstLine="420"/>
            </w:pPr>
            <w:r>
              <w:t>声屏障引起的衰减（A</w:t>
            </w:r>
            <w:r>
              <w:rPr>
                <w:vertAlign w:val="subscript"/>
              </w:rPr>
              <w:t>bar</w:t>
            </w:r>
            <w:r>
              <w:t>）是由位于声源和预测点之间的实体障碍物（如围墙、建筑物等）引起的声能量衰减，本次评价按《环境影响评价技术导则声环境》（HJ2.4-2021）取值15dB。由于项目只能根据类比资料获得声源的A声级，根据《环境影响评价技术导则声环境》（HJ2.4-2021），在不能取得声源倍频带声功率级或倍频带声压级，只能获得A声功率级或A声级时，可选中心频率为500Hz的倍频带作估算。</w:t>
            </w:r>
          </w:p>
          <w:p w14:paraId="4841DA3D">
            <w:pPr>
              <w:ind w:firstLine="420"/>
            </w:pPr>
            <w:r>
              <w:rPr>
                <w:rFonts w:hint="eastAsia"/>
              </w:rPr>
              <w:t>③</w:t>
            </w:r>
            <w:r>
              <w:t>噪声贡献值计算</w:t>
            </w:r>
          </w:p>
          <w:p w14:paraId="215E3A0B">
            <w:pPr>
              <w:ind w:firstLine="420"/>
            </w:pPr>
            <w:r>
              <w:t>设第i个室外声源在预测点产生的A声级为LAi，在T时间内该声源工作时间为ti，则声源对预测点产生的贡献值（L</w:t>
            </w:r>
            <w:r>
              <w:rPr>
                <w:i/>
                <w:iCs/>
              </w:rPr>
              <w:t>eqg</w:t>
            </w:r>
            <w:r>
              <w:t>）为：</w:t>
            </w:r>
          </w:p>
          <w:p w14:paraId="36E57058">
            <w:pPr>
              <w:ind w:firstLine="420"/>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eqg</m:t>
                    </m:r>
                    <m:ctrlPr>
                      <w:rPr>
                        <w:rFonts w:ascii="Cambria Math" w:hAnsi="Cambria Math"/>
                        <w:i/>
                      </w:rPr>
                    </m:ctrlPr>
                  </m:sub>
                </m:sSub>
                <m:r>
                  <m:rPr/>
                  <w:rPr>
                    <w:rFonts w:ascii="Cambria Math" w:hAnsi="Cambria Math"/>
                  </w:rPr>
                  <m:t>=10</m:t>
                </m:r>
                <m:r>
                  <m:rPr>
                    <m:sty m:val="p"/>
                  </m:rPr>
                  <w:rPr>
                    <w:rFonts w:ascii="Cambria Math" w:hAnsi="Cambria Math"/>
                  </w:rPr>
                  <m:t>lg⁡</m:t>
                </m:r>
                <m:r>
                  <m:rPr/>
                  <w:rPr>
                    <w:rFonts w:ascii="Cambria Math" w:hAnsi="Cambria Math"/>
                  </w:rPr>
                  <m:t>(</m:t>
                </m:r>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T</m:t>
                    </m:r>
                    <m:ctrlPr>
                      <w:rPr>
                        <w:rFonts w:ascii="Cambria Math" w:hAnsi="Cambria Math"/>
                        <w:i/>
                      </w:rPr>
                    </m:ctrlPr>
                  </m:den>
                </m:f>
                <m:nary>
                  <m:naryPr>
                    <m:chr m:val="∑"/>
                    <m:limLoc m:val="undOvr"/>
                    <m:ctrlPr>
                      <w:rPr>
                        <w:rFonts w:ascii="Cambria Math" w:hAnsi="Cambria Math"/>
                        <w:i/>
                      </w:rPr>
                    </m:ctrlPr>
                  </m:naryPr>
                  <m:sub>
                    <m:r>
                      <m:rPr/>
                      <w:rPr>
                        <w:rFonts w:ascii="Cambria Math" w:hAnsi="Cambria Math"/>
                      </w:rPr>
                      <m:t>i=1</m:t>
                    </m:r>
                    <m:ctrlPr>
                      <w:rPr>
                        <w:rFonts w:ascii="Cambria Math" w:hAnsi="Cambria Math"/>
                        <w:i/>
                      </w:rPr>
                    </m:ctrlPr>
                  </m:sub>
                  <m:sup>
                    <m:r>
                      <m:rPr/>
                      <w:rPr>
                        <w:rFonts w:ascii="Cambria Math" w:hAnsi="Cambria Math"/>
                      </w:rPr>
                      <m:t>n</m:t>
                    </m:r>
                    <m:ctrlPr>
                      <w:rPr>
                        <w:rFonts w:ascii="Cambria Math" w:hAnsi="Cambria Math"/>
                        <w:i/>
                      </w:rPr>
                    </m:ctrlPr>
                  </m:sup>
                  <m:e>
                    <m:sSub>
                      <m:sSubPr>
                        <m:ctrlPr>
                          <w:rPr>
                            <w:rFonts w:ascii="Cambria Math" w:hAnsi="Cambria Math"/>
                            <w:i/>
                          </w:rPr>
                        </m:ctrlPr>
                      </m:sSubPr>
                      <m:e>
                        <m:r>
                          <m:rPr/>
                          <w:rPr>
                            <w:rFonts w:ascii="Cambria Math" w:hAnsi="Cambria Math"/>
                          </w:rPr>
                          <m:t>t</m:t>
                        </m:r>
                        <m:ctrlPr>
                          <w:rPr>
                            <w:rFonts w:ascii="Cambria Math" w:hAnsi="Cambria Math"/>
                            <w:i/>
                          </w:rPr>
                        </m:ctrlPr>
                      </m:e>
                      <m:sub>
                        <m:r>
                          <m:rPr/>
                          <w:rPr>
                            <w:rFonts w:ascii="Cambria Math" w:hAnsi="Cambria Math"/>
                          </w:rPr>
                          <m:t>i</m:t>
                        </m:r>
                        <m:ctrlPr>
                          <w:rPr>
                            <w:rFonts w:ascii="Cambria Math" w:hAnsi="Cambria Math"/>
                            <w:i/>
                          </w:rPr>
                        </m:ctrlPr>
                      </m:sub>
                    </m:sSub>
                    <m:sSup>
                      <m:sSupPr>
                        <m:ctrlPr>
                          <w:rPr>
                            <w:rFonts w:ascii="Cambria Math" w:hAnsi="Cambria Math"/>
                            <w:i/>
                          </w:rPr>
                        </m:ctrlPr>
                      </m:sSupPr>
                      <m:e>
                        <m:r>
                          <m:rPr/>
                          <w:rPr>
                            <w:rFonts w:ascii="Cambria Math" w:hAnsi="Cambria Math"/>
                          </w:rPr>
                          <m:t>10</m:t>
                        </m:r>
                        <m:ctrlPr>
                          <w:rPr>
                            <w:rFonts w:ascii="Cambria Math" w:hAnsi="Cambria Math"/>
                            <w:i/>
                          </w:rPr>
                        </m:ctrlPr>
                      </m:e>
                      <m:sup>
                        <m:r>
                          <m:rPr/>
                          <w:rPr>
                            <w:rFonts w:ascii="Cambria Math" w:hAnsi="Cambria Math"/>
                          </w:rPr>
                          <m:t>0.1</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Ai</m:t>
                            </m:r>
                            <m:ctrlPr>
                              <w:rPr>
                                <w:rFonts w:ascii="Cambria Math" w:hAnsi="Cambria Math"/>
                                <w:i/>
                              </w:rPr>
                            </m:ctrlPr>
                          </m:sub>
                        </m:sSub>
                        <m:ctrlPr>
                          <w:rPr>
                            <w:rFonts w:ascii="Cambria Math" w:hAnsi="Cambria Math"/>
                            <w:i/>
                          </w:rPr>
                        </m:ctrlPr>
                      </m:sup>
                    </m:sSup>
                    <m:ctrlPr>
                      <w:rPr>
                        <w:rFonts w:ascii="Cambria Math" w:hAnsi="Cambria Math"/>
                        <w:i/>
                      </w:rPr>
                    </m:ctrlPr>
                  </m:e>
                </m:nary>
              </m:oMath>
            </m:oMathPara>
          </w:p>
          <w:p w14:paraId="1B13AA3A">
            <w:pPr>
              <w:ind w:firstLine="420"/>
            </w:pPr>
            <w:r>
              <w:t>式中，t</w:t>
            </w:r>
            <w:r>
              <w:rPr>
                <w:vertAlign w:val="subscript"/>
              </w:rPr>
              <w:t>i</w:t>
            </w:r>
            <w:r>
              <w:t>——在T时间内i声源工作时间，s；</w:t>
            </w:r>
          </w:p>
          <w:p w14:paraId="5C7626C5">
            <w:pPr>
              <w:ind w:left="548" w:leftChars="261" w:firstLine="420"/>
            </w:pPr>
            <w:r>
              <w:t>T——用于计算等效声级的时间，s；</w:t>
            </w:r>
          </w:p>
          <w:p w14:paraId="3BBA3A25">
            <w:pPr>
              <w:ind w:left="548" w:leftChars="261" w:firstLine="420"/>
            </w:pPr>
            <w:r>
              <w:t>N——室外声源个数。</w:t>
            </w:r>
          </w:p>
          <w:p w14:paraId="51E24CF1">
            <w:pPr>
              <w:ind w:firstLine="420"/>
            </w:pPr>
            <w:r>
              <w:rPr>
                <w:rFonts w:hint="eastAsia"/>
              </w:rPr>
              <w:t>④</w:t>
            </w:r>
            <w:r>
              <w:t>预测值计算</w:t>
            </w:r>
          </w:p>
          <w:p w14:paraId="71AEA12D">
            <w:pPr>
              <w:ind w:firstLine="420"/>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eq</m:t>
                    </m:r>
                    <m:ctrlPr>
                      <w:rPr>
                        <w:rFonts w:ascii="Cambria Math" w:hAnsi="Cambria Math"/>
                        <w:i/>
                      </w:rPr>
                    </m:ctrlPr>
                  </m:sub>
                </m:sSub>
                <m:r>
                  <m:rPr/>
                  <w:rPr>
                    <w:rFonts w:ascii="Cambria Math" w:hAnsi="Cambria Math"/>
                  </w:rPr>
                  <m:t>=10</m:t>
                </m:r>
                <m:r>
                  <m:rPr>
                    <m:sty m:val="p"/>
                  </m:rPr>
                  <w:rPr>
                    <w:rFonts w:ascii="Cambria Math" w:hAnsi="Cambria Math"/>
                  </w:rPr>
                  <m:t>lg⁡</m:t>
                </m:r>
                <m:r>
                  <m:rPr/>
                  <w:rPr>
                    <w:rFonts w:ascii="Cambria Math" w:hAnsi="Cambria Math"/>
                  </w:rPr>
                  <m:t>(</m:t>
                </m:r>
                <m:sSup>
                  <m:sSupPr>
                    <m:ctrlPr>
                      <w:rPr>
                        <w:rFonts w:ascii="Cambria Math" w:hAnsi="Cambria Math"/>
                        <w:i/>
                      </w:rPr>
                    </m:ctrlPr>
                  </m:sSupPr>
                  <m:e>
                    <m:r>
                      <m:rPr/>
                      <w:rPr>
                        <w:rFonts w:ascii="Cambria Math" w:hAnsi="Cambria Math"/>
                      </w:rPr>
                      <m:t>10</m:t>
                    </m:r>
                    <m:ctrlPr>
                      <w:rPr>
                        <w:rFonts w:ascii="Cambria Math" w:hAnsi="Cambria Math"/>
                        <w:i/>
                      </w:rPr>
                    </m:ctrlPr>
                  </m:e>
                  <m:sup>
                    <m:r>
                      <m:rPr/>
                      <w:rPr>
                        <w:rFonts w:ascii="Cambria Math" w:hAnsi="Cambria Math"/>
                      </w:rPr>
                      <m:t>0.1</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eqg</m:t>
                        </m:r>
                        <m:ctrlPr>
                          <w:rPr>
                            <w:rFonts w:ascii="Cambria Math" w:hAnsi="Cambria Math"/>
                            <w:i/>
                          </w:rPr>
                        </m:ctrlPr>
                      </m:sub>
                    </m:sSub>
                    <m:ctrlPr>
                      <w:rPr>
                        <w:rFonts w:ascii="Cambria Math" w:hAnsi="Cambria Math"/>
                        <w:i/>
                      </w:rPr>
                    </m:ctrlPr>
                  </m:sup>
                </m:sSup>
                <m:r>
                  <m:rPr/>
                  <w:rPr>
                    <w:rFonts w:ascii="Cambria Math" w:hAnsi="Cambria Math"/>
                  </w:rPr>
                  <m:t>+</m:t>
                </m:r>
                <m:sSup>
                  <m:sSupPr>
                    <m:ctrlPr>
                      <w:rPr>
                        <w:rFonts w:ascii="Cambria Math" w:hAnsi="Cambria Math"/>
                        <w:i/>
                      </w:rPr>
                    </m:ctrlPr>
                  </m:sSupPr>
                  <m:e>
                    <m:r>
                      <m:rPr/>
                      <w:rPr>
                        <w:rFonts w:ascii="Cambria Math" w:hAnsi="Cambria Math"/>
                      </w:rPr>
                      <m:t>10</m:t>
                    </m:r>
                    <m:ctrlPr>
                      <w:rPr>
                        <w:rFonts w:ascii="Cambria Math" w:hAnsi="Cambria Math"/>
                        <w:i/>
                      </w:rPr>
                    </m:ctrlPr>
                  </m:e>
                  <m:sup>
                    <m:r>
                      <m:rPr/>
                      <w:rPr>
                        <w:rFonts w:ascii="Cambria Math" w:hAnsi="Cambria Math"/>
                      </w:rPr>
                      <m:t>0.1</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eqb</m:t>
                        </m:r>
                        <m:ctrlPr>
                          <w:rPr>
                            <w:rFonts w:ascii="Cambria Math" w:hAnsi="Cambria Math"/>
                            <w:i/>
                          </w:rPr>
                        </m:ctrlPr>
                      </m:sub>
                    </m:sSub>
                    <m:ctrlPr>
                      <w:rPr>
                        <w:rFonts w:ascii="Cambria Math" w:hAnsi="Cambria Math"/>
                        <w:i/>
                      </w:rPr>
                    </m:ctrlPr>
                  </m:sup>
                </m:sSup>
                <m:r>
                  <m:rPr/>
                  <w:rPr>
                    <w:rFonts w:ascii="Cambria Math" w:hAnsi="Cambria Math"/>
                  </w:rPr>
                  <m:t>)</m:t>
                </m:r>
              </m:oMath>
            </m:oMathPara>
          </w:p>
          <w:p w14:paraId="536A1D34">
            <w:pPr>
              <w:ind w:firstLine="420"/>
            </w:pPr>
            <w:r>
              <w:t>式中，L</w:t>
            </w:r>
            <w:r>
              <w:rPr>
                <w:vertAlign w:val="subscript"/>
              </w:rPr>
              <w:t>eqg</w:t>
            </w:r>
            <w:r>
              <w:t>——建设项目声源在预测点的等效声级贡献值，dB（A）；</w:t>
            </w:r>
          </w:p>
          <w:p w14:paraId="14D71523">
            <w:pPr>
              <w:ind w:left="548" w:leftChars="261" w:firstLine="420"/>
            </w:pPr>
            <w:r>
              <w:t>L</w:t>
            </w:r>
            <w:r>
              <w:rPr>
                <w:vertAlign w:val="subscript"/>
              </w:rPr>
              <w:t>eqb</w:t>
            </w:r>
            <w:r>
              <w:t>——预测点的背景值，dB（A）。</w:t>
            </w:r>
          </w:p>
          <w:p w14:paraId="6CC03227">
            <w:pPr>
              <w:ind w:firstLine="420"/>
              <w:rPr>
                <w:bCs/>
              </w:rPr>
            </w:pPr>
            <w:r>
              <w:rPr>
                <w:rFonts w:hint="eastAsia"/>
                <w:bCs/>
              </w:rPr>
              <w:t>（2）预测结果与评价</w:t>
            </w:r>
          </w:p>
          <w:p w14:paraId="71E9B1AA">
            <w:pPr>
              <w:ind w:firstLine="420"/>
              <w:rPr>
                <w:bCs/>
              </w:rPr>
            </w:pPr>
            <w:r>
              <w:rPr>
                <w:rFonts w:hint="eastAsia"/>
                <w:bCs/>
              </w:rPr>
              <w:t>本项目建成后厂界噪声预测结果如下表所示：</w:t>
            </w:r>
          </w:p>
          <w:p w14:paraId="6C348FB3">
            <w:pPr>
              <w:pStyle w:val="156"/>
            </w:pPr>
            <w:r>
              <w:rPr>
                <w:rFonts w:hint="eastAsia"/>
              </w:rPr>
              <w:t>表4</w:t>
            </w:r>
            <w:r>
              <w:t xml:space="preserve">-11  </w:t>
            </w:r>
            <w:r>
              <w:rPr>
                <w:rFonts w:hint="eastAsia"/>
              </w:rPr>
              <w:t xml:space="preserve">本项目厂界噪声预测结果一览表 </w:t>
            </w:r>
            <w:r>
              <w:t xml:space="preserve"> </w:t>
            </w:r>
            <w:r>
              <w:rPr>
                <w:rFonts w:hint="eastAsia"/>
              </w:rPr>
              <w:t>单位：dB（A）</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631"/>
              <w:gridCol w:w="1631"/>
              <w:gridCol w:w="1631"/>
              <w:gridCol w:w="1631"/>
              <w:gridCol w:w="1632"/>
            </w:tblGrid>
            <w:tr w14:paraId="4199E3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00" w:type="pct"/>
                  <w:vAlign w:val="center"/>
                </w:tcPr>
                <w:p w14:paraId="0C9B6FB1">
                  <w:pPr>
                    <w:pStyle w:val="135"/>
                    <w:adjustRightInd w:val="0"/>
                    <w:snapToGrid w:val="0"/>
                    <w:rPr>
                      <w:b/>
                      <w:bCs/>
                    </w:rPr>
                  </w:pPr>
                  <w:r>
                    <w:rPr>
                      <w:rFonts w:hint="eastAsia"/>
                      <w:b/>
                      <w:bCs/>
                    </w:rPr>
                    <w:t>预测点位</w:t>
                  </w:r>
                </w:p>
              </w:tc>
              <w:tc>
                <w:tcPr>
                  <w:tcW w:w="1000" w:type="pct"/>
                  <w:vAlign w:val="center"/>
                </w:tcPr>
                <w:p w14:paraId="42189E63">
                  <w:pPr>
                    <w:pStyle w:val="135"/>
                    <w:adjustRightInd w:val="0"/>
                    <w:snapToGrid w:val="0"/>
                    <w:rPr>
                      <w:b/>
                      <w:bCs/>
                    </w:rPr>
                  </w:pPr>
                  <w:r>
                    <w:rPr>
                      <w:rFonts w:hint="eastAsia"/>
                      <w:b/>
                      <w:bCs/>
                    </w:rPr>
                    <w:t>时段</w:t>
                  </w:r>
                </w:p>
              </w:tc>
              <w:tc>
                <w:tcPr>
                  <w:tcW w:w="1000" w:type="pct"/>
                  <w:vAlign w:val="center"/>
                </w:tcPr>
                <w:p w14:paraId="45810193">
                  <w:pPr>
                    <w:pStyle w:val="135"/>
                    <w:adjustRightInd w:val="0"/>
                    <w:snapToGrid w:val="0"/>
                    <w:rPr>
                      <w:b/>
                      <w:bCs/>
                    </w:rPr>
                  </w:pPr>
                  <w:r>
                    <w:rPr>
                      <w:rFonts w:hint="eastAsia"/>
                      <w:b/>
                      <w:bCs/>
                    </w:rPr>
                    <w:t>贡献值</w:t>
                  </w:r>
                </w:p>
              </w:tc>
              <w:tc>
                <w:tcPr>
                  <w:tcW w:w="1000" w:type="pct"/>
                  <w:vAlign w:val="center"/>
                </w:tcPr>
                <w:p w14:paraId="0126346E">
                  <w:pPr>
                    <w:pStyle w:val="135"/>
                    <w:adjustRightInd w:val="0"/>
                    <w:snapToGrid w:val="0"/>
                    <w:rPr>
                      <w:b/>
                      <w:bCs/>
                    </w:rPr>
                  </w:pPr>
                  <w:r>
                    <w:rPr>
                      <w:rFonts w:hint="eastAsia"/>
                      <w:b/>
                      <w:bCs/>
                    </w:rPr>
                    <w:t>标准限值</w:t>
                  </w:r>
                </w:p>
              </w:tc>
              <w:tc>
                <w:tcPr>
                  <w:tcW w:w="1001" w:type="pct"/>
                  <w:vAlign w:val="center"/>
                </w:tcPr>
                <w:p w14:paraId="31B61323">
                  <w:pPr>
                    <w:pStyle w:val="135"/>
                    <w:adjustRightInd w:val="0"/>
                    <w:snapToGrid w:val="0"/>
                    <w:rPr>
                      <w:b/>
                      <w:bCs/>
                    </w:rPr>
                  </w:pPr>
                  <w:r>
                    <w:rPr>
                      <w:rFonts w:hint="eastAsia"/>
                      <w:b/>
                      <w:bCs/>
                    </w:rPr>
                    <w:t>达标情况</w:t>
                  </w:r>
                </w:p>
              </w:tc>
            </w:tr>
            <w:tr w14:paraId="77A42E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00" w:type="pct"/>
                  <w:vAlign w:val="center"/>
                </w:tcPr>
                <w:p w14:paraId="47C31820">
                  <w:pPr>
                    <w:pStyle w:val="135"/>
                    <w:adjustRightInd w:val="0"/>
                    <w:snapToGrid w:val="0"/>
                  </w:pPr>
                  <w:r>
                    <w:rPr>
                      <w:rFonts w:hint="eastAsia"/>
                    </w:rPr>
                    <w:t>东厂界</w:t>
                  </w:r>
                </w:p>
              </w:tc>
              <w:tc>
                <w:tcPr>
                  <w:tcW w:w="1000" w:type="pct"/>
                  <w:vAlign w:val="center"/>
                </w:tcPr>
                <w:p w14:paraId="22815DD7">
                  <w:pPr>
                    <w:pStyle w:val="135"/>
                    <w:adjustRightInd w:val="0"/>
                    <w:snapToGrid w:val="0"/>
                  </w:pPr>
                  <w:r>
                    <w:rPr>
                      <w:rFonts w:hint="eastAsia"/>
                    </w:rPr>
                    <w:t>昼间</w:t>
                  </w:r>
                </w:p>
              </w:tc>
              <w:tc>
                <w:tcPr>
                  <w:tcW w:w="1000" w:type="pct"/>
                  <w:vAlign w:val="center"/>
                </w:tcPr>
                <w:p w14:paraId="57F9CF41">
                  <w:pPr>
                    <w:pStyle w:val="135"/>
                    <w:adjustRightInd w:val="0"/>
                    <w:snapToGrid w:val="0"/>
                  </w:pPr>
                  <w:r>
                    <w:rPr>
                      <w:rFonts w:hint="eastAsia"/>
                    </w:rPr>
                    <w:t>1</w:t>
                  </w:r>
                  <w:r>
                    <w:t>8.08</w:t>
                  </w:r>
                </w:p>
              </w:tc>
              <w:tc>
                <w:tcPr>
                  <w:tcW w:w="1000" w:type="pct"/>
                  <w:vAlign w:val="center"/>
                </w:tcPr>
                <w:p w14:paraId="2590DBC3">
                  <w:pPr>
                    <w:pStyle w:val="135"/>
                    <w:adjustRightInd w:val="0"/>
                    <w:snapToGrid w:val="0"/>
                  </w:pPr>
                  <w:r>
                    <w:rPr>
                      <w:rFonts w:hint="eastAsia"/>
                    </w:rPr>
                    <w:t>6</w:t>
                  </w:r>
                  <w:r>
                    <w:t>5</w:t>
                  </w:r>
                </w:p>
              </w:tc>
              <w:tc>
                <w:tcPr>
                  <w:tcW w:w="1001" w:type="pct"/>
                  <w:vAlign w:val="center"/>
                </w:tcPr>
                <w:p w14:paraId="414B97F0">
                  <w:pPr>
                    <w:pStyle w:val="135"/>
                    <w:adjustRightInd w:val="0"/>
                    <w:snapToGrid w:val="0"/>
                  </w:pPr>
                  <w:r>
                    <w:rPr>
                      <w:rFonts w:hint="eastAsia"/>
                    </w:rPr>
                    <w:t>达标</w:t>
                  </w:r>
                </w:p>
              </w:tc>
            </w:tr>
            <w:tr w14:paraId="669EC9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00" w:type="pct"/>
                  <w:vAlign w:val="center"/>
                </w:tcPr>
                <w:p w14:paraId="7E7A8638">
                  <w:pPr>
                    <w:pStyle w:val="135"/>
                    <w:adjustRightInd w:val="0"/>
                    <w:snapToGrid w:val="0"/>
                  </w:pPr>
                  <w:r>
                    <w:rPr>
                      <w:rFonts w:hint="eastAsia"/>
                    </w:rPr>
                    <w:t>南厂界</w:t>
                  </w:r>
                </w:p>
              </w:tc>
              <w:tc>
                <w:tcPr>
                  <w:tcW w:w="1000" w:type="pct"/>
                  <w:vAlign w:val="center"/>
                </w:tcPr>
                <w:p w14:paraId="3D7C0C8D">
                  <w:pPr>
                    <w:pStyle w:val="135"/>
                    <w:adjustRightInd w:val="0"/>
                    <w:snapToGrid w:val="0"/>
                  </w:pPr>
                  <w:r>
                    <w:rPr>
                      <w:rFonts w:hint="eastAsia"/>
                    </w:rPr>
                    <w:t>昼间</w:t>
                  </w:r>
                </w:p>
              </w:tc>
              <w:tc>
                <w:tcPr>
                  <w:tcW w:w="1000" w:type="pct"/>
                  <w:vAlign w:val="center"/>
                </w:tcPr>
                <w:p w14:paraId="5AFA60F3">
                  <w:pPr>
                    <w:pStyle w:val="135"/>
                    <w:adjustRightInd w:val="0"/>
                    <w:snapToGrid w:val="0"/>
                  </w:pPr>
                  <w:r>
                    <w:rPr>
                      <w:rFonts w:hint="eastAsia"/>
                    </w:rPr>
                    <w:t>4</w:t>
                  </w:r>
                  <w:r>
                    <w:t>1.00</w:t>
                  </w:r>
                </w:p>
              </w:tc>
              <w:tc>
                <w:tcPr>
                  <w:tcW w:w="1000" w:type="pct"/>
                  <w:vAlign w:val="center"/>
                </w:tcPr>
                <w:p w14:paraId="5266416A">
                  <w:pPr>
                    <w:pStyle w:val="135"/>
                    <w:adjustRightInd w:val="0"/>
                    <w:snapToGrid w:val="0"/>
                  </w:pPr>
                  <w:r>
                    <w:rPr>
                      <w:rFonts w:hint="eastAsia"/>
                    </w:rPr>
                    <w:t>6</w:t>
                  </w:r>
                  <w:r>
                    <w:t>5</w:t>
                  </w:r>
                </w:p>
              </w:tc>
              <w:tc>
                <w:tcPr>
                  <w:tcW w:w="1001" w:type="pct"/>
                  <w:vAlign w:val="center"/>
                </w:tcPr>
                <w:p w14:paraId="37E85201">
                  <w:pPr>
                    <w:pStyle w:val="135"/>
                    <w:adjustRightInd w:val="0"/>
                    <w:snapToGrid w:val="0"/>
                  </w:pPr>
                  <w:r>
                    <w:rPr>
                      <w:rFonts w:hint="eastAsia"/>
                    </w:rPr>
                    <w:t>达标</w:t>
                  </w:r>
                </w:p>
              </w:tc>
            </w:tr>
            <w:tr w14:paraId="4CD53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00" w:type="pct"/>
                  <w:vAlign w:val="center"/>
                </w:tcPr>
                <w:p w14:paraId="70A099A3">
                  <w:pPr>
                    <w:pStyle w:val="135"/>
                    <w:adjustRightInd w:val="0"/>
                    <w:snapToGrid w:val="0"/>
                  </w:pPr>
                  <w:r>
                    <w:rPr>
                      <w:rFonts w:hint="eastAsia"/>
                    </w:rPr>
                    <w:t>西厂界</w:t>
                  </w:r>
                </w:p>
              </w:tc>
              <w:tc>
                <w:tcPr>
                  <w:tcW w:w="1000" w:type="pct"/>
                  <w:vAlign w:val="center"/>
                </w:tcPr>
                <w:p w14:paraId="5C32F1EE">
                  <w:pPr>
                    <w:pStyle w:val="135"/>
                    <w:adjustRightInd w:val="0"/>
                    <w:snapToGrid w:val="0"/>
                  </w:pPr>
                  <w:r>
                    <w:rPr>
                      <w:rFonts w:hint="eastAsia"/>
                    </w:rPr>
                    <w:t>昼间</w:t>
                  </w:r>
                </w:p>
              </w:tc>
              <w:tc>
                <w:tcPr>
                  <w:tcW w:w="1000" w:type="pct"/>
                  <w:vAlign w:val="center"/>
                </w:tcPr>
                <w:p w14:paraId="29783112">
                  <w:pPr>
                    <w:pStyle w:val="135"/>
                    <w:adjustRightInd w:val="0"/>
                    <w:snapToGrid w:val="0"/>
                  </w:pPr>
                  <w:r>
                    <w:t>40.17</w:t>
                  </w:r>
                </w:p>
              </w:tc>
              <w:tc>
                <w:tcPr>
                  <w:tcW w:w="1000" w:type="pct"/>
                  <w:vAlign w:val="center"/>
                </w:tcPr>
                <w:p w14:paraId="02FF51D0">
                  <w:pPr>
                    <w:pStyle w:val="135"/>
                    <w:adjustRightInd w:val="0"/>
                    <w:snapToGrid w:val="0"/>
                  </w:pPr>
                  <w:r>
                    <w:rPr>
                      <w:rFonts w:hint="eastAsia"/>
                    </w:rPr>
                    <w:t>6</w:t>
                  </w:r>
                  <w:r>
                    <w:t>5</w:t>
                  </w:r>
                </w:p>
              </w:tc>
              <w:tc>
                <w:tcPr>
                  <w:tcW w:w="1001" w:type="pct"/>
                  <w:vAlign w:val="center"/>
                </w:tcPr>
                <w:p w14:paraId="17F25CFA">
                  <w:pPr>
                    <w:pStyle w:val="135"/>
                    <w:adjustRightInd w:val="0"/>
                    <w:snapToGrid w:val="0"/>
                  </w:pPr>
                  <w:r>
                    <w:rPr>
                      <w:rFonts w:hint="eastAsia"/>
                    </w:rPr>
                    <w:t>达标</w:t>
                  </w:r>
                </w:p>
              </w:tc>
            </w:tr>
            <w:tr w14:paraId="6E5B28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00" w:type="pct"/>
                  <w:vAlign w:val="center"/>
                </w:tcPr>
                <w:p w14:paraId="2A5FCDEB">
                  <w:pPr>
                    <w:pStyle w:val="135"/>
                    <w:adjustRightInd w:val="0"/>
                    <w:snapToGrid w:val="0"/>
                  </w:pPr>
                  <w:r>
                    <w:rPr>
                      <w:rFonts w:hint="eastAsia"/>
                    </w:rPr>
                    <w:t>北厂界</w:t>
                  </w:r>
                </w:p>
              </w:tc>
              <w:tc>
                <w:tcPr>
                  <w:tcW w:w="1000" w:type="pct"/>
                  <w:vAlign w:val="center"/>
                </w:tcPr>
                <w:p w14:paraId="386B86B0">
                  <w:pPr>
                    <w:pStyle w:val="135"/>
                    <w:adjustRightInd w:val="0"/>
                    <w:snapToGrid w:val="0"/>
                  </w:pPr>
                  <w:r>
                    <w:rPr>
                      <w:rFonts w:hint="eastAsia"/>
                    </w:rPr>
                    <w:t>昼间</w:t>
                  </w:r>
                </w:p>
              </w:tc>
              <w:tc>
                <w:tcPr>
                  <w:tcW w:w="1000" w:type="pct"/>
                  <w:vAlign w:val="center"/>
                </w:tcPr>
                <w:p w14:paraId="101AF15F">
                  <w:pPr>
                    <w:pStyle w:val="135"/>
                    <w:adjustRightInd w:val="0"/>
                    <w:snapToGrid w:val="0"/>
                  </w:pPr>
                  <w:r>
                    <w:rPr>
                      <w:rFonts w:hint="eastAsia"/>
                    </w:rPr>
                    <w:t>4</w:t>
                  </w:r>
                  <w:r>
                    <w:t>2.94</w:t>
                  </w:r>
                </w:p>
              </w:tc>
              <w:tc>
                <w:tcPr>
                  <w:tcW w:w="1000" w:type="pct"/>
                  <w:vAlign w:val="center"/>
                </w:tcPr>
                <w:p w14:paraId="74AA7E69">
                  <w:pPr>
                    <w:pStyle w:val="135"/>
                    <w:adjustRightInd w:val="0"/>
                    <w:snapToGrid w:val="0"/>
                  </w:pPr>
                  <w:r>
                    <w:rPr>
                      <w:rFonts w:hint="eastAsia"/>
                    </w:rPr>
                    <w:t>6</w:t>
                  </w:r>
                  <w:r>
                    <w:t>5</w:t>
                  </w:r>
                </w:p>
              </w:tc>
              <w:tc>
                <w:tcPr>
                  <w:tcW w:w="1001" w:type="pct"/>
                  <w:vAlign w:val="center"/>
                </w:tcPr>
                <w:p w14:paraId="4BC06520">
                  <w:pPr>
                    <w:pStyle w:val="135"/>
                    <w:adjustRightInd w:val="0"/>
                    <w:snapToGrid w:val="0"/>
                  </w:pPr>
                  <w:r>
                    <w:rPr>
                      <w:rFonts w:hint="eastAsia"/>
                    </w:rPr>
                    <w:t>达标</w:t>
                  </w:r>
                </w:p>
              </w:tc>
            </w:tr>
          </w:tbl>
          <w:p w14:paraId="1BC5E84D">
            <w:pPr>
              <w:ind w:firstLine="420"/>
            </w:pPr>
            <w:r>
              <w:rPr>
                <w:rFonts w:hint="eastAsia"/>
              </w:rPr>
              <w:t>据上表预测结果可知，本项目昼间厂界噪声贡献值满足《工业企业厂界环境噪声排放标准》（GB</w:t>
            </w:r>
            <w:r>
              <w:t xml:space="preserve"> 12348-2008</w:t>
            </w:r>
            <w:r>
              <w:rPr>
                <w:rFonts w:hint="eastAsia"/>
              </w:rPr>
              <w:t>）</w:t>
            </w:r>
            <w:r>
              <w:t>3</w:t>
            </w:r>
            <w:r>
              <w:rPr>
                <w:rFonts w:hint="eastAsia"/>
              </w:rPr>
              <w:t>类标准限值要求。</w:t>
            </w:r>
          </w:p>
          <w:p w14:paraId="19B1B917">
            <w:pPr>
              <w:ind w:firstLine="422"/>
              <w:rPr>
                <w:b/>
                <w:bCs/>
              </w:rPr>
            </w:pPr>
            <w:r>
              <w:rPr>
                <w:b/>
                <w:bCs/>
              </w:rPr>
              <w:t>3</w:t>
            </w:r>
            <w:r>
              <w:rPr>
                <w:rFonts w:hint="eastAsia"/>
                <w:b/>
                <w:bCs/>
              </w:rPr>
              <w:t>、噪声监测计划</w:t>
            </w:r>
          </w:p>
          <w:p w14:paraId="41D30D7A">
            <w:pPr>
              <w:ind w:firstLine="420"/>
            </w:pPr>
            <w:r>
              <w:rPr>
                <w:rFonts w:hint="eastAsia"/>
              </w:rPr>
              <w:t>根据项目实际情况，本项目噪声监测计划如下：</w:t>
            </w:r>
          </w:p>
          <w:p w14:paraId="14327749">
            <w:pPr>
              <w:pStyle w:val="156"/>
              <w:ind w:firstLine="420"/>
            </w:pPr>
            <w:r>
              <w:t>表</w:t>
            </w:r>
            <w:r>
              <w:rPr>
                <w:rFonts w:hint="eastAsia"/>
              </w:rPr>
              <w:t>4</w:t>
            </w:r>
            <w:r>
              <w:t>-12  噪声监测计划表</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70"/>
              <w:gridCol w:w="941"/>
              <w:gridCol w:w="943"/>
              <w:gridCol w:w="940"/>
              <w:gridCol w:w="2825"/>
              <w:gridCol w:w="1837"/>
            </w:tblGrid>
            <w:tr w14:paraId="0E354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11" w:type="pct"/>
                  <w:vAlign w:val="center"/>
                </w:tcPr>
                <w:p w14:paraId="6F16F6E5">
                  <w:pPr>
                    <w:pStyle w:val="135"/>
                    <w:adjustRightInd w:val="0"/>
                    <w:snapToGrid w:val="0"/>
                    <w:rPr>
                      <w:b/>
                      <w:bCs/>
                    </w:rPr>
                  </w:pPr>
                  <w:r>
                    <w:rPr>
                      <w:b/>
                      <w:bCs/>
                    </w:rPr>
                    <w:t>类别</w:t>
                  </w:r>
                </w:p>
              </w:tc>
              <w:tc>
                <w:tcPr>
                  <w:tcW w:w="577" w:type="pct"/>
                  <w:vAlign w:val="center"/>
                </w:tcPr>
                <w:p w14:paraId="5F0AA50D">
                  <w:pPr>
                    <w:pStyle w:val="135"/>
                    <w:adjustRightInd w:val="0"/>
                    <w:snapToGrid w:val="0"/>
                    <w:rPr>
                      <w:b/>
                      <w:bCs/>
                    </w:rPr>
                  </w:pPr>
                  <w:r>
                    <w:rPr>
                      <w:b/>
                      <w:bCs/>
                    </w:rPr>
                    <w:t>监测点位</w:t>
                  </w:r>
                </w:p>
              </w:tc>
              <w:tc>
                <w:tcPr>
                  <w:tcW w:w="578" w:type="pct"/>
                  <w:vAlign w:val="center"/>
                </w:tcPr>
                <w:p w14:paraId="366AD949">
                  <w:pPr>
                    <w:pStyle w:val="135"/>
                    <w:adjustRightInd w:val="0"/>
                    <w:snapToGrid w:val="0"/>
                    <w:rPr>
                      <w:b/>
                      <w:bCs/>
                    </w:rPr>
                  </w:pPr>
                  <w:r>
                    <w:rPr>
                      <w:b/>
                      <w:bCs/>
                    </w:rPr>
                    <w:t>监测因子</w:t>
                  </w:r>
                </w:p>
              </w:tc>
              <w:tc>
                <w:tcPr>
                  <w:tcW w:w="576" w:type="pct"/>
                  <w:vAlign w:val="center"/>
                </w:tcPr>
                <w:p w14:paraId="3C1E9F22">
                  <w:pPr>
                    <w:pStyle w:val="135"/>
                    <w:adjustRightInd w:val="0"/>
                    <w:snapToGrid w:val="0"/>
                    <w:rPr>
                      <w:b/>
                      <w:bCs/>
                    </w:rPr>
                  </w:pPr>
                  <w:r>
                    <w:rPr>
                      <w:b/>
                      <w:bCs/>
                    </w:rPr>
                    <w:t>监测频次</w:t>
                  </w:r>
                </w:p>
              </w:tc>
              <w:tc>
                <w:tcPr>
                  <w:tcW w:w="1732" w:type="pct"/>
                  <w:vAlign w:val="center"/>
                </w:tcPr>
                <w:p w14:paraId="7DCBBE7A">
                  <w:pPr>
                    <w:pStyle w:val="135"/>
                    <w:adjustRightInd w:val="0"/>
                    <w:snapToGrid w:val="0"/>
                    <w:rPr>
                      <w:b/>
                      <w:bCs/>
                    </w:rPr>
                  </w:pPr>
                  <w:r>
                    <w:rPr>
                      <w:b/>
                      <w:bCs/>
                    </w:rPr>
                    <w:t>执行标准</w:t>
                  </w:r>
                </w:p>
              </w:tc>
              <w:tc>
                <w:tcPr>
                  <w:tcW w:w="1126" w:type="pct"/>
                  <w:vAlign w:val="center"/>
                </w:tcPr>
                <w:p w14:paraId="0C575A71">
                  <w:pPr>
                    <w:pStyle w:val="135"/>
                    <w:adjustRightInd w:val="0"/>
                    <w:snapToGrid w:val="0"/>
                    <w:rPr>
                      <w:b/>
                      <w:bCs/>
                    </w:rPr>
                  </w:pPr>
                  <w:r>
                    <w:rPr>
                      <w:b/>
                      <w:bCs/>
                    </w:rPr>
                    <w:t>监测单位</w:t>
                  </w:r>
                </w:p>
              </w:tc>
            </w:tr>
            <w:tr w14:paraId="199C4A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411" w:type="pct"/>
                  <w:vAlign w:val="center"/>
                </w:tcPr>
                <w:p w14:paraId="2D15A671">
                  <w:pPr>
                    <w:pStyle w:val="135"/>
                    <w:adjustRightInd w:val="0"/>
                    <w:snapToGrid w:val="0"/>
                  </w:pPr>
                  <w:r>
                    <w:t>噪声</w:t>
                  </w:r>
                </w:p>
              </w:tc>
              <w:tc>
                <w:tcPr>
                  <w:tcW w:w="577" w:type="pct"/>
                  <w:vAlign w:val="center"/>
                </w:tcPr>
                <w:p w14:paraId="329F183D">
                  <w:pPr>
                    <w:pStyle w:val="135"/>
                    <w:adjustRightInd w:val="0"/>
                    <w:snapToGrid w:val="0"/>
                  </w:pPr>
                  <w:r>
                    <w:t>厂界四周</w:t>
                  </w:r>
                </w:p>
              </w:tc>
              <w:tc>
                <w:tcPr>
                  <w:tcW w:w="578" w:type="pct"/>
                  <w:vAlign w:val="center"/>
                </w:tcPr>
                <w:p w14:paraId="1C71B82D">
                  <w:pPr>
                    <w:pStyle w:val="135"/>
                    <w:adjustRightInd w:val="0"/>
                    <w:snapToGrid w:val="0"/>
                  </w:pPr>
                  <w:r>
                    <w:t>厂界环境噪声</w:t>
                  </w:r>
                </w:p>
              </w:tc>
              <w:tc>
                <w:tcPr>
                  <w:tcW w:w="576" w:type="pct"/>
                  <w:vAlign w:val="center"/>
                </w:tcPr>
                <w:p w14:paraId="51B34BEC">
                  <w:pPr>
                    <w:pStyle w:val="135"/>
                    <w:adjustRightInd w:val="0"/>
                    <w:snapToGrid w:val="0"/>
                  </w:pPr>
                  <w:r>
                    <w:t>1次/</w:t>
                  </w:r>
                  <w:r>
                    <w:rPr>
                      <w:rFonts w:hint="eastAsia"/>
                    </w:rPr>
                    <w:t>季度</w:t>
                  </w:r>
                </w:p>
              </w:tc>
              <w:tc>
                <w:tcPr>
                  <w:tcW w:w="1732" w:type="pct"/>
                  <w:vAlign w:val="center"/>
                </w:tcPr>
                <w:p w14:paraId="667471B3">
                  <w:pPr>
                    <w:pStyle w:val="135"/>
                    <w:adjustRightInd w:val="0"/>
                    <w:snapToGrid w:val="0"/>
                  </w:pPr>
                  <w:r>
                    <w:t>《工业企业厂界环境噪声排放标准》（GB12348-2008）3类标准</w:t>
                  </w:r>
                </w:p>
              </w:tc>
              <w:tc>
                <w:tcPr>
                  <w:tcW w:w="1126" w:type="pct"/>
                  <w:vAlign w:val="center"/>
                </w:tcPr>
                <w:p w14:paraId="1C3ADF7C">
                  <w:pPr>
                    <w:pStyle w:val="135"/>
                    <w:adjustRightInd w:val="0"/>
                    <w:snapToGrid w:val="0"/>
                  </w:pPr>
                  <w:r>
                    <w:t>企业自行监测或委托监测单位监测</w:t>
                  </w:r>
                </w:p>
              </w:tc>
            </w:tr>
          </w:tbl>
          <w:p w14:paraId="699079C7">
            <w:pPr>
              <w:pStyle w:val="157"/>
            </w:pPr>
            <w:r>
              <w:rPr>
                <w:rFonts w:hint="eastAsia"/>
              </w:rPr>
              <w:t>四、</w:t>
            </w:r>
            <w:r>
              <w:t>固体废物</w:t>
            </w:r>
          </w:p>
          <w:p w14:paraId="17A2DA40">
            <w:pPr>
              <w:ind w:firstLine="420"/>
            </w:pPr>
            <w:r>
              <w:rPr>
                <w:rFonts w:hint="eastAsia"/>
              </w:rPr>
              <w:t>根据工程分析，本项目产生的固体废物主要包括：废机油、废机油桶、布袋除尘器除尘灰、边角料及不合格产品、锅炉炉渣、化粪池污泥、生活垃圾。</w:t>
            </w:r>
          </w:p>
          <w:p w14:paraId="1CF098D3">
            <w:pPr>
              <w:ind w:firstLine="420"/>
            </w:pPr>
            <w:r>
              <w:rPr>
                <w:rFonts w:hint="eastAsia"/>
              </w:rPr>
              <w:t>（1）废机油、废机油桶（危险废物）</w:t>
            </w:r>
          </w:p>
          <w:p w14:paraId="59E9FFEF">
            <w:pPr>
              <w:ind w:firstLine="420"/>
            </w:pPr>
            <w:r>
              <w:rPr>
                <w:rFonts w:hint="eastAsia"/>
              </w:rPr>
              <w:t>项目生产设备仅在厂内进行简单维修，复杂维修由专业单位进行。在简单维修过程中，废机油产生量约0</w:t>
            </w:r>
            <w:r>
              <w:t>.1</w:t>
            </w:r>
            <w:r>
              <w:rPr>
                <w:rFonts w:hint="eastAsia"/>
              </w:rPr>
              <w:t>t</w:t>
            </w:r>
            <w:r>
              <w:t>/</w:t>
            </w:r>
            <w:r>
              <w:rPr>
                <w:rFonts w:hint="eastAsia"/>
              </w:rPr>
              <w:t>a，废机油桶产生量约0</w:t>
            </w:r>
            <w:r>
              <w:t>.1</w:t>
            </w:r>
            <w:r>
              <w:rPr>
                <w:rFonts w:hint="eastAsia"/>
              </w:rPr>
              <w:t>t</w:t>
            </w:r>
            <w:r>
              <w:t>/</w:t>
            </w:r>
            <w:r>
              <w:rPr>
                <w:rFonts w:hint="eastAsia"/>
              </w:rPr>
              <w:t>a。根据《国家危险废物名录（2</w:t>
            </w:r>
            <w:r>
              <w:t>021</w:t>
            </w:r>
            <w:r>
              <w:rPr>
                <w:rFonts w:hint="eastAsia"/>
              </w:rPr>
              <w:t>年版）》，废机油属于危险废物（HW</w:t>
            </w:r>
            <w:r>
              <w:t>08 900-214-08</w:t>
            </w:r>
            <w:r>
              <w:rPr>
                <w:rFonts w:hint="eastAsia"/>
              </w:rPr>
              <w:t>），废机油桶属于危险废物（HW</w:t>
            </w:r>
            <w:r>
              <w:t>08 900-249-08</w:t>
            </w:r>
            <w:r>
              <w:rPr>
                <w:rFonts w:hint="eastAsia"/>
              </w:rPr>
              <w:t>）。</w:t>
            </w:r>
          </w:p>
          <w:p w14:paraId="0E049EF1">
            <w:pPr>
              <w:ind w:firstLine="420"/>
            </w:pPr>
            <w:r>
              <w:rPr>
                <w:rFonts w:hint="eastAsia"/>
              </w:rPr>
              <w:t>危险废物收集后暂存于危险废物暂存间（</w:t>
            </w:r>
            <w:r>
              <w:t>5</w:t>
            </w:r>
            <w:r>
              <w:rPr>
                <w:rFonts w:hint="eastAsia"/>
              </w:rPr>
              <w:t>m</w:t>
            </w:r>
            <w:r>
              <w:rPr>
                <w:vertAlign w:val="superscript"/>
              </w:rPr>
              <w:t>2</w:t>
            </w:r>
            <w:r>
              <w:rPr>
                <w:rFonts w:hint="eastAsia"/>
              </w:rPr>
              <w:t>）内，定期委托有危险废物处置资质的单位清运处理。</w:t>
            </w:r>
          </w:p>
          <w:p w14:paraId="218A85AC">
            <w:pPr>
              <w:ind w:firstLine="420"/>
            </w:pPr>
            <w:r>
              <w:rPr>
                <w:rFonts w:hint="eastAsia"/>
              </w:rPr>
              <w:t>（2）布袋除尘器除尘灰</w:t>
            </w:r>
          </w:p>
          <w:p w14:paraId="486027EF">
            <w:pPr>
              <w:ind w:firstLine="420"/>
            </w:pPr>
            <w:r>
              <w:rPr>
                <w:rFonts w:hint="eastAsia"/>
              </w:rPr>
              <w:t>根据前文计算，项目粉料筒仓布袋除尘器除尘灰产生量为3</w:t>
            </w:r>
            <w:r>
              <w:t>.386</w:t>
            </w:r>
            <w:r>
              <w:rPr>
                <w:rFonts w:hint="eastAsia"/>
              </w:rPr>
              <w:t>t</w:t>
            </w:r>
            <w:r>
              <w:t>/</w:t>
            </w:r>
            <w:r>
              <w:rPr>
                <w:rFonts w:hint="eastAsia"/>
              </w:rPr>
              <w:t>a，直接返回粉料筒仓作为原料。</w:t>
            </w:r>
          </w:p>
          <w:p w14:paraId="16A5CE22">
            <w:pPr>
              <w:ind w:firstLine="420"/>
            </w:pPr>
            <w:r>
              <w:rPr>
                <w:rFonts w:hint="eastAsia"/>
              </w:rPr>
              <w:t>（</w:t>
            </w:r>
            <w:r>
              <w:t>3</w:t>
            </w:r>
            <w:r>
              <w:rPr>
                <w:rFonts w:hint="eastAsia"/>
              </w:rPr>
              <w:t>）废边角料、不合格产品</w:t>
            </w:r>
          </w:p>
          <w:p w14:paraId="78B68BED">
            <w:pPr>
              <w:ind w:firstLine="420"/>
            </w:pPr>
            <w:r>
              <w:rPr>
                <w:rFonts w:hint="eastAsia"/>
              </w:rPr>
              <w:t>在生产过程中，切割工序废边角料产生量约为1</w:t>
            </w:r>
            <w:r>
              <w:t>5</w:t>
            </w:r>
            <w:r>
              <w:rPr>
                <w:rFonts w:hint="eastAsia"/>
              </w:rPr>
              <w:t>t</w:t>
            </w:r>
            <w:r>
              <w:t>/</w:t>
            </w:r>
            <w:r>
              <w:rPr>
                <w:rFonts w:hint="eastAsia"/>
              </w:rPr>
              <w:t>a，不合格产品产生量约为1</w:t>
            </w:r>
            <w:r>
              <w:t>50</w:t>
            </w:r>
            <w:r>
              <w:rPr>
                <w:rFonts w:hint="eastAsia"/>
              </w:rPr>
              <w:t>m</w:t>
            </w:r>
            <w:r>
              <w:rPr>
                <w:vertAlign w:val="superscript"/>
              </w:rPr>
              <w:t>3</w:t>
            </w:r>
            <w:r>
              <w:t>/</w:t>
            </w:r>
            <w:r>
              <w:rPr>
                <w:rFonts w:hint="eastAsia"/>
              </w:rPr>
              <w:t>a（1</w:t>
            </w:r>
            <w:r>
              <w:t>05</w:t>
            </w:r>
            <w:r>
              <w:rPr>
                <w:rFonts w:hint="eastAsia"/>
              </w:rPr>
              <w:t>t</w:t>
            </w:r>
            <w:r>
              <w:t>/</w:t>
            </w:r>
            <w:r>
              <w:rPr>
                <w:rFonts w:hint="eastAsia"/>
              </w:rPr>
              <w:t>a），返回破碎工序作为原料综合利用。</w:t>
            </w:r>
          </w:p>
          <w:p w14:paraId="7FF350B5">
            <w:pPr>
              <w:ind w:firstLine="420"/>
            </w:pPr>
            <w:r>
              <w:rPr>
                <w:rFonts w:hint="eastAsia"/>
              </w:rPr>
              <w:t>（</w:t>
            </w:r>
            <w:r>
              <w:t>4</w:t>
            </w:r>
            <w:r>
              <w:rPr>
                <w:rFonts w:hint="eastAsia"/>
              </w:rPr>
              <w:t>）炉渣</w:t>
            </w:r>
          </w:p>
          <w:p w14:paraId="5977856A">
            <w:pPr>
              <w:ind w:firstLine="420"/>
            </w:pPr>
            <w:r>
              <w:rPr>
                <w:rFonts w:hint="eastAsia"/>
              </w:rPr>
              <w:t>本项目锅炉生物质燃料消耗量为1</w:t>
            </w:r>
            <w:r>
              <w:t>.925</w:t>
            </w:r>
            <w:r>
              <w:rPr>
                <w:rFonts w:hint="eastAsia"/>
              </w:rPr>
              <w:t>t</w:t>
            </w:r>
            <w:r>
              <w:t>/</w:t>
            </w:r>
            <w:r>
              <w:rPr>
                <w:rFonts w:hint="eastAsia"/>
              </w:rPr>
              <w:t>h，根据《污染源源强核算技术指南 锅炉》（HJ</w:t>
            </w:r>
            <w:r>
              <w:t xml:space="preserve"> 991-2018</w:t>
            </w:r>
            <w:r>
              <w:rPr>
                <w:rFonts w:hint="eastAsia"/>
              </w:rPr>
              <w:t>）及生物质燃料检测报告（折算收到基灰分含量2</w:t>
            </w:r>
            <w:r>
              <w:t>.05%</w:t>
            </w:r>
            <w:r>
              <w:rPr>
                <w:rFonts w:hint="eastAsia"/>
              </w:rPr>
              <w:t>），则炉渣产生量为4</w:t>
            </w:r>
            <w:r>
              <w:t>7.355</w:t>
            </w:r>
            <w:r>
              <w:rPr>
                <w:rFonts w:hint="eastAsia"/>
              </w:rPr>
              <w:t>t</w:t>
            </w:r>
            <w:r>
              <w:t>/</w:t>
            </w:r>
            <w:r>
              <w:rPr>
                <w:rFonts w:hint="eastAsia"/>
              </w:rPr>
              <w:t>a，炉渣回用作为球磨工序原料。</w:t>
            </w:r>
          </w:p>
          <w:p w14:paraId="499CA270">
            <w:pPr>
              <w:ind w:firstLine="420"/>
            </w:pPr>
            <w:r>
              <w:rPr>
                <w:rFonts w:hint="eastAsia"/>
              </w:rPr>
              <w:t>（</w:t>
            </w:r>
            <w:r>
              <w:t>5</w:t>
            </w:r>
            <w:r>
              <w:rPr>
                <w:rFonts w:hint="eastAsia"/>
              </w:rPr>
              <w:t>）</w:t>
            </w:r>
            <w:r>
              <w:t>生活垃圾</w:t>
            </w:r>
          </w:p>
          <w:p w14:paraId="737AC1F0">
            <w:pPr>
              <w:ind w:firstLine="420"/>
            </w:pPr>
            <w:r>
              <w:rPr>
                <w:rFonts w:hint="eastAsia"/>
              </w:rPr>
              <w:t>本项目劳动定员</w:t>
            </w:r>
            <w:r>
              <w:t>15</w:t>
            </w:r>
            <w:r>
              <w:rPr>
                <w:rFonts w:hint="eastAsia"/>
              </w:rPr>
              <w:t>人，人均生活垃圾产生量按0</w:t>
            </w:r>
            <w:r>
              <w:t>.5</w:t>
            </w:r>
            <w:r>
              <w:rPr>
                <w:rFonts w:hint="eastAsia"/>
              </w:rPr>
              <w:t>kg</w:t>
            </w:r>
            <w:r>
              <w:t>/</w:t>
            </w:r>
            <w:r>
              <w:rPr>
                <w:rFonts w:hint="eastAsia"/>
              </w:rPr>
              <w:t>人d计算，本项目生活垃圾产生量为</w:t>
            </w:r>
            <w:r>
              <w:t>2.25</w:t>
            </w:r>
            <w:r>
              <w:rPr>
                <w:rFonts w:hint="eastAsia"/>
              </w:rPr>
              <w:t>t</w:t>
            </w:r>
            <w:r>
              <w:t>/</w:t>
            </w:r>
            <w:r>
              <w:rPr>
                <w:rFonts w:hint="eastAsia"/>
              </w:rPr>
              <w:t>a。生活垃圾由垃圾桶收集后，由环卫部门清运处置。</w:t>
            </w:r>
          </w:p>
          <w:p w14:paraId="3FE6A7A2">
            <w:pPr>
              <w:ind w:firstLine="420"/>
            </w:pPr>
            <w:r>
              <w:rPr>
                <w:rFonts w:hint="eastAsia"/>
              </w:rPr>
              <w:t>（</w:t>
            </w:r>
            <w:r>
              <w:t>6</w:t>
            </w:r>
            <w:r>
              <w:rPr>
                <w:rFonts w:hint="eastAsia"/>
              </w:rPr>
              <w:t>）化粪池污泥</w:t>
            </w:r>
          </w:p>
          <w:p w14:paraId="7A40984B">
            <w:pPr>
              <w:ind w:firstLine="420"/>
            </w:pPr>
            <w:r>
              <w:rPr>
                <w:rFonts w:hint="eastAsia"/>
              </w:rPr>
              <w:t>化粪池污泥产生量约为0</w:t>
            </w:r>
            <w:r>
              <w:t>.012</w:t>
            </w:r>
            <w:r>
              <w:rPr>
                <w:rFonts w:hint="eastAsia"/>
              </w:rPr>
              <w:t>t</w:t>
            </w:r>
            <w:r>
              <w:t>/</w:t>
            </w:r>
            <w:r>
              <w:rPr>
                <w:rFonts w:hint="eastAsia"/>
              </w:rPr>
              <w:t>a，化粪池污泥定期委托第三方单位清运处理。</w:t>
            </w:r>
          </w:p>
          <w:p w14:paraId="1FA8E048">
            <w:pPr>
              <w:pStyle w:val="156"/>
              <w:keepNext/>
              <w:ind w:firstLine="420"/>
            </w:pPr>
            <w:r>
              <w:t>表4-13  本项目固体废弃物产生及处置情况汇总</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841"/>
              <w:gridCol w:w="1294"/>
              <w:gridCol w:w="1168"/>
              <w:gridCol w:w="989"/>
              <w:gridCol w:w="2864"/>
            </w:tblGrid>
            <w:tr w14:paraId="24F9A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129" w:type="pct"/>
                  <w:vAlign w:val="center"/>
                </w:tcPr>
                <w:p w14:paraId="2CB0F875">
                  <w:pPr>
                    <w:pStyle w:val="135"/>
                    <w:adjustRightInd w:val="0"/>
                    <w:snapToGrid w:val="0"/>
                    <w:rPr>
                      <w:b/>
                      <w:bCs/>
                    </w:rPr>
                  </w:pPr>
                  <w:r>
                    <w:rPr>
                      <w:b/>
                      <w:bCs/>
                    </w:rPr>
                    <w:t>废物名称</w:t>
                  </w:r>
                </w:p>
              </w:tc>
              <w:tc>
                <w:tcPr>
                  <w:tcW w:w="793" w:type="pct"/>
                  <w:vAlign w:val="center"/>
                </w:tcPr>
                <w:p w14:paraId="1C38733A">
                  <w:pPr>
                    <w:pStyle w:val="135"/>
                    <w:adjustRightInd w:val="0"/>
                    <w:snapToGrid w:val="0"/>
                    <w:rPr>
                      <w:b/>
                      <w:bCs/>
                    </w:rPr>
                  </w:pPr>
                  <w:r>
                    <w:rPr>
                      <w:b/>
                      <w:bCs/>
                    </w:rPr>
                    <w:t>性质</w:t>
                  </w:r>
                </w:p>
              </w:tc>
              <w:tc>
                <w:tcPr>
                  <w:tcW w:w="716" w:type="pct"/>
                  <w:vAlign w:val="center"/>
                </w:tcPr>
                <w:p w14:paraId="3CA93FED">
                  <w:pPr>
                    <w:pStyle w:val="135"/>
                    <w:adjustRightInd w:val="0"/>
                    <w:snapToGrid w:val="0"/>
                    <w:rPr>
                      <w:b/>
                      <w:bCs/>
                    </w:rPr>
                  </w:pPr>
                  <w:r>
                    <w:rPr>
                      <w:b/>
                      <w:bCs/>
                    </w:rPr>
                    <w:t>废物代码</w:t>
                  </w:r>
                </w:p>
              </w:tc>
              <w:tc>
                <w:tcPr>
                  <w:tcW w:w="606" w:type="pct"/>
                  <w:vAlign w:val="center"/>
                </w:tcPr>
                <w:p w14:paraId="4406485B">
                  <w:pPr>
                    <w:pStyle w:val="135"/>
                    <w:adjustRightInd w:val="0"/>
                    <w:snapToGrid w:val="0"/>
                    <w:rPr>
                      <w:b/>
                      <w:bCs/>
                    </w:rPr>
                  </w:pPr>
                  <w:r>
                    <w:rPr>
                      <w:b/>
                      <w:bCs/>
                    </w:rPr>
                    <w:t>产生量/t/a</w:t>
                  </w:r>
                </w:p>
              </w:tc>
              <w:tc>
                <w:tcPr>
                  <w:tcW w:w="1756" w:type="pct"/>
                  <w:vAlign w:val="center"/>
                </w:tcPr>
                <w:p w14:paraId="40129C0E">
                  <w:pPr>
                    <w:pStyle w:val="135"/>
                    <w:adjustRightInd w:val="0"/>
                    <w:snapToGrid w:val="0"/>
                    <w:rPr>
                      <w:b/>
                      <w:bCs/>
                    </w:rPr>
                  </w:pPr>
                  <w:r>
                    <w:rPr>
                      <w:b/>
                      <w:bCs/>
                    </w:rPr>
                    <w:t>处置措施</w:t>
                  </w:r>
                </w:p>
              </w:tc>
            </w:tr>
            <w:tr w14:paraId="0C210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129" w:type="pct"/>
                  <w:vAlign w:val="center"/>
                </w:tcPr>
                <w:p w14:paraId="195B045D">
                  <w:pPr>
                    <w:pStyle w:val="135"/>
                    <w:adjustRightInd w:val="0"/>
                    <w:snapToGrid w:val="0"/>
                  </w:pPr>
                  <w:r>
                    <w:rPr>
                      <w:rFonts w:hint="eastAsia"/>
                    </w:rPr>
                    <w:t>布袋除尘器除尘灰</w:t>
                  </w:r>
                </w:p>
              </w:tc>
              <w:tc>
                <w:tcPr>
                  <w:tcW w:w="793" w:type="pct"/>
                  <w:vAlign w:val="center"/>
                </w:tcPr>
                <w:p w14:paraId="53C32C2A">
                  <w:pPr>
                    <w:pStyle w:val="135"/>
                    <w:adjustRightInd w:val="0"/>
                    <w:snapToGrid w:val="0"/>
                  </w:pPr>
                  <w:r>
                    <w:rPr>
                      <w:rFonts w:hint="eastAsia"/>
                    </w:rPr>
                    <w:t>一般工业固废</w:t>
                  </w:r>
                </w:p>
              </w:tc>
              <w:tc>
                <w:tcPr>
                  <w:tcW w:w="716" w:type="pct"/>
                  <w:vAlign w:val="center"/>
                </w:tcPr>
                <w:p w14:paraId="018232EF">
                  <w:pPr>
                    <w:pStyle w:val="135"/>
                    <w:adjustRightInd w:val="0"/>
                    <w:snapToGrid w:val="0"/>
                  </w:pPr>
                  <w:r>
                    <w:t>303-001-66</w:t>
                  </w:r>
                </w:p>
              </w:tc>
              <w:tc>
                <w:tcPr>
                  <w:tcW w:w="606" w:type="pct"/>
                  <w:vAlign w:val="center"/>
                </w:tcPr>
                <w:p w14:paraId="7AE8AEF9">
                  <w:pPr>
                    <w:pStyle w:val="135"/>
                    <w:adjustRightInd w:val="0"/>
                    <w:snapToGrid w:val="0"/>
                  </w:pPr>
                  <w:r>
                    <w:t>3</w:t>
                  </w:r>
                  <w:r>
                    <w:rPr>
                      <w:rFonts w:hint="eastAsia"/>
                    </w:rPr>
                    <w:t>.</w:t>
                  </w:r>
                  <w:r>
                    <w:t>386</w:t>
                  </w:r>
                </w:p>
              </w:tc>
              <w:tc>
                <w:tcPr>
                  <w:tcW w:w="1756" w:type="pct"/>
                  <w:vAlign w:val="center"/>
                </w:tcPr>
                <w:p w14:paraId="4B8D707B">
                  <w:pPr>
                    <w:pStyle w:val="135"/>
                    <w:adjustRightInd w:val="0"/>
                    <w:snapToGrid w:val="0"/>
                  </w:pPr>
                  <w:r>
                    <w:rPr>
                      <w:rFonts w:hint="eastAsia"/>
                    </w:rPr>
                    <w:t>返回粉料仓作为原料</w:t>
                  </w:r>
                </w:p>
              </w:tc>
            </w:tr>
            <w:tr w14:paraId="1B765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129" w:type="pct"/>
                  <w:vAlign w:val="center"/>
                </w:tcPr>
                <w:p w14:paraId="15588B5F">
                  <w:pPr>
                    <w:pStyle w:val="135"/>
                    <w:adjustRightInd w:val="0"/>
                    <w:snapToGrid w:val="0"/>
                  </w:pPr>
                  <w:r>
                    <w:rPr>
                      <w:rFonts w:hint="eastAsia"/>
                    </w:rPr>
                    <w:t>废边角料</w:t>
                  </w:r>
                </w:p>
              </w:tc>
              <w:tc>
                <w:tcPr>
                  <w:tcW w:w="793" w:type="pct"/>
                  <w:vAlign w:val="center"/>
                </w:tcPr>
                <w:p w14:paraId="00E76DA5">
                  <w:pPr>
                    <w:pStyle w:val="135"/>
                    <w:adjustRightInd w:val="0"/>
                    <w:snapToGrid w:val="0"/>
                  </w:pPr>
                  <w:r>
                    <w:rPr>
                      <w:rFonts w:hint="eastAsia"/>
                    </w:rPr>
                    <w:t>一般工业固废</w:t>
                  </w:r>
                </w:p>
              </w:tc>
              <w:tc>
                <w:tcPr>
                  <w:tcW w:w="716" w:type="pct"/>
                  <w:vAlign w:val="center"/>
                </w:tcPr>
                <w:p w14:paraId="4965F3E9">
                  <w:pPr>
                    <w:pStyle w:val="135"/>
                    <w:adjustRightInd w:val="0"/>
                    <w:snapToGrid w:val="0"/>
                  </w:pPr>
                  <w:r>
                    <w:t>900-999-99</w:t>
                  </w:r>
                </w:p>
              </w:tc>
              <w:tc>
                <w:tcPr>
                  <w:tcW w:w="606" w:type="pct"/>
                  <w:vAlign w:val="center"/>
                </w:tcPr>
                <w:p w14:paraId="674B087C">
                  <w:pPr>
                    <w:pStyle w:val="135"/>
                    <w:adjustRightInd w:val="0"/>
                    <w:snapToGrid w:val="0"/>
                  </w:pPr>
                  <w:r>
                    <w:rPr>
                      <w:rFonts w:hint="eastAsia"/>
                    </w:rPr>
                    <w:t>1</w:t>
                  </w:r>
                  <w:r>
                    <w:t>5</w:t>
                  </w:r>
                </w:p>
              </w:tc>
              <w:tc>
                <w:tcPr>
                  <w:tcW w:w="1756" w:type="pct"/>
                  <w:vMerge w:val="restart"/>
                  <w:vAlign w:val="center"/>
                </w:tcPr>
                <w:p w14:paraId="4491765B">
                  <w:pPr>
                    <w:pStyle w:val="135"/>
                    <w:adjustRightInd w:val="0"/>
                    <w:snapToGrid w:val="0"/>
                  </w:pPr>
                  <w:r>
                    <w:rPr>
                      <w:rFonts w:hint="eastAsia"/>
                    </w:rPr>
                    <w:t>返回破碎工序作为原料</w:t>
                  </w:r>
                </w:p>
              </w:tc>
            </w:tr>
            <w:tr w14:paraId="5853CB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129" w:type="pct"/>
                  <w:vAlign w:val="center"/>
                </w:tcPr>
                <w:p w14:paraId="45E40EBB">
                  <w:pPr>
                    <w:pStyle w:val="135"/>
                    <w:adjustRightInd w:val="0"/>
                    <w:snapToGrid w:val="0"/>
                  </w:pPr>
                  <w:r>
                    <w:rPr>
                      <w:rFonts w:hint="eastAsia"/>
                    </w:rPr>
                    <w:t>不合格产品</w:t>
                  </w:r>
                </w:p>
              </w:tc>
              <w:tc>
                <w:tcPr>
                  <w:tcW w:w="793" w:type="pct"/>
                  <w:vAlign w:val="center"/>
                </w:tcPr>
                <w:p w14:paraId="5915F446">
                  <w:pPr>
                    <w:pStyle w:val="135"/>
                    <w:adjustRightInd w:val="0"/>
                    <w:snapToGrid w:val="0"/>
                  </w:pPr>
                  <w:r>
                    <w:rPr>
                      <w:rFonts w:hint="eastAsia"/>
                    </w:rPr>
                    <w:t>一般工业固废</w:t>
                  </w:r>
                </w:p>
              </w:tc>
              <w:tc>
                <w:tcPr>
                  <w:tcW w:w="716" w:type="pct"/>
                  <w:vAlign w:val="center"/>
                </w:tcPr>
                <w:p w14:paraId="3A490130">
                  <w:pPr>
                    <w:pStyle w:val="135"/>
                    <w:adjustRightInd w:val="0"/>
                    <w:snapToGrid w:val="0"/>
                  </w:pPr>
                  <w:r>
                    <w:t>900-999-99</w:t>
                  </w:r>
                </w:p>
              </w:tc>
              <w:tc>
                <w:tcPr>
                  <w:tcW w:w="606" w:type="pct"/>
                  <w:vAlign w:val="center"/>
                </w:tcPr>
                <w:p w14:paraId="1DBF6D86">
                  <w:pPr>
                    <w:pStyle w:val="135"/>
                    <w:adjustRightInd w:val="0"/>
                    <w:snapToGrid w:val="0"/>
                  </w:pPr>
                  <w:r>
                    <w:rPr>
                      <w:rFonts w:hint="eastAsia"/>
                    </w:rPr>
                    <w:t>1</w:t>
                  </w:r>
                  <w:r>
                    <w:t>05</w:t>
                  </w:r>
                </w:p>
              </w:tc>
              <w:tc>
                <w:tcPr>
                  <w:tcW w:w="1756" w:type="pct"/>
                  <w:vMerge w:val="continue"/>
                  <w:vAlign w:val="center"/>
                </w:tcPr>
                <w:p w14:paraId="53D97469">
                  <w:pPr>
                    <w:pStyle w:val="135"/>
                    <w:adjustRightInd w:val="0"/>
                    <w:snapToGrid w:val="0"/>
                  </w:pPr>
                </w:p>
              </w:tc>
            </w:tr>
            <w:tr w14:paraId="7DD39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129" w:type="pct"/>
                  <w:vAlign w:val="center"/>
                </w:tcPr>
                <w:p w14:paraId="267D16ED">
                  <w:pPr>
                    <w:pStyle w:val="135"/>
                    <w:adjustRightInd w:val="0"/>
                    <w:snapToGrid w:val="0"/>
                  </w:pPr>
                  <w:r>
                    <w:rPr>
                      <w:rFonts w:hint="eastAsia"/>
                    </w:rPr>
                    <w:t>炉渣</w:t>
                  </w:r>
                </w:p>
              </w:tc>
              <w:tc>
                <w:tcPr>
                  <w:tcW w:w="793" w:type="pct"/>
                  <w:vAlign w:val="center"/>
                </w:tcPr>
                <w:p w14:paraId="27E55C17">
                  <w:pPr>
                    <w:pStyle w:val="135"/>
                    <w:adjustRightInd w:val="0"/>
                    <w:snapToGrid w:val="0"/>
                  </w:pPr>
                  <w:r>
                    <w:rPr>
                      <w:rFonts w:hint="eastAsia"/>
                    </w:rPr>
                    <w:t>一般工业固废</w:t>
                  </w:r>
                </w:p>
              </w:tc>
              <w:tc>
                <w:tcPr>
                  <w:tcW w:w="716" w:type="pct"/>
                  <w:vAlign w:val="center"/>
                </w:tcPr>
                <w:p w14:paraId="250A979A">
                  <w:pPr>
                    <w:pStyle w:val="135"/>
                    <w:adjustRightInd w:val="0"/>
                    <w:snapToGrid w:val="0"/>
                  </w:pPr>
                  <w:r>
                    <w:rPr>
                      <w:rFonts w:hint="eastAsia"/>
                    </w:rPr>
                    <w:t>9</w:t>
                  </w:r>
                  <w:r>
                    <w:t>00-999-64</w:t>
                  </w:r>
                </w:p>
              </w:tc>
              <w:tc>
                <w:tcPr>
                  <w:tcW w:w="606" w:type="pct"/>
                  <w:vAlign w:val="center"/>
                </w:tcPr>
                <w:p w14:paraId="2266C018">
                  <w:pPr>
                    <w:pStyle w:val="135"/>
                    <w:adjustRightInd w:val="0"/>
                    <w:snapToGrid w:val="0"/>
                  </w:pPr>
                  <w:r>
                    <w:rPr>
                      <w:rFonts w:hint="eastAsia"/>
                    </w:rPr>
                    <w:t>4</w:t>
                  </w:r>
                  <w:r>
                    <w:t>7.355</w:t>
                  </w:r>
                </w:p>
              </w:tc>
              <w:tc>
                <w:tcPr>
                  <w:tcW w:w="1756" w:type="pct"/>
                  <w:vAlign w:val="center"/>
                </w:tcPr>
                <w:p w14:paraId="5AE427B1">
                  <w:pPr>
                    <w:pStyle w:val="135"/>
                    <w:adjustRightInd w:val="0"/>
                    <w:snapToGrid w:val="0"/>
                  </w:pPr>
                  <w:r>
                    <w:rPr>
                      <w:rFonts w:hint="eastAsia"/>
                    </w:rPr>
                    <w:t>返回球磨工序作为原料</w:t>
                  </w:r>
                </w:p>
              </w:tc>
            </w:tr>
            <w:tr w14:paraId="42DA4B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trPr>
              <w:tc>
                <w:tcPr>
                  <w:tcW w:w="1129" w:type="pct"/>
                  <w:vAlign w:val="center"/>
                </w:tcPr>
                <w:p w14:paraId="14DC4D91">
                  <w:pPr>
                    <w:pStyle w:val="135"/>
                    <w:adjustRightInd w:val="0"/>
                    <w:snapToGrid w:val="0"/>
                  </w:pPr>
                  <w:r>
                    <w:rPr>
                      <w:rFonts w:hint="eastAsia"/>
                    </w:rPr>
                    <w:t>生活垃圾</w:t>
                  </w:r>
                </w:p>
              </w:tc>
              <w:tc>
                <w:tcPr>
                  <w:tcW w:w="793" w:type="pct"/>
                  <w:vAlign w:val="center"/>
                </w:tcPr>
                <w:p w14:paraId="629877A2">
                  <w:pPr>
                    <w:pStyle w:val="135"/>
                    <w:adjustRightInd w:val="0"/>
                    <w:snapToGrid w:val="0"/>
                  </w:pPr>
                  <w:r>
                    <w:rPr>
                      <w:rFonts w:hint="eastAsia"/>
                    </w:rPr>
                    <w:t>/</w:t>
                  </w:r>
                </w:p>
              </w:tc>
              <w:tc>
                <w:tcPr>
                  <w:tcW w:w="716" w:type="pct"/>
                  <w:vAlign w:val="center"/>
                </w:tcPr>
                <w:p w14:paraId="0E327864">
                  <w:pPr>
                    <w:pStyle w:val="135"/>
                    <w:adjustRightInd w:val="0"/>
                    <w:snapToGrid w:val="0"/>
                  </w:pPr>
                  <w:r>
                    <w:rPr>
                      <w:rFonts w:hint="eastAsia"/>
                    </w:rPr>
                    <w:t>/</w:t>
                  </w:r>
                </w:p>
              </w:tc>
              <w:tc>
                <w:tcPr>
                  <w:tcW w:w="606" w:type="pct"/>
                  <w:vAlign w:val="center"/>
                </w:tcPr>
                <w:p w14:paraId="41415571">
                  <w:pPr>
                    <w:pStyle w:val="135"/>
                    <w:adjustRightInd w:val="0"/>
                    <w:snapToGrid w:val="0"/>
                  </w:pPr>
                  <w:r>
                    <w:t>2.25</w:t>
                  </w:r>
                </w:p>
              </w:tc>
              <w:tc>
                <w:tcPr>
                  <w:tcW w:w="1756" w:type="pct"/>
                  <w:vAlign w:val="center"/>
                </w:tcPr>
                <w:p w14:paraId="0277A3F9">
                  <w:pPr>
                    <w:pStyle w:val="135"/>
                    <w:adjustRightInd w:val="0"/>
                    <w:snapToGrid w:val="0"/>
                  </w:pPr>
                  <w:r>
                    <w:rPr>
                      <w:rFonts w:hint="eastAsia"/>
                    </w:rPr>
                    <w:t>环卫部门清运处理</w:t>
                  </w:r>
                </w:p>
              </w:tc>
            </w:tr>
            <w:tr w14:paraId="734F7D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129" w:type="pct"/>
                  <w:vAlign w:val="center"/>
                </w:tcPr>
                <w:p w14:paraId="379324A8">
                  <w:pPr>
                    <w:pStyle w:val="135"/>
                    <w:adjustRightInd w:val="0"/>
                    <w:snapToGrid w:val="0"/>
                  </w:pPr>
                  <w:r>
                    <w:rPr>
                      <w:rFonts w:hint="eastAsia"/>
                    </w:rPr>
                    <w:t>化粪池污泥</w:t>
                  </w:r>
                </w:p>
              </w:tc>
              <w:tc>
                <w:tcPr>
                  <w:tcW w:w="793" w:type="pct"/>
                  <w:vAlign w:val="center"/>
                </w:tcPr>
                <w:p w14:paraId="22F20CF0">
                  <w:pPr>
                    <w:pStyle w:val="135"/>
                    <w:adjustRightInd w:val="0"/>
                    <w:snapToGrid w:val="0"/>
                  </w:pPr>
                  <w:r>
                    <w:rPr>
                      <w:rFonts w:hint="eastAsia"/>
                    </w:rPr>
                    <w:t>/</w:t>
                  </w:r>
                </w:p>
              </w:tc>
              <w:tc>
                <w:tcPr>
                  <w:tcW w:w="716" w:type="pct"/>
                  <w:vAlign w:val="center"/>
                </w:tcPr>
                <w:p w14:paraId="3AE706BD">
                  <w:pPr>
                    <w:pStyle w:val="135"/>
                    <w:adjustRightInd w:val="0"/>
                    <w:snapToGrid w:val="0"/>
                  </w:pPr>
                  <w:r>
                    <w:rPr>
                      <w:rFonts w:hint="eastAsia"/>
                    </w:rPr>
                    <w:t>/</w:t>
                  </w:r>
                </w:p>
              </w:tc>
              <w:tc>
                <w:tcPr>
                  <w:tcW w:w="606" w:type="pct"/>
                  <w:vAlign w:val="center"/>
                </w:tcPr>
                <w:p w14:paraId="4BFA594D">
                  <w:pPr>
                    <w:pStyle w:val="135"/>
                    <w:adjustRightInd w:val="0"/>
                    <w:snapToGrid w:val="0"/>
                  </w:pPr>
                  <w:r>
                    <w:rPr>
                      <w:rFonts w:hint="eastAsia"/>
                    </w:rPr>
                    <w:t>0</w:t>
                  </w:r>
                  <w:r>
                    <w:t>.012</w:t>
                  </w:r>
                </w:p>
              </w:tc>
              <w:tc>
                <w:tcPr>
                  <w:tcW w:w="1756" w:type="pct"/>
                  <w:vAlign w:val="center"/>
                </w:tcPr>
                <w:p w14:paraId="5E40B43D">
                  <w:pPr>
                    <w:pStyle w:val="135"/>
                    <w:adjustRightInd w:val="0"/>
                    <w:snapToGrid w:val="0"/>
                  </w:pPr>
                  <w:r>
                    <w:rPr>
                      <w:rFonts w:hint="eastAsia"/>
                    </w:rPr>
                    <w:t>委托第三方单位清运处理</w:t>
                  </w:r>
                </w:p>
              </w:tc>
            </w:tr>
            <w:tr w14:paraId="192354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129" w:type="pct"/>
                  <w:vAlign w:val="center"/>
                </w:tcPr>
                <w:p w14:paraId="5E7CD64D">
                  <w:pPr>
                    <w:pStyle w:val="135"/>
                    <w:adjustRightInd w:val="0"/>
                    <w:snapToGrid w:val="0"/>
                  </w:pPr>
                  <w:r>
                    <w:rPr>
                      <w:rFonts w:hint="eastAsia"/>
                    </w:rPr>
                    <w:t>废机油</w:t>
                  </w:r>
                </w:p>
              </w:tc>
              <w:tc>
                <w:tcPr>
                  <w:tcW w:w="793" w:type="pct"/>
                  <w:vAlign w:val="center"/>
                </w:tcPr>
                <w:p w14:paraId="763620E9">
                  <w:pPr>
                    <w:pStyle w:val="135"/>
                    <w:adjustRightInd w:val="0"/>
                    <w:snapToGrid w:val="0"/>
                  </w:pPr>
                  <w:r>
                    <w:rPr>
                      <w:rFonts w:hint="eastAsia"/>
                    </w:rPr>
                    <w:t>危险废物HW</w:t>
                  </w:r>
                  <w:r>
                    <w:t>08</w:t>
                  </w:r>
                </w:p>
              </w:tc>
              <w:tc>
                <w:tcPr>
                  <w:tcW w:w="716" w:type="pct"/>
                  <w:vAlign w:val="center"/>
                </w:tcPr>
                <w:p w14:paraId="15997BCA">
                  <w:pPr>
                    <w:pStyle w:val="135"/>
                    <w:adjustRightInd w:val="0"/>
                    <w:snapToGrid w:val="0"/>
                  </w:pPr>
                  <w:r>
                    <w:t>900-214-08</w:t>
                  </w:r>
                </w:p>
              </w:tc>
              <w:tc>
                <w:tcPr>
                  <w:tcW w:w="606" w:type="pct"/>
                  <w:vAlign w:val="center"/>
                </w:tcPr>
                <w:p w14:paraId="3C2EB2A6">
                  <w:pPr>
                    <w:pStyle w:val="135"/>
                    <w:adjustRightInd w:val="0"/>
                    <w:snapToGrid w:val="0"/>
                  </w:pPr>
                  <w:r>
                    <w:rPr>
                      <w:rFonts w:hint="eastAsia"/>
                    </w:rPr>
                    <w:t>0</w:t>
                  </w:r>
                  <w:r>
                    <w:t>.1</w:t>
                  </w:r>
                </w:p>
              </w:tc>
              <w:tc>
                <w:tcPr>
                  <w:tcW w:w="1756" w:type="pct"/>
                  <w:vMerge w:val="restart"/>
                  <w:vAlign w:val="center"/>
                </w:tcPr>
                <w:p w14:paraId="668861F8">
                  <w:pPr>
                    <w:pStyle w:val="135"/>
                    <w:adjustRightInd w:val="0"/>
                    <w:snapToGrid w:val="0"/>
                    <w:jc w:val="both"/>
                  </w:pPr>
                  <w:r>
                    <w:rPr>
                      <w:rFonts w:hint="eastAsia"/>
                    </w:rPr>
                    <w:t>桶装收集后，暂存于危废暂存间（</w:t>
                  </w:r>
                  <w:r>
                    <w:t>5</w:t>
                  </w:r>
                  <w:r>
                    <w:rPr>
                      <w:rFonts w:hint="eastAsia"/>
                    </w:rPr>
                    <w:t>m</w:t>
                  </w:r>
                  <w:r>
                    <w:rPr>
                      <w:vertAlign w:val="superscript"/>
                    </w:rPr>
                    <w:t>2</w:t>
                  </w:r>
                  <w:r>
                    <w:rPr>
                      <w:rFonts w:hint="eastAsia"/>
                    </w:rPr>
                    <w:t>），定期由危险废物处置资质的单位清运处理。</w:t>
                  </w:r>
                </w:p>
              </w:tc>
            </w:tr>
            <w:tr w14:paraId="07BD7C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129" w:type="pct"/>
                  <w:vAlign w:val="center"/>
                </w:tcPr>
                <w:p w14:paraId="569664B6">
                  <w:pPr>
                    <w:pStyle w:val="135"/>
                    <w:adjustRightInd w:val="0"/>
                    <w:snapToGrid w:val="0"/>
                  </w:pPr>
                  <w:r>
                    <w:rPr>
                      <w:rFonts w:hint="eastAsia"/>
                    </w:rPr>
                    <w:t>废机油桶</w:t>
                  </w:r>
                </w:p>
              </w:tc>
              <w:tc>
                <w:tcPr>
                  <w:tcW w:w="793" w:type="pct"/>
                  <w:vAlign w:val="center"/>
                </w:tcPr>
                <w:p w14:paraId="62A26B7D">
                  <w:pPr>
                    <w:pStyle w:val="135"/>
                    <w:adjustRightInd w:val="0"/>
                    <w:snapToGrid w:val="0"/>
                  </w:pPr>
                  <w:r>
                    <w:rPr>
                      <w:rFonts w:hint="eastAsia"/>
                    </w:rPr>
                    <w:t>危险废物HW</w:t>
                  </w:r>
                  <w:r>
                    <w:t>08</w:t>
                  </w:r>
                </w:p>
              </w:tc>
              <w:tc>
                <w:tcPr>
                  <w:tcW w:w="716" w:type="pct"/>
                  <w:vAlign w:val="center"/>
                </w:tcPr>
                <w:p w14:paraId="0C027E4B">
                  <w:pPr>
                    <w:pStyle w:val="135"/>
                    <w:adjustRightInd w:val="0"/>
                    <w:snapToGrid w:val="0"/>
                  </w:pPr>
                  <w:r>
                    <w:t>900-249-08</w:t>
                  </w:r>
                </w:p>
              </w:tc>
              <w:tc>
                <w:tcPr>
                  <w:tcW w:w="606" w:type="pct"/>
                  <w:vAlign w:val="center"/>
                </w:tcPr>
                <w:p w14:paraId="56B3BB97">
                  <w:pPr>
                    <w:pStyle w:val="135"/>
                    <w:adjustRightInd w:val="0"/>
                    <w:snapToGrid w:val="0"/>
                  </w:pPr>
                  <w:r>
                    <w:t>0.1</w:t>
                  </w:r>
                </w:p>
              </w:tc>
              <w:tc>
                <w:tcPr>
                  <w:tcW w:w="1756" w:type="pct"/>
                  <w:vMerge w:val="continue"/>
                  <w:vAlign w:val="center"/>
                </w:tcPr>
                <w:p w14:paraId="48308079">
                  <w:pPr>
                    <w:pStyle w:val="135"/>
                    <w:adjustRightInd w:val="0"/>
                    <w:snapToGrid w:val="0"/>
                  </w:pPr>
                </w:p>
              </w:tc>
            </w:tr>
          </w:tbl>
          <w:p w14:paraId="739AD0BD">
            <w:pPr>
              <w:ind w:firstLine="420"/>
              <w:rPr>
                <w:szCs w:val="22"/>
              </w:rPr>
            </w:pPr>
            <w:r>
              <w:rPr>
                <w:szCs w:val="22"/>
              </w:rPr>
              <w:t>根据《建设项目危险废物环境影响评价指南》（环境保护部公告 2017年第43号）相关要求，项目危险废物产生及治理情况统计如下：</w:t>
            </w:r>
          </w:p>
          <w:p w14:paraId="1546D3CE">
            <w:pPr>
              <w:pStyle w:val="156"/>
              <w:keepNext/>
              <w:ind w:firstLine="420"/>
            </w:pPr>
            <w:r>
              <w:t>表4-14  项目危险废物产生及治理情况</w:t>
            </w:r>
          </w:p>
          <w:tbl>
            <w:tblPr>
              <w:tblStyle w:val="19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10"/>
              <w:gridCol w:w="706"/>
              <w:gridCol w:w="851"/>
              <w:gridCol w:w="568"/>
              <w:gridCol w:w="850"/>
              <w:gridCol w:w="426"/>
              <w:gridCol w:w="568"/>
              <w:gridCol w:w="566"/>
              <w:gridCol w:w="426"/>
              <w:gridCol w:w="851"/>
              <w:gridCol w:w="1634"/>
            </w:tblGrid>
            <w:tr w14:paraId="31AAE1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trPr>
              <w:tc>
                <w:tcPr>
                  <w:tcW w:w="435" w:type="pct"/>
                  <w:vAlign w:val="center"/>
                </w:tcPr>
                <w:p w14:paraId="5938441A">
                  <w:pPr>
                    <w:pStyle w:val="135"/>
                    <w:adjustRightInd w:val="0"/>
                    <w:snapToGrid w:val="0"/>
                    <w:rPr>
                      <w:rFonts w:cs="Times New Roman"/>
                      <w:b/>
                      <w:bCs/>
                      <w:snapToGrid w:val="0"/>
                    </w:rPr>
                  </w:pPr>
                  <w:r>
                    <w:rPr>
                      <w:rFonts w:cs="Times New Roman"/>
                      <w:b/>
                      <w:bCs/>
                      <w:snapToGrid w:val="0"/>
                    </w:rPr>
                    <w:t>危险废物名称</w:t>
                  </w:r>
                </w:p>
              </w:tc>
              <w:tc>
                <w:tcPr>
                  <w:tcW w:w="433" w:type="pct"/>
                  <w:vAlign w:val="center"/>
                </w:tcPr>
                <w:p w14:paraId="5E99711C">
                  <w:pPr>
                    <w:pStyle w:val="135"/>
                    <w:adjustRightInd w:val="0"/>
                    <w:snapToGrid w:val="0"/>
                    <w:rPr>
                      <w:rFonts w:cs="Times New Roman"/>
                      <w:b/>
                      <w:bCs/>
                      <w:snapToGrid w:val="0"/>
                    </w:rPr>
                  </w:pPr>
                  <w:r>
                    <w:rPr>
                      <w:rFonts w:cs="Times New Roman"/>
                      <w:b/>
                      <w:bCs/>
                      <w:snapToGrid w:val="0"/>
                    </w:rPr>
                    <w:t>危险废物类别</w:t>
                  </w:r>
                </w:p>
              </w:tc>
              <w:tc>
                <w:tcPr>
                  <w:tcW w:w="522" w:type="pct"/>
                  <w:vAlign w:val="center"/>
                </w:tcPr>
                <w:p w14:paraId="3F952CF1">
                  <w:pPr>
                    <w:pStyle w:val="135"/>
                    <w:adjustRightInd w:val="0"/>
                    <w:snapToGrid w:val="0"/>
                    <w:rPr>
                      <w:rFonts w:cs="Times New Roman"/>
                      <w:b/>
                      <w:bCs/>
                      <w:snapToGrid w:val="0"/>
                    </w:rPr>
                  </w:pPr>
                  <w:r>
                    <w:rPr>
                      <w:rFonts w:cs="Times New Roman"/>
                      <w:b/>
                      <w:bCs/>
                      <w:snapToGrid w:val="0"/>
                    </w:rPr>
                    <w:t>危险废物代码</w:t>
                  </w:r>
                </w:p>
              </w:tc>
              <w:tc>
                <w:tcPr>
                  <w:tcW w:w="348" w:type="pct"/>
                  <w:vAlign w:val="center"/>
                </w:tcPr>
                <w:p w14:paraId="58E9F75C">
                  <w:pPr>
                    <w:pStyle w:val="135"/>
                    <w:adjustRightInd w:val="0"/>
                    <w:snapToGrid w:val="0"/>
                    <w:rPr>
                      <w:rFonts w:cs="Times New Roman"/>
                      <w:b/>
                      <w:bCs/>
                      <w:snapToGrid w:val="0"/>
                    </w:rPr>
                  </w:pPr>
                  <w:r>
                    <w:rPr>
                      <w:rFonts w:cs="Times New Roman"/>
                      <w:b/>
                      <w:bCs/>
                      <w:snapToGrid w:val="0"/>
                    </w:rPr>
                    <w:t>产生量(t/a)</w:t>
                  </w:r>
                </w:p>
              </w:tc>
              <w:tc>
                <w:tcPr>
                  <w:tcW w:w="521" w:type="pct"/>
                  <w:vAlign w:val="center"/>
                </w:tcPr>
                <w:p w14:paraId="22C36E26">
                  <w:pPr>
                    <w:pStyle w:val="135"/>
                    <w:adjustRightInd w:val="0"/>
                    <w:snapToGrid w:val="0"/>
                    <w:rPr>
                      <w:rFonts w:cs="Times New Roman"/>
                      <w:b/>
                      <w:bCs/>
                      <w:snapToGrid w:val="0"/>
                    </w:rPr>
                  </w:pPr>
                  <w:r>
                    <w:rPr>
                      <w:rFonts w:cs="Times New Roman"/>
                      <w:b/>
                      <w:bCs/>
                      <w:snapToGrid w:val="0"/>
                    </w:rPr>
                    <w:t>产生工序及装置</w:t>
                  </w:r>
                </w:p>
              </w:tc>
              <w:tc>
                <w:tcPr>
                  <w:tcW w:w="261" w:type="pct"/>
                  <w:vAlign w:val="center"/>
                </w:tcPr>
                <w:p w14:paraId="3E656698">
                  <w:pPr>
                    <w:pStyle w:val="135"/>
                    <w:adjustRightInd w:val="0"/>
                    <w:snapToGrid w:val="0"/>
                    <w:rPr>
                      <w:rFonts w:cs="Times New Roman"/>
                      <w:b/>
                      <w:bCs/>
                      <w:snapToGrid w:val="0"/>
                    </w:rPr>
                  </w:pPr>
                  <w:r>
                    <w:rPr>
                      <w:rFonts w:cs="Times New Roman"/>
                      <w:b/>
                      <w:bCs/>
                      <w:snapToGrid w:val="0"/>
                    </w:rPr>
                    <w:t>形态</w:t>
                  </w:r>
                </w:p>
              </w:tc>
              <w:tc>
                <w:tcPr>
                  <w:tcW w:w="348" w:type="pct"/>
                  <w:vAlign w:val="center"/>
                </w:tcPr>
                <w:p w14:paraId="531DB74D">
                  <w:pPr>
                    <w:pStyle w:val="135"/>
                    <w:adjustRightInd w:val="0"/>
                    <w:snapToGrid w:val="0"/>
                    <w:rPr>
                      <w:rFonts w:cs="Times New Roman"/>
                      <w:b/>
                      <w:bCs/>
                      <w:snapToGrid w:val="0"/>
                    </w:rPr>
                  </w:pPr>
                  <w:r>
                    <w:rPr>
                      <w:rFonts w:cs="Times New Roman"/>
                      <w:b/>
                      <w:bCs/>
                      <w:snapToGrid w:val="0"/>
                    </w:rPr>
                    <w:t>主要成分</w:t>
                  </w:r>
                </w:p>
              </w:tc>
              <w:tc>
                <w:tcPr>
                  <w:tcW w:w="347" w:type="pct"/>
                  <w:vAlign w:val="center"/>
                </w:tcPr>
                <w:p w14:paraId="360DD5E5">
                  <w:pPr>
                    <w:pStyle w:val="135"/>
                    <w:adjustRightInd w:val="0"/>
                    <w:snapToGrid w:val="0"/>
                    <w:rPr>
                      <w:rFonts w:cs="Times New Roman"/>
                      <w:b/>
                      <w:bCs/>
                      <w:snapToGrid w:val="0"/>
                    </w:rPr>
                  </w:pPr>
                  <w:r>
                    <w:rPr>
                      <w:rFonts w:cs="Times New Roman"/>
                      <w:b/>
                      <w:bCs/>
                      <w:snapToGrid w:val="0"/>
                    </w:rPr>
                    <w:t>有害成分</w:t>
                  </w:r>
                </w:p>
              </w:tc>
              <w:tc>
                <w:tcPr>
                  <w:tcW w:w="261" w:type="pct"/>
                  <w:vAlign w:val="center"/>
                </w:tcPr>
                <w:p w14:paraId="4BD392A0">
                  <w:pPr>
                    <w:pStyle w:val="135"/>
                    <w:adjustRightInd w:val="0"/>
                    <w:snapToGrid w:val="0"/>
                    <w:rPr>
                      <w:rFonts w:cs="Times New Roman"/>
                      <w:b/>
                      <w:bCs/>
                      <w:snapToGrid w:val="0"/>
                    </w:rPr>
                  </w:pPr>
                  <w:r>
                    <w:rPr>
                      <w:rFonts w:cs="Times New Roman"/>
                      <w:b/>
                      <w:bCs/>
                      <w:snapToGrid w:val="0"/>
                    </w:rPr>
                    <w:t>产废周期</w:t>
                  </w:r>
                </w:p>
              </w:tc>
              <w:tc>
                <w:tcPr>
                  <w:tcW w:w="522" w:type="pct"/>
                  <w:vAlign w:val="center"/>
                </w:tcPr>
                <w:p w14:paraId="177BCD89">
                  <w:pPr>
                    <w:pStyle w:val="135"/>
                    <w:adjustRightInd w:val="0"/>
                    <w:snapToGrid w:val="0"/>
                    <w:rPr>
                      <w:rFonts w:cs="Times New Roman"/>
                      <w:b/>
                      <w:bCs/>
                      <w:snapToGrid w:val="0"/>
                    </w:rPr>
                  </w:pPr>
                  <w:r>
                    <w:rPr>
                      <w:rFonts w:cs="Times New Roman"/>
                      <w:b/>
                      <w:bCs/>
                      <w:snapToGrid w:val="0"/>
                    </w:rPr>
                    <w:t>危险特性</w:t>
                  </w:r>
                </w:p>
              </w:tc>
              <w:tc>
                <w:tcPr>
                  <w:tcW w:w="1002" w:type="pct"/>
                  <w:vAlign w:val="center"/>
                </w:tcPr>
                <w:p w14:paraId="0388C99B">
                  <w:pPr>
                    <w:pStyle w:val="135"/>
                    <w:adjustRightInd w:val="0"/>
                    <w:snapToGrid w:val="0"/>
                    <w:rPr>
                      <w:rFonts w:cs="Times New Roman"/>
                      <w:b/>
                      <w:bCs/>
                      <w:snapToGrid w:val="0"/>
                    </w:rPr>
                  </w:pPr>
                  <w:r>
                    <w:rPr>
                      <w:rFonts w:cs="Times New Roman"/>
                      <w:b/>
                      <w:bCs/>
                      <w:snapToGrid w:val="0"/>
                    </w:rPr>
                    <w:t>污染防治措施</w:t>
                  </w:r>
                </w:p>
              </w:tc>
            </w:tr>
            <w:tr w14:paraId="0DDAC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35" w:type="pct"/>
                  <w:vAlign w:val="center"/>
                </w:tcPr>
                <w:p w14:paraId="03A1782F">
                  <w:pPr>
                    <w:pStyle w:val="135"/>
                    <w:adjustRightInd w:val="0"/>
                    <w:snapToGrid w:val="0"/>
                    <w:rPr>
                      <w:rFonts w:cs="Times New Roman"/>
                      <w:lang w:val="de-DE"/>
                    </w:rPr>
                  </w:pPr>
                  <w:r>
                    <w:rPr>
                      <w:rFonts w:hint="eastAsia"/>
                    </w:rPr>
                    <w:t>废机油</w:t>
                  </w:r>
                </w:p>
              </w:tc>
              <w:tc>
                <w:tcPr>
                  <w:tcW w:w="433" w:type="pct"/>
                  <w:vAlign w:val="center"/>
                </w:tcPr>
                <w:p w14:paraId="648C429E">
                  <w:pPr>
                    <w:pStyle w:val="135"/>
                    <w:adjustRightInd w:val="0"/>
                    <w:snapToGrid w:val="0"/>
                    <w:rPr>
                      <w:rFonts w:cs="Times New Roman"/>
                      <w:snapToGrid w:val="0"/>
                    </w:rPr>
                  </w:pPr>
                  <w:r>
                    <w:rPr>
                      <w:rFonts w:hint="eastAsia"/>
                    </w:rPr>
                    <w:t>HW</w:t>
                  </w:r>
                  <w:r>
                    <w:t>08</w:t>
                  </w:r>
                </w:p>
              </w:tc>
              <w:tc>
                <w:tcPr>
                  <w:tcW w:w="522" w:type="pct"/>
                  <w:vAlign w:val="center"/>
                </w:tcPr>
                <w:p w14:paraId="73E4934B">
                  <w:pPr>
                    <w:pStyle w:val="135"/>
                    <w:adjustRightInd w:val="0"/>
                    <w:snapToGrid w:val="0"/>
                    <w:rPr>
                      <w:rFonts w:cs="Times New Roman"/>
                      <w:snapToGrid w:val="0"/>
                    </w:rPr>
                  </w:pPr>
                  <w:r>
                    <w:t>900-214-08</w:t>
                  </w:r>
                </w:p>
              </w:tc>
              <w:tc>
                <w:tcPr>
                  <w:tcW w:w="348" w:type="pct"/>
                  <w:vAlign w:val="center"/>
                </w:tcPr>
                <w:p w14:paraId="22F393AB">
                  <w:pPr>
                    <w:pStyle w:val="135"/>
                    <w:adjustRightInd w:val="0"/>
                    <w:snapToGrid w:val="0"/>
                    <w:rPr>
                      <w:rFonts w:cs="Times New Roman"/>
                      <w:lang w:val="de-DE"/>
                    </w:rPr>
                  </w:pPr>
                  <w:r>
                    <w:rPr>
                      <w:rFonts w:hint="eastAsia"/>
                    </w:rPr>
                    <w:t>0</w:t>
                  </w:r>
                  <w:r>
                    <w:t>.1</w:t>
                  </w:r>
                </w:p>
              </w:tc>
              <w:tc>
                <w:tcPr>
                  <w:tcW w:w="521" w:type="pct"/>
                  <w:vAlign w:val="center"/>
                </w:tcPr>
                <w:p w14:paraId="7574BE7D">
                  <w:pPr>
                    <w:pStyle w:val="135"/>
                    <w:adjustRightInd w:val="0"/>
                    <w:snapToGrid w:val="0"/>
                    <w:rPr>
                      <w:rFonts w:cs="Times New Roman"/>
                      <w:snapToGrid w:val="0"/>
                    </w:rPr>
                  </w:pPr>
                  <w:r>
                    <w:rPr>
                      <w:rFonts w:hint="eastAsia" w:cs="Times New Roman"/>
                      <w:snapToGrid w:val="0"/>
                    </w:rPr>
                    <w:t>维修</w:t>
                  </w:r>
                </w:p>
              </w:tc>
              <w:tc>
                <w:tcPr>
                  <w:tcW w:w="261" w:type="pct"/>
                  <w:vAlign w:val="center"/>
                </w:tcPr>
                <w:p w14:paraId="1ABCCA88">
                  <w:pPr>
                    <w:pStyle w:val="135"/>
                    <w:adjustRightInd w:val="0"/>
                    <w:snapToGrid w:val="0"/>
                    <w:rPr>
                      <w:rFonts w:cs="Times New Roman"/>
                      <w:snapToGrid w:val="0"/>
                    </w:rPr>
                  </w:pPr>
                  <w:r>
                    <w:rPr>
                      <w:rFonts w:hint="eastAsia" w:cs="Times New Roman"/>
                      <w:snapToGrid w:val="0"/>
                    </w:rPr>
                    <w:t>液态</w:t>
                  </w:r>
                </w:p>
              </w:tc>
              <w:tc>
                <w:tcPr>
                  <w:tcW w:w="348" w:type="pct"/>
                  <w:vAlign w:val="center"/>
                </w:tcPr>
                <w:p w14:paraId="57B28677">
                  <w:pPr>
                    <w:pStyle w:val="135"/>
                    <w:adjustRightInd w:val="0"/>
                    <w:snapToGrid w:val="0"/>
                    <w:rPr>
                      <w:rFonts w:cs="Times New Roman"/>
                      <w:snapToGrid w:val="0"/>
                    </w:rPr>
                  </w:pPr>
                  <w:r>
                    <w:rPr>
                      <w:rFonts w:hint="eastAsia" w:cs="Times New Roman"/>
                      <w:snapToGrid w:val="0"/>
                    </w:rPr>
                    <w:t>矿物油</w:t>
                  </w:r>
                </w:p>
              </w:tc>
              <w:tc>
                <w:tcPr>
                  <w:tcW w:w="347" w:type="pct"/>
                  <w:vAlign w:val="center"/>
                </w:tcPr>
                <w:p w14:paraId="76DD72DF">
                  <w:pPr>
                    <w:pStyle w:val="135"/>
                    <w:adjustRightInd w:val="0"/>
                    <w:snapToGrid w:val="0"/>
                    <w:rPr>
                      <w:rFonts w:cs="Times New Roman"/>
                      <w:snapToGrid w:val="0"/>
                    </w:rPr>
                  </w:pPr>
                  <w:r>
                    <w:rPr>
                      <w:rFonts w:hint="eastAsia" w:cs="Times New Roman"/>
                      <w:snapToGrid w:val="0"/>
                    </w:rPr>
                    <w:t>矿物油</w:t>
                  </w:r>
                </w:p>
              </w:tc>
              <w:tc>
                <w:tcPr>
                  <w:tcW w:w="261" w:type="pct"/>
                  <w:vAlign w:val="center"/>
                </w:tcPr>
                <w:p w14:paraId="288CC794">
                  <w:pPr>
                    <w:pStyle w:val="135"/>
                    <w:adjustRightInd w:val="0"/>
                    <w:snapToGrid w:val="0"/>
                    <w:rPr>
                      <w:rFonts w:cs="Times New Roman"/>
                      <w:snapToGrid w:val="0"/>
                    </w:rPr>
                  </w:pPr>
                  <w:r>
                    <w:rPr>
                      <w:rFonts w:hint="eastAsia" w:cs="Times New Roman"/>
                      <w:snapToGrid w:val="0"/>
                    </w:rPr>
                    <w:t>不定期</w:t>
                  </w:r>
                </w:p>
              </w:tc>
              <w:tc>
                <w:tcPr>
                  <w:tcW w:w="522" w:type="pct"/>
                  <w:vAlign w:val="center"/>
                </w:tcPr>
                <w:p w14:paraId="3BD14844">
                  <w:pPr>
                    <w:pStyle w:val="135"/>
                    <w:adjustRightInd w:val="0"/>
                    <w:snapToGrid w:val="0"/>
                    <w:rPr>
                      <w:rFonts w:cs="Times New Roman"/>
                      <w:snapToGrid w:val="0"/>
                    </w:rPr>
                  </w:pPr>
                  <w:r>
                    <w:rPr>
                      <w:rFonts w:hint="eastAsia" w:cs="Times New Roman"/>
                      <w:snapToGrid w:val="0"/>
                    </w:rPr>
                    <w:t>T、I</w:t>
                  </w:r>
                </w:p>
              </w:tc>
              <w:tc>
                <w:tcPr>
                  <w:tcW w:w="1002" w:type="pct"/>
                  <w:vMerge w:val="restart"/>
                  <w:vAlign w:val="center"/>
                </w:tcPr>
                <w:p w14:paraId="66CE27D3">
                  <w:pPr>
                    <w:pStyle w:val="135"/>
                    <w:adjustRightInd w:val="0"/>
                    <w:snapToGrid w:val="0"/>
                    <w:jc w:val="both"/>
                    <w:rPr>
                      <w:rFonts w:cs="Times New Roman"/>
                      <w:lang w:val="de-DE"/>
                    </w:rPr>
                  </w:pPr>
                  <w:r>
                    <w:rPr>
                      <w:rFonts w:hint="eastAsia"/>
                    </w:rPr>
                    <w:t>桶装收集后，暂存于危废暂存间（</w:t>
                  </w:r>
                  <w:r>
                    <w:t>5</w:t>
                  </w:r>
                  <w:r>
                    <w:rPr>
                      <w:rFonts w:hint="eastAsia"/>
                    </w:rPr>
                    <w:t>m</w:t>
                  </w:r>
                  <w:r>
                    <w:rPr>
                      <w:vertAlign w:val="superscript"/>
                    </w:rPr>
                    <w:t>2</w:t>
                  </w:r>
                  <w:r>
                    <w:rPr>
                      <w:rFonts w:hint="eastAsia"/>
                    </w:rPr>
                    <w:t>），定期由危险废物处置资质的单位清运处理</w:t>
                  </w:r>
                </w:p>
              </w:tc>
            </w:tr>
            <w:tr w14:paraId="4D41D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35" w:type="pct"/>
                  <w:vAlign w:val="center"/>
                </w:tcPr>
                <w:p w14:paraId="71493F35">
                  <w:pPr>
                    <w:pStyle w:val="135"/>
                    <w:adjustRightInd w:val="0"/>
                    <w:snapToGrid w:val="0"/>
                    <w:rPr>
                      <w:rFonts w:cs="Times New Roman"/>
                      <w:lang w:val="de-DE"/>
                    </w:rPr>
                  </w:pPr>
                  <w:r>
                    <w:rPr>
                      <w:rFonts w:hint="eastAsia"/>
                    </w:rPr>
                    <w:t>废机油桶</w:t>
                  </w:r>
                </w:p>
              </w:tc>
              <w:tc>
                <w:tcPr>
                  <w:tcW w:w="433" w:type="pct"/>
                  <w:vAlign w:val="center"/>
                </w:tcPr>
                <w:p w14:paraId="220ACA7E">
                  <w:pPr>
                    <w:pStyle w:val="135"/>
                    <w:adjustRightInd w:val="0"/>
                    <w:snapToGrid w:val="0"/>
                    <w:rPr>
                      <w:rFonts w:cs="Times New Roman"/>
                      <w:snapToGrid w:val="0"/>
                    </w:rPr>
                  </w:pPr>
                  <w:r>
                    <w:rPr>
                      <w:rFonts w:hint="eastAsia"/>
                    </w:rPr>
                    <w:t>HW</w:t>
                  </w:r>
                  <w:r>
                    <w:t>08</w:t>
                  </w:r>
                </w:p>
              </w:tc>
              <w:tc>
                <w:tcPr>
                  <w:tcW w:w="522" w:type="pct"/>
                  <w:vAlign w:val="center"/>
                </w:tcPr>
                <w:p w14:paraId="13070F87">
                  <w:pPr>
                    <w:pStyle w:val="135"/>
                    <w:adjustRightInd w:val="0"/>
                    <w:snapToGrid w:val="0"/>
                    <w:rPr>
                      <w:rFonts w:cs="Times New Roman"/>
                      <w:snapToGrid w:val="0"/>
                    </w:rPr>
                  </w:pPr>
                  <w:r>
                    <w:t>900-249-08</w:t>
                  </w:r>
                </w:p>
              </w:tc>
              <w:tc>
                <w:tcPr>
                  <w:tcW w:w="348" w:type="pct"/>
                  <w:vAlign w:val="center"/>
                </w:tcPr>
                <w:p w14:paraId="10EB7A06">
                  <w:pPr>
                    <w:pStyle w:val="135"/>
                    <w:adjustRightInd w:val="0"/>
                    <w:snapToGrid w:val="0"/>
                    <w:rPr>
                      <w:rFonts w:cs="Times New Roman"/>
                      <w:lang w:val="de-DE"/>
                    </w:rPr>
                  </w:pPr>
                  <w:r>
                    <w:t>0.1</w:t>
                  </w:r>
                </w:p>
              </w:tc>
              <w:tc>
                <w:tcPr>
                  <w:tcW w:w="521" w:type="pct"/>
                  <w:vAlign w:val="center"/>
                </w:tcPr>
                <w:p w14:paraId="34B4F2B3">
                  <w:pPr>
                    <w:pStyle w:val="135"/>
                    <w:adjustRightInd w:val="0"/>
                    <w:snapToGrid w:val="0"/>
                    <w:rPr>
                      <w:rFonts w:cs="Times New Roman"/>
                      <w:snapToGrid w:val="0"/>
                    </w:rPr>
                  </w:pPr>
                  <w:r>
                    <w:rPr>
                      <w:rFonts w:hint="eastAsia" w:cs="Times New Roman"/>
                      <w:snapToGrid w:val="0"/>
                    </w:rPr>
                    <w:t>维修</w:t>
                  </w:r>
                </w:p>
              </w:tc>
              <w:tc>
                <w:tcPr>
                  <w:tcW w:w="261" w:type="pct"/>
                  <w:vAlign w:val="center"/>
                </w:tcPr>
                <w:p w14:paraId="1CCF918D">
                  <w:pPr>
                    <w:pStyle w:val="135"/>
                    <w:adjustRightInd w:val="0"/>
                    <w:snapToGrid w:val="0"/>
                    <w:rPr>
                      <w:rFonts w:cs="Times New Roman"/>
                      <w:snapToGrid w:val="0"/>
                    </w:rPr>
                  </w:pPr>
                  <w:r>
                    <w:rPr>
                      <w:rFonts w:hint="eastAsia" w:cs="Times New Roman"/>
                      <w:snapToGrid w:val="0"/>
                    </w:rPr>
                    <w:t>固态</w:t>
                  </w:r>
                </w:p>
              </w:tc>
              <w:tc>
                <w:tcPr>
                  <w:tcW w:w="348" w:type="pct"/>
                  <w:vAlign w:val="center"/>
                </w:tcPr>
                <w:p w14:paraId="620F7D80">
                  <w:pPr>
                    <w:pStyle w:val="135"/>
                    <w:adjustRightInd w:val="0"/>
                    <w:snapToGrid w:val="0"/>
                    <w:rPr>
                      <w:rFonts w:cs="Times New Roman"/>
                      <w:snapToGrid w:val="0"/>
                    </w:rPr>
                  </w:pPr>
                  <w:r>
                    <w:rPr>
                      <w:rFonts w:hint="eastAsia" w:cs="Times New Roman"/>
                      <w:snapToGrid w:val="0"/>
                    </w:rPr>
                    <w:t>金属、矿物油</w:t>
                  </w:r>
                </w:p>
              </w:tc>
              <w:tc>
                <w:tcPr>
                  <w:tcW w:w="347" w:type="pct"/>
                  <w:vAlign w:val="center"/>
                </w:tcPr>
                <w:p w14:paraId="074E88F2">
                  <w:pPr>
                    <w:pStyle w:val="135"/>
                    <w:adjustRightInd w:val="0"/>
                    <w:snapToGrid w:val="0"/>
                    <w:rPr>
                      <w:rFonts w:cs="Times New Roman"/>
                      <w:snapToGrid w:val="0"/>
                    </w:rPr>
                  </w:pPr>
                  <w:r>
                    <w:rPr>
                      <w:rFonts w:hint="eastAsia" w:cs="Times New Roman"/>
                      <w:snapToGrid w:val="0"/>
                    </w:rPr>
                    <w:t>矿物油</w:t>
                  </w:r>
                </w:p>
              </w:tc>
              <w:tc>
                <w:tcPr>
                  <w:tcW w:w="261" w:type="pct"/>
                  <w:vAlign w:val="center"/>
                </w:tcPr>
                <w:p w14:paraId="6AE85F8A">
                  <w:pPr>
                    <w:pStyle w:val="135"/>
                    <w:adjustRightInd w:val="0"/>
                    <w:snapToGrid w:val="0"/>
                    <w:rPr>
                      <w:rFonts w:cs="Times New Roman"/>
                      <w:snapToGrid w:val="0"/>
                    </w:rPr>
                  </w:pPr>
                  <w:r>
                    <w:rPr>
                      <w:rFonts w:hint="eastAsia" w:cs="Times New Roman"/>
                      <w:snapToGrid w:val="0"/>
                    </w:rPr>
                    <w:t>不定期</w:t>
                  </w:r>
                </w:p>
              </w:tc>
              <w:tc>
                <w:tcPr>
                  <w:tcW w:w="522" w:type="pct"/>
                  <w:vAlign w:val="center"/>
                </w:tcPr>
                <w:p w14:paraId="6FA610BD">
                  <w:pPr>
                    <w:pStyle w:val="135"/>
                    <w:adjustRightInd w:val="0"/>
                    <w:snapToGrid w:val="0"/>
                    <w:rPr>
                      <w:rFonts w:cs="Times New Roman"/>
                      <w:snapToGrid w:val="0"/>
                    </w:rPr>
                  </w:pPr>
                  <w:r>
                    <w:rPr>
                      <w:rFonts w:hint="eastAsia" w:cs="Times New Roman"/>
                      <w:snapToGrid w:val="0"/>
                    </w:rPr>
                    <w:t>T</w:t>
                  </w:r>
                  <w:r>
                    <w:rPr>
                      <w:rFonts w:cs="Times New Roman"/>
                      <w:snapToGrid w:val="0"/>
                    </w:rPr>
                    <w:t>/</w:t>
                  </w:r>
                  <w:r>
                    <w:rPr>
                      <w:rFonts w:hint="eastAsia" w:cs="Times New Roman"/>
                      <w:snapToGrid w:val="0"/>
                    </w:rPr>
                    <w:t>In</w:t>
                  </w:r>
                </w:p>
              </w:tc>
              <w:tc>
                <w:tcPr>
                  <w:tcW w:w="1002" w:type="pct"/>
                  <w:vMerge w:val="continue"/>
                  <w:vAlign w:val="center"/>
                </w:tcPr>
                <w:p w14:paraId="50DD1A2C">
                  <w:pPr>
                    <w:pStyle w:val="135"/>
                    <w:adjustRightInd w:val="0"/>
                    <w:snapToGrid w:val="0"/>
                    <w:rPr>
                      <w:rFonts w:cs="Times New Roman"/>
                      <w:snapToGrid w:val="0"/>
                    </w:rPr>
                  </w:pPr>
                </w:p>
              </w:tc>
            </w:tr>
          </w:tbl>
          <w:p w14:paraId="0D67F0C5">
            <w:pPr>
              <w:ind w:firstLine="422"/>
              <w:rPr>
                <w:b/>
                <w:bCs/>
              </w:rPr>
            </w:pPr>
            <w:r>
              <w:rPr>
                <w:rFonts w:hint="eastAsia"/>
                <w:b/>
                <w:bCs/>
              </w:rPr>
              <w:t>危险废物管理要求：</w:t>
            </w:r>
          </w:p>
          <w:p w14:paraId="678C77E0">
            <w:pPr>
              <w:ind w:firstLine="420"/>
            </w:pPr>
            <w:r>
              <w:rPr>
                <w:rFonts w:hint="eastAsia"/>
              </w:rPr>
              <w:t>建设单位应严格按照《危险废物贮存污染控制标准》（GB18597-20</w:t>
            </w:r>
            <w:r>
              <w:t>23</w:t>
            </w:r>
            <w:r>
              <w:rPr>
                <w:rFonts w:hint="eastAsia"/>
              </w:rPr>
              <w:t>）中相关规定，对项目产生的危险废物进行妥善管理和处置。</w:t>
            </w:r>
          </w:p>
          <w:p w14:paraId="12DFC311">
            <w:pPr>
              <w:ind w:firstLine="420"/>
            </w:pPr>
            <w:r>
              <w:rPr>
                <w:rFonts w:hint="eastAsia"/>
              </w:rPr>
              <w:t>危险废物暂存间位于厂区东侧，危险废物暂存间采用</w:t>
            </w:r>
            <w:r>
              <w:t>2</w:t>
            </w:r>
            <w:r>
              <w:rPr>
                <w:rFonts w:hint="eastAsia"/>
              </w:rPr>
              <w:t>mm厚环氧树脂地坪+防渗混凝土防渗，确保危废暂存间等效黏土防渗层Mb≥6.0m，K≤1×10</w:t>
            </w:r>
            <w:r>
              <w:rPr>
                <w:rFonts w:hint="eastAsia"/>
                <w:vertAlign w:val="superscript"/>
              </w:rPr>
              <w:t>-10</w:t>
            </w:r>
            <w:r>
              <w:rPr>
                <w:rFonts w:hint="eastAsia"/>
              </w:rPr>
              <w:t>cm/ s的要求。本次评价要求，项目产生的各类危险废物应按环评要求收集、暂存，并交由有危险废物处置资质单位清运处置。</w:t>
            </w:r>
          </w:p>
          <w:p w14:paraId="2D4B0BDD">
            <w:pPr>
              <w:ind w:firstLine="420"/>
            </w:pPr>
            <w:r>
              <w:rPr>
                <w:rFonts w:hint="eastAsia"/>
              </w:rPr>
              <w:t>根据《中华人民共和国固体废物污染环境防治法》中“第四章 危险废物污染环境防治的特别规定”，该项目应执行以下规定：必须按照国家有关规定申报登记；必须按照国家有关规定处置，不处置的，由所在地县级以上人民政府环境保护行政主管部门责令限期改正，逾期不处置或者处置不符合国家有关规定的，由所在地县级以上地方人民政府环境保护行政主管部门指定单位按照国家有关规定代为处置，处置费用由产生危险废物的单位承担。</w:t>
            </w:r>
          </w:p>
          <w:p w14:paraId="3312E8F7">
            <w:pPr>
              <w:ind w:firstLine="420"/>
            </w:pPr>
            <w:r>
              <w:rPr>
                <w:rFonts w:hint="eastAsia"/>
              </w:rPr>
              <w:t>项目运营期，对危险废物的收集、暂存按国家标准有如下要求：</w:t>
            </w:r>
          </w:p>
          <w:p w14:paraId="778010BD">
            <w:pPr>
              <w:ind w:firstLine="420"/>
            </w:pPr>
            <w:r>
              <w:rPr>
                <w:rFonts w:hint="eastAsia"/>
              </w:rPr>
              <w:t>①危险废物的收集包装</w:t>
            </w:r>
          </w:p>
          <w:p w14:paraId="070F07AB">
            <w:pPr>
              <w:ind w:firstLine="420"/>
            </w:pPr>
            <w:r>
              <w:rPr>
                <w:rFonts w:hint="eastAsia"/>
              </w:rPr>
              <w:t>a.有符合要求的包装容器、收集人员的个人防护设备；</w:t>
            </w:r>
          </w:p>
          <w:p w14:paraId="66A5D8E6">
            <w:pPr>
              <w:ind w:firstLine="420"/>
            </w:pPr>
            <w:r>
              <w:rPr>
                <w:rFonts w:hint="eastAsia"/>
              </w:rPr>
              <w:t>b.危险废物的收集容器应在醒目位置贴有危险废物标签，在收集场所醒目的地方设置危险废物警告标识。所有收集容器必须密闭；</w:t>
            </w:r>
          </w:p>
          <w:p w14:paraId="037EEF16">
            <w:pPr>
              <w:ind w:firstLine="420"/>
            </w:pPr>
            <w:r>
              <w:rPr>
                <w:rFonts w:hint="eastAsia"/>
              </w:rPr>
              <w:t>c.禁止将不相容（相互反应）的危险废物在同一容器内混装</w:t>
            </w:r>
          </w:p>
          <w:p w14:paraId="37A6D850">
            <w:pPr>
              <w:ind w:firstLine="420"/>
            </w:pPr>
            <w:r>
              <w:rPr>
                <w:rFonts w:hint="eastAsia"/>
              </w:rPr>
              <w:t>d.危险废物标签应标明以下信息：主要化学成分或危险废物名称、数量、物理形态、危险类别、安全措施以及危险废物产生单位名称、地址、联系人及电话。</w:t>
            </w:r>
          </w:p>
          <w:p w14:paraId="16C54D2E">
            <w:pPr>
              <w:ind w:firstLine="420"/>
            </w:pPr>
            <w:r>
              <w:rPr>
                <w:rFonts w:hint="eastAsia"/>
              </w:rPr>
              <w:t>②危险废物的暂存要求</w:t>
            </w:r>
          </w:p>
          <w:p w14:paraId="2A2EA891">
            <w:pPr>
              <w:ind w:firstLine="420"/>
            </w:pPr>
            <w:r>
              <w:rPr>
                <w:rFonts w:hint="eastAsia"/>
              </w:rPr>
              <w:t>危险废物堆放场应满足《危险废物贮存污染控制标准》（GB18597-20</w:t>
            </w:r>
            <w:r>
              <w:t>23</w:t>
            </w:r>
            <w:r>
              <w:rPr>
                <w:rFonts w:hint="eastAsia"/>
              </w:rPr>
              <w:t>）有关规定：</w:t>
            </w:r>
          </w:p>
          <w:p w14:paraId="5B0587C2">
            <w:pPr>
              <w:ind w:firstLine="420"/>
            </w:pPr>
            <w:r>
              <w:rPr>
                <w:rFonts w:hint="eastAsia"/>
              </w:rPr>
              <w:t>a.厂区按照《环境保护图形标志 固体废物贮存（处置）场》（GB15562.2-1995）设置警示标志。</w:t>
            </w:r>
          </w:p>
          <w:p w14:paraId="7E360972">
            <w:pPr>
              <w:ind w:firstLine="420"/>
            </w:pPr>
            <w:r>
              <w:rPr>
                <w:rFonts w:hint="eastAsia"/>
              </w:rPr>
              <w:t>b.危废暂存间设置有耐腐蚀的硬化地面和基础防渗层，地面无裂隙。</w:t>
            </w:r>
          </w:p>
          <w:p w14:paraId="7A1550CC">
            <w:pPr>
              <w:ind w:firstLine="420"/>
            </w:pPr>
            <w:r>
              <w:rPr>
                <w:rFonts w:hint="eastAsia"/>
              </w:rPr>
              <w:t>c.危废暂存间设置有防风、防雨、防晒措施。</w:t>
            </w:r>
          </w:p>
          <w:p w14:paraId="1EC9A204">
            <w:pPr>
              <w:ind w:firstLine="420"/>
            </w:pPr>
            <w:r>
              <w:rPr>
                <w:rFonts w:hint="eastAsia"/>
              </w:rPr>
              <w:t>d.危废暂存间设置有隔离设施。</w:t>
            </w:r>
          </w:p>
          <w:p w14:paraId="38592954">
            <w:pPr>
              <w:ind w:firstLine="420"/>
            </w:pPr>
            <w:r>
              <w:rPr>
                <w:rFonts w:hint="eastAsia"/>
              </w:rPr>
              <w:t>e.危废暂存间应配备通讯设备、照明设施、安全防护服装及工具。</w:t>
            </w:r>
          </w:p>
          <w:p w14:paraId="4F9345FE">
            <w:pPr>
              <w:ind w:firstLine="420"/>
            </w:pPr>
            <w:r>
              <w:rPr>
                <w:rFonts w:hint="eastAsia"/>
              </w:rPr>
              <w:t>针对本项目实际情况，提出以下固体废物管理要求：</w:t>
            </w:r>
          </w:p>
          <w:p w14:paraId="5FF1103E">
            <w:pPr>
              <w:ind w:firstLine="420"/>
            </w:pPr>
            <w:r>
              <w:rPr>
                <w:rFonts w:hint="eastAsia"/>
              </w:rPr>
              <w:t>1）危险废物转移过程应按《危险废物转移联单管理办法》执行。</w:t>
            </w:r>
          </w:p>
          <w:p w14:paraId="3E08F4BD">
            <w:pPr>
              <w:ind w:firstLine="420"/>
            </w:pPr>
            <w:r>
              <w:rPr>
                <w:rFonts w:hint="eastAsia"/>
              </w:rPr>
              <w:t>2）危险废物收集、贮存、运输单位应建立规范的管理和技术人员培训制度，定期针对管理和技术人员进行培训。培训内容至少应包括危险废物鉴别要求、危险废物经营许可证管理、危险废物转移联单管理、危险废物包装和标识、危险废物运输要求、危险废物事故应急方法等。</w:t>
            </w:r>
          </w:p>
          <w:p w14:paraId="71082458">
            <w:pPr>
              <w:ind w:firstLine="420"/>
            </w:pPr>
            <w:r>
              <w:rPr>
                <w:rFonts w:hint="eastAsia"/>
              </w:rPr>
              <w:t>3）危险废物收集、贮存、运输时应按腐蚀性、毒性、易燃性、反应性和感染性等危险特性对危险废物进行分类、包装并设置相应的标志及标签。</w:t>
            </w:r>
          </w:p>
          <w:p w14:paraId="792547CA">
            <w:pPr>
              <w:ind w:firstLine="422"/>
              <w:rPr>
                <w:b/>
              </w:rPr>
            </w:pPr>
            <w:r>
              <w:rPr>
                <w:rFonts w:hint="eastAsia"/>
                <w:b/>
              </w:rPr>
              <w:t>综上，本项目产生的各种固体废物均得到妥善处理</w:t>
            </w:r>
            <w:r>
              <w:rPr>
                <w:rFonts w:ascii="TimesNewRomanPSMT" w:eastAsia="TimesNewRomanPSMT" w:cs="TimesNewRomanPSMT"/>
                <w:b/>
              </w:rPr>
              <w:t>/</w:t>
            </w:r>
            <w:r>
              <w:rPr>
                <w:rFonts w:hint="eastAsia"/>
                <w:b/>
              </w:rPr>
              <w:t>处置，不会造成二次污染。</w:t>
            </w:r>
          </w:p>
          <w:p w14:paraId="669CB9A2">
            <w:pPr>
              <w:pStyle w:val="157"/>
            </w:pPr>
            <w:r>
              <w:rPr>
                <w:rFonts w:hint="eastAsia"/>
              </w:rPr>
              <w:t>五、</w:t>
            </w:r>
            <w:r>
              <w:t>地下水、土壤</w:t>
            </w:r>
          </w:p>
          <w:p w14:paraId="128C2368">
            <w:pPr>
              <w:ind w:firstLine="420"/>
            </w:pPr>
            <w:r>
              <w:t>（1）污染途径及污染防控措施</w:t>
            </w:r>
          </w:p>
          <w:p w14:paraId="2536F94A">
            <w:pPr>
              <w:ind w:firstLine="420"/>
            </w:pPr>
            <w:r>
              <w:t>本项目污染物进入地下水、土壤的途径主要为</w:t>
            </w:r>
            <w:r>
              <w:rPr>
                <w:rFonts w:hint="eastAsia"/>
              </w:rPr>
              <w:t>危废暂存间的油类物质</w:t>
            </w:r>
            <w:r>
              <w:t>通过垂直进入土壤渗透进入包气带，进入包气带的污染物在物理、化学和生物作用下经吸附、转换、迁移和分解后输入地下水。</w:t>
            </w:r>
          </w:p>
          <w:p w14:paraId="490661AD">
            <w:pPr>
              <w:ind w:firstLine="420"/>
            </w:pPr>
            <w:r>
              <w:t>为了防止生产过程中液体物质渗漏对地下水、土壤产生污染，本项目地面防渗根据区域和功能不同，分为重点防渗、一般防渗、简单防渗区，划分情况如下：</w:t>
            </w:r>
          </w:p>
          <w:p w14:paraId="14DE02DE">
            <w:pPr>
              <w:pStyle w:val="156"/>
              <w:keepNext/>
            </w:pPr>
            <w:r>
              <w:t>表4-15  项目防渗分区表</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22"/>
              <w:gridCol w:w="1210"/>
              <w:gridCol w:w="951"/>
              <w:gridCol w:w="2039"/>
              <w:gridCol w:w="3014"/>
              <w:gridCol w:w="520"/>
            </w:tblGrid>
            <w:tr w14:paraId="4ED5B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blHeader/>
              </w:trPr>
              <w:tc>
                <w:tcPr>
                  <w:tcW w:w="259" w:type="pct"/>
                  <w:vAlign w:val="center"/>
                </w:tcPr>
                <w:p w14:paraId="2420AA09">
                  <w:pPr>
                    <w:spacing w:line="360" w:lineRule="exact"/>
                    <w:ind w:firstLine="0" w:firstLineChars="0"/>
                    <w:jc w:val="center"/>
                    <w:rPr>
                      <w:b/>
                      <w:bCs/>
                      <w:sz w:val="18"/>
                      <w:szCs w:val="18"/>
                    </w:rPr>
                  </w:pPr>
                  <w:r>
                    <w:rPr>
                      <w:b/>
                      <w:bCs/>
                      <w:sz w:val="18"/>
                      <w:szCs w:val="18"/>
                    </w:rPr>
                    <w:t>序号</w:t>
                  </w:r>
                </w:p>
              </w:tc>
              <w:tc>
                <w:tcPr>
                  <w:tcW w:w="742" w:type="pct"/>
                  <w:vAlign w:val="center"/>
                </w:tcPr>
                <w:p w14:paraId="1427D544">
                  <w:pPr>
                    <w:spacing w:line="360" w:lineRule="exact"/>
                    <w:ind w:firstLine="0" w:firstLineChars="0"/>
                    <w:jc w:val="center"/>
                    <w:rPr>
                      <w:b/>
                      <w:bCs/>
                      <w:sz w:val="18"/>
                      <w:szCs w:val="18"/>
                    </w:rPr>
                  </w:pPr>
                  <w:r>
                    <w:rPr>
                      <w:b/>
                      <w:bCs/>
                      <w:sz w:val="18"/>
                      <w:szCs w:val="18"/>
                    </w:rPr>
                    <w:t>区域</w:t>
                  </w:r>
                </w:p>
              </w:tc>
              <w:tc>
                <w:tcPr>
                  <w:tcW w:w="583" w:type="pct"/>
                  <w:vAlign w:val="center"/>
                </w:tcPr>
                <w:p w14:paraId="572D5BCE">
                  <w:pPr>
                    <w:spacing w:line="360" w:lineRule="exact"/>
                    <w:ind w:firstLine="0" w:firstLineChars="0"/>
                    <w:jc w:val="center"/>
                    <w:rPr>
                      <w:b/>
                      <w:bCs/>
                      <w:sz w:val="18"/>
                      <w:szCs w:val="18"/>
                    </w:rPr>
                  </w:pPr>
                  <w:r>
                    <w:rPr>
                      <w:b/>
                      <w:bCs/>
                      <w:sz w:val="18"/>
                      <w:szCs w:val="18"/>
                    </w:rPr>
                    <w:t>分区类别</w:t>
                  </w:r>
                </w:p>
              </w:tc>
              <w:tc>
                <w:tcPr>
                  <w:tcW w:w="1250" w:type="pct"/>
                  <w:vAlign w:val="center"/>
                </w:tcPr>
                <w:p w14:paraId="0227E055">
                  <w:pPr>
                    <w:spacing w:line="360" w:lineRule="exact"/>
                    <w:ind w:firstLine="0" w:firstLineChars="0"/>
                    <w:jc w:val="center"/>
                    <w:rPr>
                      <w:b/>
                      <w:bCs/>
                      <w:sz w:val="18"/>
                      <w:szCs w:val="18"/>
                    </w:rPr>
                  </w:pPr>
                  <w:r>
                    <w:rPr>
                      <w:b/>
                      <w:bCs/>
                      <w:sz w:val="18"/>
                      <w:szCs w:val="18"/>
                    </w:rPr>
                    <w:t>防渗</w:t>
                  </w:r>
                  <w:r>
                    <w:rPr>
                      <w:rFonts w:hint="eastAsia"/>
                      <w:b/>
                      <w:bCs/>
                      <w:sz w:val="18"/>
                      <w:szCs w:val="18"/>
                    </w:rPr>
                    <w:t>技术要求</w:t>
                  </w:r>
                </w:p>
              </w:tc>
              <w:tc>
                <w:tcPr>
                  <w:tcW w:w="1848" w:type="pct"/>
                </w:tcPr>
                <w:p w14:paraId="59B3EBB7">
                  <w:pPr>
                    <w:spacing w:line="360" w:lineRule="exact"/>
                    <w:ind w:firstLine="0" w:firstLineChars="0"/>
                    <w:jc w:val="center"/>
                    <w:rPr>
                      <w:b/>
                      <w:bCs/>
                      <w:sz w:val="18"/>
                      <w:szCs w:val="18"/>
                    </w:rPr>
                  </w:pPr>
                  <w:r>
                    <w:rPr>
                      <w:rFonts w:hint="eastAsia"/>
                      <w:b/>
                      <w:bCs/>
                      <w:sz w:val="18"/>
                      <w:szCs w:val="18"/>
                    </w:rPr>
                    <w:t>已采取防渗措施</w:t>
                  </w:r>
                </w:p>
              </w:tc>
              <w:tc>
                <w:tcPr>
                  <w:tcW w:w="318" w:type="pct"/>
                </w:tcPr>
                <w:p w14:paraId="5C5544F6">
                  <w:pPr>
                    <w:spacing w:line="360" w:lineRule="exact"/>
                    <w:ind w:firstLine="0" w:firstLineChars="0"/>
                    <w:jc w:val="center"/>
                    <w:rPr>
                      <w:b/>
                      <w:bCs/>
                      <w:sz w:val="18"/>
                      <w:szCs w:val="18"/>
                    </w:rPr>
                  </w:pPr>
                  <w:r>
                    <w:rPr>
                      <w:rFonts w:hint="eastAsia"/>
                      <w:b/>
                      <w:bCs/>
                      <w:sz w:val="18"/>
                      <w:szCs w:val="18"/>
                    </w:rPr>
                    <w:t>备注</w:t>
                  </w:r>
                </w:p>
              </w:tc>
            </w:tr>
            <w:tr w14:paraId="6F0239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259" w:type="pct"/>
                  <w:vAlign w:val="center"/>
                </w:tcPr>
                <w:p w14:paraId="790C22BC">
                  <w:pPr>
                    <w:spacing w:line="360" w:lineRule="exact"/>
                    <w:ind w:firstLine="0" w:firstLineChars="0"/>
                    <w:jc w:val="center"/>
                    <w:rPr>
                      <w:sz w:val="18"/>
                      <w:szCs w:val="18"/>
                    </w:rPr>
                  </w:pPr>
                  <w:r>
                    <w:rPr>
                      <w:sz w:val="18"/>
                      <w:szCs w:val="18"/>
                    </w:rPr>
                    <w:t>1</w:t>
                  </w:r>
                </w:p>
              </w:tc>
              <w:tc>
                <w:tcPr>
                  <w:tcW w:w="742" w:type="pct"/>
                  <w:vAlign w:val="center"/>
                </w:tcPr>
                <w:p w14:paraId="619D73B1">
                  <w:pPr>
                    <w:spacing w:line="360" w:lineRule="exact"/>
                    <w:ind w:firstLine="0" w:firstLineChars="0"/>
                    <w:jc w:val="center"/>
                    <w:rPr>
                      <w:kern w:val="0"/>
                      <w:sz w:val="18"/>
                      <w:szCs w:val="18"/>
                    </w:rPr>
                  </w:pPr>
                  <w:r>
                    <w:rPr>
                      <w:rFonts w:hint="eastAsia"/>
                      <w:kern w:val="0"/>
                      <w:sz w:val="18"/>
                      <w:szCs w:val="18"/>
                    </w:rPr>
                    <w:t>危废暂存间</w:t>
                  </w:r>
                </w:p>
              </w:tc>
              <w:tc>
                <w:tcPr>
                  <w:tcW w:w="583" w:type="pct"/>
                  <w:vAlign w:val="center"/>
                </w:tcPr>
                <w:p w14:paraId="706C2EA1">
                  <w:pPr>
                    <w:spacing w:line="360" w:lineRule="exact"/>
                    <w:ind w:firstLine="0" w:firstLineChars="0"/>
                    <w:jc w:val="center"/>
                    <w:rPr>
                      <w:sz w:val="18"/>
                      <w:szCs w:val="18"/>
                    </w:rPr>
                  </w:pPr>
                  <w:r>
                    <w:rPr>
                      <w:sz w:val="18"/>
                      <w:szCs w:val="18"/>
                    </w:rPr>
                    <w:t>重点防渗区</w:t>
                  </w:r>
                </w:p>
              </w:tc>
              <w:tc>
                <w:tcPr>
                  <w:tcW w:w="1250" w:type="pct"/>
                  <w:vAlign w:val="center"/>
                </w:tcPr>
                <w:p w14:paraId="0145D4D2">
                  <w:pPr>
                    <w:spacing w:line="360" w:lineRule="exact"/>
                    <w:ind w:firstLine="0" w:firstLineChars="0"/>
                    <w:rPr>
                      <w:sz w:val="18"/>
                      <w:szCs w:val="18"/>
                    </w:rPr>
                  </w:pPr>
                  <w:r>
                    <w:rPr>
                      <w:sz w:val="18"/>
                      <w:szCs w:val="18"/>
                    </w:rPr>
                    <w:t>等效黏土</w:t>
                  </w:r>
                  <w:r>
                    <w:rPr>
                      <w:rFonts w:hint="eastAsia"/>
                      <w:sz w:val="18"/>
                      <w:szCs w:val="18"/>
                    </w:rPr>
                    <w:t>防渗</w:t>
                  </w:r>
                  <w:r>
                    <w:rPr>
                      <w:sz w:val="18"/>
                      <w:szCs w:val="18"/>
                    </w:rPr>
                    <w:t>层≥6.0m，防渗层渗透系数</w:t>
                  </w:r>
                  <w:r>
                    <w:rPr>
                      <w:rFonts w:hint="eastAsia"/>
                      <w:sz w:val="18"/>
                      <w:szCs w:val="18"/>
                    </w:rPr>
                    <w:t>K</w:t>
                  </w:r>
                  <w:r>
                    <w:rPr>
                      <w:sz w:val="18"/>
                      <w:szCs w:val="18"/>
                    </w:rPr>
                    <w:t>≤10</w:t>
                  </w:r>
                  <w:r>
                    <w:rPr>
                      <w:sz w:val="18"/>
                      <w:szCs w:val="18"/>
                      <w:vertAlign w:val="superscript"/>
                    </w:rPr>
                    <w:t>-10</w:t>
                  </w:r>
                  <w:r>
                    <w:rPr>
                      <w:sz w:val="18"/>
                      <w:szCs w:val="18"/>
                    </w:rPr>
                    <w:t>cm/s</w:t>
                  </w:r>
                </w:p>
              </w:tc>
              <w:tc>
                <w:tcPr>
                  <w:tcW w:w="1848" w:type="pct"/>
                  <w:vAlign w:val="center"/>
                </w:tcPr>
                <w:p w14:paraId="0AA4AF2E">
                  <w:pPr>
                    <w:spacing w:line="360" w:lineRule="exact"/>
                    <w:ind w:firstLine="0" w:firstLineChars="0"/>
                    <w:rPr>
                      <w:sz w:val="18"/>
                      <w:szCs w:val="18"/>
                      <w:vertAlign w:val="subscript"/>
                    </w:rPr>
                  </w:pPr>
                  <w:r>
                    <w:rPr>
                      <w:rFonts w:hint="eastAsia"/>
                      <w:sz w:val="18"/>
                      <w:szCs w:val="18"/>
                    </w:rPr>
                    <w:t>1</w:t>
                  </w:r>
                  <w:r>
                    <w:rPr>
                      <w:sz w:val="18"/>
                      <w:szCs w:val="18"/>
                    </w:rPr>
                    <w:t>5</w:t>
                  </w:r>
                  <w:r>
                    <w:rPr>
                      <w:rFonts w:hint="eastAsia"/>
                      <w:sz w:val="18"/>
                      <w:szCs w:val="18"/>
                    </w:rPr>
                    <w:t>cm水泥砂浆混凝土+</w:t>
                  </w:r>
                  <w:r>
                    <w:rPr>
                      <w:sz w:val="18"/>
                      <w:szCs w:val="18"/>
                    </w:rPr>
                    <w:t>2</w:t>
                  </w:r>
                  <w:r>
                    <w:rPr>
                      <w:rFonts w:hint="eastAsia"/>
                      <w:sz w:val="18"/>
                      <w:szCs w:val="18"/>
                    </w:rPr>
                    <w:t>mm厚环氧树脂地坪，防渗层渗透系数K</w:t>
                  </w:r>
                  <w:r>
                    <w:rPr>
                      <w:sz w:val="18"/>
                      <w:szCs w:val="18"/>
                    </w:rPr>
                    <w:t>≤10</w:t>
                  </w:r>
                  <w:r>
                    <w:rPr>
                      <w:sz w:val="18"/>
                      <w:szCs w:val="18"/>
                      <w:vertAlign w:val="superscript"/>
                    </w:rPr>
                    <w:t>-10</w:t>
                  </w:r>
                  <w:r>
                    <w:rPr>
                      <w:sz w:val="18"/>
                      <w:szCs w:val="18"/>
                    </w:rPr>
                    <w:t>cm/s</w:t>
                  </w:r>
                  <w:r>
                    <w:rPr>
                      <w:rFonts w:hint="eastAsia"/>
                      <w:sz w:val="18"/>
                      <w:szCs w:val="18"/>
                    </w:rPr>
                    <w:t>，</w:t>
                  </w:r>
                  <w:r>
                    <w:rPr>
                      <w:sz w:val="18"/>
                      <w:szCs w:val="18"/>
                    </w:rPr>
                    <w:t>等效黏土</w:t>
                  </w:r>
                  <w:r>
                    <w:rPr>
                      <w:rFonts w:hint="eastAsia"/>
                      <w:sz w:val="18"/>
                      <w:szCs w:val="18"/>
                    </w:rPr>
                    <w:t>防渗</w:t>
                  </w:r>
                  <w:r>
                    <w:rPr>
                      <w:sz w:val="18"/>
                      <w:szCs w:val="18"/>
                    </w:rPr>
                    <w:t>层≥6.0 m</w:t>
                  </w:r>
                </w:p>
              </w:tc>
              <w:tc>
                <w:tcPr>
                  <w:tcW w:w="318" w:type="pct"/>
                  <w:vAlign w:val="center"/>
                </w:tcPr>
                <w:p w14:paraId="0BCDBDEC">
                  <w:pPr>
                    <w:spacing w:line="360" w:lineRule="exact"/>
                    <w:ind w:firstLine="0" w:firstLineChars="0"/>
                    <w:jc w:val="center"/>
                    <w:rPr>
                      <w:sz w:val="18"/>
                      <w:szCs w:val="18"/>
                    </w:rPr>
                  </w:pPr>
                  <w:r>
                    <w:rPr>
                      <w:rFonts w:hint="eastAsia"/>
                      <w:sz w:val="18"/>
                      <w:szCs w:val="18"/>
                    </w:rPr>
                    <w:t>新建</w:t>
                  </w:r>
                </w:p>
              </w:tc>
            </w:tr>
            <w:tr w14:paraId="2E37C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259" w:type="pct"/>
                  <w:vAlign w:val="center"/>
                </w:tcPr>
                <w:p w14:paraId="64720F61">
                  <w:pPr>
                    <w:spacing w:line="360" w:lineRule="exact"/>
                    <w:ind w:firstLine="0" w:firstLineChars="0"/>
                    <w:jc w:val="center"/>
                    <w:rPr>
                      <w:sz w:val="18"/>
                      <w:szCs w:val="18"/>
                    </w:rPr>
                  </w:pPr>
                  <w:r>
                    <w:rPr>
                      <w:rFonts w:hint="eastAsia"/>
                      <w:sz w:val="18"/>
                      <w:szCs w:val="18"/>
                    </w:rPr>
                    <w:t>2</w:t>
                  </w:r>
                </w:p>
              </w:tc>
              <w:tc>
                <w:tcPr>
                  <w:tcW w:w="742" w:type="pct"/>
                  <w:vAlign w:val="center"/>
                </w:tcPr>
                <w:p w14:paraId="06C4EE6F">
                  <w:pPr>
                    <w:spacing w:line="360" w:lineRule="exact"/>
                    <w:ind w:firstLine="0" w:firstLineChars="0"/>
                    <w:jc w:val="center"/>
                    <w:rPr>
                      <w:kern w:val="0"/>
                      <w:sz w:val="18"/>
                      <w:szCs w:val="18"/>
                    </w:rPr>
                  </w:pPr>
                  <w:r>
                    <w:rPr>
                      <w:rFonts w:hint="eastAsia"/>
                      <w:kern w:val="0"/>
                      <w:sz w:val="18"/>
                      <w:szCs w:val="18"/>
                    </w:rPr>
                    <w:t>厂房地面、化粪池、废浆池</w:t>
                  </w:r>
                </w:p>
              </w:tc>
              <w:tc>
                <w:tcPr>
                  <w:tcW w:w="583" w:type="pct"/>
                  <w:vAlign w:val="center"/>
                </w:tcPr>
                <w:p w14:paraId="4BFBC4E8">
                  <w:pPr>
                    <w:spacing w:line="360" w:lineRule="exact"/>
                    <w:ind w:firstLine="0" w:firstLineChars="0"/>
                    <w:jc w:val="center"/>
                    <w:rPr>
                      <w:sz w:val="18"/>
                      <w:szCs w:val="18"/>
                    </w:rPr>
                  </w:pPr>
                  <w:r>
                    <w:rPr>
                      <w:rFonts w:hint="eastAsia"/>
                      <w:sz w:val="18"/>
                      <w:szCs w:val="18"/>
                    </w:rPr>
                    <w:t>一般防渗区</w:t>
                  </w:r>
                </w:p>
              </w:tc>
              <w:tc>
                <w:tcPr>
                  <w:tcW w:w="1250" w:type="pct"/>
                  <w:vAlign w:val="center"/>
                </w:tcPr>
                <w:p w14:paraId="14BDD50C">
                  <w:pPr>
                    <w:spacing w:line="360" w:lineRule="exact"/>
                    <w:ind w:firstLine="0" w:firstLineChars="0"/>
                    <w:rPr>
                      <w:sz w:val="18"/>
                      <w:szCs w:val="18"/>
                    </w:rPr>
                  </w:pPr>
                  <w:r>
                    <w:rPr>
                      <w:sz w:val="18"/>
                      <w:szCs w:val="18"/>
                    </w:rPr>
                    <w:t>等效黏土</w:t>
                  </w:r>
                  <w:r>
                    <w:rPr>
                      <w:rFonts w:hint="eastAsia"/>
                      <w:sz w:val="18"/>
                      <w:szCs w:val="18"/>
                    </w:rPr>
                    <w:t>防渗</w:t>
                  </w:r>
                  <w:r>
                    <w:rPr>
                      <w:sz w:val="18"/>
                      <w:szCs w:val="18"/>
                    </w:rPr>
                    <w:t>层≥1.5</w:t>
                  </w:r>
                  <w:r>
                    <w:rPr>
                      <w:rFonts w:hint="eastAsia"/>
                      <w:sz w:val="18"/>
                      <w:szCs w:val="18"/>
                    </w:rPr>
                    <w:t>m</w:t>
                  </w:r>
                  <w:r>
                    <w:rPr>
                      <w:sz w:val="18"/>
                      <w:szCs w:val="18"/>
                    </w:rPr>
                    <w:t>，防渗层渗透系数</w:t>
                  </w:r>
                  <w:r>
                    <w:rPr>
                      <w:rFonts w:hint="eastAsia"/>
                      <w:sz w:val="18"/>
                      <w:szCs w:val="18"/>
                    </w:rPr>
                    <w:t>K</w:t>
                  </w:r>
                  <w:r>
                    <w:rPr>
                      <w:sz w:val="18"/>
                      <w:szCs w:val="18"/>
                    </w:rPr>
                    <w:t>≤10</w:t>
                  </w:r>
                  <w:r>
                    <w:rPr>
                      <w:sz w:val="18"/>
                      <w:szCs w:val="18"/>
                      <w:vertAlign w:val="superscript"/>
                    </w:rPr>
                    <w:t>-7</w:t>
                  </w:r>
                  <w:r>
                    <w:rPr>
                      <w:sz w:val="18"/>
                      <w:szCs w:val="18"/>
                    </w:rPr>
                    <w:t>cm/s</w:t>
                  </w:r>
                </w:p>
              </w:tc>
              <w:tc>
                <w:tcPr>
                  <w:tcW w:w="1848" w:type="pct"/>
                  <w:vAlign w:val="center"/>
                </w:tcPr>
                <w:p w14:paraId="51A2DBE4">
                  <w:pPr>
                    <w:spacing w:line="360" w:lineRule="exact"/>
                    <w:ind w:firstLine="0" w:firstLineChars="0"/>
                    <w:jc w:val="center"/>
                    <w:rPr>
                      <w:sz w:val="18"/>
                      <w:szCs w:val="18"/>
                    </w:rPr>
                  </w:pPr>
                  <w:r>
                    <w:rPr>
                      <w:rFonts w:hint="eastAsia"/>
                      <w:sz w:val="18"/>
                      <w:szCs w:val="18"/>
                    </w:rPr>
                    <w:t>1</w:t>
                  </w:r>
                  <w:r>
                    <w:rPr>
                      <w:sz w:val="18"/>
                      <w:szCs w:val="18"/>
                    </w:rPr>
                    <w:t>5</w:t>
                  </w:r>
                  <w:r>
                    <w:rPr>
                      <w:rFonts w:hint="eastAsia"/>
                      <w:sz w:val="18"/>
                      <w:szCs w:val="18"/>
                    </w:rPr>
                    <w:t>cm水泥砂浆混凝土（现有厂房已建措施）</w:t>
                  </w:r>
                </w:p>
              </w:tc>
              <w:tc>
                <w:tcPr>
                  <w:tcW w:w="318" w:type="pct"/>
                  <w:vAlign w:val="center"/>
                </w:tcPr>
                <w:p w14:paraId="6FDA8BF2">
                  <w:pPr>
                    <w:spacing w:line="360" w:lineRule="exact"/>
                    <w:ind w:firstLine="0" w:firstLineChars="0"/>
                    <w:jc w:val="center"/>
                    <w:rPr>
                      <w:sz w:val="18"/>
                      <w:szCs w:val="18"/>
                    </w:rPr>
                  </w:pPr>
                  <w:r>
                    <w:rPr>
                      <w:rFonts w:hint="eastAsia"/>
                      <w:sz w:val="18"/>
                      <w:szCs w:val="18"/>
                    </w:rPr>
                    <w:t>依托</w:t>
                  </w:r>
                </w:p>
              </w:tc>
            </w:tr>
            <w:tr w14:paraId="32D68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Pr>
              <w:tc>
                <w:tcPr>
                  <w:tcW w:w="259" w:type="pct"/>
                  <w:vAlign w:val="center"/>
                </w:tcPr>
                <w:p w14:paraId="6C4135F1">
                  <w:pPr>
                    <w:spacing w:line="360" w:lineRule="exact"/>
                    <w:ind w:firstLine="0" w:firstLineChars="0"/>
                    <w:jc w:val="center"/>
                    <w:rPr>
                      <w:sz w:val="18"/>
                      <w:szCs w:val="18"/>
                    </w:rPr>
                  </w:pPr>
                  <w:r>
                    <w:rPr>
                      <w:rFonts w:hint="eastAsia"/>
                      <w:sz w:val="18"/>
                      <w:szCs w:val="18"/>
                    </w:rPr>
                    <w:t>3</w:t>
                  </w:r>
                </w:p>
              </w:tc>
              <w:tc>
                <w:tcPr>
                  <w:tcW w:w="742" w:type="pct"/>
                  <w:vAlign w:val="center"/>
                </w:tcPr>
                <w:p w14:paraId="1CBF5F21">
                  <w:pPr>
                    <w:spacing w:line="360" w:lineRule="exact"/>
                    <w:ind w:firstLine="0" w:firstLineChars="0"/>
                    <w:jc w:val="center"/>
                    <w:rPr>
                      <w:kern w:val="0"/>
                      <w:sz w:val="18"/>
                      <w:szCs w:val="18"/>
                    </w:rPr>
                  </w:pPr>
                  <w:r>
                    <w:rPr>
                      <w:rFonts w:hint="eastAsia"/>
                      <w:kern w:val="0"/>
                      <w:sz w:val="18"/>
                      <w:szCs w:val="18"/>
                    </w:rPr>
                    <w:t>除上述区域外其他区域</w:t>
                  </w:r>
                </w:p>
              </w:tc>
              <w:tc>
                <w:tcPr>
                  <w:tcW w:w="583" w:type="pct"/>
                  <w:vAlign w:val="center"/>
                </w:tcPr>
                <w:p w14:paraId="74B14323">
                  <w:pPr>
                    <w:spacing w:line="360" w:lineRule="exact"/>
                    <w:ind w:firstLine="0" w:firstLineChars="0"/>
                    <w:jc w:val="center"/>
                    <w:rPr>
                      <w:sz w:val="18"/>
                      <w:szCs w:val="18"/>
                    </w:rPr>
                  </w:pPr>
                  <w:r>
                    <w:rPr>
                      <w:rFonts w:hint="eastAsia"/>
                      <w:sz w:val="18"/>
                      <w:szCs w:val="18"/>
                    </w:rPr>
                    <w:t>简单防渗</w:t>
                  </w:r>
                </w:p>
              </w:tc>
              <w:tc>
                <w:tcPr>
                  <w:tcW w:w="1250" w:type="pct"/>
                  <w:vAlign w:val="center"/>
                </w:tcPr>
                <w:p w14:paraId="4F6980DD">
                  <w:pPr>
                    <w:spacing w:line="360" w:lineRule="exact"/>
                    <w:ind w:firstLine="0" w:firstLineChars="0"/>
                    <w:jc w:val="center"/>
                    <w:rPr>
                      <w:sz w:val="18"/>
                      <w:szCs w:val="18"/>
                    </w:rPr>
                  </w:pPr>
                  <w:r>
                    <w:rPr>
                      <w:rFonts w:hint="eastAsia"/>
                      <w:sz w:val="18"/>
                      <w:szCs w:val="18"/>
                    </w:rPr>
                    <w:t>一般地面硬化</w:t>
                  </w:r>
                </w:p>
              </w:tc>
              <w:tc>
                <w:tcPr>
                  <w:tcW w:w="1848" w:type="pct"/>
                  <w:vAlign w:val="center"/>
                </w:tcPr>
                <w:p w14:paraId="1D816E89">
                  <w:pPr>
                    <w:spacing w:line="360" w:lineRule="exact"/>
                    <w:ind w:firstLine="0" w:firstLineChars="0"/>
                    <w:jc w:val="center"/>
                    <w:rPr>
                      <w:sz w:val="18"/>
                      <w:szCs w:val="18"/>
                    </w:rPr>
                  </w:pPr>
                  <w:r>
                    <w:rPr>
                      <w:rFonts w:hint="eastAsia"/>
                      <w:sz w:val="18"/>
                      <w:szCs w:val="18"/>
                    </w:rPr>
                    <w:t>水泥硬化（现有厂区已建措施）</w:t>
                  </w:r>
                </w:p>
              </w:tc>
              <w:tc>
                <w:tcPr>
                  <w:tcW w:w="318" w:type="pct"/>
                  <w:vAlign w:val="center"/>
                </w:tcPr>
                <w:p w14:paraId="097A45DB">
                  <w:pPr>
                    <w:spacing w:line="360" w:lineRule="exact"/>
                    <w:ind w:firstLine="0" w:firstLineChars="0"/>
                    <w:jc w:val="center"/>
                    <w:rPr>
                      <w:sz w:val="18"/>
                      <w:szCs w:val="18"/>
                    </w:rPr>
                  </w:pPr>
                  <w:r>
                    <w:rPr>
                      <w:rFonts w:hint="eastAsia"/>
                      <w:sz w:val="18"/>
                      <w:szCs w:val="18"/>
                    </w:rPr>
                    <w:t>依托</w:t>
                  </w:r>
                </w:p>
              </w:tc>
            </w:tr>
          </w:tbl>
          <w:p w14:paraId="280A6947">
            <w:pPr>
              <w:ind w:firstLine="420"/>
            </w:pPr>
            <w:r>
              <w:t>在采取以上措施后，本项目建设不会对项目区地下水、土壤环境产生明显影响。</w:t>
            </w:r>
          </w:p>
          <w:p w14:paraId="258A5CBC">
            <w:pPr>
              <w:pStyle w:val="157"/>
            </w:pPr>
            <w:r>
              <w:rPr>
                <w:rFonts w:hint="eastAsia"/>
              </w:rPr>
              <w:t>六、环境风险</w:t>
            </w:r>
          </w:p>
          <w:p w14:paraId="70CAE3D9">
            <w:pPr>
              <w:ind w:firstLine="420"/>
            </w:pPr>
            <w:r>
              <w:rPr>
                <w:rFonts w:hint="eastAsia"/>
              </w:rPr>
              <w:t>1、评价依据</w:t>
            </w:r>
          </w:p>
          <w:p w14:paraId="3293F943">
            <w:pPr>
              <w:ind w:firstLine="420"/>
            </w:pPr>
            <w:r>
              <w:rPr>
                <w:rFonts w:hint="eastAsia"/>
              </w:rPr>
              <w:t>（1）风险调查</w:t>
            </w:r>
          </w:p>
          <w:p w14:paraId="71CE5BE0">
            <w:pPr>
              <w:ind w:firstLine="420"/>
            </w:pPr>
            <w:r>
              <w:rPr>
                <w:rFonts w:hint="eastAsia"/>
              </w:rPr>
              <w:t>本项目涉及的环境风险物质主要是废机油、天然气。</w:t>
            </w:r>
          </w:p>
          <w:p w14:paraId="79E86C34">
            <w:pPr>
              <w:ind w:firstLine="420"/>
            </w:pPr>
            <w:r>
              <w:rPr>
                <w:rFonts w:hint="eastAsia" w:ascii="宋体" w:hAnsi="宋体" w:cs="宋体"/>
              </w:rPr>
              <w:t>（2）</w:t>
            </w:r>
            <w:r>
              <w:t>风险潜势初判</w:t>
            </w:r>
          </w:p>
          <w:p w14:paraId="648BF08A">
            <w:pPr>
              <w:ind w:firstLine="420"/>
            </w:pPr>
            <w:r>
              <w:t>根据《建设项目环境风险评价技术导则》（HJ169-2018），本项目涉及的主要</w:t>
            </w:r>
            <w:r>
              <w:rPr>
                <w:rFonts w:hint="eastAsia"/>
              </w:rPr>
              <w:t>环境风险物质</w:t>
            </w:r>
            <w:r>
              <w:t>使用量、储存量及临界量如下表所示。</w:t>
            </w:r>
          </w:p>
          <w:p w14:paraId="6797BC77">
            <w:pPr>
              <w:pStyle w:val="156"/>
              <w:ind w:firstLine="420"/>
            </w:pPr>
            <w:r>
              <w:t>表</w:t>
            </w:r>
            <w:r>
              <w:rPr>
                <w:rFonts w:hint="eastAsia"/>
              </w:rPr>
              <w:t>4</w:t>
            </w:r>
            <w:r>
              <w:t xml:space="preserve">-16 </w:t>
            </w:r>
            <w:r>
              <w:rPr>
                <w:rFonts w:hint="eastAsia"/>
              </w:rPr>
              <w:t xml:space="preserve"> </w:t>
            </w:r>
            <w:r>
              <w:t>项目化学品使用及储存情况一览表</w:t>
            </w:r>
          </w:p>
          <w:tbl>
            <w:tblPr>
              <w:tblStyle w:val="33"/>
              <w:tblW w:w="491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759"/>
              <w:gridCol w:w="582"/>
              <w:gridCol w:w="1276"/>
              <w:gridCol w:w="1560"/>
              <w:gridCol w:w="1996"/>
            </w:tblGrid>
            <w:tr w14:paraId="0E9B0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 w:hRule="atLeast"/>
                <w:jc w:val="center"/>
              </w:trPr>
              <w:tc>
                <w:tcPr>
                  <w:tcW w:w="525" w:type="pct"/>
                  <w:vAlign w:val="center"/>
                </w:tcPr>
                <w:p w14:paraId="4326155F">
                  <w:pPr>
                    <w:pStyle w:val="135"/>
                    <w:adjustRightInd w:val="0"/>
                    <w:snapToGrid w:val="0"/>
                    <w:rPr>
                      <w:b/>
                    </w:rPr>
                  </w:pPr>
                  <w:r>
                    <w:rPr>
                      <w:b/>
                    </w:rPr>
                    <w:t>序号</w:t>
                  </w:r>
                </w:p>
              </w:tc>
              <w:tc>
                <w:tcPr>
                  <w:tcW w:w="1097" w:type="pct"/>
                  <w:vAlign w:val="center"/>
                </w:tcPr>
                <w:p w14:paraId="270EA5D2">
                  <w:pPr>
                    <w:pStyle w:val="135"/>
                    <w:adjustRightInd w:val="0"/>
                    <w:snapToGrid w:val="0"/>
                    <w:rPr>
                      <w:b/>
                    </w:rPr>
                  </w:pPr>
                  <w:r>
                    <w:rPr>
                      <w:b/>
                    </w:rPr>
                    <w:t>名称</w:t>
                  </w:r>
                </w:p>
              </w:tc>
              <w:tc>
                <w:tcPr>
                  <w:tcW w:w="363" w:type="pct"/>
                  <w:vAlign w:val="center"/>
                </w:tcPr>
                <w:p w14:paraId="77FC27A0">
                  <w:pPr>
                    <w:pStyle w:val="135"/>
                    <w:adjustRightInd w:val="0"/>
                    <w:snapToGrid w:val="0"/>
                    <w:rPr>
                      <w:b/>
                    </w:rPr>
                  </w:pPr>
                  <w:r>
                    <w:rPr>
                      <w:b/>
                    </w:rPr>
                    <w:t>形态</w:t>
                  </w:r>
                </w:p>
              </w:tc>
              <w:tc>
                <w:tcPr>
                  <w:tcW w:w="796" w:type="pct"/>
                  <w:vAlign w:val="center"/>
                </w:tcPr>
                <w:p w14:paraId="1F892A20">
                  <w:pPr>
                    <w:pStyle w:val="135"/>
                    <w:adjustRightInd w:val="0"/>
                    <w:snapToGrid w:val="0"/>
                    <w:rPr>
                      <w:b/>
                    </w:rPr>
                  </w:pPr>
                  <w:r>
                    <w:rPr>
                      <w:b/>
                    </w:rPr>
                    <w:t>储存方式</w:t>
                  </w:r>
                </w:p>
              </w:tc>
              <w:tc>
                <w:tcPr>
                  <w:tcW w:w="973" w:type="pct"/>
                  <w:vAlign w:val="center"/>
                </w:tcPr>
                <w:p w14:paraId="6C21D0FC">
                  <w:pPr>
                    <w:pStyle w:val="135"/>
                    <w:adjustRightInd w:val="0"/>
                    <w:snapToGrid w:val="0"/>
                    <w:rPr>
                      <w:b/>
                    </w:rPr>
                  </w:pPr>
                  <w:r>
                    <w:rPr>
                      <w:b/>
                    </w:rPr>
                    <w:t>最大储存量</w:t>
                  </w:r>
                </w:p>
              </w:tc>
              <w:tc>
                <w:tcPr>
                  <w:tcW w:w="1245" w:type="pct"/>
                  <w:vAlign w:val="center"/>
                </w:tcPr>
                <w:p w14:paraId="685B38B3">
                  <w:pPr>
                    <w:pStyle w:val="135"/>
                    <w:adjustRightInd w:val="0"/>
                    <w:snapToGrid w:val="0"/>
                    <w:rPr>
                      <w:b/>
                    </w:rPr>
                  </w:pPr>
                  <w:r>
                    <w:rPr>
                      <w:b/>
                    </w:rPr>
                    <w:t>临界量</w:t>
                  </w:r>
                </w:p>
              </w:tc>
            </w:tr>
            <w:tr w14:paraId="40F0E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5" w:type="pct"/>
                  <w:vAlign w:val="center"/>
                </w:tcPr>
                <w:p w14:paraId="6D587BD5">
                  <w:pPr>
                    <w:pStyle w:val="135"/>
                    <w:adjustRightInd w:val="0"/>
                    <w:snapToGrid w:val="0"/>
                  </w:pPr>
                  <w:r>
                    <w:rPr>
                      <w:rFonts w:hint="eastAsia"/>
                    </w:rPr>
                    <w:t>1</w:t>
                  </w:r>
                </w:p>
              </w:tc>
              <w:tc>
                <w:tcPr>
                  <w:tcW w:w="1097" w:type="pct"/>
                  <w:vAlign w:val="center"/>
                </w:tcPr>
                <w:p w14:paraId="769398EE">
                  <w:pPr>
                    <w:pStyle w:val="135"/>
                    <w:adjustRightInd w:val="0"/>
                    <w:snapToGrid w:val="0"/>
                  </w:pPr>
                  <w:r>
                    <w:rPr>
                      <w:rFonts w:hint="eastAsia"/>
                    </w:rPr>
                    <w:t>废机油</w:t>
                  </w:r>
                </w:p>
              </w:tc>
              <w:tc>
                <w:tcPr>
                  <w:tcW w:w="363" w:type="pct"/>
                  <w:vAlign w:val="center"/>
                </w:tcPr>
                <w:p w14:paraId="175EDAB9">
                  <w:pPr>
                    <w:pStyle w:val="135"/>
                    <w:adjustRightInd w:val="0"/>
                    <w:snapToGrid w:val="0"/>
                  </w:pPr>
                  <w:r>
                    <w:rPr>
                      <w:rFonts w:hint="eastAsia"/>
                    </w:rPr>
                    <w:t>液体</w:t>
                  </w:r>
                </w:p>
              </w:tc>
              <w:tc>
                <w:tcPr>
                  <w:tcW w:w="796" w:type="pct"/>
                  <w:vAlign w:val="center"/>
                </w:tcPr>
                <w:p w14:paraId="2CF9B337">
                  <w:pPr>
                    <w:pStyle w:val="135"/>
                    <w:adjustRightInd w:val="0"/>
                    <w:snapToGrid w:val="0"/>
                  </w:pPr>
                  <w:r>
                    <w:rPr>
                      <w:rFonts w:hint="eastAsia"/>
                    </w:rPr>
                    <w:t>桶装</w:t>
                  </w:r>
                </w:p>
              </w:tc>
              <w:tc>
                <w:tcPr>
                  <w:tcW w:w="973" w:type="pct"/>
                  <w:vAlign w:val="center"/>
                </w:tcPr>
                <w:p w14:paraId="025D0DD1">
                  <w:pPr>
                    <w:pStyle w:val="135"/>
                    <w:adjustRightInd w:val="0"/>
                    <w:snapToGrid w:val="0"/>
                  </w:pPr>
                  <w:r>
                    <w:rPr>
                      <w:rFonts w:hint="eastAsia"/>
                    </w:rPr>
                    <w:t>0</w:t>
                  </w:r>
                  <w:r>
                    <w:t>.1</w:t>
                  </w:r>
                  <w:r>
                    <w:rPr>
                      <w:rFonts w:hint="eastAsia"/>
                    </w:rPr>
                    <w:t>t</w:t>
                  </w:r>
                </w:p>
              </w:tc>
              <w:tc>
                <w:tcPr>
                  <w:tcW w:w="1245" w:type="pct"/>
                  <w:vAlign w:val="center"/>
                </w:tcPr>
                <w:p w14:paraId="46E7AD51">
                  <w:pPr>
                    <w:pStyle w:val="135"/>
                    <w:adjustRightInd w:val="0"/>
                    <w:snapToGrid w:val="0"/>
                  </w:pPr>
                  <w:r>
                    <w:t>2500</w:t>
                  </w:r>
                  <w:r>
                    <w:rPr>
                      <w:rFonts w:hint="eastAsia"/>
                    </w:rPr>
                    <w:t>t</w:t>
                  </w:r>
                </w:p>
              </w:tc>
            </w:tr>
            <w:tr w14:paraId="23C3B9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25" w:type="pct"/>
                  <w:vAlign w:val="center"/>
                </w:tcPr>
                <w:p w14:paraId="101F0F9D">
                  <w:pPr>
                    <w:pStyle w:val="135"/>
                    <w:adjustRightInd w:val="0"/>
                    <w:snapToGrid w:val="0"/>
                  </w:pPr>
                  <w:r>
                    <w:rPr>
                      <w:rFonts w:hint="eastAsia"/>
                    </w:rPr>
                    <w:t>2</w:t>
                  </w:r>
                </w:p>
              </w:tc>
              <w:tc>
                <w:tcPr>
                  <w:tcW w:w="1097" w:type="pct"/>
                  <w:vAlign w:val="center"/>
                </w:tcPr>
                <w:p w14:paraId="12A6C424">
                  <w:pPr>
                    <w:pStyle w:val="135"/>
                    <w:adjustRightInd w:val="0"/>
                    <w:snapToGrid w:val="0"/>
                  </w:pPr>
                  <w:r>
                    <w:rPr>
                      <w:rFonts w:hint="eastAsia"/>
                    </w:rPr>
                    <w:t>天然气（甲烷）</w:t>
                  </w:r>
                </w:p>
              </w:tc>
              <w:tc>
                <w:tcPr>
                  <w:tcW w:w="363" w:type="pct"/>
                  <w:vAlign w:val="center"/>
                </w:tcPr>
                <w:p w14:paraId="22BF6535">
                  <w:pPr>
                    <w:pStyle w:val="135"/>
                    <w:adjustRightInd w:val="0"/>
                    <w:snapToGrid w:val="0"/>
                  </w:pPr>
                  <w:r>
                    <w:rPr>
                      <w:rFonts w:hint="eastAsia"/>
                    </w:rPr>
                    <w:t>气态</w:t>
                  </w:r>
                </w:p>
              </w:tc>
              <w:tc>
                <w:tcPr>
                  <w:tcW w:w="796" w:type="pct"/>
                  <w:vAlign w:val="center"/>
                </w:tcPr>
                <w:p w14:paraId="239A6AB6">
                  <w:pPr>
                    <w:pStyle w:val="135"/>
                    <w:adjustRightInd w:val="0"/>
                    <w:snapToGrid w:val="0"/>
                  </w:pPr>
                  <w:r>
                    <w:rPr>
                      <w:rFonts w:hint="eastAsia"/>
                    </w:rPr>
                    <w:t>不储存</w:t>
                  </w:r>
                </w:p>
              </w:tc>
              <w:tc>
                <w:tcPr>
                  <w:tcW w:w="973" w:type="pct"/>
                  <w:vAlign w:val="center"/>
                </w:tcPr>
                <w:p w14:paraId="75FC9464">
                  <w:pPr>
                    <w:pStyle w:val="135"/>
                    <w:adjustRightInd w:val="0"/>
                    <w:snapToGrid w:val="0"/>
                  </w:pPr>
                  <w:r>
                    <w:rPr>
                      <w:rFonts w:hint="eastAsia"/>
                    </w:rPr>
                    <w:t>/</w:t>
                  </w:r>
                </w:p>
              </w:tc>
              <w:tc>
                <w:tcPr>
                  <w:tcW w:w="1245" w:type="pct"/>
                  <w:vAlign w:val="center"/>
                </w:tcPr>
                <w:p w14:paraId="75D5BD15">
                  <w:pPr>
                    <w:pStyle w:val="135"/>
                    <w:adjustRightInd w:val="0"/>
                    <w:snapToGrid w:val="0"/>
                  </w:pPr>
                  <w:r>
                    <w:t>10</w:t>
                  </w:r>
                  <w:r>
                    <w:rPr>
                      <w:rFonts w:hint="eastAsia"/>
                    </w:rPr>
                    <w:t>t</w:t>
                  </w:r>
                </w:p>
              </w:tc>
            </w:tr>
          </w:tbl>
          <w:p w14:paraId="1BD475AE">
            <w:pPr>
              <w:ind w:firstLine="420"/>
            </w:pPr>
            <w:r>
              <w:t>根据《建设项目环境风险评价技术导则》（HJ169-2018）附录C，当只涉及一种危险物质时，计算该物质的总量与其临界量比值，即为Q；当存在多种危险物质时，则按下式计算物质总量与其临界量比值（Q）；</w:t>
            </w:r>
          </w:p>
          <w:p w14:paraId="40B35E2A">
            <w:pPr>
              <w:ind w:firstLine="420"/>
            </w:pPr>
            <w:r>
              <w:t>Q=q1/Q1+q2/Q2+……+qn/Qn</w:t>
            </w:r>
          </w:p>
          <w:p w14:paraId="3C3055D0">
            <w:pPr>
              <w:ind w:firstLine="420"/>
            </w:pPr>
            <w:r>
              <w:t>式中：q1，q2，…，qn—每种危险物质的最大存在总量，t；</w:t>
            </w:r>
          </w:p>
          <w:p w14:paraId="2558DD43">
            <w:pPr>
              <w:ind w:firstLine="420"/>
            </w:pPr>
            <w:r>
              <w:t>Q1，Q2，…，Qn—每种危险物质的临界量，t。</w:t>
            </w:r>
          </w:p>
          <w:p w14:paraId="5D2D1EDE">
            <w:pPr>
              <w:ind w:firstLine="420"/>
            </w:pPr>
            <w:r>
              <w:t>当Q＜1时，该项目环境风险潜势为1。</w:t>
            </w:r>
          </w:p>
          <w:p w14:paraId="27060816">
            <w:pPr>
              <w:ind w:firstLine="420"/>
            </w:pPr>
            <w:r>
              <w:t>当Q＞1时，将Q值划分为：（1）1≤Q＜10；（2）10≤Q＜100；（3）Q≥100。</w:t>
            </w:r>
          </w:p>
          <w:p w14:paraId="2D70FAE0">
            <w:pPr>
              <w:ind w:firstLine="420"/>
            </w:pPr>
            <w:r>
              <w:t>根据《建设项目环境风险评价技术导则》（HJ 169-2018），Q值计算如下：</w:t>
            </w:r>
          </w:p>
          <w:p w14:paraId="625536C5">
            <w:pPr>
              <w:ind w:firstLine="420"/>
            </w:pPr>
            <w:r>
              <w:t>Q=</w:t>
            </w:r>
            <w:r>
              <w:rPr>
                <w:rFonts w:hint="eastAsia"/>
              </w:rPr>
              <w:t>0</w:t>
            </w:r>
            <w:r>
              <w:t>.1</w:t>
            </w:r>
            <w:r>
              <w:rPr>
                <w:rFonts w:hint="eastAsia"/>
              </w:rPr>
              <w:t>/</w:t>
            </w:r>
            <w:r>
              <w:t>2</w:t>
            </w:r>
            <w:r>
              <w:rPr>
                <w:rFonts w:hint="eastAsia"/>
              </w:rPr>
              <w:t>5</w:t>
            </w:r>
            <w:r>
              <w:t>00=0.00004</w:t>
            </w:r>
          </w:p>
          <w:p w14:paraId="7A2303C5">
            <w:pPr>
              <w:ind w:firstLine="420"/>
            </w:pPr>
            <w:r>
              <w:rPr>
                <w:rFonts w:hint="eastAsia"/>
              </w:rPr>
              <w:t>依据《建设项目环境影响报告表编制技术指南》（污染影响类）（试行）本项目有毒有害和易燃易爆危险物质存储量未超过临界量，不做环境风险专项评价。</w:t>
            </w:r>
          </w:p>
          <w:p w14:paraId="3A4891C5">
            <w:pPr>
              <w:ind w:firstLine="422"/>
              <w:rPr>
                <w:b/>
                <w:bCs/>
              </w:rPr>
            </w:pPr>
            <w:r>
              <w:rPr>
                <w:rFonts w:hint="eastAsia"/>
                <w:b/>
                <w:bCs/>
              </w:rPr>
              <w:t>2、风险源分布</w:t>
            </w:r>
          </w:p>
          <w:p w14:paraId="35870B8C">
            <w:pPr>
              <w:ind w:firstLine="420"/>
            </w:pPr>
            <w:r>
              <w:rPr>
                <w:rFonts w:hint="eastAsia"/>
              </w:rPr>
              <w:t>本项目风险源主要为涉及风险物质的区域，主要分布于危险废物暂存间和锅炉房。</w:t>
            </w:r>
          </w:p>
          <w:p w14:paraId="396E607C">
            <w:pPr>
              <w:ind w:firstLine="422"/>
              <w:rPr>
                <w:b/>
                <w:bCs/>
              </w:rPr>
            </w:pPr>
            <w:r>
              <w:rPr>
                <w:rFonts w:hint="eastAsia"/>
                <w:b/>
                <w:bCs/>
              </w:rPr>
              <w:t>3、风险识别</w:t>
            </w:r>
          </w:p>
          <w:p w14:paraId="6428A1B7">
            <w:pPr>
              <w:ind w:firstLine="420"/>
            </w:pPr>
            <w:r>
              <w:rPr>
                <w:rFonts w:hint="eastAsia"/>
              </w:rPr>
              <w:t>根据物质及生产系统危险性识别结果，结合营运期环境风险类型，分析得出营运期危险物质向环境转移的可能途径如下：</w:t>
            </w:r>
          </w:p>
          <w:p w14:paraId="7CE463D7">
            <w:pPr>
              <w:ind w:firstLine="420"/>
            </w:pPr>
            <w:r>
              <w:rPr>
                <w:rFonts w:hint="eastAsia"/>
              </w:rPr>
              <w:t>（1）油类物质泄漏事故</w:t>
            </w:r>
          </w:p>
          <w:p w14:paraId="1FFFC987">
            <w:pPr>
              <w:ind w:firstLine="420"/>
            </w:pPr>
            <w:r>
              <w:rPr>
                <w:rFonts w:hint="eastAsia"/>
              </w:rPr>
              <w:t>项目生产过程中涉及的危险品有废机油。项目运营过程中，如管理、操作不当，就可能发生管道连接处或阀门等环节脱落、断裂，或储存设备破损，造成油类物质大量泄漏。油类物质一旦发生泄露进入环境，对河流、土壤、生物造成污染。这种污染一般范围广、面积较大、后果较为严重，达到自然环境的完全恢复需相当长的时间。对地表水的影响也是不能轻视的，地表水一旦遭到油类物质的污染，水生生物会遭受破坏，人畜根本无法饮用；同时也有可能污染土壤和地下水，污染的土壤不仅会造成植物的死亡，而且土壤层吸附的油类物质还会随着下渗补充到地下水，这样尽管污染源得到及时控制，但这种污染紧靠地表雨水入渗的冲刷，含水层的自净降解将是一个长期的过程，达到地下水的完全恢复需要几十年甚至上百年的时间。且油气扩散会在一定范围使人员的器官组织造成损伤，使生理机能失调或发生障碍，甚至危及生命，导致的毒理影响主要表现为急性、慢性、远期以及暂时性的麻醉和昏迷等。</w:t>
            </w:r>
          </w:p>
          <w:p w14:paraId="3C1F10D1">
            <w:pPr>
              <w:ind w:firstLine="420"/>
            </w:pPr>
            <w:r>
              <w:rPr>
                <w:rFonts w:hint="eastAsia"/>
              </w:rPr>
              <w:t>（2）火灾爆炸事故</w:t>
            </w:r>
          </w:p>
          <w:p w14:paraId="55ABE0C3">
            <w:pPr>
              <w:ind w:firstLine="420"/>
            </w:pPr>
            <w:r>
              <w:rPr>
                <w:rFonts w:hint="eastAsia"/>
              </w:rPr>
              <w:t>本项目使用的天然气为易燃易爆物质，在使用过程中不当操作，就可能造成火灾爆炸事故的发生，因此在生产管理中应重视火源的诱发因素。此外，电路老化、粉尘浓度达到限值等也会引起火灾、爆炸等安全事故。火灾爆炸事故一旦发生，产生的二氧化碳、一氧化碳等污染物会对大气环境造成较大影响，火灾爆炸事故可能破坏地面防渗，导致污废水泄漏事故等的发生，从而造成二次污染。</w:t>
            </w:r>
          </w:p>
          <w:p w14:paraId="320A3196">
            <w:pPr>
              <w:ind w:firstLine="420"/>
            </w:pPr>
            <w:r>
              <w:rPr>
                <w:rFonts w:hint="eastAsia"/>
              </w:rPr>
              <w:t>（</w:t>
            </w:r>
            <w:r>
              <w:t>3</w:t>
            </w:r>
            <w:r>
              <w:rPr>
                <w:rFonts w:hint="eastAsia"/>
              </w:rPr>
              <w:t>）危废暂存间管理风险</w:t>
            </w:r>
          </w:p>
          <w:p w14:paraId="602DD0A4">
            <w:pPr>
              <w:ind w:firstLine="420"/>
            </w:pPr>
            <w:r>
              <w:rPr>
                <w:rFonts w:hint="eastAsia"/>
              </w:rPr>
              <w:t>危废暂存间防渗层破损或破裂，且在收集和转运过程中若管理不当，容易导致危险废物渗漏和洒落至地面，并可能进入地表及地下水体，对土壤和水环境造成污染。</w:t>
            </w:r>
          </w:p>
          <w:p w14:paraId="2CF6AD7B">
            <w:pPr>
              <w:ind w:firstLine="422"/>
              <w:rPr>
                <w:b/>
                <w:bCs/>
              </w:rPr>
            </w:pPr>
            <w:r>
              <w:rPr>
                <w:rFonts w:hint="eastAsia"/>
                <w:b/>
                <w:bCs/>
              </w:rPr>
              <w:t>4、风险防范措施</w:t>
            </w:r>
          </w:p>
          <w:p w14:paraId="20D3309A">
            <w:pPr>
              <w:ind w:firstLine="420"/>
            </w:pPr>
            <w:r>
              <w:rPr>
                <w:rFonts w:hint="eastAsia"/>
              </w:rPr>
              <w:t>（1）风险管理的重点在于减缓、防范措施，因此，本环评根据项目特点及厂区实际情况，从风险防范提出以下防范及应急处理措施：</w:t>
            </w:r>
          </w:p>
          <w:p w14:paraId="47965404">
            <w:pPr>
              <w:ind w:firstLine="420"/>
            </w:pPr>
            <w:r>
              <w:rPr>
                <w:rFonts w:hint="eastAsia"/>
              </w:rPr>
              <w:t>①危险废物在厂区使用专用容器，并将收集容器贴上标签，存储于危废暂存间内委托有资质的单位处理。在运输前到当地环保部门提交危废转移申请表，领取危险废物转移联单，在运输过程中严格按要求填写转移联单，转移完成后将相应联单提交到相关单位，并且建立台账，并与有资质的单位签订危险废物处理书面协议。危废暂存间必须派专人进行管理，并严格执行危废暂存间的管理制度，降低管理产生的风险。</w:t>
            </w:r>
          </w:p>
          <w:p w14:paraId="71AB6F05">
            <w:pPr>
              <w:ind w:firstLine="420"/>
            </w:pPr>
            <w:r>
              <w:rPr>
                <w:rFonts w:hint="eastAsia"/>
              </w:rPr>
              <w:t>②加强员工的责任心和主观能动性；完善并严格遵守相关的操作规程，加强岗位培训，落实岗位责任制；加强设备管理，对易发生渗漏的部位加强检查；建立一套完善的安全管理制度，执行工业安全卫生、劳动保护、环保、消防等相关规定。</w:t>
            </w:r>
          </w:p>
          <w:p w14:paraId="122AE2DC">
            <w:pPr>
              <w:ind w:firstLine="420"/>
            </w:pPr>
            <w:r>
              <w:rPr>
                <w:rFonts w:hint="eastAsia"/>
              </w:rPr>
              <w:t>（2）当发生泄漏、火灾等事故时，应首先组织人员疏散，在确保安全的前提下，进行以下应急处理措施：</w:t>
            </w:r>
          </w:p>
          <w:p w14:paraId="26443B41">
            <w:pPr>
              <w:ind w:firstLine="420"/>
            </w:pPr>
            <w:r>
              <w:rPr>
                <w:rFonts w:hint="eastAsia"/>
              </w:rPr>
              <w:t>①泄漏应急措施</w:t>
            </w:r>
          </w:p>
          <w:p w14:paraId="4E974DA9">
            <w:pPr>
              <w:ind w:firstLine="420"/>
            </w:pPr>
            <w:r>
              <w:rPr>
                <w:rFonts w:hint="eastAsia"/>
              </w:rPr>
              <w:t>尽可能切断漏源，防止进入土壤环境及水环境等空间。发生泄漏时可用木屑或其它惰性材料吸收。对污染地面加强通风，蒸发残余液体。若污染土壤，需更换受污染的土壤。严禁明火接近泄漏现场。</w:t>
            </w:r>
          </w:p>
          <w:p w14:paraId="1D8B2111">
            <w:pPr>
              <w:ind w:firstLine="420"/>
            </w:pPr>
            <w:r>
              <w:rPr>
                <w:rFonts w:hint="eastAsia"/>
              </w:rPr>
              <w:t>②火灾应急措施</w:t>
            </w:r>
          </w:p>
          <w:p w14:paraId="77769D38">
            <w:pPr>
              <w:ind w:firstLine="420"/>
            </w:pPr>
            <w:r>
              <w:rPr>
                <w:rFonts w:hint="eastAsia"/>
              </w:rPr>
              <w:t>厂区内配置灭火剂：泡沫、二氧化碳、干粉、砂土等。遇明火、高热能引起燃烧爆炸，应于上风向灭火，并尽可能将容器从火场移至空旷处，喷水保持火场容器冷却，直至灭火结束。容器若已变色或从安全泄压装置中产生声音，必须马上撤离。</w:t>
            </w:r>
          </w:p>
          <w:p w14:paraId="1FBFFCD9">
            <w:pPr>
              <w:ind w:firstLine="420"/>
            </w:pPr>
            <w:r>
              <w:rPr>
                <w:rFonts w:hint="eastAsia"/>
              </w:rPr>
              <w:t>（</w:t>
            </w:r>
            <w:r>
              <w:t>3</w:t>
            </w:r>
            <w:r>
              <w:rPr>
                <w:rFonts w:hint="eastAsia"/>
              </w:rPr>
              <w:t>）事故排放防范措施</w:t>
            </w:r>
          </w:p>
          <w:p w14:paraId="416F9BA9">
            <w:pPr>
              <w:ind w:firstLine="420"/>
            </w:pPr>
            <w:r>
              <w:rPr>
                <w:rFonts w:hint="eastAsia"/>
              </w:rPr>
              <w:t>对生产车间采取全封闭式处理，并在车间顶部及四周设置喷雾降尘装置进行喷雾控尘。降尘装置出现故障，废气将出现事故排放的情况，对周边环境造成较大污染，因此一旦发现降尘装置停止运转，立即停止生产，尽快检修，并安排专人定时巡查厂区内控尘措施运行情况。</w:t>
            </w:r>
          </w:p>
          <w:p w14:paraId="2EB7D414">
            <w:pPr>
              <w:ind w:firstLine="422"/>
              <w:rPr>
                <w:b/>
                <w:bCs/>
              </w:rPr>
            </w:pPr>
            <w:r>
              <w:rPr>
                <w:rFonts w:hint="eastAsia"/>
                <w:b/>
                <w:bCs/>
              </w:rPr>
              <w:t>5、环境风险应急预案</w:t>
            </w:r>
          </w:p>
          <w:p w14:paraId="10F1BE2E">
            <w:pPr>
              <w:ind w:firstLine="420"/>
            </w:pPr>
            <w:r>
              <w:rPr>
                <w:rFonts w:hint="eastAsia"/>
              </w:rPr>
              <w:t>为保证企业及人民生命财产安全，防止突发性重大环境事故发生，或在发生事故时能迅速有序地开展救援工作，尽最大努力减少事故的危害和损失。建议企业制定突发环境事件应急救援预案和实施细则，并组织专业队伍学习和演练，防患于未然，以便应急救援工作的顺利开展。制订应急预案的原则如下：</w:t>
            </w:r>
          </w:p>
          <w:p w14:paraId="2519B1BF">
            <w:pPr>
              <w:ind w:firstLine="420"/>
            </w:pPr>
            <w:r>
              <w:rPr>
                <w:rFonts w:hint="eastAsia"/>
              </w:rPr>
              <w:t>①确定救援组织、队伍和联络方式；</w:t>
            </w:r>
          </w:p>
          <w:p w14:paraId="65C4A75A">
            <w:pPr>
              <w:ind w:firstLine="420"/>
            </w:pPr>
            <w:r>
              <w:rPr>
                <w:rFonts w:hint="eastAsia"/>
              </w:rPr>
              <w:t>②制定事故类型、等级和相应的应急响应程序；</w:t>
            </w:r>
          </w:p>
          <w:p w14:paraId="44552606">
            <w:pPr>
              <w:ind w:firstLine="420"/>
            </w:pPr>
            <w:r>
              <w:rPr>
                <w:rFonts w:hint="eastAsia"/>
              </w:rPr>
              <w:t>③配备必要的救灾防毒器具及防护用品；</w:t>
            </w:r>
          </w:p>
          <w:p w14:paraId="11A09776">
            <w:pPr>
              <w:ind w:firstLine="420"/>
            </w:pPr>
            <w:r>
              <w:rPr>
                <w:rFonts w:hint="eastAsia"/>
              </w:rPr>
              <w:t>④对生产系统制定应急状态切断终止或自动报警连锁保护程序；</w:t>
            </w:r>
          </w:p>
          <w:p w14:paraId="58DF5731">
            <w:pPr>
              <w:ind w:firstLine="420"/>
            </w:pPr>
            <w:r>
              <w:rPr>
                <w:rFonts w:hint="eastAsia"/>
              </w:rPr>
              <w:t>⑤岗位培训和演习，设置事故应急演习手册及报告、记录和评估；</w:t>
            </w:r>
          </w:p>
          <w:p w14:paraId="06F26340">
            <w:pPr>
              <w:ind w:firstLine="420"/>
            </w:pPr>
            <w:r>
              <w:rPr>
                <w:rFonts w:hint="eastAsia"/>
              </w:rPr>
              <w:t>⑥制定区域防灾救援方案，厂外受影响人群的疏散、撤离方案，与当地政府、消防、环保和医疗救助等部门加强联系，以便风险事故发生时得到及时救援。</w:t>
            </w:r>
          </w:p>
          <w:p w14:paraId="0FA32519">
            <w:pPr>
              <w:ind w:firstLine="420"/>
            </w:pPr>
            <w:r>
              <w:rPr>
                <w:rFonts w:hint="eastAsia"/>
              </w:rPr>
              <w:t>环境风险应急预案应尽快编制完成后，送当地生态环境主管部门备案。</w:t>
            </w:r>
          </w:p>
          <w:p w14:paraId="4266FE14">
            <w:pPr>
              <w:ind w:firstLine="422"/>
            </w:pPr>
            <w:r>
              <w:rPr>
                <w:rFonts w:hint="eastAsia"/>
                <w:b/>
                <w:bCs/>
              </w:rPr>
              <w:t>6、风险结论</w:t>
            </w:r>
          </w:p>
          <w:p w14:paraId="1F5B9520">
            <w:pPr>
              <w:ind w:firstLine="420"/>
            </w:pPr>
            <w:r>
              <w:rPr>
                <w:rFonts w:hint="eastAsia"/>
              </w:rPr>
              <w:t>营运期落实本报告提出的各项措施、建立和落实各项风险预警防范措施和事故应急计划，杜绝重大安全事故和重大环境污染事故的发生，可使项目建成后风险水平处于可接受程度。</w:t>
            </w:r>
          </w:p>
          <w:p w14:paraId="48146CD1">
            <w:pPr>
              <w:pStyle w:val="157"/>
              <w:rPr>
                <w:rFonts w:ascii="宋体" w:hAnsi="宋体"/>
              </w:rPr>
            </w:pPr>
            <w:r>
              <w:rPr>
                <w:rFonts w:hint="eastAsia"/>
              </w:rPr>
              <w:t>七、</w:t>
            </w:r>
            <w:r>
              <w:t>环保设施投资</w:t>
            </w:r>
          </w:p>
          <w:p w14:paraId="20194259">
            <w:pPr>
              <w:ind w:firstLine="420"/>
            </w:pPr>
            <w:r>
              <w:rPr>
                <w:rFonts w:hint="eastAsia"/>
              </w:rPr>
              <w:t>本项目总投资</w:t>
            </w:r>
            <w:r>
              <w:t>80</w:t>
            </w:r>
            <w:r>
              <w:rPr>
                <w:rFonts w:hint="eastAsia"/>
              </w:rPr>
              <w:t>0</w:t>
            </w:r>
            <w:r>
              <w:t>.00</w:t>
            </w:r>
            <w:r>
              <w:rPr>
                <w:rFonts w:hint="eastAsia"/>
              </w:rPr>
              <w:t>万元，通过估算本项目环保投资约</w:t>
            </w:r>
            <w:r>
              <w:t>28.00</w:t>
            </w:r>
            <w:r>
              <w:rPr>
                <w:rFonts w:hint="eastAsia"/>
              </w:rPr>
              <w:t>万元，占工程总投资的</w:t>
            </w:r>
            <w:r>
              <w:t>3.5</w:t>
            </w:r>
            <w:r>
              <w:rPr>
                <w:rFonts w:hint="eastAsia"/>
              </w:rPr>
              <w:t>%，需投入的环保设施及投资详见下表：</w:t>
            </w:r>
          </w:p>
          <w:p w14:paraId="04130682">
            <w:pPr>
              <w:pStyle w:val="156"/>
              <w:keepNext/>
              <w:ind w:firstLine="420"/>
            </w:pPr>
            <w:r>
              <w:t>表4-17  项目环保设施及投资一览表</w:t>
            </w:r>
            <w:r>
              <w:rPr>
                <w:rFonts w:hint="eastAsia"/>
              </w:rPr>
              <w:t xml:space="preserve"> </w:t>
            </w:r>
            <w:r>
              <w:t xml:space="preserve"> </w:t>
            </w:r>
            <w:r>
              <w:rPr>
                <w:rFonts w:hint="eastAsia"/>
              </w:rPr>
              <w:t>单位：万元</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85"/>
              <w:gridCol w:w="1140"/>
              <w:gridCol w:w="4915"/>
              <w:gridCol w:w="1116"/>
            </w:tblGrid>
            <w:tr w14:paraId="41853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tblHeader/>
                <w:jc w:val="center"/>
              </w:trPr>
              <w:tc>
                <w:tcPr>
                  <w:tcW w:w="604" w:type="pct"/>
                  <w:vAlign w:val="center"/>
                </w:tcPr>
                <w:p w14:paraId="565752DB">
                  <w:pPr>
                    <w:pStyle w:val="135"/>
                    <w:adjustRightInd w:val="0"/>
                    <w:snapToGrid w:val="0"/>
                    <w:rPr>
                      <w:b/>
                    </w:rPr>
                  </w:pPr>
                  <w:r>
                    <w:rPr>
                      <w:b/>
                    </w:rPr>
                    <w:t>项目</w:t>
                  </w:r>
                </w:p>
              </w:tc>
              <w:tc>
                <w:tcPr>
                  <w:tcW w:w="699" w:type="pct"/>
                  <w:vAlign w:val="center"/>
                </w:tcPr>
                <w:p w14:paraId="6F1279F7">
                  <w:pPr>
                    <w:pStyle w:val="135"/>
                    <w:adjustRightInd w:val="0"/>
                    <w:snapToGrid w:val="0"/>
                    <w:rPr>
                      <w:b/>
                    </w:rPr>
                  </w:pPr>
                  <w:r>
                    <w:rPr>
                      <w:rFonts w:hint="eastAsia"/>
                      <w:b/>
                    </w:rPr>
                    <w:t>污染源</w:t>
                  </w:r>
                </w:p>
              </w:tc>
              <w:tc>
                <w:tcPr>
                  <w:tcW w:w="3013" w:type="pct"/>
                  <w:vAlign w:val="center"/>
                </w:tcPr>
                <w:p w14:paraId="32DDF3D7">
                  <w:pPr>
                    <w:pStyle w:val="135"/>
                    <w:adjustRightInd w:val="0"/>
                    <w:snapToGrid w:val="0"/>
                    <w:rPr>
                      <w:b/>
                    </w:rPr>
                  </w:pPr>
                  <w:r>
                    <w:rPr>
                      <w:b/>
                    </w:rPr>
                    <w:t>防治措施</w:t>
                  </w:r>
                </w:p>
              </w:tc>
              <w:tc>
                <w:tcPr>
                  <w:tcW w:w="684" w:type="pct"/>
                  <w:vAlign w:val="center"/>
                </w:tcPr>
                <w:p w14:paraId="07E0435E">
                  <w:pPr>
                    <w:pStyle w:val="135"/>
                    <w:adjustRightInd w:val="0"/>
                    <w:snapToGrid w:val="0"/>
                    <w:rPr>
                      <w:b/>
                    </w:rPr>
                  </w:pPr>
                  <w:r>
                    <w:rPr>
                      <w:b/>
                    </w:rPr>
                    <w:t>环保投资</w:t>
                  </w:r>
                </w:p>
              </w:tc>
            </w:tr>
            <w:tr w14:paraId="4F622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04" w:type="pct"/>
                  <w:vMerge w:val="restart"/>
                  <w:vAlign w:val="center"/>
                </w:tcPr>
                <w:p w14:paraId="2DFBEC5F">
                  <w:pPr>
                    <w:pStyle w:val="135"/>
                    <w:adjustRightInd w:val="0"/>
                    <w:snapToGrid w:val="0"/>
                  </w:pPr>
                  <w:r>
                    <w:t>废气治理</w:t>
                  </w:r>
                </w:p>
              </w:tc>
              <w:tc>
                <w:tcPr>
                  <w:tcW w:w="699" w:type="pct"/>
                  <w:vAlign w:val="center"/>
                </w:tcPr>
                <w:p w14:paraId="34A7CDEE">
                  <w:pPr>
                    <w:pStyle w:val="135"/>
                    <w:adjustRightInd w:val="0"/>
                    <w:snapToGrid w:val="0"/>
                  </w:pPr>
                  <w:r>
                    <w:rPr>
                      <w:rFonts w:hint="eastAsia"/>
                    </w:rPr>
                    <w:t>工艺粉尘</w:t>
                  </w:r>
                </w:p>
              </w:tc>
              <w:tc>
                <w:tcPr>
                  <w:tcW w:w="3013" w:type="pct"/>
                  <w:vAlign w:val="center"/>
                </w:tcPr>
                <w:p w14:paraId="24940000">
                  <w:pPr>
                    <w:pStyle w:val="135"/>
                    <w:adjustRightInd w:val="0"/>
                    <w:snapToGrid w:val="0"/>
                    <w:jc w:val="both"/>
                  </w:pPr>
                  <w:r>
                    <w:rPr>
                      <w:rFonts w:hint="eastAsia"/>
                    </w:rPr>
                    <w:t>整个生产区全密闭，出入口设置推拉门，无车辆和人员进出时保持关闭。在</w:t>
                  </w:r>
                  <w:r>
                    <w:rPr>
                      <w:rFonts w:hint="eastAsia"/>
                      <w:bCs/>
                    </w:rPr>
                    <w:t>给料机、破碎机三面及顶部遮挡，同时在进料口顶部设置喷淋装置</w:t>
                  </w:r>
                  <w:r>
                    <w:rPr>
                      <w:rFonts w:hint="eastAsia"/>
                    </w:rPr>
                    <w:t>，密闭车间、原料堆场顶部设置喷雾除尘装置。</w:t>
                  </w:r>
                </w:p>
              </w:tc>
              <w:tc>
                <w:tcPr>
                  <w:tcW w:w="684" w:type="pct"/>
                  <w:vAlign w:val="center"/>
                </w:tcPr>
                <w:p w14:paraId="5CD0BFFD">
                  <w:pPr>
                    <w:pStyle w:val="135"/>
                    <w:adjustRightInd w:val="0"/>
                    <w:snapToGrid w:val="0"/>
                  </w:pPr>
                  <w:r>
                    <w:t>2</w:t>
                  </w:r>
                  <w:r>
                    <w:rPr>
                      <w:rFonts w:hint="eastAsia"/>
                    </w:rPr>
                    <w:t>（利用现有设施改造）</w:t>
                  </w:r>
                </w:p>
              </w:tc>
            </w:tr>
            <w:tr w14:paraId="1C028D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04" w:type="pct"/>
                  <w:vMerge w:val="continue"/>
                  <w:vAlign w:val="center"/>
                </w:tcPr>
                <w:p w14:paraId="6290209A">
                  <w:pPr>
                    <w:pStyle w:val="135"/>
                    <w:adjustRightInd w:val="0"/>
                    <w:snapToGrid w:val="0"/>
                  </w:pPr>
                </w:p>
              </w:tc>
              <w:tc>
                <w:tcPr>
                  <w:tcW w:w="699" w:type="pct"/>
                  <w:vAlign w:val="center"/>
                </w:tcPr>
                <w:p w14:paraId="4E3F8F95">
                  <w:pPr>
                    <w:pStyle w:val="135"/>
                    <w:adjustRightInd w:val="0"/>
                    <w:snapToGrid w:val="0"/>
                  </w:pPr>
                  <w:r>
                    <w:rPr>
                      <w:rFonts w:hint="eastAsia"/>
                    </w:rPr>
                    <w:t>锅炉废气</w:t>
                  </w:r>
                </w:p>
              </w:tc>
              <w:tc>
                <w:tcPr>
                  <w:tcW w:w="3013" w:type="pct"/>
                  <w:vAlign w:val="center"/>
                </w:tcPr>
                <w:p w14:paraId="77742696">
                  <w:pPr>
                    <w:pStyle w:val="135"/>
                    <w:adjustRightInd w:val="0"/>
                    <w:snapToGrid w:val="0"/>
                    <w:jc w:val="both"/>
                  </w:pPr>
                  <w:r>
                    <w:rPr>
                      <w:rFonts w:hint="eastAsia"/>
                    </w:rPr>
                    <w:t>采用生物质专用锅炉，并安装低氮燃烧器+水膜除尘+静电除尘器，废气经处理后通过4</w:t>
                  </w:r>
                  <w:r>
                    <w:t>0</w:t>
                  </w:r>
                  <w:r>
                    <w:rPr>
                      <w:rFonts w:hint="eastAsia"/>
                    </w:rPr>
                    <w:t>m排气筒排放。</w:t>
                  </w:r>
                </w:p>
              </w:tc>
              <w:tc>
                <w:tcPr>
                  <w:tcW w:w="684" w:type="pct"/>
                  <w:vAlign w:val="center"/>
                </w:tcPr>
                <w:p w14:paraId="3DF93211">
                  <w:pPr>
                    <w:pStyle w:val="135"/>
                    <w:adjustRightInd w:val="0"/>
                    <w:snapToGrid w:val="0"/>
                  </w:pPr>
                  <w:r>
                    <w:t>16</w:t>
                  </w:r>
                </w:p>
              </w:tc>
            </w:tr>
            <w:tr w14:paraId="68EF0C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04" w:type="pct"/>
                  <w:vMerge w:val="continue"/>
                  <w:vAlign w:val="center"/>
                </w:tcPr>
                <w:p w14:paraId="191A9119">
                  <w:pPr>
                    <w:pStyle w:val="135"/>
                    <w:adjustRightInd w:val="0"/>
                    <w:snapToGrid w:val="0"/>
                  </w:pPr>
                </w:p>
              </w:tc>
              <w:tc>
                <w:tcPr>
                  <w:tcW w:w="699" w:type="pct"/>
                  <w:vAlign w:val="center"/>
                </w:tcPr>
                <w:p w14:paraId="2B3D3570">
                  <w:pPr>
                    <w:pStyle w:val="135"/>
                    <w:adjustRightInd w:val="0"/>
                    <w:snapToGrid w:val="0"/>
                  </w:pPr>
                  <w:r>
                    <w:rPr>
                      <w:rFonts w:hint="eastAsia"/>
                    </w:rPr>
                    <w:t>食堂油烟</w:t>
                  </w:r>
                </w:p>
              </w:tc>
              <w:tc>
                <w:tcPr>
                  <w:tcW w:w="3013" w:type="pct"/>
                  <w:vAlign w:val="center"/>
                </w:tcPr>
                <w:p w14:paraId="6637DCDB">
                  <w:pPr>
                    <w:pStyle w:val="135"/>
                    <w:adjustRightInd w:val="0"/>
                    <w:snapToGrid w:val="0"/>
                    <w:jc w:val="both"/>
                  </w:pPr>
                  <w:r>
                    <w:rPr>
                      <w:rFonts w:hint="eastAsia"/>
                    </w:rPr>
                    <w:t>经抽油烟机处理后通过屋顶烟囱排放。</w:t>
                  </w:r>
                </w:p>
              </w:tc>
              <w:tc>
                <w:tcPr>
                  <w:tcW w:w="684" w:type="pct"/>
                  <w:vAlign w:val="center"/>
                </w:tcPr>
                <w:p w14:paraId="0820AF3B">
                  <w:pPr>
                    <w:pStyle w:val="135"/>
                    <w:adjustRightInd w:val="0"/>
                    <w:snapToGrid w:val="0"/>
                  </w:pPr>
                  <w:r>
                    <w:rPr>
                      <w:rFonts w:hint="eastAsia"/>
                    </w:rPr>
                    <w:t>利旧</w:t>
                  </w:r>
                </w:p>
              </w:tc>
            </w:tr>
            <w:tr w14:paraId="4D495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04" w:type="pct"/>
                  <w:vMerge w:val="restart"/>
                  <w:vAlign w:val="center"/>
                </w:tcPr>
                <w:p w14:paraId="79382E5A">
                  <w:pPr>
                    <w:pStyle w:val="135"/>
                    <w:adjustRightInd w:val="0"/>
                    <w:snapToGrid w:val="0"/>
                  </w:pPr>
                  <w:r>
                    <w:t>废水治理</w:t>
                  </w:r>
                </w:p>
              </w:tc>
              <w:tc>
                <w:tcPr>
                  <w:tcW w:w="699" w:type="pct"/>
                  <w:vAlign w:val="center"/>
                </w:tcPr>
                <w:p w14:paraId="7B571CCA">
                  <w:pPr>
                    <w:pStyle w:val="135"/>
                    <w:adjustRightInd w:val="0"/>
                    <w:snapToGrid w:val="0"/>
                  </w:pPr>
                  <w:r>
                    <w:rPr>
                      <w:rFonts w:hint="eastAsia"/>
                    </w:rPr>
                    <w:t>生产废水</w:t>
                  </w:r>
                </w:p>
              </w:tc>
              <w:tc>
                <w:tcPr>
                  <w:tcW w:w="3013" w:type="pct"/>
                  <w:vAlign w:val="center"/>
                </w:tcPr>
                <w:p w14:paraId="57F87960">
                  <w:pPr>
                    <w:pStyle w:val="135"/>
                    <w:adjustRightInd w:val="0"/>
                    <w:snapToGrid w:val="0"/>
                    <w:jc w:val="both"/>
                  </w:pPr>
                  <w:r>
                    <w:rPr>
                      <w:rFonts w:hint="eastAsia"/>
                    </w:rPr>
                    <w:t>收集至废浆池，废水经搅拌均质处理后回用于球磨工序。</w:t>
                  </w:r>
                </w:p>
              </w:tc>
              <w:tc>
                <w:tcPr>
                  <w:tcW w:w="684" w:type="pct"/>
                  <w:vAlign w:val="center"/>
                </w:tcPr>
                <w:p w14:paraId="72554BC9">
                  <w:pPr>
                    <w:pStyle w:val="135"/>
                    <w:adjustRightInd w:val="0"/>
                    <w:snapToGrid w:val="0"/>
                  </w:pPr>
                  <w:r>
                    <w:rPr>
                      <w:rFonts w:hint="eastAsia"/>
                    </w:rPr>
                    <w:t>计入基建</w:t>
                  </w:r>
                </w:p>
              </w:tc>
            </w:tr>
            <w:tr w14:paraId="4C0EB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04" w:type="pct"/>
                  <w:vMerge w:val="continue"/>
                  <w:vAlign w:val="center"/>
                </w:tcPr>
                <w:p w14:paraId="79982355">
                  <w:pPr>
                    <w:pStyle w:val="135"/>
                    <w:adjustRightInd w:val="0"/>
                    <w:snapToGrid w:val="0"/>
                  </w:pPr>
                </w:p>
              </w:tc>
              <w:tc>
                <w:tcPr>
                  <w:tcW w:w="699" w:type="pct"/>
                  <w:vAlign w:val="center"/>
                </w:tcPr>
                <w:p w14:paraId="5C907B7F">
                  <w:pPr>
                    <w:pStyle w:val="135"/>
                    <w:adjustRightInd w:val="0"/>
                    <w:snapToGrid w:val="0"/>
                  </w:pPr>
                  <w:r>
                    <w:rPr>
                      <w:rFonts w:hint="eastAsia"/>
                    </w:rPr>
                    <w:t>生活污水</w:t>
                  </w:r>
                </w:p>
              </w:tc>
              <w:tc>
                <w:tcPr>
                  <w:tcW w:w="3013" w:type="pct"/>
                  <w:vAlign w:val="center"/>
                </w:tcPr>
                <w:p w14:paraId="2DDEAEA6">
                  <w:pPr>
                    <w:pStyle w:val="135"/>
                    <w:adjustRightInd w:val="0"/>
                    <w:snapToGrid w:val="0"/>
                    <w:jc w:val="both"/>
                  </w:pPr>
                  <w:r>
                    <w:rPr>
                      <w:rFonts w:hint="eastAsia"/>
                    </w:rPr>
                    <w:t>生活污水经化粪池处理后采用吸污车清运至污水处理厂，后期管网接通后，通过管网排入污水处理厂处理</w:t>
                  </w:r>
                  <w:r>
                    <w:t>。</w:t>
                  </w:r>
                </w:p>
              </w:tc>
              <w:tc>
                <w:tcPr>
                  <w:tcW w:w="684" w:type="pct"/>
                  <w:vAlign w:val="center"/>
                </w:tcPr>
                <w:p w14:paraId="52DEE547">
                  <w:pPr>
                    <w:pStyle w:val="135"/>
                    <w:adjustRightInd w:val="0"/>
                    <w:snapToGrid w:val="0"/>
                  </w:pPr>
                  <w:r>
                    <w:t>5</w:t>
                  </w:r>
                </w:p>
              </w:tc>
            </w:tr>
            <w:tr w14:paraId="0C2822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04" w:type="pct"/>
                  <w:vAlign w:val="center"/>
                </w:tcPr>
                <w:p w14:paraId="49E0518C">
                  <w:pPr>
                    <w:pStyle w:val="135"/>
                    <w:adjustRightInd w:val="0"/>
                    <w:snapToGrid w:val="0"/>
                  </w:pPr>
                  <w:r>
                    <w:t>噪声治理</w:t>
                  </w:r>
                </w:p>
              </w:tc>
              <w:tc>
                <w:tcPr>
                  <w:tcW w:w="699" w:type="pct"/>
                  <w:vAlign w:val="center"/>
                </w:tcPr>
                <w:p w14:paraId="3DA53257">
                  <w:pPr>
                    <w:pStyle w:val="135"/>
                    <w:adjustRightInd w:val="0"/>
                    <w:snapToGrid w:val="0"/>
                  </w:pPr>
                  <w:r>
                    <w:rPr>
                      <w:rFonts w:hint="eastAsia"/>
                    </w:rPr>
                    <w:t>设备噪声</w:t>
                  </w:r>
                </w:p>
              </w:tc>
              <w:tc>
                <w:tcPr>
                  <w:tcW w:w="3013" w:type="pct"/>
                  <w:vAlign w:val="center"/>
                </w:tcPr>
                <w:p w14:paraId="0588FC37">
                  <w:pPr>
                    <w:pStyle w:val="135"/>
                    <w:adjustRightInd w:val="0"/>
                    <w:snapToGrid w:val="0"/>
                    <w:jc w:val="both"/>
                  </w:pPr>
                  <w:r>
                    <w:t>选用低噪声设备；设备进行基础减振、房屋隔声</w:t>
                  </w:r>
                  <w:r>
                    <w:rPr>
                      <w:rFonts w:hint="eastAsia"/>
                    </w:rPr>
                    <w:t>；破碎工序采取下沉式基础。</w:t>
                  </w:r>
                </w:p>
              </w:tc>
              <w:tc>
                <w:tcPr>
                  <w:tcW w:w="684" w:type="pct"/>
                  <w:vAlign w:val="center"/>
                </w:tcPr>
                <w:p w14:paraId="73407DD4">
                  <w:pPr>
                    <w:pStyle w:val="135"/>
                    <w:adjustRightInd w:val="0"/>
                    <w:snapToGrid w:val="0"/>
                  </w:pPr>
                  <w:r>
                    <w:rPr>
                      <w:rFonts w:hint="eastAsia"/>
                    </w:rPr>
                    <w:t>2</w:t>
                  </w:r>
                </w:p>
              </w:tc>
            </w:tr>
            <w:tr w14:paraId="076FA4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04" w:type="pct"/>
                  <w:vMerge w:val="restart"/>
                  <w:vAlign w:val="center"/>
                </w:tcPr>
                <w:p w14:paraId="7AC18043">
                  <w:pPr>
                    <w:pStyle w:val="135"/>
                    <w:adjustRightInd w:val="0"/>
                    <w:snapToGrid w:val="0"/>
                  </w:pPr>
                  <w:r>
                    <w:t>固废治理</w:t>
                  </w:r>
                </w:p>
              </w:tc>
              <w:tc>
                <w:tcPr>
                  <w:tcW w:w="699" w:type="pct"/>
                  <w:vAlign w:val="center"/>
                </w:tcPr>
                <w:p w14:paraId="6C6287C4">
                  <w:pPr>
                    <w:pStyle w:val="135"/>
                    <w:adjustRightInd w:val="0"/>
                    <w:snapToGrid w:val="0"/>
                  </w:pPr>
                  <w:r>
                    <w:rPr>
                      <w:rFonts w:hint="eastAsia"/>
                    </w:rPr>
                    <w:t>一般固废</w:t>
                  </w:r>
                </w:p>
              </w:tc>
              <w:tc>
                <w:tcPr>
                  <w:tcW w:w="3013" w:type="pct"/>
                  <w:vAlign w:val="center"/>
                </w:tcPr>
                <w:p w14:paraId="1AFF6D1B">
                  <w:pPr>
                    <w:pStyle w:val="135"/>
                    <w:adjustRightInd w:val="0"/>
                    <w:snapToGrid w:val="0"/>
                    <w:jc w:val="both"/>
                  </w:pPr>
                  <w:r>
                    <w:rPr>
                      <w:rFonts w:hint="eastAsia"/>
                    </w:rPr>
                    <w:t>除尘灰、不合格产品、废边角料、炉渣回用于生产工序；化粪池污泥委托第三方单位清运处理；生活垃圾由环卫部门清运处理。</w:t>
                  </w:r>
                </w:p>
              </w:tc>
              <w:tc>
                <w:tcPr>
                  <w:tcW w:w="684" w:type="pct"/>
                  <w:vAlign w:val="center"/>
                </w:tcPr>
                <w:p w14:paraId="540964DF">
                  <w:pPr>
                    <w:pStyle w:val="135"/>
                    <w:adjustRightInd w:val="0"/>
                    <w:snapToGrid w:val="0"/>
                  </w:pPr>
                  <w:r>
                    <w:rPr>
                      <w:rFonts w:hint="eastAsia"/>
                    </w:rPr>
                    <w:t>1</w:t>
                  </w:r>
                </w:p>
              </w:tc>
            </w:tr>
            <w:tr w14:paraId="480311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04" w:type="pct"/>
                  <w:vMerge w:val="continue"/>
                  <w:vAlign w:val="center"/>
                </w:tcPr>
                <w:p w14:paraId="610540D2">
                  <w:pPr>
                    <w:pStyle w:val="135"/>
                    <w:adjustRightInd w:val="0"/>
                    <w:snapToGrid w:val="0"/>
                  </w:pPr>
                </w:p>
              </w:tc>
              <w:tc>
                <w:tcPr>
                  <w:tcW w:w="699" w:type="pct"/>
                  <w:vAlign w:val="center"/>
                </w:tcPr>
                <w:p w14:paraId="21949F18">
                  <w:pPr>
                    <w:pStyle w:val="135"/>
                    <w:adjustRightInd w:val="0"/>
                    <w:snapToGrid w:val="0"/>
                  </w:pPr>
                  <w:r>
                    <w:rPr>
                      <w:rFonts w:hint="eastAsia"/>
                    </w:rPr>
                    <w:t>危险废物</w:t>
                  </w:r>
                </w:p>
              </w:tc>
              <w:tc>
                <w:tcPr>
                  <w:tcW w:w="3013" w:type="pct"/>
                  <w:vAlign w:val="center"/>
                </w:tcPr>
                <w:p w14:paraId="5DA81749">
                  <w:pPr>
                    <w:pStyle w:val="135"/>
                    <w:adjustRightInd w:val="0"/>
                    <w:snapToGrid w:val="0"/>
                    <w:jc w:val="both"/>
                  </w:pPr>
                  <w:r>
                    <w:rPr>
                      <w:rFonts w:hint="eastAsia"/>
                    </w:rPr>
                    <w:t>危废暂存间（</w:t>
                  </w:r>
                  <w:r>
                    <w:t>5</w:t>
                  </w:r>
                  <w:r>
                    <w:rPr>
                      <w:rFonts w:hint="eastAsia"/>
                    </w:rPr>
                    <w:t>m</w:t>
                  </w:r>
                  <w:r>
                    <w:rPr>
                      <w:vertAlign w:val="superscript"/>
                    </w:rPr>
                    <w:t>2</w:t>
                  </w:r>
                  <w:r>
                    <w:rPr>
                      <w:rFonts w:hint="eastAsia"/>
                    </w:rPr>
                    <w:t>）采取重点防渗处理，危险废物经收集、暂存后，定期交有危险废物处置资质的单位清运处理。</w:t>
                  </w:r>
                </w:p>
              </w:tc>
              <w:tc>
                <w:tcPr>
                  <w:tcW w:w="684" w:type="pct"/>
                  <w:vAlign w:val="center"/>
                </w:tcPr>
                <w:p w14:paraId="149234DF">
                  <w:pPr>
                    <w:pStyle w:val="135"/>
                    <w:adjustRightInd w:val="0"/>
                    <w:snapToGrid w:val="0"/>
                  </w:pPr>
                  <w:r>
                    <w:t>2</w:t>
                  </w:r>
                </w:p>
              </w:tc>
            </w:tr>
            <w:tr w14:paraId="0E3AF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4316" w:type="pct"/>
                  <w:gridSpan w:val="3"/>
                  <w:vAlign w:val="center"/>
                </w:tcPr>
                <w:p w14:paraId="38BC6D7A">
                  <w:pPr>
                    <w:pStyle w:val="135"/>
                    <w:adjustRightInd w:val="0"/>
                    <w:snapToGrid w:val="0"/>
                  </w:pPr>
                  <w:r>
                    <w:t>合计</w:t>
                  </w:r>
                </w:p>
              </w:tc>
              <w:tc>
                <w:tcPr>
                  <w:tcW w:w="684" w:type="pct"/>
                  <w:vAlign w:val="center"/>
                </w:tcPr>
                <w:p w14:paraId="2FC0B05F">
                  <w:pPr>
                    <w:pStyle w:val="135"/>
                    <w:adjustRightInd w:val="0"/>
                    <w:snapToGrid w:val="0"/>
                  </w:pPr>
                  <w:r>
                    <w:t>28</w:t>
                  </w:r>
                </w:p>
              </w:tc>
            </w:tr>
          </w:tbl>
          <w:p w14:paraId="4321CEF7">
            <w:pPr>
              <w:ind w:firstLine="420"/>
            </w:pPr>
          </w:p>
        </w:tc>
      </w:tr>
    </w:tbl>
    <w:p w14:paraId="7AFE6B5B">
      <w:pPr>
        <w:spacing w:line="240" w:lineRule="auto"/>
        <w:ind w:firstLine="420"/>
        <w:sectPr>
          <w:pgSz w:w="11907" w:h="16840"/>
          <w:pgMar w:top="1418" w:right="1701" w:bottom="2127" w:left="1701" w:header="851" w:footer="851" w:gutter="0"/>
          <w:pgNumType w:fmt="numberInDash"/>
          <w:cols w:space="720" w:num="1"/>
          <w:docGrid w:linePitch="312" w:charSpace="0"/>
        </w:sectPr>
      </w:pPr>
    </w:p>
    <w:p w14:paraId="134E6078">
      <w:pPr>
        <w:pStyle w:val="29"/>
        <w:spacing w:before="0" w:beforeAutospacing="0" w:after="0" w:afterAutospacing="0" w:line="240" w:lineRule="auto"/>
        <w:ind w:firstLine="0" w:firstLineChars="0"/>
        <w:jc w:val="center"/>
        <w:outlineLvl w:val="0"/>
        <w:rPr>
          <w:rFonts w:cs="宋体"/>
          <w:b/>
          <w:bCs/>
          <w:snapToGrid w:val="0"/>
          <w:sz w:val="30"/>
          <w:szCs w:val="30"/>
        </w:rPr>
      </w:pPr>
      <w:bookmarkStart w:id="6" w:name="_Toc171001981"/>
      <w:r>
        <w:rPr>
          <w:rFonts w:cs="宋体"/>
          <w:b/>
          <w:bCs/>
          <w:snapToGrid w:val="0"/>
          <w:sz w:val="30"/>
          <w:szCs w:val="30"/>
        </w:rPr>
        <w:t>五、</w:t>
      </w:r>
      <w:bookmarkStart w:id="7" w:name="_Hlk54167917"/>
      <w:r>
        <w:rPr>
          <w:rFonts w:cs="宋体"/>
          <w:b/>
          <w:bCs/>
          <w:snapToGrid w:val="0"/>
          <w:sz w:val="30"/>
          <w:szCs w:val="30"/>
        </w:rPr>
        <w:t>环境保护措施监督检查清单</w:t>
      </w:r>
      <w:bookmarkEnd w:id="6"/>
      <w:bookmarkEnd w:id="7"/>
    </w:p>
    <w:tbl>
      <w:tblPr>
        <w:tblStyle w:val="33"/>
        <w:tblW w:w="892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24"/>
        <w:gridCol w:w="1712"/>
        <w:gridCol w:w="982"/>
        <w:gridCol w:w="3118"/>
        <w:gridCol w:w="1985"/>
      </w:tblGrid>
      <w:tr w14:paraId="2D1979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tcBorders>
              <w:tl2br w:val="single" w:color="auto" w:sz="4" w:space="0"/>
            </w:tcBorders>
            <w:vAlign w:val="center"/>
          </w:tcPr>
          <w:p w14:paraId="40D7A746">
            <w:pPr>
              <w:spacing w:line="360" w:lineRule="atLeast"/>
              <w:ind w:firstLine="0" w:firstLineChars="0"/>
              <w:jc w:val="right"/>
              <w:rPr>
                <w:b/>
                <w:bCs/>
                <w:sz w:val="18"/>
                <w:szCs w:val="18"/>
              </w:rPr>
            </w:pPr>
            <w:r>
              <w:rPr>
                <w:b/>
                <w:bCs/>
                <w:sz w:val="18"/>
                <w:szCs w:val="18"/>
              </w:rPr>
              <w:t>内容</w:t>
            </w:r>
          </w:p>
          <w:p w14:paraId="2C38ED71">
            <w:pPr>
              <w:spacing w:line="360" w:lineRule="atLeast"/>
              <w:ind w:firstLine="0" w:firstLineChars="0"/>
              <w:jc w:val="left"/>
              <w:rPr>
                <w:b/>
                <w:bCs/>
                <w:sz w:val="18"/>
                <w:szCs w:val="18"/>
              </w:rPr>
            </w:pPr>
            <w:r>
              <w:rPr>
                <w:b/>
                <w:bCs/>
                <w:sz w:val="18"/>
                <w:szCs w:val="18"/>
              </w:rPr>
              <w:t>要素</w:t>
            </w:r>
          </w:p>
        </w:tc>
        <w:tc>
          <w:tcPr>
            <w:tcW w:w="1712" w:type="dxa"/>
            <w:vAlign w:val="center"/>
          </w:tcPr>
          <w:p w14:paraId="6F484871">
            <w:pPr>
              <w:spacing w:line="360" w:lineRule="atLeast"/>
              <w:ind w:firstLine="0" w:firstLineChars="0"/>
              <w:jc w:val="center"/>
              <w:rPr>
                <w:b/>
                <w:bCs/>
                <w:sz w:val="18"/>
                <w:szCs w:val="18"/>
              </w:rPr>
            </w:pPr>
            <w:r>
              <w:rPr>
                <w:b/>
                <w:bCs/>
                <w:sz w:val="18"/>
                <w:szCs w:val="18"/>
              </w:rPr>
              <w:t>排放口(编号、名称)/污染源</w:t>
            </w:r>
          </w:p>
        </w:tc>
        <w:tc>
          <w:tcPr>
            <w:tcW w:w="982" w:type="dxa"/>
            <w:vAlign w:val="center"/>
          </w:tcPr>
          <w:p w14:paraId="43101694">
            <w:pPr>
              <w:spacing w:line="360" w:lineRule="atLeast"/>
              <w:ind w:firstLine="0" w:firstLineChars="0"/>
              <w:jc w:val="center"/>
              <w:rPr>
                <w:b/>
                <w:bCs/>
                <w:sz w:val="18"/>
                <w:szCs w:val="18"/>
              </w:rPr>
            </w:pPr>
            <w:r>
              <w:rPr>
                <w:b/>
                <w:bCs/>
                <w:sz w:val="18"/>
                <w:szCs w:val="18"/>
              </w:rPr>
              <w:t>污染物项目</w:t>
            </w:r>
          </w:p>
        </w:tc>
        <w:tc>
          <w:tcPr>
            <w:tcW w:w="3118" w:type="dxa"/>
            <w:vAlign w:val="center"/>
          </w:tcPr>
          <w:p w14:paraId="5B3F0B99">
            <w:pPr>
              <w:spacing w:line="360" w:lineRule="atLeast"/>
              <w:ind w:firstLine="0" w:firstLineChars="0"/>
              <w:jc w:val="center"/>
              <w:rPr>
                <w:b/>
                <w:bCs/>
                <w:sz w:val="18"/>
                <w:szCs w:val="18"/>
              </w:rPr>
            </w:pPr>
            <w:r>
              <w:rPr>
                <w:b/>
                <w:bCs/>
                <w:sz w:val="18"/>
                <w:szCs w:val="18"/>
              </w:rPr>
              <w:t>环境保护措施</w:t>
            </w:r>
          </w:p>
        </w:tc>
        <w:tc>
          <w:tcPr>
            <w:tcW w:w="1985" w:type="dxa"/>
            <w:vAlign w:val="center"/>
          </w:tcPr>
          <w:p w14:paraId="1CACD2A3">
            <w:pPr>
              <w:spacing w:line="360" w:lineRule="atLeast"/>
              <w:ind w:firstLine="0" w:firstLineChars="0"/>
              <w:jc w:val="center"/>
              <w:rPr>
                <w:b/>
                <w:bCs/>
                <w:sz w:val="18"/>
                <w:szCs w:val="18"/>
              </w:rPr>
            </w:pPr>
            <w:r>
              <w:rPr>
                <w:b/>
                <w:bCs/>
                <w:sz w:val="18"/>
                <w:szCs w:val="18"/>
              </w:rPr>
              <w:t>执行标准</w:t>
            </w:r>
          </w:p>
        </w:tc>
      </w:tr>
      <w:tr w14:paraId="5252E2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restart"/>
            <w:vAlign w:val="center"/>
          </w:tcPr>
          <w:p w14:paraId="45637FD9">
            <w:pPr>
              <w:spacing w:line="360" w:lineRule="atLeast"/>
              <w:ind w:firstLine="0" w:firstLineChars="0"/>
              <w:jc w:val="center"/>
              <w:rPr>
                <w:sz w:val="18"/>
                <w:szCs w:val="18"/>
              </w:rPr>
            </w:pPr>
            <w:r>
              <w:rPr>
                <w:sz w:val="18"/>
                <w:szCs w:val="18"/>
              </w:rPr>
              <w:t>大气环境</w:t>
            </w:r>
          </w:p>
        </w:tc>
        <w:tc>
          <w:tcPr>
            <w:tcW w:w="1712" w:type="dxa"/>
            <w:vAlign w:val="center"/>
          </w:tcPr>
          <w:p w14:paraId="152C8CC3">
            <w:pPr>
              <w:spacing w:line="360" w:lineRule="atLeast"/>
              <w:ind w:firstLine="0" w:firstLineChars="0"/>
              <w:jc w:val="center"/>
              <w:rPr>
                <w:sz w:val="18"/>
                <w:szCs w:val="18"/>
              </w:rPr>
            </w:pPr>
            <w:r>
              <w:rPr>
                <w:rFonts w:hint="eastAsia"/>
                <w:sz w:val="18"/>
                <w:szCs w:val="18"/>
              </w:rPr>
              <w:t>生产车间、原料堆场（无组织）</w:t>
            </w:r>
          </w:p>
        </w:tc>
        <w:tc>
          <w:tcPr>
            <w:tcW w:w="982" w:type="dxa"/>
            <w:vAlign w:val="center"/>
          </w:tcPr>
          <w:p w14:paraId="6920E204">
            <w:pPr>
              <w:spacing w:line="360" w:lineRule="atLeast"/>
              <w:ind w:firstLine="0" w:firstLineChars="0"/>
              <w:jc w:val="center"/>
              <w:rPr>
                <w:sz w:val="18"/>
                <w:szCs w:val="18"/>
              </w:rPr>
            </w:pPr>
            <w:r>
              <w:rPr>
                <w:rFonts w:hint="eastAsia"/>
                <w:sz w:val="18"/>
                <w:szCs w:val="18"/>
              </w:rPr>
              <w:t>颗粒物</w:t>
            </w:r>
          </w:p>
        </w:tc>
        <w:tc>
          <w:tcPr>
            <w:tcW w:w="3118" w:type="dxa"/>
            <w:vAlign w:val="center"/>
          </w:tcPr>
          <w:p w14:paraId="2D8B90BE">
            <w:pPr>
              <w:pStyle w:val="135"/>
              <w:jc w:val="both"/>
              <w:rPr>
                <w:szCs w:val="18"/>
              </w:rPr>
            </w:pPr>
            <w:r>
              <w:rPr>
                <w:rFonts w:hint="eastAsia"/>
              </w:rPr>
              <w:t>整个生产区、堆场全封闭，出入口设置推拉门，无车辆和人员进出时保持关闭。破碎机、投料机、切割机设置喷水装置，湿法加工，在原料装卸、转运、进料口等地方设置喷雾除尘装置。</w:t>
            </w:r>
          </w:p>
        </w:tc>
        <w:tc>
          <w:tcPr>
            <w:tcW w:w="1985" w:type="dxa"/>
            <w:vMerge w:val="restart"/>
            <w:vAlign w:val="center"/>
          </w:tcPr>
          <w:p w14:paraId="5E3C81F8">
            <w:pPr>
              <w:pStyle w:val="135"/>
              <w:rPr>
                <w:szCs w:val="18"/>
              </w:rPr>
            </w:pPr>
            <w:r>
              <w:rPr>
                <w:rFonts w:hint="eastAsia"/>
              </w:rPr>
              <w:t>《砖瓦工业大气污染物排放标准</w:t>
            </w:r>
            <w:r>
              <w:t>》（</w:t>
            </w:r>
            <w:r>
              <w:rPr>
                <w:rFonts w:hint="eastAsia"/>
              </w:rPr>
              <w:t>GB</w:t>
            </w:r>
            <w:r>
              <w:t xml:space="preserve"> 29620-2013）表3</w:t>
            </w:r>
          </w:p>
        </w:tc>
      </w:tr>
      <w:tr w14:paraId="0D0640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01724024">
            <w:pPr>
              <w:spacing w:line="360" w:lineRule="atLeast"/>
              <w:ind w:firstLine="0" w:firstLineChars="0"/>
              <w:jc w:val="center"/>
              <w:rPr>
                <w:sz w:val="18"/>
                <w:szCs w:val="18"/>
              </w:rPr>
            </w:pPr>
          </w:p>
        </w:tc>
        <w:tc>
          <w:tcPr>
            <w:tcW w:w="1712" w:type="dxa"/>
            <w:vAlign w:val="center"/>
          </w:tcPr>
          <w:p w14:paraId="17134B98">
            <w:pPr>
              <w:spacing w:line="360" w:lineRule="atLeast"/>
              <w:ind w:firstLine="0" w:firstLineChars="0"/>
              <w:jc w:val="center"/>
              <w:rPr>
                <w:sz w:val="18"/>
                <w:szCs w:val="18"/>
              </w:rPr>
            </w:pPr>
            <w:r>
              <w:rPr>
                <w:rFonts w:hint="eastAsia"/>
                <w:sz w:val="18"/>
                <w:szCs w:val="18"/>
              </w:rPr>
              <w:t>粉料筒仓</w:t>
            </w:r>
          </w:p>
        </w:tc>
        <w:tc>
          <w:tcPr>
            <w:tcW w:w="982" w:type="dxa"/>
            <w:vAlign w:val="center"/>
          </w:tcPr>
          <w:p w14:paraId="5A47C7A2">
            <w:pPr>
              <w:spacing w:line="360" w:lineRule="atLeast"/>
              <w:ind w:firstLine="0" w:firstLineChars="0"/>
              <w:jc w:val="center"/>
              <w:rPr>
                <w:sz w:val="18"/>
                <w:szCs w:val="18"/>
              </w:rPr>
            </w:pPr>
            <w:r>
              <w:rPr>
                <w:rFonts w:hint="eastAsia"/>
                <w:sz w:val="18"/>
                <w:szCs w:val="18"/>
              </w:rPr>
              <w:t>颗粒物</w:t>
            </w:r>
          </w:p>
        </w:tc>
        <w:tc>
          <w:tcPr>
            <w:tcW w:w="3118" w:type="dxa"/>
            <w:vAlign w:val="center"/>
          </w:tcPr>
          <w:p w14:paraId="0EC266C9">
            <w:pPr>
              <w:pStyle w:val="135"/>
              <w:jc w:val="both"/>
            </w:pPr>
            <w:r>
              <w:rPr>
                <w:rFonts w:hint="eastAsia"/>
              </w:rPr>
              <w:t>仓顶呼吸口设置布袋除尘器。</w:t>
            </w:r>
          </w:p>
        </w:tc>
        <w:tc>
          <w:tcPr>
            <w:tcW w:w="1985" w:type="dxa"/>
            <w:vMerge w:val="continue"/>
            <w:vAlign w:val="center"/>
          </w:tcPr>
          <w:p w14:paraId="52EDEF68">
            <w:pPr>
              <w:spacing w:line="360" w:lineRule="atLeast"/>
              <w:ind w:firstLine="0" w:firstLineChars="0"/>
              <w:jc w:val="center"/>
              <w:rPr>
                <w:sz w:val="18"/>
                <w:szCs w:val="18"/>
              </w:rPr>
            </w:pPr>
          </w:p>
        </w:tc>
      </w:tr>
      <w:tr w14:paraId="094552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00BCA9E6">
            <w:pPr>
              <w:spacing w:line="360" w:lineRule="atLeast"/>
              <w:ind w:firstLine="0" w:firstLineChars="0"/>
              <w:jc w:val="center"/>
              <w:rPr>
                <w:sz w:val="18"/>
                <w:szCs w:val="18"/>
              </w:rPr>
            </w:pPr>
          </w:p>
        </w:tc>
        <w:tc>
          <w:tcPr>
            <w:tcW w:w="1712" w:type="dxa"/>
            <w:vAlign w:val="center"/>
          </w:tcPr>
          <w:p w14:paraId="60CE9BDE">
            <w:pPr>
              <w:spacing w:line="360" w:lineRule="atLeast"/>
              <w:ind w:firstLine="0" w:firstLineChars="0"/>
              <w:jc w:val="center"/>
              <w:rPr>
                <w:sz w:val="18"/>
                <w:szCs w:val="18"/>
              </w:rPr>
            </w:pPr>
            <w:r>
              <w:rPr>
                <w:rFonts w:hint="eastAsia"/>
                <w:sz w:val="18"/>
                <w:szCs w:val="18"/>
              </w:rPr>
              <w:t>生物质锅炉（DA</w:t>
            </w:r>
            <w:r>
              <w:rPr>
                <w:sz w:val="18"/>
                <w:szCs w:val="18"/>
              </w:rPr>
              <w:t>001</w:t>
            </w:r>
            <w:r>
              <w:rPr>
                <w:rFonts w:hint="eastAsia"/>
                <w:sz w:val="18"/>
                <w:szCs w:val="18"/>
              </w:rPr>
              <w:t>）</w:t>
            </w:r>
          </w:p>
        </w:tc>
        <w:tc>
          <w:tcPr>
            <w:tcW w:w="982" w:type="dxa"/>
            <w:vAlign w:val="center"/>
          </w:tcPr>
          <w:p w14:paraId="713E8025">
            <w:pPr>
              <w:spacing w:line="360" w:lineRule="atLeast"/>
              <w:ind w:firstLine="0" w:firstLineChars="0"/>
              <w:jc w:val="center"/>
              <w:rPr>
                <w:sz w:val="18"/>
                <w:szCs w:val="18"/>
              </w:rPr>
            </w:pPr>
            <w:r>
              <w:rPr>
                <w:rFonts w:hint="eastAsia"/>
                <w:sz w:val="18"/>
                <w:szCs w:val="18"/>
              </w:rPr>
              <w:t>颗粒物、二氧化硫、氮氧化物</w:t>
            </w:r>
          </w:p>
        </w:tc>
        <w:tc>
          <w:tcPr>
            <w:tcW w:w="3118" w:type="dxa"/>
            <w:vAlign w:val="center"/>
          </w:tcPr>
          <w:p w14:paraId="05C6F159">
            <w:pPr>
              <w:pStyle w:val="135"/>
              <w:jc w:val="both"/>
            </w:pPr>
            <w:r>
              <w:rPr>
                <w:rFonts w:hint="eastAsia"/>
              </w:rPr>
              <w:t>采用专用生物质锅炉，锅炉安装低氮燃烧器，并配备水膜除尘+静电除尘器，尾气通过4</w:t>
            </w:r>
            <w:r>
              <w:t>0</w:t>
            </w:r>
            <w:r>
              <w:rPr>
                <w:rFonts w:hint="eastAsia"/>
              </w:rPr>
              <w:t>m排气筒排放。</w:t>
            </w:r>
          </w:p>
        </w:tc>
        <w:tc>
          <w:tcPr>
            <w:tcW w:w="1985" w:type="dxa"/>
            <w:vAlign w:val="center"/>
          </w:tcPr>
          <w:p w14:paraId="3C259802">
            <w:pPr>
              <w:pStyle w:val="135"/>
              <w:rPr>
                <w:szCs w:val="18"/>
              </w:rPr>
            </w:pPr>
            <w:r>
              <w:rPr>
                <w:rFonts w:hint="eastAsia"/>
              </w:rPr>
              <w:t>《锅炉大气污染物排放标准》（GB</w:t>
            </w:r>
            <w:r>
              <w:t>13271-2014</w:t>
            </w:r>
            <w:r>
              <w:rPr>
                <w:rFonts w:hint="eastAsia"/>
              </w:rPr>
              <w:t>）表3燃煤锅炉大气污染物特别排放限值要求</w:t>
            </w:r>
          </w:p>
        </w:tc>
      </w:tr>
      <w:tr w14:paraId="411655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40743919">
            <w:pPr>
              <w:spacing w:line="360" w:lineRule="atLeast"/>
              <w:ind w:firstLine="0" w:firstLineChars="0"/>
              <w:jc w:val="center"/>
              <w:rPr>
                <w:sz w:val="18"/>
                <w:szCs w:val="18"/>
              </w:rPr>
            </w:pPr>
          </w:p>
        </w:tc>
        <w:tc>
          <w:tcPr>
            <w:tcW w:w="1712" w:type="dxa"/>
            <w:vAlign w:val="center"/>
          </w:tcPr>
          <w:p w14:paraId="45BF3C3D">
            <w:pPr>
              <w:spacing w:line="360" w:lineRule="atLeast"/>
              <w:ind w:firstLine="0" w:firstLineChars="0"/>
              <w:jc w:val="center"/>
              <w:rPr>
                <w:sz w:val="18"/>
                <w:szCs w:val="18"/>
              </w:rPr>
            </w:pPr>
            <w:r>
              <w:rPr>
                <w:rFonts w:hint="eastAsia"/>
                <w:sz w:val="18"/>
                <w:szCs w:val="18"/>
              </w:rPr>
              <w:t>食堂烟囱</w:t>
            </w:r>
          </w:p>
        </w:tc>
        <w:tc>
          <w:tcPr>
            <w:tcW w:w="982" w:type="dxa"/>
            <w:vAlign w:val="center"/>
          </w:tcPr>
          <w:p w14:paraId="5476C6ED">
            <w:pPr>
              <w:spacing w:line="360" w:lineRule="atLeast"/>
              <w:ind w:firstLine="0" w:firstLineChars="0"/>
              <w:jc w:val="center"/>
              <w:rPr>
                <w:sz w:val="18"/>
                <w:szCs w:val="18"/>
              </w:rPr>
            </w:pPr>
            <w:r>
              <w:rPr>
                <w:rFonts w:hint="eastAsia"/>
                <w:sz w:val="18"/>
                <w:szCs w:val="18"/>
              </w:rPr>
              <w:t>油烟</w:t>
            </w:r>
          </w:p>
        </w:tc>
        <w:tc>
          <w:tcPr>
            <w:tcW w:w="3118" w:type="dxa"/>
            <w:vAlign w:val="center"/>
          </w:tcPr>
          <w:p w14:paraId="6BBA58F9">
            <w:pPr>
              <w:pStyle w:val="135"/>
              <w:jc w:val="both"/>
            </w:pPr>
            <w:r>
              <w:rPr>
                <w:rFonts w:hint="eastAsia"/>
              </w:rPr>
              <w:t>经抽油烟机处理后通过屋顶烟囱排放。</w:t>
            </w:r>
          </w:p>
        </w:tc>
        <w:tc>
          <w:tcPr>
            <w:tcW w:w="1985" w:type="dxa"/>
            <w:vAlign w:val="center"/>
          </w:tcPr>
          <w:p w14:paraId="66F4315B">
            <w:pPr>
              <w:pStyle w:val="135"/>
            </w:pPr>
            <w:r>
              <w:rPr>
                <w:rFonts w:hint="eastAsia"/>
              </w:rPr>
              <w:t>《饮食业油烟排放标准（试行）》（GB</w:t>
            </w:r>
            <w:r>
              <w:t>18483-2001</w:t>
            </w:r>
            <w:r>
              <w:rPr>
                <w:rFonts w:hint="eastAsia"/>
              </w:rPr>
              <w:t>）</w:t>
            </w:r>
          </w:p>
        </w:tc>
      </w:tr>
      <w:tr w14:paraId="550AEB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restart"/>
            <w:vAlign w:val="center"/>
          </w:tcPr>
          <w:p w14:paraId="204F99D5">
            <w:pPr>
              <w:spacing w:line="360" w:lineRule="atLeast"/>
              <w:ind w:firstLine="0" w:firstLineChars="0"/>
              <w:jc w:val="center"/>
              <w:rPr>
                <w:sz w:val="18"/>
                <w:szCs w:val="18"/>
              </w:rPr>
            </w:pPr>
            <w:r>
              <w:rPr>
                <w:rFonts w:hint="eastAsia"/>
                <w:sz w:val="18"/>
                <w:szCs w:val="18"/>
              </w:rPr>
              <w:t>地表水环境</w:t>
            </w:r>
          </w:p>
        </w:tc>
        <w:tc>
          <w:tcPr>
            <w:tcW w:w="1712" w:type="dxa"/>
            <w:vAlign w:val="center"/>
          </w:tcPr>
          <w:p w14:paraId="28CD54D3">
            <w:pPr>
              <w:spacing w:line="360" w:lineRule="atLeast"/>
              <w:ind w:firstLine="0" w:firstLineChars="0"/>
              <w:jc w:val="center"/>
              <w:rPr>
                <w:sz w:val="18"/>
                <w:szCs w:val="18"/>
              </w:rPr>
            </w:pPr>
            <w:r>
              <w:rPr>
                <w:rFonts w:hint="eastAsia"/>
                <w:sz w:val="18"/>
                <w:szCs w:val="18"/>
              </w:rPr>
              <w:t>生活污水</w:t>
            </w:r>
          </w:p>
        </w:tc>
        <w:tc>
          <w:tcPr>
            <w:tcW w:w="982" w:type="dxa"/>
            <w:vAlign w:val="center"/>
          </w:tcPr>
          <w:p w14:paraId="683BF153">
            <w:pPr>
              <w:spacing w:line="360" w:lineRule="atLeast"/>
              <w:ind w:firstLine="0" w:firstLineChars="0"/>
              <w:rPr>
                <w:sz w:val="18"/>
                <w:szCs w:val="18"/>
              </w:rPr>
            </w:pPr>
            <w:r>
              <w:rPr>
                <w:rFonts w:hint="eastAsia"/>
                <w:sz w:val="18"/>
                <w:szCs w:val="18"/>
              </w:rPr>
              <w:t>COD、BOD、氨氮等</w:t>
            </w:r>
          </w:p>
        </w:tc>
        <w:tc>
          <w:tcPr>
            <w:tcW w:w="3118" w:type="dxa"/>
            <w:vAlign w:val="center"/>
          </w:tcPr>
          <w:p w14:paraId="5EA5F2B7">
            <w:pPr>
              <w:pStyle w:val="135"/>
              <w:rPr>
                <w:szCs w:val="18"/>
              </w:rPr>
            </w:pPr>
            <w:r>
              <w:rPr>
                <w:rFonts w:hint="eastAsia"/>
              </w:rPr>
              <w:t>生活污水经化粪池处理后采用吸污车清运至污水处理厂，后期管网接通后，通过管网排入污水处理厂处理</w:t>
            </w:r>
            <w:r>
              <w:t>。</w:t>
            </w:r>
          </w:p>
        </w:tc>
        <w:tc>
          <w:tcPr>
            <w:tcW w:w="1985" w:type="dxa"/>
            <w:tcBorders>
              <w:bottom w:val="single" w:color="auto" w:sz="6" w:space="0"/>
            </w:tcBorders>
            <w:vAlign w:val="center"/>
          </w:tcPr>
          <w:p w14:paraId="1F5D3019">
            <w:pPr>
              <w:spacing w:line="360" w:lineRule="atLeast"/>
              <w:ind w:firstLine="0" w:firstLineChars="0"/>
              <w:jc w:val="center"/>
              <w:rPr>
                <w:sz w:val="18"/>
                <w:szCs w:val="18"/>
              </w:rPr>
            </w:pPr>
            <w:r>
              <w:rPr>
                <w:rFonts w:hint="eastAsia"/>
                <w:sz w:val="18"/>
                <w:szCs w:val="18"/>
              </w:rPr>
              <w:t>/</w:t>
            </w:r>
          </w:p>
        </w:tc>
      </w:tr>
      <w:tr w14:paraId="7CA247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Merge w:val="continue"/>
            <w:vAlign w:val="center"/>
          </w:tcPr>
          <w:p w14:paraId="3577B999">
            <w:pPr>
              <w:spacing w:line="360" w:lineRule="atLeast"/>
              <w:ind w:firstLine="0" w:firstLineChars="0"/>
              <w:jc w:val="center"/>
              <w:rPr>
                <w:sz w:val="18"/>
                <w:szCs w:val="18"/>
              </w:rPr>
            </w:pPr>
          </w:p>
        </w:tc>
        <w:tc>
          <w:tcPr>
            <w:tcW w:w="1712" w:type="dxa"/>
            <w:vAlign w:val="center"/>
          </w:tcPr>
          <w:p w14:paraId="4D17EC29">
            <w:pPr>
              <w:spacing w:line="360" w:lineRule="atLeast"/>
              <w:ind w:firstLine="0" w:firstLineChars="0"/>
              <w:jc w:val="center"/>
              <w:rPr>
                <w:sz w:val="18"/>
                <w:szCs w:val="18"/>
              </w:rPr>
            </w:pPr>
            <w:r>
              <w:rPr>
                <w:rFonts w:hint="eastAsia"/>
                <w:sz w:val="18"/>
                <w:szCs w:val="18"/>
              </w:rPr>
              <w:t>生产废水</w:t>
            </w:r>
          </w:p>
        </w:tc>
        <w:tc>
          <w:tcPr>
            <w:tcW w:w="982" w:type="dxa"/>
            <w:vAlign w:val="center"/>
          </w:tcPr>
          <w:p w14:paraId="29CBC8F9">
            <w:pPr>
              <w:spacing w:line="360" w:lineRule="atLeast"/>
              <w:ind w:firstLine="0" w:firstLineChars="0"/>
              <w:jc w:val="center"/>
              <w:rPr>
                <w:sz w:val="18"/>
                <w:szCs w:val="18"/>
              </w:rPr>
            </w:pPr>
            <w:r>
              <w:rPr>
                <w:rFonts w:hint="eastAsia"/>
                <w:sz w:val="18"/>
                <w:szCs w:val="18"/>
              </w:rPr>
              <w:t>SS</w:t>
            </w:r>
          </w:p>
        </w:tc>
        <w:tc>
          <w:tcPr>
            <w:tcW w:w="3118" w:type="dxa"/>
            <w:vAlign w:val="center"/>
          </w:tcPr>
          <w:p w14:paraId="09E9B767">
            <w:pPr>
              <w:pStyle w:val="135"/>
              <w:rPr>
                <w:szCs w:val="18"/>
              </w:rPr>
            </w:pPr>
            <w:r>
              <w:rPr>
                <w:rFonts w:hint="eastAsia"/>
              </w:rPr>
              <w:t>收集至废浆池，废水经搅拌均质处理后回用于球磨工序。</w:t>
            </w:r>
          </w:p>
        </w:tc>
        <w:tc>
          <w:tcPr>
            <w:tcW w:w="1985" w:type="dxa"/>
            <w:tcBorders>
              <w:bottom w:val="single" w:color="auto" w:sz="6" w:space="0"/>
            </w:tcBorders>
            <w:vAlign w:val="center"/>
          </w:tcPr>
          <w:p w14:paraId="662D8DB5">
            <w:pPr>
              <w:spacing w:line="360" w:lineRule="atLeast"/>
              <w:ind w:firstLine="0" w:firstLineChars="0"/>
              <w:jc w:val="center"/>
              <w:rPr>
                <w:sz w:val="18"/>
                <w:szCs w:val="18"/>
              </w:rPr>
            </w:pPr>
            <w:r>
              <w:rPr>
                <w:rFonts w:hint="eastAsia"/>
                <w:sz w:val="18"/>
                <w:szCs w:val="18"/>
              </w:rPr>
              <w:t>不排放</w:t>
            </w:r>
          </w:p>
        </w:tc>
      </w:tr>
      <w:tr w14:paraId="011F24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Align w:val="center"/>
          </w:tcPr>
          <w:p w14:paraId="484F9544">
            <w:pPr>
              <w:spacing w:line="360" w:lineRule="atLeast"/>
              <w:ind w:firstLine="0" w:firstLineChars="0"/>
              <w:jc w:val="center"/>
              <w:rPr>
                <w:sz w:val="18"/>
                <w:szCs w:val="18"/>
              </w:rPr>
            </w:pPr>
            <w:r>
              <w:rPr>
                <w:sz w:val="18"/>
                <w:szCs w:val="18"/>
              </w:rPr>
              <w:t>声环境</w:t>
            </w:r>
          </w:p>
        </w:tc>
        <w:tc>
          <w:tcPr>
            <w:tcW w:w="1712" w:type="dxa"/>
            <w:vAlign w:val="center"/>
          </w:tcPr>
          <w:p w14:paraId="301E1DAF">
            <w:pPr>
              <w:spacing w:line="360" w:lineRule="atLeast"/>
              <w:ind w:firstLine="0" w:firstLineChars="0"/>
              <w:jc w:val="center"/>
              <w:rPr>
                <w:sz w:val="18"/>
                <w:szCs w:val="18"/>
              </w:rPr>
            </w:pPr>
            <w:r>
              <w:rPr>
                <w:rFonts w:hint="eastAsia"/>
                <w:sz w:val="18"/>
                <w:szCs w:val="18"/>
              </w:rPr>
              <w:t>设备噪声</w:t>
            </w:r>
          </w:p>
        </w:tc>
        <w:tc>
          <w:tcPr>
            <w:tcW w:w="982" w:type="dxa"/>
            <w:vAlign w:val="center"/>
          </w:tcPr>
          <w:p w14:paraId="0E657D19">
            <w:pPr>
              <w:spacing w:line="360" w:lineRule="atLeast"/>
              <w:ind w:firstLine="0" w:firstLineChars="0"/>
              <w:jc w:val="center"/>
              <w:rPr>
                <w:sz w:val="18"/>
                <w:szCs w:val="18"/>
              </w:rPr>
            </w:pPr>
            <w:r>
              <w:rPr>
                <w:rFonts w:hint="eastAsia"/>
                <w:sz w:val="18"/>
                <w:szCs w:val="18"/>
              </w:rPr>
              <w:t>等效A声级</w:t>
            </w:r>
          </w:p>
        </w:tc>
        <w:tc>
          <w:tcPr>
            <w:tcW w:w="3118" w:type="dxa"/>
            <w:vAlign w:val="center"/>
          </w:tcPr>
          <w:p w14:paraId="667CD63C">
            <w:pPr>
              <w:spacing w:line="360" w:lineRule="atLeast"/>
              <w:ind w:firstLine="0" w:firstLineChars="0"/>
              <w:rPr>
                <w:sz w:val="18"/>
                <w:szCs w:val="18"/>
              </w:rPr>
            </w:pPr>
            <w:r>
              <w:rPr>
                <w:sz w:val="18"/>
                <w:szCs w:val="18"/>
              </w:rPr>
              <w:t>选用低噪声设备；</w:t>
            </w:r>
            <w:r>
              <w:rPr>
                <w:rFonts w:hint="eastAsia"/>
                <w:sz w:val="18"/>
                <w:szCs w:val="18"/>
              </w:rPr>
              <w:t>采用生产区全密闭，</w:t>
            </w:r>
            <w:r>
              <w:rPr>
                <w:sz w:val="18"/>
                <w:szCs w:val="18"/>
              </w:rPr>
              <w:t>设备进行基础减振、房屋隔声</w:t>
            </w:r>
            <w:r>
              <w:rPr>
                <w:rFonts w:hint="eastAsia"/>
                <w:sz w:val="18"/>
                <w:szCs w:val="18"/>
              </w:rPr>
              <w:t>等降噪措施；破碎机采用下沉式基础。</w:t>
            </w:r>
          </w:p>
        </w:tc>
        <w:tc>
          <w:tcPr>
            <w:tcW w:w="1985" w:type="dxa"/>
            <w:vAlign w:val="center"/>
          </w:tcPr>
          <w:p w14:paraId="5E33B7CD">
            <w:pPr>
              <w:spacing w:line="360" w:lineRule="atLeast"/>
              <w:ind w:firstLine="0" w:firstLineChars="0"/>
              <w:jc w:val="center"/>
              <w:rPr>
                <w:sz w:val="18"/>
                <w:szCs w:val="18"/>
              </w:rPr>
            </w:pPr>
            <w:r>
              <w:rPr>
                <w:rFonts w:hint="eastAsia"/>
                <w:sz w:val="18"/>
                <w:szCs w:val="18"/>
              </w:rPr>
              <w:t>《工业企业厂界环境噪声排放标准》（GB</w:t>
            </w:r>
            <w:r>
              <w:rPr>
                <w:sz w:val="18"/>
                <w:szCs w:val="18"/>
              </w:rPr>
              <w:t>12348-2008</w:t>
            </w:r>
            <w:r>
              <w:rPr>
                <w:rFonts w:hint="eastAsia"/>
                <w:sz w:val="18"/>
                <w:szCs w:val="18"/>
              </w:rPr>
              <w:t>）</w:t>
            </w:r>
            <w:r>
              <w:rPr>
                <w:sz w:val="18"/>
                <w:szCs w:val="18"/>
              </w:rPr>
              <w:t>3</w:t>
            </w:r>
            <w:r>
              <w:rPr>
                <w:rFonts w:hint="eastAsia"/>
                <w:sz w:val="18"/>
                <w:szCs w:val="18"/>
              </w:rPr>
              <w:t>类标准</w:t>
            </w:r>
          </w:p>
        </w:tc>
      </w:tr>
      <w:tr w14:paraId="2F1D87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Align w:val="center"/>
          </w:tcPr>
          <w:p w14:paraId="25D13B3F">
            <w:pPr>
              <w:spacing w:line="360" w:lineRule="atLeast"/>
              <w:ind w:firstLine="0" w:firstLineChars="0"/>
              <w:jc w:val="center"/>
              <w:rPr>
                <w:sz w:val="18"/>
                <w:szCs w:val="18"/>
              </w:rPr>
            </w:pPr>
            <w:r>
              <w:rPr>
                <w:sz w:val="18"/>
                <w:szCs w:val="18"/>
              </w:rPr>
              <w:t>电磁辐射</w:t>
            </w:r>
          </w:p>
        </w:tc>
        <w:tc>
          <w:tcPr>
            <w:tcW w:w="1712" w:type="dxa"/>
            <w:vAlign w:val="center"/>
          </w:tcPr>
          <w:p w14:paraId="66DA9FE0">
            <w:pPr>
              <w:spacing w:line="360" w:lineRule="atLeast"/>
              <w:ind w:firstLine="0" w:firstLineChars="0"/>
              <w:jc w:val="center"/>
              <w:rPr>
                <w:sz w:val="18"/>
                <w:szCs w:val="18"/>
              </w:rPr>
            </w:pPr>
            <w:r>
              <w:rPr>
                <w:rFonts w:hint="eastAsia"/>
                <w:sz w:val="18"/>
                <w:szCs w:val="18"/>
              </w:rPr>
              <w:t>/</w:t>
            </w:r>
          </w:p>
        </w:tc>
        <w:tc>
          <w:tcPr>
            <w:tcW w:w="982" w:type="dxa"/>
            <w:vAlign w:val="center"/>
          </w:tcPr>
          <w:p w14:paraId="6C3432DB">
            <w:pPr>
              <w:spacing w:line="360" w:lineRule="atLeast"/>
              <w:ind w:firstLine="0" w:firstLineChars="0"/>
              <w:jc w:val="center"/>
              <w:rPr>
                <w:sz w:val="18"/>
                <w:szCs w:val="18"/>
              </w:rPr>
            </w:pPr>
            <w:r>
              <w:rPr>
                <w:rFonts w:hint="eastAsia"/>
                <w:sz w:val="18"/>
                <w:szCs w:val="18"/>
              </w:rPr>
              <w:t>/</w:t>
            </w:r>
          </w:p>
        </w:tc>
        <w:tc>
          <w:tcPr>
            <w:tcW w:w="3118" w:type="dxa"/>
            <w:vAlign w:val="center"/>
          </w:tcPr>
          <w:p w14:paraId="298FFDA3">
            <w:pPr>
              <w:spacing w:line="360" w:lineRule="atLeast"/>
              <w:ind w:firstLine="0" w:firstLineChars="0"/>
              <w:jc w:val="center"/>
              <w:rPr>
                <w:sz w:val="18"/>
                <w:szCs w:val="18"/>
              </w:rPr>
            </w:pPr>
            <w:r>
              <w:rPr>
                <w:rFonts w:hint="eastAsia"/>
                <w:sz w:val="18"/>
                <w:szCs w:val="18"/>
              </w:rPr>
              <w:t>/</w:t>
            </w:r>
          </w:p>
        </w:tc>
        <w:tc>
          <w:tcPr>
            <w:tcW w:w="1985" w:type="dxa"/>
            <w:vAlign w:val="center"/>
          </w:tcPr>
          <w:p w14:paraId="14021648">
            <w:pPr>
              <w:spacing w:line="360" w:lineRule="atLeast"/>
              <w:ind w:firstLine="0" w:firstLineChars="0"/>
              <w:jc w:val="center"/>
              <w:rPr>
                <w:sz w:val="18"/>
                <w:szCs w:val="18"/>
              </w:rPr>
            </w:pPr>
            <w:r>
              <w:rPr>
                <w:rFonts w:hint="eastAsia"/>
                <w:sz w:val="18"/>
                <w:szCs w:val="18"/>
              </w:rPr>
              <w:t>/</w:t>
            </w:r>
          </w:p>
        </w:tc>
      </w:tr>
      <w:tr w14:paraId="75892E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Align w:val="center"/>
          </w:tcPr>
          <w:p w14:paraId="7492C216">
            <w:pPr>
              <w:spacing w:line="360" w:lineRule="atLeast"/>
              <w:ind w:firstLine="0" w:firstLineChars="0"/>
              <w:jc w:val="center"/>
              <w:rPr>
                <w:sz w:val="18"/>
                <w:szCs w:val="18"/>
              </w:rPr>
            </w:pPr>
            <w:r>
              <w:rPr>
                <w:sz w:val="18"/>
                <w:szCs w:val="18"/>
              </w:rPr>
              <w:t>固体废物</w:t>
            </w:r>
          </w:p>
        </w:tc>
        <w:tc>
          <w:tcPr>
            <w:tcW w:w="7797" w:type="dxa"/>
            <w:gridSpan w:val="4"/>
            <w:vAlign w:val="center"/>
          </w:tcPr>
          <w:p w14:paraId="3D2CAA2C">
            <w:pPr>
              <w:spacing w:line="360" w:lineRule="atLeast"/>
              <w:ind w:firstLine="0" w:firstLineChars="0"/>
              <w:rPr>
                <w:sz w:val="18"/>
                <w:szCs w:val="18"/>
              </w:rPr>
            </w:pPr>
            <w:r>
              <w:rPr>
                <w:rFonts w:hint="eastAsia"/>
                <w:sz w:val="18"/>
                <w:szCs w:val="18"/>
              </w:rPr>
              <w:t>除尘灰、不合格产品、废边角料、炉渣回用于生产工序；化粪池污泥委托第三方单位清运处理；生活垃圾由环卫部门清运处理。危险废物</w:t>
            </w:r>
            <w:r>
              <w:rPr>
                <w:rStyle w:val="134"/>
                <w:rFonts w:hint="eastAsia"/>
              </w:rPr>
              <w:t>暂存危废暂存间（</w:t>
            </w:r>
            <w:r>
              <w:rPr>
                <w:rStyle w:val="134"/>
              </w:rPr>
              <w:t>5</w:t>
            </w:r>
            <w:r>
              <w:rPr>
                <w:rStyle w:val="134"/>
                <w:rFonts w:hint="eastAsia"/>
              </w:rPr>
              <w:t>m</w:t>
            </w:r>
            <w:r>
              <w:rPr>
                <w:rStyle w:val="134"/>
                <w:vertAlign w:val="superscript"/>
              </w:rPr>
              <w:t>2</w:t>
            </w:r>
            <w:r>
              <w:rPr>
                <w:rStyle w:val="134"/>
                <w:rFonts w:hint="eastAsia"/>
              </w:rPr>
              <w:t>），采取重点防渗处理，危险废物经收集、暂存后，定期交有危险废物处置资质的单位清运处理。</w:t>
            </w:r>
          </w:p>
        </w:tc>
      </w:tr>
      <w:tr w14:paraId="0A9341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Align w:val="center"/>
          </w:tcPr>
          <w:p w14:paraId="52E368A2">
            <w:pPr>
              <w:spacing w:line="360" w:lineRule="atLeast"/>
              <w:ind w:firstLine="0" w:firstLineChars="0"/>
              <w:jc w:val="center"/>
              <w:rPr>
                <w:sz w:val="18"/>
                <w:szCs w:val="18"/>
              </w:rPr>
            </w:pPr>
            <w:r>
              <w:rPr>
                <w:sz w:val="18"/>
                <w:szCs w:val="18"/>
              </w:rPr>
              <w:t>土壤及地下水污染防治措施</w:t>
            </w:r>
          </w:p>
        </w:tc>
        <w:tc>
          <w:tcPr>
            <w:tcW w:w="7797" w:type="dxa"/>
            <w:gridSpan w:val="4"/>
            <w:vAlign w:val="center"/>
          </w:tcPr>
          <w:p w14:paraId="7931E7B7">
            <w:pPr>
              <w:spacing w:line="360" w:lineRule="atLeast"/>
              <w:ind w:firstLine="0" w:firstLineChars="0"/>
              <w:rPr>
                <w:sz w:val="18"/>
                <w:szCs w:val="18"/>
              </w:rPr>
            </w:pPr>
            <w:r>
              <w:rPr>
                <w:rFonts w:hint="eastAsia"/>
                <w:kern w:val="0"/>
                <w:sz w:val="18"/>
                <w:szCs w:val="18"/>
              </w:rPr>
              <w:t>危废暂存间</w:t>
            </w:r>
            <w:r>
              <w:rPr>
                <w:rFonts w:hint="eastAsia"/>
                <w:sz w:val="18"/>
                <w:szCs w:val="18"/>
              </w:rPr>
              <w:t>采取1</w:t>
            </w:r>
            <w:r>
              <w:rPr>
                <w:sz w:val="18"/>
                <w:szCs w:val="18"/>
              </w:rPr>
              <w:t>5</w:t>
            </w:r>
            <w:r>
              <w:rPr>
                <w:rFonts w:hint="eastAsia"/>
                <w:sz w:val="18"/>
                <w:szCs w:val="18"/>
              </w:rPr>
              <w:t>cm砂浆混凝土+</w:t>
            </w:r>
            <w:r>
              <w:rPr>
                <w:sz w:val="18"/>
                <w:szCs w:val="18"/>
              </w:rPr>
              <w:t>2</w:t>
            </w:r>
            <w:r>
              <w:rPr>
                <w:rFonts w:hint="eastAsia"/>
                <w:sz w:val="18"/>
                <w:szCs w:val="18"/>
              </w:rPr>
              <w:t>mm厚环氧树脂地坪，渗透系数K</w:t>
            </w:r>
            <w:r>
              <w:rPr>
                <w:sz w:val="18"/>
                <w:szCs w:val="18"/>
              </w:rPr>
              <w:t>≤10</w:t>
            </w:r>
            <w:r>
              <w:rPr>
                <w:sz w:val="18"/>
                <w:szCs w:val="18"/>
                <w:vertAlign w:val="superscript"/>
              </w:rPr>
              <w:t>-10</w:t>
            </w:r>
            <w:r>
              <w:rPr>
                <w:sz w:val="18"/>
                <w:szCs w:val="18"/>
              </w:rPr>
              <w:t>cm/ s</w:t>
            </w:r>
            <w:r>
              <w:rPr>
                <w:rFonts w:hint="eastAsia"/>
                <w:sz w:val="18"/>
                <w:szCs w:val="18"/>
              </w:rPr>
              <w:t>，</w:t>
            </w:r>
            <w:r>
              <w:rPr>
                <w:rFonts w:hint="eastAsia"/>
                <w:kern w:val="0"/>
                <w:sz w:val="18"/>
                <w:szCs w:val="18"/>
              </w:rPr>
              <w:t>厂房地面、化粪池、废浆池</w:t>
            </w:r>
            <w:r>
              <w:rPr>
                <w:rFonts w:hint="eastAsia"/>
                <w:sz w:val="18"/>
                <w:szCs w:val="18"/>
              </w:rPr>
              <w:t>采用1</w:t>
            </w:r>
            <w:r>
              <w:rPr>
                <w:sz w:val="18"/>
                <w:szCs w:val="18"/>
              </w:rPr>
              <w:t>5</w:t>
            </w:r>
            <w:r>
              <w:rPr>
                <w:rFonts w:hint="eastAsia"/>
                <w:sz w:val="18"/>
                <w:szCs w:val="18"/>
              </w:rPr>
              <w:t>cm砂浆混凝土，</w:t>
            </w:r>
            <w:r>
              <w:rPr>
                <w:sz w:val="18"/>
                <w:szCs w:val="18"/>
              </w:rPr>
              <w:t>防渗层渗透系数</w:t>
            </w:r>
            <w:r>
              <w:rPr>
                <w:rFonts w:hint="eastAsia"/>
                <w:sz w:val="18"/>
                <w:szCs w:val="18"/>
              </w:rPr>
              <w:t>K</w:t>
            </w:r>
            <w:r>
              <w:rPr>
                <w:sz w:val="18"/>
                <w:szCs w:val="18"/>
              </w:rPr>
              <w:t>≤10</w:t>
            </w:r>
            <w:r>
              <w:rPr>
                <w:sz w:val="18"/>
                <w:szCs w:val="18"/>
                <w:vertAlign w:val="superscript"/>
              </w:rPr>
              <w:t>-7</w:t>
            </w:r>
            <w:r>
              <w:rPr>
                <w:sz w:val="18"/>
                <w:szCs w:val="18"/>
              </w:rPr>
              <w:t>cm/s</w:t>
            </w:r>
            <w:r>
              <w:rPr>
                <w:rFonts w:hint="eastAsia"/>
                <w:sz w:val="18"/>
                <w:szCs w:val="18"/>
              </w:rPr>
              <w:t>，其他一般地面硬化。</w:t>
            </w:r>
          </w:p>
        </w:tc>
      </w:tr>
      <w:tr w14:paraId="456DF8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Align w:val="center"/>
          </w:tcPr>
          <w:p w14:paraId="4E4A8C58">
            <w:pPr>
              <w:spacing w:line="360" w:lineRule="atLeast"/>
              <w:ind w:firstLine="0" w:firstLineChars="0"/>
              <w:jc w:val="center"/>
              <w:rPr>
                <w:sz w:val="18"/>
                <w:szCs w:val="18"/>
              </w:rPr>
            </w:pPr>
            <w:r>
              <w:rPr>
                <w:sz w:val="18"/>
                <w:szCs w:val="18"/>
              </w:rPr>
              <w:t>生态保护措施</w:t>
            </w:r>
          </w:p>
        </w:tc>
        <w:tc>
          <w:tcPr>
            <w:tcW w:w="7797" w:type="dxa"/>
            <w:gridSpan w:val="4"/>
            <w:vAlign w:val="center"/>
          </w:tcPr>
          <w:p w14:paraId="1CF6DC4B">
            <w:pPr>
              <w:spacing w:line="360" w:lineRule="atLeast"/>
              <w:ind w:firstLine="0" w:firstLineChars="0"/>
              <w:jc w:val="center"/>
              <w:rPr>
                <w:sz w:val="18"/>
                <w:szCs w:val="18"/>
              </w:rPr>
            </w:pPr>
            <w:r>
              <w:rPr>
                <w:rFonts w:hint="eastAsia"/>
                <w:sz w:val="18"/>
                <w:szCs w:val="18"/>
              </w:rPr>
              <w:t>/</w:t>
            </w:r>
          </w:p>
        </w:tc>
      </w:tr>
      <w:tr w14:paraId="55A988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Align w:val="center"/>
          </w:tcPr>
          <w:p w14:paraId="454AA6E4">
            <w:pPr>
              <w:spacing w:line="360" w:lineRule="atLeast"/>
              <w:ind w:firstLine="0" w:firstLineChars="0"/>
              <w:jc w:val="center"/>
              <w:rPr>
                <w:sz w:val="18"/>
                <w:szCs w:val="18"/>
              </w:rPr>
            </w:pPr>
            <w:r>
              <w:rPr>
                <w:sz w:val="18"/>
                <w:szCs w:val="18"/>
              </w:rPr>
              <w:t>环境风险防范措施</w:t>
            </w:r>
          </w:p>
        </w:tc>
        <w:tc>
          <w:tcPr>
            <w:tcW w:w="7797" w:type="dxa"/>
            <w:gridSpan w:val="4"/>
            <w:vAlign w:val="center"/>
          </w:tcPr>
          <w:p w14:paraId="5BF15DD5">
            <w:pPr>
              <w:spacing w:line="360" w:lineRule="atLeast"/>
              <w:ind w:firstLine="0" w:firstLineChars="0"/>
              <w:jc w:val="left"/>
              <w:rPr>
                <w:sz w:val="18"/>
                <w:szCs w:val="18"/>
              </w:rPr>
            </w:pPr>
            <w:r>
              <w:rPr>
                <w:rFonts w:hint="eastAsia"/>
                <w:sz w:val="18"/>
                <w:szCs w:val="18"/>
              </w:rPr>
              <w:t>按照要求分别制定危险废物储存过程中风险防范措施；火灾风险防范措施；废气、废水治理设施故障风险防范措施；泄漏事故风险防范措施。</w:t>
            </w:r>
          </w:p>
        </w:tc>
      </w:tr>
      <w:tr w14:paraId="733A02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124" w:type="dxa"/>
            <w:vAlign w:val="center"/>
          </w:tcPr>
          <w:p w14:paraId="3CD51F27">
            <w:pPr>
              <w:spacing w:line="360" w:lineRule="atLeast"/>
              <w:ind w:firstLine="0" w:firstLineChars="0"/>
              <w:jc w:val="center"/>
              <w:rPr>
                <w:sz w:val="18"/>
                <w:szCs w:val="18"/>
              </w:rPr>
            </w:pPr>
            <w:r>
              <w:rPr>
                <w:sz w:val="18"/>
                <w:szCs w:val="18"/>
              </w:rPr>
              <w:t>其他环境管理要求</w:t>
            </w:r>
          </w:p>
        </w:tc>
        <w:tc>
          <w:tcPr>
            <w:tcW w:w="7797" w:type="dxa"/>
            <w:gridSpan w:val="4"/>
            <w:vAlign w:val="center"/>
          </w:tcPr>
          <w:p w14:paraId="5718F348">
            <w:pPr>
              <w:spacing w:line="360" w:lineRule="atLeast"/>
              <w:ind w:firstLine="0" w:firstLineChars="0"/>
              <w:rPr>
                <w:sz w:val="18"/>
                <w:szCs w:val="18"/>
              </w:rPr>
            </w:pPr>
            <w:r>
              <w:rPr>
                <w:sz w:val="18"/>
                <w:szCs w:val="18"/>
              </w:rPr>
              <w:t>及时完成竣工环境保护验收监测以及突发环境事件应急预案编制等工作，完善环保手续，建立健全环保档案，</w:t>
            </w:r>
            <w:r>
              <w:rPr>
                <w:rFonts w:hint="eastAsia"/>
                <w:sz w:val="18"/>
                <w:szCs w:val="18"/>
              </w:rPr>
              <w:t>并按规范进行管理；定时按照环境监测计划进行监测。</w:t>
            </w:r>
          </w:p>
        </w:tc>
      </w:tr>
    </w:tbl>
    <w:p w14:paraId="6F901BBB">
      <w:pPr>
        <w:ind w:firstLine="420"/>
        <w:rPr>
          <w:snapToGrid w:val="0"/>
        </w:rPr>
        <w:sectPr>
          <w:pgSz w:w="11906" w:h="16838"/>
          <w:pgMar w:top="1560" w:right="1700" w:bottom="1701" w:left="1701" w:header="851" w:footer="851" w:gutter="0"/>
          <w:pgNumType w:fmt="numberInDash"/>
          <w:cols w:space="720" w:num="1"/>
          <w:docGrid w:linePitch="312" w:charSpace="0"/>
        </w:sectPr>
      </w:pPr>
    </w:p>
    <w:p w14:paraId="1379E1F6">
      <w:pPr>
        <w:pStyle w:val="29"/>
        <w:spacing w:before="0" w:beforeAutospacing="0" w:after="0" w:afterAutospacing="0" w:line="240" w:lineRule="auto"/>
        <w:ind w:firstLine="0" w:firstLineChars="0"/>
        <w:jc w:val="center"/>
        <w:outlineLvl w:val="0"/>
        <w:rPr>
          <w:rFonts w:cs="宋体"/>
          <w:b/>
          <w:bCs/>
          <w:snapToGrid w:val="0"/>
          <w:sz w:val="30"/>
          <w:szCs w:val="30"/>
        </w:rPr>
      </w:pPr>
      <w:bookmarkStart w:id="8" w:name="_Toc171001982"/>
      <w:r>
        <w:rPr>
          <w:rFonts w:cs="宋体"/>
          <w:b/>
          <w:bCs/>
          <w:snapToGrid w:val="0"/>
          <w:sz w:val="30"/>
          <w:szCs w:val="30"/>
        </w:rPr>
        <w:t>六、结论</w:t>
      </w:r>
      <w:bookmarkEnd w:id="8"/>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83"/>
      </w:tblGrid>
      <w:tr w14:paraId="7F1A8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483" w:type="dxa"/>
          </w:tcPr>
          <w:p w14:paraId="45DE6020">
            <w:pPr>
              <w:ind w:firstLine="420"/>
              <w:rPr>
                <w:szCs w:val="24"/>
              </w:rPr>
            </w:pPr>
            <w:r>
              <w:rPr>
                <w:rFonts w:hint="eastAsia"/>
                <w:szCs w:val="21"/>
              </w:rPr>
              <w:t>巴中市浙胜节能建材有限公司年产15万立方米加气混凝土生产线项目</w:t>
            </w:r>
            <w:r>
              <w:rPr>
                <w:szCs w:val="24"/>
              </w:rPr>
              <w:t>符合国家现行产业政策</w:t>
            </w:r>
            <w:r>
              <w:rPr>
                <w:rFonts w:hint="eastAsia"/>
                <w:szCs w:val="24"/>
              </w:rPr>
              <w:t>、</w:t>
            </w:r>
            <w:r>
              <w:rPr>
                <w:szCs w:val="24"/>
              </w:rPr>
              <w:t>符合</w:t>
            </w:r>
            <w:r>
              <w:rPr>
                <w:rFonts w:hint="eastAsia"/>
                <w:szCs w:val="24"/>
              </w:rPr>
              <w:t>巴中市生态环境分区管控</w:t>
            </w:r>
            <w:r>
              <w:rPr>
                <w:szCs w:val="24"/>
              </w:rPr>
              <w:t>要求</w:t>
            </w:r>
            <w:r>
              <w:rPr>
                <w:rFonts w:hint="eastAsia"/>
                <w:szCs w:val="24"/>
              </w:rPr>
              <w:t>，符合巴中市及四川巴中经济开发区土地利用规划，符合</w:t>
            </w:r>
            <w:r>
              <w:t>《四川巴中经济开发区规划修编》</w:t>
            </w:r>
            <w:r>
              <w:rPr>
                <w:rFonts w:hint="eastAsia"/>
              </w:rPr>
              <w:t>及规划环评中相关要求</w:t>
            </w:r>
            <w:r>
              <w:rPr>
                <w:szCs w:val="24"/>
              </w:rPr>
              <w:t>；项目采取的污染治理措施成熟可靠且技术经济可行，排放污染物能够达到国家和行业规定的标准，对评价区域环境质量不会造成明显影响。项目环境风险影响处于可接受水平，风险防范措施及应急预案切实可行。只要严格落实环境影响报告</w:t>
            </w:r>
            <w:r>
              <w:rPr>
                <w:rFonts w:hint="eastAsia"/>
                <w:szCs w:val="24"/>
              </w:rPr>
              <w:t>表</w:t>
            </w:r>
            <w:r>
              <w:rPr>
                <w:szCs w:val="24"/>
              </w:rPr>
              <w:t>提出的环保对策及措施，严格执行</w:t>
            </w:r>
            <w:r>
              <w:rPr>
                <w:bCs/>
                <w:szCs w:val="24"/>
              </w:rPr>
              <w:t>“</w:t>
            </w:r>
            <w:r>
              <w:rPr>
                <w:szCs w:val="24"/>
              </w:rPr>
              <w:t>三同时</w:t>
            </w:r>
            <w:r>
              <w:rPr>
                <w:bCs/>
                <w:szCs w:val="24"/>
              </w:rPr>
              <w:t>”</w:t>
            </w:r>
            <w:r>
              <w:rPr>
                <w:szCs w:val="24"/>
              </w:rPr>
              <w:t>制度，确保项目污染物达标排放，认真落实环境风险的防范措施及应急预案，本项目的建设从环保角度可行。</w:t>
            </w:r>
          </w:p>
        </w:tc>
      </w:tr>
    </w:tbl>
    <w:p w14:paraId="543AB210">
      <w:pPr>
        <w:ind w:firstLine="420"/>
        <w:sectPr>
          <w:pgSz w:w="11906" w:h="16838"/>
          <w:pgMar w:top="1418" w:right="1841" w:bottom="1701" w:left="1701" w:header="851" w:footer="851" w:gutter="0"/>
          <w:pgNumType w:fmt="numberInDash"/>
          <w:cols w:space="720" w:num="1"/>
          <w:docGrid w:linePitch="312" w:charSpace="0"/>
        </w:sectPr>
      </w:pPr>
    </w:p>
    <w:p w14:paraId="5473E9F2">
      <w:pPr>
        <w:pStyle w:val="29"/>
        <w:spacing w:before="0" w:beforeAutospacing="0" w:after="0" w:afterAutospacing="0" w:line="240" w:lineRule="auto"/>
        <w:ind w:firstLine="0" w:firstLineChars="0"/>
        <w:jc w:val="center"/>
        <w:outlineLvl w:val="0"/>
        <w:rPr>
          <w:rFonts w:cs="宋体"/>
          <w:b/>
          <w:bCs/>
          <w:snapToGrid w:val="0"/>
          <w:sz w:val="30"/>
          <w:szCs w:val="30"/>
        </w:rPr>
      </w:pPr>
      <w:bookmarkStart w:id="9" w:name="_Toc171001983"/>
      <w:r>
        <w:rPr>
          <w:rFonts w:cs="宋体"/>
          <w:b/>
          <w:bCs/>
          <w:snapToGrid w:val="0"/>
          <w:sz w:val="30"/>
          <w:szCs w:val="30"/>
        </w:rPr>
        <w:t>附表  建设项目污染物排放量汇总表</w:t>
      </w:r>
      <w:bookmarkEnd w:id="9"/>
    </w:p>
    <w:tbl>
      <w:tblPr>
        <w:tblStyle w:val="33"/>
        <w:tblW w:w="1416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2268"/>
        <w:gridCol w:w="1560"/>
        <w:gridCol w:w="1134"/>
        <w:gridCol w:w="1597"/>
        <w:gridCol w:w="1559"/>
        <w:gridCol w:w="1761"/>
        <w:gridCol w:w="1745"/>
        <w:gridCol w:w="1417"/>
      </w:tblGrid>
      <w:tr w14:paraId="5B420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trPr>
        <w:tc>
          <w:tcPr>
            <w:tcW w:w="1124" w:type="dxa"/>
            <w:tcBorders>
              <w:tl2br w:val="single" w:color="auto" w:sz="4" w:space="0"/>
            </w:tcBorders>
            <w:tcMar>
              <w:left w:w="28" w:type="dxa"/>
              <w:right w:w="28" w:type="dxa"/>
            </w:tcMar>
            <w:vAlign w:val="center"/>
          </w:tcPr>
          <w:p w14:paraId="7DE2D508">
            <w:pPr>
              <w:pStyle w:val="91"/>
              <w:rPr>
                <w:color w:val="auto"/>
                <w:sz w:val="21"/>
                <w:szCs w:val="21"/>
              </w:rPr>
            </w:pPr>
            <w:r>
              <w:rPr>
                <w:color w:val="auto"/>
                <w:sz w:val="21"/>
                <w:szCs w:val="21"/>
              </w:rPr>
              <w:t>项目</w:t>
            </w:r>
          </w:p>
          <w:p w14:paraId="0213983C">
            <w:pPr>
              <w:pStyle w:val="91"/>
              <w:rPr>
                <w:color w:val="auto"/>
                <w:sz w:val="21"/>
                <w:szCs w:val="21"/>
              </w:rPr>
            </w:pPr>
            <w:r>
              <w:rPr>
                <w:color w:val="auto"/>
                <w:sz w:val="21"/>
                <w:szCs w:val="21"/>
              </w:rPr>
              <w:t>分类</w:t>
            </w:r>
          </w:p>
        </w:tc>
        <w:tc>
          <w:tcPr>
            <w:tcW w:w="2268" w:type="dxa"/>
            <w:tcMar>
              <w:left w:w="28" w:type="dxa"/>
              <w:right w:w="28" w:type="dxa"/>
            </w:tcMar>
            <w:vAlign w:val="center"/>
          </w:tcPr>
          <w:p w14:paraId="44C3E0E1">
            <w:pPr>
              <w:pStyle w:val="91"/>
              <w:rPr>
                <w:color w:val="auto"/>
                <w:sz w:val="21"/>
                <w:szCs w:val="21"/>
              </w:rPr>
            </w:pPr>
            <w:r>
              <w:rPr>
                <w:color w:val="auto"/>
                <w:sz w:val="21"/>
                <w:szCs w:val="21"/>
              </w:rPr>
              <w:t>污染物名称</w:t>
            </w:r>
          </w:p>
        </w:tc>
        <w:tc>
          <w:tcPr>
            <w:tcW w:w="1560" w:type="dxa"/>
            <w:tcMar>
              <w:left w:w="28" w:type="dxa"/>
              <w:right w:w="28" w:type="dxa"/>
            </w:tcMar>
            <w:vAlign w:val="center"/>
          </w:tcPr>
          <w:p w14:paraId="214B2616">
            <w:pPr>
              <w:pStyle w:val="91"/>
              <w:rPr>
                <w:color w:val="auto"/>
                <w:sz w:val="21"/>
                <w:szCs w:val="21"/>
              </w:rPr>
            </w:pPr>
            <w:r>
              <w:rPr>
                <w:color w:val="auto"/>
                <w:sz w:val="21"/>
                <w:szCs w:val="21"/>
              </w:rPr>
              <w:t>现有工程排放量（固体废物产生量）</w:t>
            </w:r>
            <w:r>
              <w:rPr>
                <w:color w:val="auto"/>
                <w:sz w:val="21"/>
                <w:szCs w:val="21"/>
              </w:rPr>
              <w:fldChar w:fldCharType="begin"/>
            </w:r>
            <w:r>
              <w:rPr>
                <w:color w:val="auto"/>
                <w:sz w:val="21"/>
                <w:szCs w:val="21"/>
              </w:rPr>
              <w:instrText xml:space="preserve"> = 1 \* GB3 \* MERGEFORMAT </w:instrText>
            </w:r>
            <w:r>
              <w:rPr>
                <w:color w:val="auto"/>
                <w:sz w:val="21"/>
                <w:szCs w:val="21"/>
              </w:rPr>
              <w:fldChar w:fldCharType="separate"/>
            </w:r>
            <w:r>
              <w:rPr>
                <w:rFonts w:hint="eastAsia" w:ascii="宋体" w:hAnsi="宋体" w:cs="宋体"/>
                <w:color w:val="auto"/>
                <w:sz w:val="21"/>
                <w:szCs w:val="21"/>
              </w:rPr>
              <w:t>①</w:t>
            </w:r>
            <w:r>
              <w:rPr>
                <w:color w:val="auto"/>
                <w:sz w:val="21"/>
                <w:szCs w:val="21"/>
              </w:rPr>
              <w:fldChar w:fldCharType="end"/>
            </w:r>
          </w:p>
        </w:tc>
        <w:tc>
          <w:tcPr>
            <w:tcW w:w="1134" w:type="dxa"/>
            <w:tcMar>
              <w:left w:w="28" w:type="dxa"/>
              <w:right w:w="28" w:type="dxa"/>
            </w:tcMar>
            <w:vAlign w:val="center"/>
          </w:tcPr>
          <w:p w14:paraId="01653B8B">
            <w:pPr>
              <w:pStyle w:val="91"/>
              <w:rPr>
                <w:color w:val="auto"/>
                <w:sz w:val="21"/>
                <w:szCs w:val="21"/>
              </w:rPr>
            </w:pPr>
            <w:r>
              <w:rPr>
                <w:color w:val="auto"/>
                <w:sz w:val="21"/>
                <w:szCs w:val="21"/>
              </w:rPr>
              <w:t>现有工程许可排放量</w:t>
            </w:r>
            <w:r>
              <w:rPr>
                <w:color w:val="auto"/>
                <w:sz w:val="21"/>
                <w:szCs w:val="21"/>
              </w:rPr>
              <w:fldChar w:fldCharType="begin"/>
            </w:r>
            <w:r>
              <w:rPr>
                <w:color w:val="auto"/>
                <w:sz w:val="21"/>
                <w:szCs w:val="21"/>
              </w:rPr>
              <w:instrText xml:space="preserve"> = 2 \* GB3 \* MERGEFORMAT </w:instrText>
            </w:r>
            <w:r>
              <w:rPr>
                <w:color w:val="auto"/>
                <w:sz w:val="21"/>
                <w:szCs w:val="21"/>
              </w:rPr>
              <w:fldChar w:fldCharType="separate"/>
            </w:r>
            <w:r>
              <w:rPr>
                <w:rFonts w:hint="eastAsia" w:ascii="宋体" w:hAnsi="宋体" w:cs="宋体"/>
                <w:color w:val="auto"/>
                <w:sz w:val="21"/>
                <w:szCs w:val="21"/>
              </w:rPr>
              <w:t>②</w:t>
            </w:r>
            <w:r>
              <w:rPr>
                <w:color w:val="auto"/>
                <w:sz w:val="21"/>
                <w:szCs w:val="21"/>
              </w:rPr>
              <w:fldChar w:fldCharType="end"/>
            </w:r>
          </w:p>
        </w:tc>
        <w:tc>
          <w:tcPr>
            <w:tcW w:w="1597" w:type="dxa"/>
            <w:tcMar>
              <w:left w:w="28" w:type="dxa"/>
              <w:right w:w="28" w:type="dxa"/>
            </w:tcMar>
            <w:vAlign w:val="center"/>
          </w:tcPr>
          <w:p w14:paraId="47C57F0A">
            <w:pPr>
              <w:pStyle w:val="91"/>
              <w:rPr>
                <w:color w:val="auto"/>
                <w:sz w:val="21"/>
                <w:szCs w:val="21"/>
              </w:rPr>
            </w:pPr>
            <w:r>
              <w:rPr>
                <w:color w:val="auto"/>
                <w:sz w:val="21"/>
                <w:szCs w:val="21"/>
              </w:rPr>
              <w:t>在建工程排放量（固体废物产生量）</w:t>
            </w:r>
            <w:r>
              <w:rPr>
                <w:color w:val="auto"/>
                <w:sz w:val="21"/>
                <w:szCs w:val="21"/>
              </w:rPr>
              <w:fldChar w:fldCharType="begin"/>
            </w:r>
            <w:r>
              <w:rPr>
                <w:color w:val="auto"/>
                <w:sz w:val="21"/>
                <w:szCs w:val="21"/>
              </w:rPr>
              <w:instrText xml:space="preserve"> = 3 \* GB3 \* MERGEFORMAT </w:instrText>
            </w:r>
            <w:r>
              <w:rPr>
                <w:color w:val="auto"/>
                <w:sz w:val="21"/>
                <w:szCs w:val="21"/>
              </w:rPr>
              <w:fldChar w:fldCharType="separate"/>
            </w:r>
            <w:r>
              <w:rPr>
                <w:rFonts w:hint="eastAsia" w:ascii="宋体" w:hAnsi="宋体" w:cs="宋体"/>
                <w:color w:val="auto"/>
                <w:sz w:val="21"/>
                <w:szCs w:val="21"/>
              </w:rPr>
              <w:t>③</w:t>
            </w:r>
            <w:r>
              <w:rPr>
                <w:color w:val="auto"/>
                <w:sz w:val="21"/>
                <w:szCs w:val="21"/>
              </w:rPr>
              <w:fldChar w:fldCharType="end"/>
            </w:r>
          </w:p>
        </w:tc>
        <w:tc>
          <w:tcPr>
            <w:tcW w:w="1559" w:type="dxa"/>
            <w:tcMar>
              <w:left w:w="28" w:type="dxa"/>
              <w:right w:w="28" w:type="dxa"/>
            </w:tcMar>
            <w:vAlign w:val="center"/>
          </w:tcPr>
          <w:p w14:paraId="7A26F21C">
            <w:pPr>
              <w:pStyle w:val="91"/>
              <w:rPr>
                <w:color w:val="auto"/>
                <w:sz w:val="21"/>
                <w:szCs w:val="21"/>
              </w:rPr>
            </w:pPr>
            <w:r>
              <w:rPr>
                <w:color w:val="auto"/>
                <w:sz w:val="21"/>
                <w:szCs w:val="21"/>
              </w:rPr>
              <w:t>本项目排放量（固体废物产生量）</w:t>
            </w:r>
            <w:r>
              <w:rPr>
                <w:color w:val="auto"/>
                <w:sz w:val="21"/>
                <w:szCs w:val="21"/>
              </w:rPr>
              <w:fldChar w:fldCharType="begin"/>
            </w:r>
            <w:r>
              <w:rPr>
                <w:color w:val="auto"/>
                <w:sz w:val="21"/>
                <w:szCs w:val="21"/>
              </w:rPr>
              <w:instrText xml:space="preserve"> = 4 \* GB3 \* MERGEFORMAT </w:instrText>
            </w:r>
            <w:r>
              <w:rPr>
                <w:color w:val="auto"/>
                <w:sz w:val="21"/>
                <w:szCs w:val="21"/>
              </w:rPr>
              <w:fldChar w:fldCharType="separate"/>
            </w:r>
            <w:r>
              <w:rPr>
                <w:rFonts w:hint="eastAsia" w:ascii="宋体" w:hAnsi="宋体" w:cs="宋体"/>
                <w:color w:val="auto"/>
                <w:sz w:val="21"/>
                <w:szCs w:val="21"/>
              </w:rPr>
              <w:t>④</w:t>
            </w:r>
            <w:r>
              <w:rPr>
                <w:color w:val="auto"/>
                <w:sz w:val="21"/>
                <w:szCs w:val="21"/>
              </w:rPr>
              <w:fldChar w:fldCharType="end"/>
            </w:r>
          </w:p>
        </w:tc>
        <w:tc>
          <w:tcPr>
            <w:tcW w:w="1761" w:type="dxa"/>
            <w:tcMar>
              <w:left w:w="28" w:type="dxa"/>
              <w:right w:w="28" w:type="dxa"/>
            </w:tcMar>
            <w:vAlign w:val="center"/>
          </w:tcPr>
          <w:p w14:paraId="34F8E124">
            <w:pPr>
              <w:pStyle w:val="91"/>
              <w:rPr>
                <w:color w:val="auto"/>
                <w:sz w:val="21"/>
                <w:szCs w:val="21"/>
              </w:rPr>
            </w:pPr>
            <w:r>
              <w:rPr>
                <w:color w:val="auto"/>
                <w:sz w:val="21"/>
                <w:szCs w:val="21"/>
              </w:rPr>
              <w:t>以新带老削减量（新建项目不填）</w:t>
            </w:r>
            <w:r>
              <w:rPr>
                <w:color w:val="auto"/>
                <w:sz w:val="21"/>
                <w:szCs w:val="21"/>
              </w:rPr>
              <w:fldChar w:fldCharType="begin"/>
            </w:r>
            <w:r>
              <w:rPr>
                <w:color w:val="auto"/>
                <w:sz w:val="21"/>
                <w:szCs w:val="21"/>
              </w:rPr>
              <w:instrText xml:space="preserve"> = 5 \* GB3 \* MERGEFORMAT </w:instrText>
            </w:r>
            <w:r>
              <w:rPr>
                <w:color w:val="auto"/>
                <w:sz w:val="21"/>
                <w:szCs w:val="21"/>
              </w:rPr>
              <w:fldChar w:fldCharType="separate"/>
            </w:r>
            <w:r>
              <w:rPr>
                <w:rFonts w:hint="eastAsia" w:ascii="宋体" w:hAnsi="宋体" w:cs="宋体"/>
                <w:color w:val="auto"/>
                <w:sz w:val="21"/>
                <w:szCs w:val="21"/>
              </w:rPr>
              <w:t>⑤</w:t>
            </w:r>
            <w:r>
              <w:rPr>
                <w:color w:val="auto"/>
                <w:sz w:val="21"/>
                <w:szCs w:val="21"/>
              </w:rPr>
              <w:fldChar w:fldCharType="end"/>
            </w:r>
          </w:p>
        </w:tc>
        <w:tc>
          <w:tcPr>
            <w:tcW w:w="1745" w:type="dxa"/>
            <w:tcMar>
              <w:left w:w="28" w:type="dxa"/>
              <w:right w:w="28" w:type="dxa"/>
            </w:tcMar>
            <w:vAlign w:val="center"/>
          </w:tcPr>
          <w:p w14:paraId="583CF28E">
            <w:pPr>
              <w:pStyle w:val="91"/>
              <w:rPr>
                <w:color w:val="auto"/>
                <w:sz w:val="21"/>
                <w:szCs w:val="21"/>
              </w:rPr>
            </w:pPr>
            <w:r>
              <w:rPr>
                <w:color w:val="auto"/>
                <w:sz w:val="21"/>
                <w:szCs w:val="21"/>
              </w:rPr>
              <w:t>本项目建成后全厂排放量（固体废物产生量）</w:t>
            </w:r>
            <w:r>
              <w:rPr>
                <w:color w:val="auto"/>
                <w:sz w:val="21"/>
                <w:szCs w:val="21"/>
              </w:rPr>
              <w:fldChar w:fldCharType="begin"/>
            </w:r>
            <w:r>
              <w:rPr>
                <w:color w:val="auto"/>
                <w:sz w:val="21"/>
                <w:szCs w:val="21"/>
              </w:rPr>
              <w:instrText xml:space="preserve"> = 6 \* GB3 \* MERGEFORMAT </w:instrText>
            </w:r>
            <w:r>
              <w:rPr>
                <w:color w:val="auto"/>
                <w:sz w:val="21"/>
                <w:szCs w:val="21"/>
              </w:rPr>
              <w:fldChar w:fldCharType="separate"/>
            </w:r>
            <w:r>
              <w:rPr>
                <w:rFonts w:hint="eastAsia" w:ascii="宋体" w:hAnsi="宋体" w:cs="宋体"/>
                <w:color w:val="auto"/>
                <w:sz w:val="21"/>
                <w:szCs w:val="21"/>
              </w:rPr>
              <w:t>⑥</w:t>
            </w:r>
            <w:r>
              <w:rPr>
                <w:color w:val="auto"/>
                <w:sz w:val="21"/>
                <w:szCs w:val="21"/>
              </w:rPr>
              <w:fldChar w:fldCharType="end"/>
            </w:r>
          </w:p>
        </w:tc>
        <w:tc>
          <w:tcPr>
            <w:tcW w:w="1417" w:type="dxa"/>
            <w:tcMar>
              <w:left w:w="28" w:type="dxa"/>
              <w:right w:w="28" w:type="dxa"/>
            </w:tcMar>
            <w:vAlign w:val="center"/>
          </w:tcPr>
          <w:p w14:paraId="5BFB859F">
            <w:pPr>
              <w:pStyle w:val="91"/>
              <w:rPr>
                <w:color w:val="auto"/>
                <w:sz w:val="21"/>
                <w:szCs w:val="21"/>
              </w:rPr>
            </w:pPr>
            <w:r>
              <w:rPr>
                <w:color w:val="auto"/>
                <w:sz w:val="21"/>
                <w:szCs w:val="21"/>
              </w:rPr>
              <w:t>变化量</w:t>
            </w:r>
            <w:r>
              <w:rPr>
                <w:color w:val="auto"/>
                <w:sz w:val="21"/>
                <w:szCs w:val="21"/>
              </w:rPr>
              <w:fldChar w:fldCharType="begin"/>
            </w:r>
            <w:r>
              <w:rPr>
                <w:color w:val="auto"/>
                <w:sz w:val="21"/>
                <w:szCs w:val="21"/>
              </w:rPr>
              <w:instrText xml:space="preserve"> = 7 \* GB3 \* MERGEFORMAT </w:instrText>
            </w:r>
            <w:r>
              <w:rPr>
                <w:color w:val="auto"/>
                <w:sz w:val="21"/>
                <w:szCs w:val="21"/>
              </w:rPr>
              <w:fldChar w:fldCharType="separate"/>
            </w:r>
            <w:r>
              <w:rPr>
                <w:rFonts w:hint="eastAsia" w:ascii="宋体" w:hAnsi="宋体" w:cs="宋体"/>
                <w:color w:val="auto"/>
                <w:sz w:val="21"/>
                <w:szCs w:val="21"/>
              </w:rPr>
              <w:t>⑦</w:t>
            </w:r>
            <w:r>
              <w:rPr>
                <w:color w:val="auto"/>
                <w:sz w:val="21"/>
                <w:szCs w:val="21"/>
              </w:rPr>
              <w:fldChar w:fldCharType="end"/>
            </w:r>
          </w:p>
        </w:tc>
      </w:tr>
      <w:tr w14:paraId="10263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restart"/>
            <w:vAlign w:val="center"/>
          </w:tcPr>
          <w:p w14:paraId="10692DBF">
            <w:pPr>
              <w:pStyle w:val="91"/>
              <w:rPr>
                <w:color w:val="auto"/>
                <w:sz w:val="21"/>
                <w:szCs w:val="21"/>
              </w:rPr>
            </w:pPr>
            <w:r>
              <w:rPr>
                <w:color w:val="auto"/>
                <w:sz w:val="21"/>
                <w:szCs w:val="21"/>
              </w:rPr>
              <w:t>废气</w:t>
            </w:r>
          </w:p>
        </w:tc>
        <w:tc>
          <w:tcPr>
            <w:tcW w:w="2268" w:type="dxa"/>
            <w:vAlign w:val="center"/>
          </w:tcPr>
          <w:p w14:paraId="2E0CB288">
            <w:pPr>
              <w:pStyle w:val="91"/>
              <w:rPr>
                <w:color w:val="auto"/>
                <w:sz w:val="21"/>
                <w:szCs w:val="21"/>
              </w:rPr>
            </w:pPr>
            <w:r>
              <w:rPr>
                <w:rFonts w:hint="eastAsia"/>
                <w:color w:val="auto"/>
                <w:sz w:val="21"/>
                <w:szCs w:val="21"/>
              </w:rPr>
              <w:t>颗粒物</w:t>
            </w:r>
          </w:p>
        </w:tc>
        <w:tc>
          <w:tcPr>
            <w:tcW w:w="1560" w:type="dxa"/>
            <w:vAlign w:val="center"/>
          </w:tcPr>
          <w:p w14:paraId="3829E373">
            <w:pPr>
              <w:pStyle w:val="91"/>
              <w:rPr>
                <w:color w:val="auto"/>
                <w:sz w:val="21"/>
                <w:szCs w:val="21"/>
              </w:rPr>
            </w:pPr>
            <w:r>
              <w:rPr>
                <w:rFonts w:hint="eastAsia"/>
                <w:color w:val="auto"/>
                <w:sz w:val="21"/>
                <w:szCs w:val="21"/>
              </w:rPr>
              <w:t>/</w:t>
            </w:r>
          </w:p>
        </w:tc>
        <w:tc>
          <w:tcPr>
            <w:tcW w:w="1134" w:type="dxa"/>
            <w:vAlign w:val="center"/>
          </w:tcPr>
          <w:p w14:paraId="3A0776AA">
            <w:pPr>
              <w:pStyle w:val="91"/>
              <w:rPr>
                <w:color w:val="auto"/>
                <w:sz w:val="21"/>
                <w:szCs w:val="21"/>
              </w:rPr>
            </w:pPr>
            <w:r>
              <w:rPr>
                <w:rFonts w:hint="eastAsia"/>
                <w:color w:val="auto"/>
                <w:sz w:val="21"/>
                <w:szCs w:val="21"/>
              </w:rPr>
              <w:t>/</w:t>
            </w:r>
          </w:p>
        </w:tc>
        <w:tc>
          <w:tcPr>
            <w:tcW w:w="1597" w:type="dxa"/>
            <w:vAlign w:val="center"/>
          </w:tcPr>
          <w:p w14:paraId="4B6020F6">
            <w:pPr>
              <w:pStyle w:val="91"/>
              <w:rPr>
                <w:color w:val="auto"/>
                <w:sz w:val="21"/>
                <w:szCs w:val="21"/>
              </w:rPr>
            </w:pPr>
            <w:r>
              <w:rPr>
                <w:rFonts w:hint="eastAsia"/>
                <w:color w:val="auto"/>
                <w:sz w:val="21"/>
                <w:szCs w:val="21"/>
              </w:rPr>
              <w:t>/</w:t>
            </w:r>
          </w:p>
        </w:tc>
        <w:tc>
          <w:tcPr>
            <w:tcW w:w="1559" w:type="dxa"/>
            <w:vAlign w:val="center"/>
          </w:tcPr>
          <w:p w14:paraId="41DD68F7">
            <w:pPr>
              <w:pStyle w:val="91"/>
              <w:rPr>
                <w:color w:val="auto"/>
                <w:sz w:val="21"/>
                <w:szCs w:val="21"/>
              </w:rPr>
            </w:pPr>
            <w:r>
              <w:rPr>
                <w:rFonts w:hint="eastAsia"/>
                <w:color w:val="auto"/>
              </w:rPr>
              <w:t>0</w:t>
            </w:r>
            <w:r>
              <w:rPr>
                <w:color w:val="auto"/>
              </w:rPr>
              <w:t>.699</w:t>
            </w:r>
            <w:r>
              <w:rPr>
                <w:rFonts w:hint="eastAsia"/>
                <w:color w:val="auto"/>
                <w:sz w:val="21"/>
                <w:szCs w:val="21"/>
              </w:rPr>
              <w:t xml:space="preserve"> t</w:t>
            </w:r>
            <w:r>
              <w:rPr>
                <w:color w:val="auto"/>
                <w:sz w:val="21"/>
                <w:szCs w:val="21"/>
              </w:rPr>
              <w:t>/</w:t>
            </w:r>
            <w:r>
              <w:rPr>
                <w:rFonts w:hint="eastAsia"/>
                <w:color w:val="auto"/>
                <w:sz w:val="21"/>
                <w:szCs w:val="21"/>
              </w:rPr>
              <w:t>a</w:t>
            </w:r>
          </w:p>
        </w:tc>
        <w:tc>
          <w:tcPr>
            <w:tcW w:w="1761" w:type="dxa"/>
            <w:vAlign w:val="center"/>
          </w:tcPr>
          <w:p w14:paraId="66109F46">
            <w:pPr>
              <w:pStyle w:val="91"/>
              <w:rPr>
                <w:color w:val="auto"/>
                <w:sz w:val="21"/>
                <w:szCs w:val="21"/>
              </w:rPr>
            </w:pPr>
            <w:r>
              <w:rPr>
                <w:rFonts w:hint="eastAsia"/>
                <w:color w:val="auto"/>
                <w:sz w:val="21"/>
                <w:szCs w:val="21"/>
              </w:rPr>
              <w:t>/</w:t>
            </w:r>
          </w:p>
        </w:tc>
        <w:tc>
          <w:tcPr>
            <w:tcW w:w="1745" w:type="dxa"/>
            <w:vAlign w:val="center"/>
          </w:tcPr>
          <w:p w14:paraId="26BB2E93">
            <w:pPr>
              <w:pStyle w:val="91"/>
              <w:rPr>
                <w:color w:val="auto"/>
                <w:sz w:val="21"/>
                <w:szCs w:val="21"/>
              </w:rPr>
            </w:pPr>
            <w:r>
              <w:rPr>
                <w:rFonts w:hint="eastAsia"/>
                <w:color w:val="auto"/>
              </w:rPr>
              <w:t>0</w:t>
            </w:r>
            <w:r>
              <w:rPr>
                <w:color w:val="auto"/>
              </w:rPr>
              <w:t>.699</w:t>
            </w:r>
            <w:r>
              <w:rPr>
                <w:rFonts w:hint="eastAsia"/>
                <w:color w:val="auto"/>
                <w:sz w:val="21"/>
                <w:szCs w:val="21"/>
              </w:rPr>
              <w:t xml:space="preserve"> t</w:t>
            </w:r>
            <w:r>
              <w:rPr>
                <w:color w:val="auto"/>
                <w:sz w:val="21"/>
                <w:szCs w:val="21"/>
              </w:rPr>
              <w:t>/</w:t>
            </w:r>
            <w:r>
              <w:rPr>
                <w:rFonts w:hint="eastAsia"/>
                <w:color w:val="auto"/>
                <w:sz w:val="21"/>
                <w:szCs w:val="21"/>
              </w:rPr>
              <w:t>a</w:t>
            </w:r>
          </w:p>
        </w:tc>
        <w:tc>
          <w:tcPr>
            <w:tcW w:w="1417" w:type="dxa"/>
            <w:vAlign w:val="center"/>
          </w:tcPr>
          <w:p w14:paraId="75F697B0">
            <w:pPr>
              <w:pStyle w:val="91"/>
              <w:rPr>
                <w:color w:val="auto"/>
                <w:sz w:val="21"/>
                <w:szCs w:val="21"/>
              </w:rPr>
            </w:pPr>
            <w:r>
              <w:rPr>
                <w:color w:val="auto"/>
              </w:rPr>
              <w:t>+</w:t>
            </w:r>
            <w:r>
              <w:rPr>
                <w:rFonts w:hint="eastAsia"/>
                <w:color w:val="auto"/>
              </w:rPr>
              <w:t>0</w:t>
            </w:r>
            <w:r>
              <w:rPr>
                <w:color w:val="auto"/>
              </w:rPr>
              <w:t>.699</w:t>
            </w:r>
            <w:r>
              <w:rPr>
                <w:rFonts w:hint="eastAsia"/>
                <w:color w:val="auto"/>
                <w:sz w:val="21"/>
                <w:szCs w:val="21"/>
              </w:rPr>
              <w:t xml:space="preserve"> t</w:t>
            </w:r>
            <w:r>
              <w:rPr>
                <w:color w:val="auto"/>
                <w:sz w:val="21"/>
                <w:szCs w:val="21"/>
              </w:rPr>
              <w:t>/</w:t>
            </w:r>
            <w:r>
              <w:rPr>
                <w:rFonts w:hint="eastAsia"/>
                <w:color w:val="auto"/>
                <w:sz w:val="21"/>
                <w:szCs w:val="21"/>
              </w:rPr>
              <w:t>a</w:t>
            </w:r>
          </w:p>
        </w:tc>
      </w:tr>
      <w:tr w14:paraId="094EC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continue"/>
            <w:vAlign w:val="center"/>
          </w:tcPr>
          <w:p w14:paraId="6D99F4CE">
            <w:pPr>
              <w:pStyle w:val="91"/>
              <w:rPr>
                <w:color w:val="auto"/>
                <w:sz w:val="21"/>
                <w:szCs w:val="21"/>
              </w:rPr>
            </w:pPr>
          </w:p>
        </w:tc>
        <w:tc>
          <w:tcPr>
            <w:tcW w:w="2268" w:type="dxa"/>
            <w:vAlign w:val="center"/>
          </w:tcPr>
          <w:p w14:paraId="46516B10">
            <w:pPr>
              <w:pStyle w:val="91"/>
              <w:rPr>
                <w:color w:val="auto"/>
                <w:sz w:val="21"/>
                <w:szCs w:val="21"/>
              </w:rPr>
            </w:pPr>
            <w:r>
              <w:rPr>
                <w:rFonts w:hint="eastAsia"/>
                <w:color w:val="auto"/>
                <w:sz w:val="21"/>
                <w:szCs w:val="21"/>
              </w:rPr>
              <w:t>二氧化硫</w:t>
            </w:r>
          </w:p>
        </w:tc>
        <w:tc>
          <w:tcPr>
            <w:tcW w:w="1560" w:type="dxa"/>
            <w:vAlign w:val="center"/>
          </w:tcPr>
          <w:p w14:paraId="3C8511C4">
            <w:pPr>
              <w:pStyle w:val="91"/>
              <w:rPr>
                <w:color w:val="auto"/>
                <w:sz w:val="21"/>
                <w:szCs w:val="21"/>
              </w:rPr>
            </w:pPr>
            <w:r>
              <w:rPr>
                <w:rFonts w:hint="eastAsia"/>
                <w:color w:val="auto"/>
                <w:sz w:val="21"/>
                <w:szCs w:val="21"/>
              </w:rPr>
              <w:t>/</w:t>
            </w:r>
          </w:p>
        </w:tc>
        <w:tc>
          <w:tcPr>
            <w:tcW w:w="1134" w:type="dxa"/>
            <w:vAlign w:val="center"/>
          </w:tcPr>
          <w:p w14:paraId="58075495">
            <w:pPr>
              <w:pStyle w:val="91"/>
              <w:rPr>
                <w:color w:val="auto"/>
                <w:sz w:val="21"/>
                <w:szCs w:val="21"/>
              </w:rPr>
            </w:pPr>
            <w:r>
              <w:rPr>
                <w:rFonts w:hint="eastAsia"/>
                <w:color w:val="auto"/>
                <w:sz w:val="21"/>
                <w:szCs w:val="21"/>
              </w:rPr>
              <w:t>/</w:t>
            </w:r>
          </w:p>
        </w:tc>
        <w:tc>
          <w:tcPr>
            <w:tcW w:w="1597" w:type="dxa"/>
            <w:vAlign w:val="center"/>
          </w:tcPr>
          <w:p w14:paraId="2C44C3CD">
            <w:pPr>
              <w:pStyle w:val="91"/>
              <w:rPr>
                <w:color w:val="auto"/>
                <w:sz w:val="21"/>
                <w:szCs w:val="21"/>
              </w:rPr>
            </w:pPr>
            <w:r>
              <w:rPr>
                <w:rFonts w:hint="eastAsia"/>
                <w:color w:val="auto"/>
                <w:sz w:val="21"/>
                <w:szCs w:val="21"/>
              </w:rPr>
              <w:t>/</w:t>
            </w:r>
          </w:p>
        </w:tc>
        <w:tc>
          <w:tcPr>
            <w:tcW w:w="1559" w:type="dxa"/>
            <w:vAlign w:val="center"/>
          </w:tcPr>
          <w:p w14:paraId="651869FC">
            <w:pPr>
              <w:pStyle w:val="91"/>
              <w:rPr>
                <w:color w:val="auto"/>
                <w:sz w:val="21"/>
                <w:szCs w:val="21"/>
              </w:rPr>
            </w:pPr>
            <w:r>
              <w:rPr>
                <w:rFonts w:hint="eastAsia"/>
                <w:color w:val="auto"/>
              </w:rPr>
              <w:t>1</w:t>
            </w:r>
            <w:r>
              <w:rPr>
                <w:color w:val="auto"/>
              </w:rPr>
              <w:t>.099</w:t>
            </w:r>
            <w:r>
              <w:rPr>
                <w:rFonts w:hint="eastAsia"/>
                <w:color w:val="auto"/>
                <w:sz w:val="21"/>
                <w:szCs w:val="21"/>
              </w:rPr>
              <w:t xml:space="preserve"> t</w:t>
            </w:r>
            <w:r>
              <w:rPr>
                <w:color w:val="auto"/>
                <w:sz w:val="21"/>
                <w:szCs w:val="21"/>
              </w:rPr>
              <w:t>/</w:t>
            </w:r>
            <w:r>
              <w:rPr>
                <w:rFonts w:hint="eastAsia"/>
                <w:color w:val="auto"/>
                <w:sz w:val="21"/>
                <w:szCs w:val="21"/>
              </w:rPr>
              <w:t>a</w:t>
            </w:r>
          </w:p>
        </w:tc>
        <w:tc>
          <w:tcPr>
            <w:tcW w:w="1761" w:type="dxa"/>
            <w:vAlign w:val="center"/>
          </w:tcPr>
          <w:p w14:paraId="74A6D291">
            <w:pPr>
              <w:pStyle w:val="91"/>
              <w:rPr>
                <w:color w:val="auto"/>
                <w:sz w:val="21"/>
                <w:szCs w:val="21"/>
              </w:rPr>
            </w:pPr>
            <w:r>
              <w:rPr>
                <w:rFonts w:hint="eastAsia"/>
                <w:color w:val="auto"/>
                <w:sz w:val="21"/>
                <w:szCs w:val="21"/>
              </w:rPr>
              <w:t>/</w:t>
            </w:r>
          </w:p>
        </w:tc>
        <w:tc>
          <w:tcPr>
            <w:tcW w:w="1745" w:type="dxa"/>
            <w:vAlign w:val="center"/>
          </w:tcPr>
          <w:p w14:paraId="3EE905B4">
            <w:pPr>
              <w:pStyle w:val="91"/>
              <w:rPr>
                <w:color w:val="auto"/>
                <w:sz w:val="21"/>
                <w:szCs w:val="21"/>
              </w:rPr>
            </w:pPr>
            <w:r>
              <w:rPr>
                <w:rFonts w:hint="eastAsia"/>
                <w:color w:val="auto"/>
              </w:rPr>
              <w:t>1</w:t>
            </w:r>
            <w:r>
              <w:rPr>
                <w:color w:val="auto"/>
              </w:rPr>
              <w:t>.099</w:t>
            </w:r>
            <w:r>
              <w:rPr>
                <w:rFonts w:hint="eastAsia"/>
                <w:color w:val="auto"/>
                <w:sz w:val="21"/>
                <w:szCs w:val="21"/>
              </w:rPr>
              <w:t xml:space="preserve"> t</w:t>
            </w:r>
            <w:r>
              <w:rPr>
                <w:color w:val="auto"/>
                <w:sz w:val="21"/>
                <w:szCs w:val="21"/>
              </w:rPr>
              <w:t>/</w:t>
            </w:r>
            <w:r>
              <w:rPr>
                <w:rFonts w:hint="eastAsia"/>
                <w:color w:val="auto"/>
                <w:sz w:val="21"/>
                <w:szCs w:val="21"/>
              </w:rPr>
              <w:t>a</w:t>
            </w:r>
          </w:p>
        </w:tc>
        <w:tc>
          <w:tcPr>
            <w:tcW w:w="1417" w:type="dxa"/>
            <w:vAlign w:val="center"/>
          </w:tcPr>
          <w:p w14:paraId="0C8C9C24">
            <w:pPr>
              <w:pStyle w:val="91"/>
              <w:rPr>
                <w:color w:val="auto"/>
                <w:sz w:val="21"/>
                <w:szCs w:val="21"/>
              </w:rPr>
            </w:pPr>
            <w:r>
              <w:rPr>
                <w:color w:val="auto"/>
              </w:rPr>
              <w:t>+</w:t>
            </w:r>
            <w:r>
              <w:rPr>
                <w:rFonts w:hint="eastAsia"/>
                <w:color w:val="auto"/>
              </w:rPr>
              <w:t>1</w:t>
            </w:r>
            <w:r>
              <w:rPr>
                <w:color w:val="auto"/>
              </w:rPr>
              <w:t>.099</w:t>
            </w:r>
            <w:r>
              <w:rPr>
                <w:rFonts w:hint="eastAsia"/>
                <w:color w:val="auto"/>
                <w:sz w:val="21"/>
                <w:szCs w:val="21"/>
              </w:rPr>
              <w:t xml:space="preserve"> t</w:t>
            </w:r>
            <w:r>
              <w:rPr>
                <w:color w:val="auto"/>
                <w:sz w:val="21"/>
                <w:szCs w:val="21"/>
              </w:rPr>
              <w:t>/</w:t>
            </w:r>
            <w:r>
              <w:rPr>
                <w:rFonts w:hint="eastAsia"/>
                <w:color w:val="auto"/>
                <w:sz w:val="21"/>
                <w:szCs w:val="21"/>
              </w:rPr>
              <w:t>a</w:t>
            </w:r>
          </w:p>
        </w:tc>
      </w:tr>
      <w:tr w14:paraId="34D514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continue"/>
            <w:vAlign w:val="center"/>
          </w:tcPr>
          <w:p w14:paraId="7B4DB25A">
            <w:pPr>
              <w:pStyle w:val="91"/>
              <w:rPr>
                <w:color w:val="auto"/>
                <w:sz w:val="21"/>
                <w:szCs w:val="21"/>
              </w:rPr>
            </w:pPr>
          </w:p>
        </w:tc>
        <w:tc>
          <w:tcPr>
            <w:tcW w:w="2268" w:type="dxa"/>
            <w:vAlign w:val="center"/>
          </w:tcPr>
          <w:p w14:paraId="6EC01C41">
            <w:pPr>
              <w:pStyle w:val="91"/>
              <w:rPr>
                <w:color w:val="auto"/>
                <w:sz w:val="21"/>
                <w:szCs w:val="21"/>
              </w:rPr>
            </w:pPr>
            <w:r>
              <w:rPr>
                <w:rFonts w:hint="eastAsia"/>
                <w:color w:val="auto"/>
                <w:sz w:val="21"/>
                <w:szCs w:val="21"/>
              </w:rPr>
              <w:t>氮氧化物</w:t>
            </w:r>
          </w:p>
        </w:tc>
        <w:tc>
          <w:tcPr>
            <w:tcW w:w="1560" w:type="dxa"/>
            <w:vAlign w:val="center"/>
          </w:tcPr>
          <w:p w14:paraId="5B08E9AA">
            <w:pPr>
              <w:pStyle w:val="91"/>
              <w:rPr>
                <w:color w:val="auto"/>
                <w:sz w:val="21"/>
                <w:szCs w:val="21"/>
              </w:rPr>
            </w:pPr>
            <w:r>
              <w:rPr>
                <w:rFonts w:hint="eastAsia"/>
                <w:color w:val="auto"/>
                <w:sz w:val="21"/>
                <w:szCs w:val="21"/>
              </w:rPr>
              <w:t>/</w:t>
            </w:r>
          </w:p>
        </w:tc>
        <w:tc>
          <w:tcPr>
            <w:tcW w:w="1134" w:type="dxa"/>
            <w:vAlign w:val="center"/>
          </w:tcPr>
          <w:p w14:paraId="7FF908ED">
            <w:pPr>
              <w:pStyle w:val="91"/>
              <w:rPr>
                <w:color w:val="auto"/>
                <w:sz w:val="21"/>
                <w:szCs w:val="21"/>
              </w:rPr>
            </w:pPr>
            <w:r>
              <w:rPr>
                <w:rFonts w:hint="eastAsia"/>
                <w:color w:val="auto"/>
                <w:sz w:val="21"/>
                <w:szCs w:val="21"/>
              </w:rPr>
              <w:t>/</w:t>
            </w:r>
          </w:p>
        </w:tc>
        <w:tc>
          <w:tcPr>
            <w:tcW w:w="1597" w:type="dxa"/>
            <w:vAlign w:val="center"/>
          </w:tcPr>
          <w:p w14:paraId="0FD87B10">
            <w:pPr>
              <w:pStyle w:val="91"/>
              <w:rPr>
                <w:color w:val="auto"/>
                <w:sz w:val="21"/>
                <w:szCs w:val="21"/>
              </w:rPr>
            </w:pPr>
            <w:r>
              <w:rPr>
                <w:rFonts w:hint="eastAsia"/>
                <w:color w:val="auto"/>
                <w:sz w:val="21"/>
                <w:szCs w:val="21"/>
              </w:rPr>
              <w:t>/</w:t>
            </w:r>
          </w:p>
        </w:tc>
        <w:tc>
          <w:tcPr>
            <w:tcW w:w="1559" w:type="dxa"/>
            <w:vAlign w:val="center"/>
          </w:tcPr>
          <w:p w14:paraId="7EF5DE2A">
            <w:pPr>
              <w:pStyle w:val="91"/>
              <w:rPr>
                <w:color w:val="auto"/>
                <w:sz w:val="21"/>
                <w:szCs w:val="21"/>
              </w:rPr>
            </w:pPr>
            <w:r>
              <w:rPr>
                <w:rFonts w:hint="eastAsia"/>
                <w:color w:val="auto"/>
              </w:rPr>
              <w:t>1</w:t>
            </w:r>
            <w:r>
              <w:rPr>
                <w:color w:val="auto"/>
              </w:rPr>
              <w:t>.649</w:t>
            </w:r>
            <w:r>
              <w:rPr>
                <w:rFonts w:hint="eastAsia"/>
                <w:color w:val="auto"/>
                <w:sz w:val="21"/>
                <w:szCs w:val="21"/>
              </w:rPr>
              <w:t xml:space="preserve"> t</w:t>
            </w:r>
            <w:r>
              <w:rPr>
                <w:color w:val="auto"/>
                <w:sz w:val="21"/>
                <w:szCs w:val="21"/>
              </w:rPr>
              <w:t>/</w:t>
            </w:r>
            <w:r>
              <w:rPr>
                <w:rFonts w:hint="eastAsia"/>
                <w:color w:val="auto"/>
                <w:sz w:val="21"/>
                <w:szCs w:val="21"/>
              </w:rPr>
              <w:t>a</w:t>
            </w:r>
          </w:p>
        </w:tc>
        <w:tc>
          <w:tcPr>
            <w:tcW w:w="1761" w:type="dxa"/>
            <w:vAlign w:val="center"/>
          </w:tcPr>
          <w:p w14:paraId="3958EACB">
            <w:pPr>
              <w:pStyle w:val="91"/>
              <w:rPr>
                <w:color w:val="auto"/>
                <w:sz w:val="21"/>
                <w:szCs w:val="21"/>
              </w:rPr>
            </w:pPr>
            <w:r>
              <w:rPr>
                <w:rFonts w:hint="eastAsia"/>
                <w:color w:val="auto"/>
                <w:sz w:val="21"/>
                <w:szCs w:val="21"/>
              </w:rPr>
              <w:t>/</w:t>
            </w:r>
          </w:p>
        </w:tc>
        <w:tc>
          <w:tcPr>
            <w:tcW w:w="1745" w:type="dxa"/>
            <w:vAlign w:val="center"/>
          </w:tcPr>
          <w:p w14:paraId="23343933">
            <w:pPr>
              <w:pStyle w:val="91"/>
              <w:rPr>
                <w:color w:val="auto"/>
                <w:sz w:val="21"/>
                <w:szCs w:val="21"/>
              </w:rPr>
            </w:pPr>
            <w:r>
              <w:rPr>
                <w:rFonts w:hint="eastAsia"/>
                <w:color w:val="auto"/>
              </w:rPr>
              <w:t>1</w:t>
            </w:r>
            <w:r>
              <w:rPr>
                <w:color w:val="auto"/>
              </w:rPr>
              <w:t>.649</w:t>
            </w:r>
            <w:r>
              <w:rPr>
                <w:rFonts w:hint="eastAsia"/>
                <w:color w:val="auto"/>
                <w:sz w:val="21"/>
                <w:szCs w:val="21"/>
              </w:rPr>
              <w:t xml:space="preserve"> t</w:t>
            </w:r>
            <w:r>
              <w:rPr>
                <w:color w:val="auto"/>
                <w:sz w:val="21"/>
                <w:szCs w:val="21"/>
              </w:rPr>
              <w:t>/</w:t>
            </w:r>
            <w:r>
              <w:rPr>
                <w:rFonts w:hint="eastAsia"/>
                <w:color w:val="auto"/>
                <w:sz w:val="21"/>
                <w:szCs w:val="21"/>
              </w:rPr>
              <w:t>a</w:t>
            </w:r>
          </w:p>
        </w:tc>
        <w:tc>
          <w:tcPr>
            <w:tcW w:w="1417" w:type="dxa"/>
            <w:vAlign w:val="center"/>
          </w:tcPr>
          <w:p w14:paraId="25832FFF">
            <w:pPr>
              <w:pStyle w:val="91"/>
              <w:rPr>
                <w:color w:val="auto"/>
                <w:sz w:val="21"/>
                <w:szCs w:val="21"/>
              </w:rPr>
            </w:pPr>
            <w:r>
              <w:rPr>
                <w:color w:val="auto"/>
              </w:rPr>
              <w:t>+</w:t>
            </w:r>
            <w:r>
              <w:rPr>
                <w:rFonts w:hint="eastAsia"/>
                <w:color w:val="auto"/>
              </w:rPr>
              <w:t>1</w:t>
            </w:r>
            <w:r>
              <w:rPr>
                <w:color w:val="auto"/>
              </w:rPr>
              <w:t>.649</w:t>
            </w:r>
            <w:r>
              <w:rPr>
                <w:rFonts w:hint="eastAsia"/>
                <w:color w:val="auto"/>
                <w:sz w:val="21"/>
                <w:szCs w:val="21"/>
              </w:rPr>
              <w:t xml:space="preserve"> t</w:t>
            </w:r>
            <w:r>
              <w:rPr>
                <w:color w:val="auto"/>
                <w:sz w:val="21"/>
                <w:szCs w:val="21"/>
              </w:rPr>
              <w:t>/</w:t>
            </w:r>
            <w:r>
              <w:rPr>
                <w:rFonts w:hint="eastAsia"/>
                <w:color w:val="auto"/>
                <w:sz w:val="21"/>
                <w:szCs w:val="21"/>
              </w:rPr>
              <w:t>a</w:t>
            </w:r>
          </w:p>
        </w:tc>
      </w:tr>
      <w:tr w14:paraId="0190B7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restart"/>
            <w:vAlign w:val="center"/>
          </w:tcPr>
          <w:p w14:paraId="6F289F47">
            <w:pPr>
              <w:pStyle w:val="91"/>
              <w:rPr>
                <w:color w:val="auto"/>
                <w:sz w:val="21"/>
                <w:szCs w:val="21"/>
              </w:rPr>
            </w:pPr>
            <w:r>
              <w:rPr>
                <w:color w:val="auto"/>
                <w:sz w:val="21"/>
                <w:szCs w:val="21"/>
              </w:rPr>
              <w:t>废水</w:t>
            </w:r>
          </w:p>
        </w:tc>
        <w:tc>
          <w:tcPr>
            <w:tcW w:w="2268" w:type="dxa"/>
            <w:vAlign w:val="center"/>
          </w:tcPr>
          <w:p w14:paraId="04734F52">
            <w:pPr>
              <w:pStyle w:val="91"/>
              <w:rPr>
                <w:color w:val="auto"/>
                <w:sz w:val="21"/>
                <w:szCs w:val="21"/>
              </w:rPr>
            </w:pPr>
            <w:r>
              <w:rPr>
                <w:rFonts w:hint="eastAsia"/>
                <w:color w:val="auto"/>
                <w:sz w:val="21"/>
                <w:szCs w:val="21"/>
              </w:rPr>
              <w:t>废水量</w:t>
            </w:r>
          </w:p>
        </w:tc>
        <w:tc>
          <w:tcPr>
            <w:tcW w:w="1560" w:type="dxa"/>
            <w:vAlign w:val="center"/>
          </w:tcPr>
          <w:p w14:paraId="56B6BF40">
            <w:pPr>
              <w:pStyle w:val="91"/>
              <w:rPr>
                <w:color w:val="auto"/>
                <w:sz w:val="21"/>
                <w:szCs w:val="21"/>
              </w:rPr>
            </w:pPr>
            <w:r>
              <w:rPr>
                <w:rFonts w:hint="eastAsia"/>
                <w:color w:val="auto"/>
                <w:sz w:val="21"/>
                <w:szCs w:val="21"/>
              </w:rPr>
              <w:t>/</w:t>
            </w:r>
          </w:p>
        </w:tc>
        <w:tc>
          <w:tcPr>
            <w:tcW w:w="1134" w:type="dxa"/>
            <w:vAlign w:val="center"/>
          </w:tcPr>
          <w:p w14:paraId="3BD3D883">
            <w:pPr>
              <w:pStyle w:val="91"/>
              <w:rPr>
                <w:color w:val="auto"/>
                <w:sz w:val="21"/>
                <w:szCs w:val="21"/>
              </w:rPr>
            </w:pPr>
            <w:r>
              <w:rPr>
                <w:rFonts w:hint="eastAsia"/>
                <w:color w:val="auto"/>
                <w:sz w:val="21"/>
                <w:szCs w:val="21"/>
              </w:rPr>
              <w:t>/</w:t>
            </w:r>
          </w:p>
        </w:tc>
        <w:tc>
          <w:tcPr>
            <w:tcW w:w="1597" w:type="dxa"/>
            <w:vAlign w:val="center"/>
          </w:tcPr>
          <w:p w14:paraId="4925E066">
            <w:pPr>
              <w:pStyle w:val="91"/>
              <w:rPr>
                <w:color w:val="auto"/>
                <w:sz w:val="21"/>
                <w:szCs w:val="21"/>
              </w:rPr>
            </w:pPr>
            <w:r>
              <w:rPr>
                <w:rFonts w:hint="eastAsia"/>
                <w:color w:val="auto"/>
                <w:sz w:val="21"/>
                <w:szCs w:val="21"/>
              </w:rPr>
              <w:t>/</w:t>
            </w:r>
          </w:p>
        </w:tc>
        <w:tc>
          <w:tcPr>
            <w:tcW w:w="1559" w:type="dxa"/>
            <w:vAlign w:val="center"/>
          </w:tcPr>
          <w:p w14:paraId="4D1E757B">
            <w:pPr>
              <w:pStyle w:val="91"/>
              <w:rPr>
                <w:color w:val="auto"/>
                <w:sz w:val="21"/>
                <w:szCs w:val="21"/>
              </w:rPr>
            </w:pPr>
            <w:r>
              <w:rPr>
                <w:rFonts w:hint="eastAsia"/>
                <w:color w:val="auto"/>
                <w:sz w:val="21"/>
                <w:szCs w:val="21"/>
              </w:rPr>
              <w:t>4</w:t>
            </w:r>
            <w:r>
              <w:rPr>
                <w:color w:val="auto"/>
                <w:sz w:val="21"/>
                <w:szCs w:val="21"/>
              </w:rPr>
              <w:t>32</w:t>
            </w:r>
            <w:r>
              <w:rPr>
                <w:rFonts w:hint="eastAsia"/>
                <w:color w:val="auto"/>
                <w:sz w:val="21"/>
                <w:szCs w:val="21"/>
              </w:rPr>
              <w:t>m</w:t>
            </w:r>
            <w:r>
              <w:rPr>
                <w:color w:val="auto"/>
                <w:sz w:val="21"/>
                <w:szCs w:val="21"/>
                <w:vertAlign w:val="superscript"/>
              </w:rPr>
              <w:t>3</w:t>
            </w:r>
            <w:r>
              <w:rPr>
                <w:color w:val="auto"/>
                <w:sz w:val="21"/>
                <w:szCs w:val="21"/>
              </w:rPr>
              <w:t>/</w:t>
            </w:r>
            <w:r>
              <w:rPr>
                <w:rFonts w:hint="eastAsia"/>
                <w:color w:val="auto"/>
                <w:sz w:val="21"/>
                <w:szCs w:val="21"/>
              </w:rPr>
              <w:t>a</w:t>
            </w:r>
          </w:p>
        </w:tc>
        <w:tc>
          <w:tcPr>
            <w:tcW w:w="1761" w:type="dxa"/>
            <w:vAlign w:val="center"/>
          </w:tcPr>
          <w:p w14:paraId="248DD404">
            <w:pPr>
              <w:pStyle w:val="91"/>
              <w:rPr>
                <w:color w:val="auto"/>
                <w:sz w:val="21"/>
                <w:szCs w:val="21"/>
              </w:rPr>
            </w:pPr>
            <w:r>
              <w:rPr>
                <w:rFonts w:hint="eastAsia"/>
                <w:color w:val="auto"/>
                <w:sz w:val="21"/>
                <w:szCs w:val="21"/>
              </w:rPr>
              <w:t>/</w:t>
            </w:r>
          </w:p>
        </w:tc>
        <w:tc>
          <w:tcPr>
            <w:tcW w:w="1745" w:type="dxa"/>
            <w:vAlign w:val="center"/>
          </w:tcPr>
          <w:p w14:paraId="700B593E">
            <w:pPr>
              <w:pStyle w:val="91"/>
              <w:rPr>
                <w:color w:val="auto"/>
                <w:sz w:val="21"/>
                <w:szCs w:val="21"/>
              </w:rPr>
            </w:pPr>
            <w:r>
              <w:rPr>
                <w:rFonts w:hint="eastAsia"/>
                <w:color w:val="auto"/>
                <w:sz w:val="21"/>
                <w:szCs w:val="21"/>
              </w:rPr>
              <w:t>4</w:t>
            </w:r>
            <w:r>
              <w:rPr>
                <w:color w:val="auto"/>
                <w:sz w:val="21"/>
                <w:szCs w:val="21"/>
              </w:rPr>
              <w:t>32</w:t>
            </w:r>
            <w:r>
              <w:rPr>
                <w:rFonts w:hint="eastAsia"/>
                <w:color w:val="auto"/>
                <w:sz w:val="21"/>
                <w:szCs w:val="21"/>
              </w:rPr>
              <w:t>m</w:t>
            </w:r>
            <w:r>
              <w:rPr>
                <w:color w:val="auto"/>
                <w:sz w:val="21"/>
                <w:szCs w:val="21"/>
                <w:vertAlign w:val="superscript"/>
              </w:rPr>
              <w:t>3</w:t>
            </w:r>
            <w:r>
              <w:rPr>
                <w:color w:val="auto"/>
                <w:sz w:val="21"/>
                <w:szCs w:val="21"/>
              </w:rPr>
              <w:t>/</w:t>
            </w:r>
            <w:r>
              <w:rPr>
                <w:rFonts w:hint="eastAsia"/>
                <w:color w:val="auto"/>
                <w:sz w:val="21"/>
                <w:szCs w:val="21"/>
              </w:rPr>
              <w:t>a</w:t>
            </w:r>
          </w:p>
        </w:tc>
        <w:tc>
          <w:tcPr>
            <w:tcW w:w="1417" w:type="dxa"/>
            <w:vAlign w:val="center"/>
          </w:tcPr>
          <w:p w14:paraId="7E6B9DC6">
            <w:pPr>
              <w:pStyle w:val="91"/>
              <w:rPr>
                <w:color w:val="auto"/>
                <w:sz w:val="21"/>
                <w:szCs w:val="21"/>
              </w:rPr>
            </w:pPr>
            <w:r>
              <w:rPr>
                <w:rFonts w:hint="eastAsia"/>
                <w:color w:val="auto"/>
                <w:sz w:val="21"/>
                <w:szCs w:val="21"/>
              </w:rPr>
              <w:t>4</w:t>
            </w:r>
            <w:r>
              <w:rPr>
                <w:color w:val="auto"/>
                <w:sz w:val="21"/>
                <w:szCs w:val="21"/>
              </w:rPr>
              <w:t>32</w:t>
            </w:r>
            <w:r>
              <w:rPr>
                <w:rFonts w:hint="eastAsia"/>
                <w:color w:val="auto"/>
                <w:sz w:val="21"/>
                <w:szCs w:val="21"/>
              </w:rPr>
              <w:t>m</w:t>
            </w:r>
            <w:r>
              <w:rPr>
                <w:color w:val="auto"/>
                <w:sz w:val="21"/>
                <w:szCs w:val="21"/>
                <w:vertAlign w:val="superscript"/>
              </w:rPr>
              <w:t>3</w:t>
            </w:r>
            <w:r>
              <w:rPr>
                <w:color w:val="auto"/>
                <w:sz w:val="21"/>
                <w:szCs w:val="21"/>
              </w:rPr>
              <w:t>/</w:t>
            </w:r>
            <w:r>
              <w:rPr>
                <w:rFonts w:hint="eastAsia"/>
                <w:color w:val="auto"/>
                <w:sz w:val="21"/>
                <w:szCs w:val="21"/>
              </w:rPr>
              <w:t>a</w:t>
            </w:r>
          </w:p>
        </w:tc>
      </w:tr>
      <w:tr w14:paraId="0FEF6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continue"/>
            <w:vAlign w:val="center"/>
          </w:tcPr>
          <w:p w14:paraId="22402DEE">
            <w:pPr>
              <w:pStyle w:val="91"/>
              <w:rPr>
                <w:color w:val="auto"/>
                <w:sz w:val="21"/>
                <w:szCs w:val="21"/>
              </w:rPr>
            </w:pPr>
          </w:p>
        </w:tc>
        <w:tc>
          <w:tcPr>
            <w:tcW w:w="2268" w:type="dxa"/>
            <w:vAlign w:val="center"/>
          </w:tcPr>
          <w:p w14:paraId="132EC061">
            <w:pPr>
              <w:pStyle w:val="91"/>
              <w:rPr>
                <w:color w:val="auto"/>
                <w:sz w:val="21"/>
                <w:szCs w:val="21"/>
              </w:rPr>
            </w:pPr>
            <w:r>
              <w:rPr>
                <w:rFonts w:hint="eastAsia"/>
                <w:color w:val="auto"/>
                <w:sz w:val="21"/>
                <w:szCs w:val="21"/>
              </w:rPr>
              <w:t>COD</w:t>
            </w:r>
          </w:p>
        </w:tc>
        <w:tc>
          <w:tcPr>
            <w:tcW w:w="1560" w:type="dxa"/>
            <w:vAlign w:val="center"/>
          </w:tcPr>
          <w:p w14:paraId="03971691">
            <w:pPr>
              <w:pStyle w:val="91"/>
              <w:rPr>
                <w:color w:val="auto"/>
                <w:sz w:val="21"/>
                <w:szCs w:val="21"/>
              </w:rPr>
            </w:pPr>
            <w:r>
              <w:rPr>
                <w:rFonts w:hint="eastAsia"/>
                <w:color w:val="auto"/>
                <w:sz w:val="21"/>
                <w:szCs w:val="21"/>
              </w:rPr>
              <w:t>/</w:t>
            </w:r>
          </w:p>
        </w:tc>
        <w:tc>
          <w:tcPr>
            <w:tcW w:w="1134" w:type="dxa"/>
            <w:vAlign w:val="center"/>
          </w:tcPr>
          <w:p w14:paraId="56497D89">
            <w:pPr>
              <w:pStyle w:val="91"/>
              <w:rPr>
                <w:color w:val="auto"/>
                <w:sz w:val="21"/>
                <w:szCs w:val="21"/>
              </w:rPr>
            </w:pPr>
            <w:r>
              <w:rPr>
                <w:rFonts w:hint="eastAsia"/>
                <w:color w:val="auto"/>
                <w:sz w:val="21"/>
                <w:szCs w:val="21"/>
              </w:rPr>
              <w:t>/</w:t>
            </w:r>
          </w:p>
        </w:tc>
        <w:tc>
          <w:tcPr>
            <w:tcW w:w="1597" w:type="dxa"/>
            <w:vAlign w:val="center"/>
          </w:tcPr>
          <w:p w14:paraId="5C61C7D6">
            <w:pPr>
              <w:pStyle w:val="91"/>
              <w:rPr>
                <w:color w:val="auto"/>
                <w:sz w:val="21"/>
                <w:szCs w:val="21"/>
              </w:rPr>
            </w:pPr>
            <w:r>
              <w:rPr>
                <w:rFonts w:hint="eastAsia"/>
                <w:color w:val="auto"/>
                <w:sz w:val="21"/>
                <w:szCs w:val="21"/>
              </w:rPr>
              <w:t>/</w:t>
            </w:r>
          </w:p>
        </w:tc>
        <w:tc>
          <w:tcPr>
            <w:tcW w:w="1559" w:type="dxa"/>
            <w:vAlign w:val="center"/>
          </w:tcPr>
          <w:p w14:paraId="2E3C3921">
            <w:pPr>
              <w:pStyle w:val="91"/>
              <w:rPr>
                <w:color w:val="auto"/>
                <w:sz w:val="21"/>
                <w:szCs w:val="21"/>
              </w:rPr>
            </w:pPr>
            <w:r>
              <w:rPr>
                <w:rFonts w:hint="eastAsia"/>
                <w:color w:val="auto"/>
                <w:sz w:val="21"/>
                <w:szCs w:val="21"/>
              </w:rPr>
              <w:t>0</w:t>
            </w:r>
            <w:r>
              <w:rPr>
                <w:color w:val="auto"/>
                <w:sz w:val="21"/>
                <w:szCs w:val="21"/>
              </w:rPr>
              <w:t>.126</w:t>
            </w:r>
            <w:r>
              <w:rPr>
                <w:rFonts w:hint="eastAsia"/>
                <w:color w:val="auto"/>
                <w:sz w:val="21"/>
                <w:szCs w:val="21"/>
              </w:rPr>
              <w:t xml:space="preserve"> t</w:t>
            </w:r>
            <w:r>
              <w:rPr>
                <w:color w:val="auto"/>
                <w:sz w:val="21"/>
                <w:szCs w:val="21"/>
              </w:rPr>
              <w:t>/</w:t>
            </w:r>
            <w:r>
              <w:rPr>
                <w:rFonts w:hint="eastAsia"/>
                <w:color w:val="auto"/>
                <w:sz w:val="21"/>
                <w:szCs w:val="21"/>
              </w:rPr>
              <w:t>a</w:t>
            </w:r>
          </w:p>
        </w:tc>
        <w:tc>
          <w:tcPr>
            <w:tcW w:w="1761" w:type="dxa"/>
            <w:vAlign w:val="center"/>
          </w:tcPr>
          <w:p w14:paraId="57687F67">
            <w:pPr>
              <w:pStyle w:val="91"/>
              <w:rPr>
                <w:color w:val="auto"/>
                <w:sz w:val="21"/>
                <w:szCs w:val="21"/>
              </w:rPr>
            </w:pPr>
            <w:r>
              <w:rPr>
                <w:rFonts w:hint="eastAsia"/>
                <w:color w:val="auto"/>
                <w:sz w:val="21"/>
                <w:szCs w:val="21"/>
              </w:rPr>
              <w:t>/</w:t>
            </w:r>
          </w:p>
        </w:tc>
        <w:tc>
          <w:tcPr>
            <w:tcW w:w="1745" w:type="dxa"/>
            <w:vAlign w:val="center"/>
          </w:tcPr>
          <w:p w14:paraId="5EEC7925">
            <w:pPr>
              <w:pStyle w:val="91"/>
              <w:rPr>
                <w:color w:val="auto"/>
                <w:sz w:val="21"/>
                <w:szCs w:val="21"/>
              </w:rPr>
            </w:pPr>
            <w:r>
              <w:rPr>
                <w:rFonts w:hint="eastAsia"/>
                <w:color w:val="auto"/>
                <w:sz w:val="21"/>
                <w:szCs w:val="21"/>
              </w:rPr>
              <w:t>0</w:t>
            </w:r>
            <w:r>
              <w:rPr>
                <w:color w:val="auto"/>
                <w:sz w:val="21"/>
                <w:szCs w:val="21"/>
              </w:rPr>
              <w:t>.126</w:t>
            </w:r>
            <w:r>
              <w:rPr>
                <w:rFonts w:hint="eastAsia"/>
                <w:color w:val="auto"/>
                <w:sz w:val="21"/>
                <w:szCs w:val="21"/>
              </w:rPr>
              <w:t xml:space="preserve"> t</w:t>
            </w:r>
            <w:r>
              <w:rPr>
                <w:color w:val="auto"/>
                <w:sz w:val="21"/>
                <w:szCs w:val="21"/>
              </w:rPr>
              <w:t>/</w:t>
            </w:r>
            <w:r>
              <w:rPr>
                <w:rFonts w:hint="eastAsia"/>
                <w:color w:val="auto"/>
                <w:sz w:val="21"/>
                <w:szCs w:val="21"/>
              </w:rPr>
              <w:t>a</w:t>
            </w:r>
          </w:p>
        </w:tc>
        <w:tc>
          <w:tcPr>
            <w:tcW w:w="1417" w:type="dxa"/>
            <w:vAlign w:val="center"/>
          </w:tcPr>
          <w:p w14:paraId="30F05B68">
            <w:pPr>
              <w:pStyle w:val="91"/>
              <w:rPr>
                <w:color w:val="auto"/>
                <w:sz w:val="21"/>
                <w:szCs w:val="21"/>
              </w:rPr>
            </w:pPr>
            <w:r>
              <w:rPr>
                <w:color w:val="auto"/>
                <w:sz w:val="21"/>
                <w:szCs w:val="21"/>
              </w:rPr>
              <w:t>+</w:t>
            </w:r>
            <w:r>
              <w:rPr>
                <w:rFonts w:hint="eastAsia"/>
                <w:color w:val="auto"/>
                <w:sz w:val="21"/>
                <w:szCs w:val="21"/>
              </w:rPr>
              <w:t>0</w:t>
            </w:r>
            <w:r>
              <w:rPr>
                <w:color w:val="auto"/>
                <w:sz w:val="21"/>
                <w:szCs w:val="21"/>
              </w:rPr>
              <w:t>.126</w:t>
            </w:r>
            <w:r>
              <w:rPr>
                <w:rFonts w:hint="eastAsia"/>
                <w:color w:val="auto"/>
                <w:sz w:val="21"/>
                <w:szCs w:val="21"/>
              </w:rPr>
              <w:t xml:space="preserve"> t</w:t>
            </w:r>
            <w:r>
              <w:rPr>
                <w:color w:val="auto"/>
                <w:sz w:val="21"/>
                <w:szCs w:val="21"/>
              </w:rPr>
              <w:t>/</w:t>
            </w:r>
            <w:r>
              <w:rPr>
                <w:rFonts w:hint="eastAsia"/>
                <w:color w:val="auto"/>
                <w:sz w:val="21"/>
                <w:szCs w:val="21"/>
              </w:rPr>
              <w:t>a</w:t>
            </w:r>
          </w:p>
        </w:tc>
      </w:tr>
      <w:tr w14:paraId="4B544A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continue"/>
            <w:vAlign w:val="center"/>
          </w:tcPr>
          <w:p w14:paraId="1561E871">
            <w:pPr>
              <w:pStyle w:val="91"/>
              <w:rPr>
                <w:color w:val="auto"/>
                <w:sz w:val="21"/>
                <w:szCs w:val="21"/>
              </w:rPr>
            </w:pPr>
          </w:p>
        </w:tc>
        <w:tc>
          <w:tcPr>
            <w:tcW w:w="2268" w:type="dxa"/>
            <w:vAlign w:val="center"/>
          </w:tcPr>
          <w:p w14:paraId="681EF9CF">
            <w:pPr>
              <w:pStyle w:val="91"/>
              <w:rPr>
                <w:color w:val="auto"/>
                <w:sz w:val="21"/>
                <w:szCs w:val="21"/>
              </w:rPr>
            </w:pPr>
            <w:r>
              <w:rPr>
                <w:rFonts w:hint="eastAsia"/>
                <w:color w:val="auto"/>
                <w:sz w:val="21"/>
                <w:szCs w:val="21"/>
              </w:rPr>
              <w:t>氨氮</w:t>
            </w:r>
          </w:p>
        </w:tc>
        <w:tc>
          <w:tcPr>
            <w:tcW w:w="1560" w:type="dxa"/>
            <w:vAlign w:val="center"/>
          </w:tcPr>
          <w:p w14:paraId="07627456">
            <w:pPr>
              <w:pStyle w:val="91"/>
              <w:rPr>
                <w:color w:val="auto"/>
                <w:sz w:val="21"/>
                <w:szCs w:val="21"/>
              </w:rPr>
            </w:pPr>
            <w:r>
              <w:rPr>
                <w:rFonts w:hint="eastAsia"/>
                <w:color w:val="auto"/>
                <w:sz w:val="21"/>
                <w:szCs w:val="21"/>
              </w:rPr>
              <w:t>/</w:t>
            </w:r>
          </w:p>
        </w:tc>
        <w:tc>
          <w:tcPr>
            <w:tcW w:w="1134" w:type="dxa"/>
            <w:vAlign w:val="center"/>
          </w:tcPr>
          <w:p w14:paraId="6715BD90">
            <w:pPr>
              <w:pStyle w:val="91"/>
              <w:rPr>
                <w:color w:val="auto"/>
                <w:sz w:val="21"/>
                <w:szCs w:val="21"/>
              </w:rPr>
            </w:pPr>
            <w:r>
              <w:rPr>
                <w:rFonts w:hint="eastAsia"/>
                <w:color w:val="auto"/>
                <w:sz w:val="21"/>
                <w:szCs w:val="21"/>
              </w:rPr>
              <w:t>/</w:t>
            </w:r>
          </w:p>
        </w:tc>
        <w:tc>
          <w:tcPr>
            <w:tcW w:w="1597" w:type="dxa"/>
            <w:vAlign w:val="center"/>
          </w:tcPr>
          <w:p w14:paraId="4816319A">
            <w:pPr>
              <w:pStyle w:val="91"/>
              <w:rPr>
                <w:color w:val="auto"/>
                <w:sz w:val="21"/>
                <w:szCs w:val="21"/>
              </w:rPr>
            </w:pPr>
            <w:r>
              <w:rPr>
                <w:rFonts w:hint="eastAsia"/>
                <w:color w:val="auto"/>
                <w:sz w:val="21"/>
                <w:szCs w:val="21"/>
              </w:rPr>
              <w:t>/</w:t>
            </w:r>
          </w:p>
        </w:tc>
        <w:tc>
          <w:tcPr>
            <w:tcW w:w="1559" w:type="dxa"/>
            <w:vAlign w:val="center"/>
          </w:tcPr>
          <w:p w14:paraId="1679B731">
            <w:pPr>
              <w:pStyle w:val="91"/>
              <w:rPr>
                <w:color w:val="auto"/>
                <w:sz w:val="21"/>
                <w:szCs w:val="21"/>
              </w:rPr>
            </w:pPr>
            <w:r>
              <w:rPr>
                <w:rFonts w:hint="eastAsia"/>
                <w:color w:val="auto"/>
                <w:sz w:val="21"/>
                <w:szCs w:val="21"/>
              </w:rPr>
              <w:t>0</w:t>
            </w:r>
            <w:r>
              <w:rPr>
                <w:color w:val="auto"/>
                <w:sz w:val="21"/>
                <w:szCs w:val="21"/>
              </w:rPr>
              <w:t>.015</w:t>
            </w:r>
            <w:r>
              <w:rPr>
                <w:rFonts w:hint="eastAsia"/>
                <w:color w:val="auto"/>
                <w:sz w:val="21"/>
                <w:szCs w:val="21"/>
              </w:rPr>
              <w:t xml:space="preserve"> t</w:t>
            </w:r>
            <w:r>
              <w:rPr>
                <w:color w:val="auto"/>
                <w:sz w:val="21"/>
                <w:szCs w:val="21"/>
              </w:rPr>
              <w:t>/</w:t>
            </w:r>
            <w:r>
              <w:rPr>
                <w:rFonts w:hint="eastAsia"/>
                <w:color w:val="auto"/>
                <w:sz w:val="21"/>
                <w:szCs w:val="21"/>
              </w:rPr>
              <w:t>a</w:t>
            </w:r>
          </w:p>
        </w:tc>
        <w:tc>
          <w:tcPr>
            <w:tcW w:w="1761" w:type="dxa"/>
            <w:vAlign w:val="center"/>
          </w:tcPr>
          <w:p w14:paraId="567588E6">
            <w:pPr>
              <w:pStyle w:val="91"/>
              <w:rPr>
                <w:color w:val="auto"/>
                <w:sz w:val="21"/>
                <w:szCs w:val="21"/>
              </w:rPr>
            </w:pPr>
            <w:r>
              <w:rPr>
                <w:rFonts w:hint="eastAsia"/>
                <w:color w:val="auto"/>
                <w:sz w:val="21"/>
                <w:szCs w:val="21"/>
              </w:rPr>
              <w:t>/</w:t>
            </w:r>
          </w:p>
        </w:tc>
        <w:tc>
          <w:tcPr>
            <w:tcW w:w="1745" w:type="dxa"/>
            <w:vAlign w:val="center"/>
          </w:tcPr>
          <w:p w14:paraId="7611BEEF">
            <w:pPr>
              <w:pStyle w:val="91"/>
              <w:rPr>
                <w:color w:val="auto"/>
                <w:sz w:val="21"/>
                <w:szCs w:val="21"/>
              </w:rPr>
            </w:pPr>
            <w:r>
              <w:rPr>
                <w:rFonts w:hint="eastAsia"/>
                <w:color w:val="auto"/>
                <w:sz w:val="21"/>
                <w:szCs w:val="21"/>
              </w:rPr>
              <w:t>0</w:t>
            </w:r>
            <w:r>
              <w:rPr>
                <w:color w:val="auto"/>
                <w:sz w:val="21"/>
                <w:szCs w:val="21"/>
              </w:rPr>
              <w:t>.015</w:t>
            </w:r>
            <w:r>
              <w:rPr>
                <w:rFonts w:hint="eastAsia"/>
                <w:color w:val="auto"/>
                <w:sz w:val="21"/>
                <w:szCs w:val="21"/>
              </w:rPr>
              <w:t xml:space="preserve"> t</w:t>
            </w:r>
            <w:r>
              <w:rPr>
                <w:color w:val="auto"/>
                <w:sz w:val="21"/>
                <w:szCs w:val="21"/>
              </w:rPr>
              <w:t>/</w:t>
            </w:r>
            <w:r>
              <w:rPr>
                <w:rFonts w:hint="eastAsia"/>
                <w:color w:val="auto"/>
                <w:sz w:val="21"/>
                <w:szCs w:val="21"/>
              </w:rPr>
              <w:t>a</w:t>
            </w:r>
          </w:p>
        </w:tc>
        <w:tc>
          <w:tcPr>
            <w:tcW w:w="1417" w:type="dxa"/>
            <w:vAlign w:val="center"/>
          </w:tcPr>
          <w:p w14:paraId="21D6DFCC">
            <w:pPr>
              <w:pStyle w:val="91"/>
              <w:rPr>
                <w:color w:val="auto"/>
                <w:sz w:val="21"/>
                <w:szCs w:val="21"/>
              </w:rPr>
            </w:pPr>
            <w:r>
              <w:rPr>
                <w:color w:val="auto"/>
                <w:sz w:val="21"/>
                <w:szCs w:val="21"/>
              </w:rPr>
              <w:t>+</w:t>
            </w:r>
            <w:r>
              <w:rPr>
                <w:rFonts w:hint="eastAsia"/>
                <w:color w:val="auto"/>
                <w:sz w:val="21"/>
                <w:szCs w:val="21"/>
              </w:rPr>
              <w:t>0</w:t>
            </w:r>
            <w:r>
              <w:rPr>
                <w:color w:val="auto"/>
                <w:sz w:val="21"/>
                <w:szCs w:val="21"/>
              </w:rPr>
              <w:t>.015</w:t>
            </w:r>
            <w:r>
              <w:rPr>
                <w:rFonts w:hint="eastAsia"/>
                <w:color w:val="auto"/>
                <w:sz w:val="21"/>
                <w:szCs w:val="21"/>
              </w:rPr>
              <w:t xml:space="preserve"> t</w:t>
            </w:r>
            <w:r>
              <w:rPr>
                <w:color w:val="auto"/>
                <w:sz w:val="21"/>
                <w:szCs w:val="21"/>
              </w:rPr>
              <w:t>/</w:t>
            </w:r>
            <w:r>
              <w:rPr>
                <w:rFonts w:hint="eastAsia"/>
                <w:color w:val="auto"/>
                <w:sz w:val="21"/>
                <w:szCs w:val="21"/>
              </w:rPr>
              <w:t>a</w:t>
            </w:r>
          </w:p>
        </w:tc>
      </w:tr>
      <w:tr w14:paraId="55ABED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continue"/>
            <w:vAlign w:val="center"/>
          </w:tcPr>
          <w:p w14:paraId="364FE749">
            <w:pPr>
              <w:pStyle w:val="91"/>
              <w:rPr>
                <w:color w:val="auto"/>
                <w:sz w:val="21"/>
                <w:szCs w:val="21"/>
              </w:rPr>
            </w:pPr>
          </w:p>
        </w:tc>
        <w:tc>
          <w:tcPr>
            <w:tcW w:w="2268" w:type="dxa"/>
            <w:vAlign w:val="center"/>
          </w:tcPr>
          <w:p w14:paraId="3268A433">
            <w:pPr>
              <w:pStyle w:val="91"/>
              <w:rPr>
                <w:color w:val="auto"/>
                <w:sz w:val="21"/>
                <w:szCs w:val="21"/>
              </w:rPr>
            </w:pPr>
            <w:r>
              <w:rPr>
                <w:rFonts w:hint="eastAsia"/>
                <w:color w:val="auto"/>
                <w:sz w:val="21"/>
                <w:szCs w:val="21"/>
              </w:rPr>
              <w:t>TP</w:t>
            </w:r>
          </w:p>
        </w:tc>
        <w:tc>
          <w:tcPr>
            <w:tcW w:w="1560" w:type="dxa"/>
            <w:vAlign w:val="center"/>
          </w:tcPr>
          <w:p w14:paraId="737019B5">
            <w:pPr>
              <w:pStyle w:val="91"/>
              <w:rPr>
                <w:color w:val="auto"/>
                <w:sz w:val="21"/>
                <w:szCs w:val="21"/>
              </w:rPr>
            </w:pPr>
            <w:r>
              <w:rPr>
                <w:rFonts w:hint="eastAsia"/>
                <w:color w:val="auto"/>
                <w:sz w:val="21"/>
                <w:szCs w:val="21"/>
              </w:rPr>
              <w:t>/</w:t>
            </w:r>
          </w:p>
        </w:tc>
        <w:tc>
          <w:tcPr>
            <w:tcW w:w="1134" w:type="dxa"/>
            <w:vAlign w:val="center"/>
          </w:tcPr>
          <w:p w14:paraId="2E972526">
            <w:pPr>
              <w:pStyle w:val="91"/>
              <w:rPr>
                <w:color w:val="auto"/>
                <w:sz w:val="21"/>
                <w:szCs w:val="21"/>
              </w:rPr>
            </w:pPr>
            <w:r>
              <w:rPr>
                <w:rFonts w:hint="eastAsia"/>
                <w:color w:val="auto"/>
                <w:sz w:val="21"/>
                <w:szCs w:val="21"/>
              </w:rPr>
              <w:t>/</w:t>
            </w:r>
          </w:p>
        </w:tc>
        <w:tc>
          <w:tcPr>
            <w:tcW w:w="1597" w:type="dxa"/>
            <w:vAlign w:val="center"/>
          </w:tcPr>
          <w:p w14:paraId="7778E7F6">
            <w:pPr>
              <w:pStyle w:val="91"/>
              <w:rPr>
                <w:color w:val="auto"/>
                <w:sz w:val="21"/>
                <w:szCs w:val="21"/>
              </w:rPr>
            </w:pPr>
            <w:r>
              <w:rPr>
                <w:rFonts w:hint="eastAsia"/>
                <w:color w:val="auto"/>
                <w:sz w:val="21"/>
                <w:szCs w:val="21"/>
              </w:rPr>
              <w:t>/</w:t>
            </w:r>
          </w:p>
        </w:tc>
        <w:tc>
          <w:tcPr>
            <w:tcW w:w="1559" w:type="dxa"/>
            <w:vAlign w:val="center"/>
          </w:tcPr>
          <w:p w14:paraId="7467BB4E">
            <w:pPr>
              <w:pStyle w:val="91"/>
              <w:rPr>
                <w:color w:val="auto"/>
                <w:sz w:val="21"/>
                <w:szCs w:val="21"/>
              </w:rPr>
            </w:pPr>
            <w:r>
              <w:rPr>
                <w:rFonts w:hint="eastAsia"/>
                <w:color w:val="auto"/>
                <w:sz w:val="21"/>
                <w:szCs w:val="21"/>
              </w:rPr>
              <w:t>0</w:t>
            </w:r>
            <w:r>
              <w:rPr>
                <w:color w:val="auto"/>
                <w:sz w:val="21"/>
                <w:szCs w:val="21"/>
              </w:rPr>
              <w:t>.0017</w:t>
            </w:r>
            <w:r>
              <w:rPr>
                <w:rFonts w:hint="eastAsia"/>
                <w:color w:val="auto"/>
                <w:sz w:val="21"/>
                <w:szCs w:val="21"/>
              </w:rPr>
              <w:t>t</w:t>
            </w:r>
            <w:r>
              <w:rPr>
                <w:color w:val="auto"/>
                <w:sz w:val="21"/>
                <w:szCs w:val="21"/>
              </w:rPr>
              <w:t>/</w:t>
            </w:r>
            <w:r>
              <w:rPr>
                <w:rFonts w:hint="eastAsia"/>
                <w:color w:val="auto"/>
                <w:sz w:val="21"/>
                <w:szCs w:val="21"/>
              </w:rPr>
              <w:t>a</w:t>
            </w:r>
          </w:p>
        </w:tc>
        <w:tc>
          <w:tcPr>
            <w:tcW w:w="1761" w:type="dxa"/>
            <w:vAlign w:val="center"/>
          </w:tcPr>
          <w:p w14:paraId="4A8991C0">
            <w:pPr>
              <w:pStyle w:val="91"/>
              <w:rPr>
                <w:color w:val="auto"/>
                <w:sz w:val="21"/>
                <w:szCs w:val="21"/>
              </w:rPr>
            </w:pPr>
            <w:r>
              <w:rPr>
                <w:rFonts w:hint="eastAsia"/>
                <w:color w:val="auto"/>
                <w:sz w:val="21"/>
                <w:szCs w:val="21"/>
              </w:rPr>
              <w:t>/</w:t>
            </w:r>
          </w:p>
        </w:tc>
        <w:tc>
          <w:tcPr>
            <w:tcW w:w="1745" w:type="dxa"/>
            <w:vAlign w:val="center"/>
          </w:tcPr>
          <w:p w14:paraId="1AA95AAE">
            <w:pPr>
              <w:pStyle w:val="91"/>
              <w:rPr>
                <w:color w:val="auto"/>
                <w:sz w:val="21"/>
                <w:szCs w:val="21"/>
              </w:rPr>
            </w:pPr>
            <w:r>
              <w:rPr>
                <w:rFonts w:hint="eastAsia"/>
                <w:color w:val="auto"/>
                <w:sz w:val="21"/>
                <w:szCs w:val="21"/>
              </w:rPr>
              <w:t>0</w:t>
            </w:r>
            <w:r>
              <w:rPr>
                <w:color w:val="auto"/>
                <w:sz w:val="21"/>
                <w:szCs w:val="21"/>
              </w:rPr>
              <w:t>.0017</w:t>
            </w:r>
            <w:r>
              <w:rPr>
                <w:rFonts w:hint="eastAsia"/>
                <w:color w:val="auto"/>
                <w:sz w:val="21"/>
                <w:szCs w:val="21"/>
              </w:rPr>
              <w:t>t</w:t>
            </w:r>
            <w:r>
              <w:rPr>
                <w:color w:val="auto"/>
                <w:sz w:val="21"/>
                <w:szCs w:val="21"/>
              </w:rPr>
              <w:t>/</w:t>
            </w:r>
            <w:r>
              <w:rPr>
                <w:rFonts w:hint="eastAsia"/>
                <w:color w:val="auto"/>
                <w:sz w:val="21"/>
                <w:szCs w:val="21"/>
              </w:rPr>
              <w:t>a</w:t>
            </w:r>
          </w:p>
        </w:tc>
        <w:tc>
          <w:tcPr>
            <w:tcW w:w="1417" w:type="dxa"/>
            <w:vAlign w:val="center"/>
          </w:tcPr>
          <w:p w14:paraId="6E087636">
            <w:pPr>
              <w:pStyle w:val="91"/>
              <w:rPr>
                <w:color w:val="auto"/>
                <w:sz w:val="21"/>
                <w:szCs w:val="21"/>
              </w:rPr>
            </w:pPr>
            <w:r>
              <w:rPr>
                <w:color w:val="auto"/>
                <w:sz w:val="21"/>
                <w:szCs w:val="21"/>
              </w:rPr>
              <w:t>+</w:t>
            </w:r>
            <w:r>
              <w:rPr>
                <w:rFonts w:hint="eastAsia"/>
                <w:color w:val="auto"/>
                <w:sz w:val="21"/>
                <w:szCs w:val="21"/>
              </w:rPr>
              <w:t>0</w:t>
            </w:r>
            <w:r>
              <w:rPr>
                <w:color w:val="auto"/>
                <w:sz w:val="21"/>
                <w:szCs w:val="21"/>
              </w:rPr>
              <w:t>.0017</w:t>
            </w:r>
            <w:r>
              <w:rPr>
                <w:rFonts w:hint="eastAsia"/>
                <w:color w:val="auto"/>
                <w:sz w:val="21"/>
                <w:szCs w:val="21"/>
              </w:rPr>
              <w:t>t</w:t>
            </w:r>
            <w:r>
              <w:rPr>
                <w:color w:val="auto"/>
                <w:sz w:val="21"/>
                <w:szCs w:val="21"/>
              </w:rPr>
              <w:t>/</w:t>
            </w:r>
            <w:r>
              <w:rPr>
                <w:rFonts w:hint="eastAsia"/>
                <w:color w:val="auto"/>
                <w:sz w:val="21"/>
                <w:szCs w:val="21"/>
              </w:rPr>
              <w:t>a</w:t>
            </w:r>
          </w:p>
        </w:tc>
      </w:tr>
      <w:tr w14:paraId="24A9BB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124" w:type="dxa"/>
            <w:vMerge w:val="restart"/>
            <w:vAlign w:val="center"/>
          </w:tcPr>
          <w:p w14:paraId="3E9BD64A">
            <w:pPr>
              <w:pStyle w:val="91"/>
              <w:rPr>
                <w:color w:val="auto"/>
                <w:sz w:val="21"/>
                <w:szCs w:val="21"/>
              </w:rPr>
            </w:pPr>
            <w:r>
              <w:rPr>
                <w:color w:val="auto"/>
                <w:sz w:val="21"/>
                <w:szCs w:val="21"/>
              </w:rPr>
              <w:t>一般工业固体废物</w:t>
            </w:r>
          </w:p>
        </w:tc>
        <w:tc>
          <w:tcPr>
            <w:tcW w:w="2268" w:type="dxa"/>
            <w:vAlign w:val="center"/>
          </w:tcPr>
          <w:p w14:paraId="7B78B96F">
            <w:pPr>
              <w:pStyle w:val="91"/>
              <w:rPr>
                <w:color w:val="auto"/>
                <w:sz w:val="21"/>
                <w:szCs w:val="21"/>
              </w:rPr>
            </w:pPr>
            <w:r>
              <w:rPr>
                <w:color w:val="auto"/>
              </w:rPr>
              <w:t>除尘器除尘灰</w:t>
            </w:r>
          </w:p>
        </w:tc>
        <w:tc>
          <w:tcPr>
            <w:tcW w:w="1560" w:type="dxa"/>
            <w:vAlign w:val="center"/>
          </w:tcPr>
          <w:p w14:paraId="616ECE62">
            <w:pPr>
              <w:pStyle w:val="91"/>
              <w:rPr>
                <w:color w:val="auto"/>
                <w:sz w:val="21"/>
                <w:szCs w:val="21"/>
              </w:rPr>
            </w:pPr>
            <w:r>
              <w:rPr>
                <w:rFonts w:hint="eastAsia"/>
                <w:color w:val="auto"/>
                <w:sz w:val="21"/>
                <w:szCs w:val="21"/>
              </w:rPr>
              <w:t>/</w:t>
            </w:r>
          </w:p>
        </w:tc>
        <w:tc>
          <w:tcPr>
            <w:tcW w:w="1134" w:type="dxa"/>
            <w:vAlign w:val="center"/>
          </w:tcPr>
          <w:p w14:paraId="72F07791">
            <w:pPr>
              <w:pStyle w:val="91"/>
              <w:rPr>
                <w:color w:val="auto"/>
                <w:sz w:val="21"/>
                <w:szCs w:val="21"/>
              </w:rPr>
            </w:pPr>
            <w:r>
              <w:rPr>
                <w:rFonts w:hint="eastAsia"/>
                <w:color w:val="auto"/>
                <w:sz w:val="21"/>
                <w:szCs w:val="21"/>
              </w:rPr>
              <w:t>/</w:t>
            </w:r>
          </w:p>
        </w:tc>
        <w:tc>
          <w:tcPr>
            <w:tcW w:w="1597" w:type="dxa"/>
            <w:vAlign w:val="center"/>
          </w:tcPr>
          <w:p w14:paraId="0E27DA15">
            <w:pPr>
              <w:pStyle w:val="91"/>
              <w:rPr>
                <w:color w:val="auto"/>
                <w:sz w:val="21"/>
                <w:szCs w:val="21"/>
              </w:rPr>
            </w:pPr>
            <w:r>
              <w:rPr>
                <w:rFonts w:hint="eastAsia"/>
                <w:color w:val="auto"/>
                <w:sz w:val="21"/>
                <w:szCs w:val="21"/>
              </w:rPr>
              <w:t>/</w:t>
            </w:r>
          </w:p>
        </w:tc>
        <w:tc>
          <w:tcPr>
            <w:tcW w:w="1559" w:type="dxa"/>
            <w:vAlign w:val="center"/>
          </w:tcPr>
          <w:p w14:paraId="29E61A64">
            <w:pPr>
              <w:pStyle w:val="91"/>
              <w:rPr>
                <w:color w:val="auto"/>
                <w:sz w:val="21"/>
                <w:szCs w:val="21"/>
              </w:rPr>
            </w:pPr>
            <w:r>
              <w:rPr>
                <w:rFonts w:hint="eastAsia"/>
                <w:color w:val="auto"/>
              </w:rPr>
              <w:t>3</w:t>
            </w:r>
            <w:r>
              <w:rPr>
                <w:color w:val="auto"/>
              </w:rPr>
              <w:t>.386</w:t>
            </w:r>
            <w:r>
              <w:rPr>
                <w:rFonts w:hint="eastAsia"/>
                <w:color w:val="auto"/>
                <w:sz w:val="21"/>
                <w:szCs w:val="21"/>
              </w:rPr>
              <w:t xml:space="preserve"> t</w:t>
            </w:r>
            <w:r>
              <w:rPr>
                <w:color w:val="auto"/>
                <w:sz w:val="21"/>
                <w:szCs w:val="21"/>
              </w:rPr>
              <w:t>/</w:t>
            </w:r>
            <w:r>
              <w:rPr>
                <w:rFonts w:hint="eastAsia"/>
                <w:color w:val="auto"/>
                <w:sz w:val="21"/>
                <w:szCs w:val="21"/>
              </w:rPr>
              <w:t>a</w:t>
            </w:r>
          </w:p>
        </w:tc>
        <w:tc>
          <w:tcPr>
            <w:tcW w:w="1761" w:type="dxa"/>
            <w:vAlign w:val="center"/>
          </w:tcPr>
          <w:p w14:paraId="7B8F4218">
            <w:pPr>
              <w:pStyle w:val="91"/>
              <w:rPr>
                <w:color w:val="auto"/>
                <w:sz w:val="21"/>
                <w:szCs w:val="21"/>
              </w:rPr>
            </w:pPr>
            <w:r>
              <w:rPr>
                <w:rFonts w:hint="eastAsia"/>
                <w:color w:val="auto"/>
                <w:sz w:val="21"/>
                <w:szCs w:val="21"/>
              </w:rPr>
              <w:t>/</w:t>
            </w:r>
          </w:p>
        </w:tc>
        <w:tc>
          <w:tcPr>
            <w:tcW w:w="1745" w:type="dxa"/>
            <w:vAlign w:val="center"/>
          </w:tcPr>
          <w:p w14:paraId="41E795C5">
            <w:pPr>
              <w:pStyle w:val="91"/>
              <w:rPr>
                <w:color w:val="auto"/>
                <w:sz w:val="21"/>
                <w:szCs w:val="21"/>
              </w:rPr>
            </w:pPr>
            <w:r>
              <w:rPr>
                <w:rFonts w:hint="eastAsia"/>
                <w:color w:val="auto"/>
              </w:rPr>
              <w:t>3</w:t>
            </w:r>
            <w:r>
              <w:rPr>
                <w:color w:val="auto"/>
              </w:rPr>
              <w:t>.386</w:t>
            </w:r>
            <w:r>
              <w:rPr>
                <w:rFonts w:hint="eastAsia"/>
                <w:color w:val="auto"/>
                <w:sz w:val="21"/>
                <w:szCs w:val="21"/>
              </w:rPr>
              <w:t xml:space="preserve"> t</w:t>
            </w:r>
            <w:r>
              <w:rPr>
                <w:color w:val="auto"/>
                <w:sz w:val="21"/>
                <w:szCs w:val="21"/>
              </w:rPr>
              <w:t>/</w:t>
            </w:r>
            <w:r>
              <w:rPr>
                <w:rFonts w:hint="eastAsia"/>
                <w:color w:val="auto"/>
                <w:sz w:val="21"/>
                <w:szCs w:val="21"/>
              </w:rPr>
              <w:t>a</w:t>
            </w:r>
          </w:p>
        </w:tc>
        <w:tc>
          <w:tcPr>
            <w:tcW w:w="1417" w:type="dxa"/>
            <w:vAlign w:val="center"/>
          </w:tcPr>
          <w:p w14:paraId="6C697490">
            <w:pPr>
              <w:pStyle w:val="91"/>
              <w:rPr>
                <w:color w:val="auto"/>
                <w:sz w:val="21"/>
                <w:szCs w:val="21"/>
              </w:rPr>
            </w:pPr>
            <w:r>
              <w:rPr>
                <w:color w:val="auto"/>
              </w:rPr>
              <w:t>+</w:t>
            </w:r>
            <w:r>
              <w:rPr>
                <w:rFonts w:hint="eastAsia"/>
                <w:color w:val="auto"/>
              </w:rPr>
              <w:t>3</w:t>
            </w:r>
            <w:r>
              <w:rPr>
                <w:color w:val="auto"/>
              </w:rPr>
              <w:t>.386</w:t>
            </w:r>
            <w:r>
              <w:rPr>
                <w:rFonts w:hint="eastAsia"/>
                <w:color w:val="auto"/>
                <w:sz w:val="21"/>
                <w:szCs w:val="21"/>
              </w:rPr>
              <w:t xml:space="preserve"> t</w:t>
            </w:r>
            <w:r>
              <w:rPr>
                <w:color w:val="auto"/>
                <w:sz w:val="21"/>
                <w:szCs w:val="21"/>
              </w:rPr>
              <w:t>/</w:t>
            </w:r>
            <w:r>
              <w:rPr>
                <w:rFonts w:hint="eastAsia"/>
                <w:color w:val="auto"/>
                <w:sz w:val="21"/>
                <w:szCs w:val="21"/>
              </w:rPr>
              <w:t>a</w:t>
            </w:r>
          </w:p>
        </w:tc>
      </w:tr>
      <w:tr w14:paraId="67C09D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124" w:type="dxa"/>
            <w:vMerge w:val="continue"/>
            <w:vAlign w:val="center"/>
          </w:tcPr>
          <w:p w14:paraId="592C7763">
            <w:pPr>
              <w:pStyle w:val="91"/>
              <w:rPr>
                <w:color w:val="auto"/>
                <w:sz w:val="21"/>
                <w:szCs w:val="21"/>
              </w:rPr>
            </w:pPr>
          </w:p>
        </w:tc>
        <w:tc>
          <w:tcPr>
            <w:tcW w:w="2268" w:type="dxa"/>
            <w:vAlign w:val="center"/>
          </w:tcPr>
          <w:p w14:paraId="19ECFF0A">
            <w:pPr>
              <w:pStyle w:val="91"/>
              <w:rPr>
                <w:color w:val="auto"/>
                <w:sz w:val="21"/>
                <w:szCs w:val="21"/>
              </w:rPr>
            </w:pPr>
            <w:r>
              <w:rPr>
                <w:color w:val="auto"/>
              </w:rPr>
              <w:t>废边角料</w:t>
            </w:r>
          </w:p>
        </w:tc>
        <w:tc>
          <w:tcPr>
            <w:tcW w:w="1560" w:type="dxa"/>
            <w:vAlign w:val="center"/>
          </w:tcPr>
          <w:p w14:paraId="3400CF97">
            <w:pPr>
              <w:pStyle w:val="91"/>
              <w:rPr>
                <w:color w:val="auto"/>
                <w:sz w:val="21"/>
                <w:szCs w:val="21"/>
              </w:rPr>
            </w:pPr>
            <w:r>
              <w:rPr>
                <w:rFonts w:hint="eastAsia"/>
                <w:color w:val="auto"/>
                <w:sz w:val="21"/>
                <w:szCs w:val="21"/>
              </w:rPr>
              <w:t>/</w:t>
            </w:r>
          </w:p>
        </w:tc>
        <w:tc>
          <w:tcPr>
            <w:tcW w:w="1134" w:type="dxa"/>
            <w:vAlign w:val="center"/>
          </w:tcPr>
          <w:p w14:paraId="1E28AD19">
            <w:pPr>
              <w:pStyle w:val="91"/>
              <w:rPr>
                <w:color w:val="auto"/>
                <w:sz w:val="21"/>
                <w:szCs w:val="21"/>
              </w:rPr>
            </w:pPr>
            <w:r>
              <w:rPr>
                <w:rFonts w:hint="eastAsia"/>
                <w:color w:val="auto"/>
                <w:sz w:val="21"/>
                <w:szCs w:val="21"/>
              </w:rPr>
              <w:t>/</w:t>
            </w:r>
          </w:p>
        </w:tc>
        <w:tc>
          <w:tcPr>
            <w:tcW w:w="1597" w:type="dxa"/>
            <w:vAlign w:val="center"/>
          </w:tcPr>
          <w:p w14:paraId="19855860">
            <w:pPr>
              <w:pStyle w:val="91"/>
              <w:rPr>
                <w:color w:val="auto"/>
                <w:sz w:val="21"/>
                <w:szCs w:val="21"/>
              </w:rPr>
            </w:pPr>
            <w:r>
              <w:rPr>
                <w:rFonts w:hint="eastAsia"/>
                <w:color w:val="auto"/>
                <w:sz w:val="21"/>
                <w:szCs w:val="21"/>
              </w:rPr>
              <w:t>/</w:t>
            </w:r>
          </w:p>
        </w:tc>
        <w:tc>
          <w:tcPr>
            <w:tcW w:w="1559" w:type="dxa"/>
            <w:vAlign w:val="center"/>
          </w:tcPr>
          <w:p w14:paraId="2B9C0882">
            <w:pPr>
              <w:pStyle w:val="91"/>
              <w:rPr>
                <w:color w:val="auto"/>
                <w:sz w:val="21"/>
                <w:szCs w:val="21"/>
              </w:rPr>
            </w:pPr>
            <w:r>
              <w:rPr>
                <w:rFonts w:hint="eastAsia"/>
                <w:color w:val="auto"/>
              </w:rPr>
              <w:t>1</w:t>
            </w:r>
            <w:r>
              <w:rPr>
                <w:color w:val="auto"/>
              </w:rPr>
              <w:t>5</w:t>
            </w:r>
            <w:r>
              <w:rPr>
                <w:rFonts w:hint="eastAsia"/>
                <w:color w:val="auto"/>
                <w:sz w:val="21"/>
                <w:szCs w:val="21"/>
              </w:rPr>
              <w:t xml:space="preserve"> t</w:t>
            </w:r>
            <w:r>
              <w:rPr>
                <w:color w:val="auto"/>
                <w:sz w:val="21"/>
                <w:szCs w:val="21"/>
              </w:rPr>
              <w:t>/</w:t>
            </w:r>
            <w:r>
              <w:rPr>
                <w:rFonts w:hint="eastAsia"/>
                <w:color w:val="auto"/>
                <w:sz w:val="21"/>
                <w:szCs w:val="21"/>
              </w:rPr>
              <w:t>a</w:t>
            </w:r>
          </w:p>
        </w:tc>
        <w:tc>
          <w:tcPr>
            <w:tcW w:w="1761" w:type="dxa"/>
            <w:vAlign w:val="center"/>
          </w:tcPr>
          <w:p w14:paraId="1BFF2E75">
            <w:pPr>
              <w:pStyle w:val="91"/>
              <w:rPr>
                <w:color w:val="auto"/>
                <w:sz w:val="21"/>
                <w:szCs w:val="21"/>
              </w:rPr>
            </w:pPr>
            <w:r>
              <w:rPr>
                <w:rFonts w:hint="eastAsia"/>
                <w:color w:val="auto"/>
                <w:sz w:val="21"/>
                <w:szCs w:val="21"/>
              </w:rPr>
              <w:t>/</w:t>
            </w:r>
          </w:p>
        </w:tc>
        <w:tc>
          <w:tcPr>
            <w:tcW w:w="1745" w:type="dxa"/>
            <w:vAlign w:val="center"/>
          </w:tcPr>
          <w:p w14:paraId="27A60011">
            <w:pPr>
              <w:pStyle w:val="91"/>
              <w:rPr>
                <w:color w:val="auto"/>
                <w:sz w:val="21"/>
                <w:szCs w:val="21"/>
              </w:rPr>
            </w:pPr>
            <w:r>
              <w:rPr>
                <w:rFonts w:hint="eastAsia"/>
                <w:color w:val="auto"/>
              </w:rPr>
              <w:t>1</w:t>
            </w:r>
            <w:r>
              <w:rPr>
                <w:color w:val="auto"/>
              </w:rPr>
              <w:t>5</w:t>
            </w:r>
            <w:r>
              <w:rPr>
                <w:rFonts w:hint="eastAsia"/>
                <w:color w:val="auto"/>
                <w:sz w:val="21"/>
                <w:szCs w:val="21"/>
              </w:rPr>
              <w:t xml:space="preserve"> t</w:t>
            </w:r>
            <w:r>
              <w:rPr>
                <w:color w:val="auto"/>
                <w:sz w:val="21"/>
                <w:szCs w:val="21"/>
              </w:rPr>
              <w:t>/</w:t>
            </w:r>
            <w:r>
              <w:rPr>
                <w:rFonts w:hint="eastAsia"/>
                <w:color w:val="auto"/>
                <w:sz w:val="21"/>
                <w:szCs w:val="21"/>
              </w:rPr>
              <w:t>a</w:t>
            </w:r>
          </w:p>
        </w:tc>
        <w:tc>
          <w:tcPr>
            <w:tcW w:w="1417" w:type="dxa"/>
            <w:vAlign w:val="center"/>
          </w:tcPr>
          <w:p w14:paraId="265D638B">
            <w:pPr>
              <w:pStyle w:val="91"/>
              <w:rPr>
                <w:color w:val="auto"/>
                <w:sz w:val="21"/>
                <w:szCs w:val="21"/>
              </w:rPr>
            </w:pPr>
            <w:r>
              <w:rPr>
                <w:color w:val="auto"/>
              </w:rPr>
              <w:t>+</w:t>
            </w:r>
            <w:r>
              <w:rPr>
                <w:rFonts w:hint="eastAsia"/>
                <w:color w:val="auto"/>
              </w:rPr>
              <w:t>1</w:t>
            </w:r>
            <w:r>
              <w:rPr>
                <w:color w:val="auto"/>
              </w:rPr>
              <w:t>5</w:t>
            </w:r>
            <w:r>
              <w:rPr>
                <w:rFonts w:hint="eastAsia"/>
                <w:color w:val="auto"/>
                <w:sz w:val="21"/>
                <w:szCs w:val="21"/>
              </w:rPr>
              <w:t xml:space="preserve"> t</w:t>
            </w:r>
            <w:r>
              <w:rPr>
                <w:color w:val="auto"/>
                <w:sz w:val="21"/>
                <w:szCs w:val="21"/>
              </w:rPr>
              <w:t>/</w:t>
            </w:r>
            <w:r>
              <w:rPr>
                <w:rFonts w:hint="eastAsia"/>
                <w:color w:val="auto"/>
                <w:sz w:val="21"/>
                <w:szCs w:val="21"/>
              </w:rPr>
              <w:t>a</w:t>
            </w:r>
          </w:p>
        </w:tc>
      </w:tr>
      <w:tr w14:paraId="51B516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124" w:type="dxa"/>
            <w:vMerge w:val="continue"/>
            <w:vAlign w:val="center"/>
          </w:tcPr>
          <w:p w14:paraId="360363EF">
            <w:pPr>
              <w:pStyle w:val="91"/>
              <w:rPr>
                <w:color w:val="auto"/>
                <w:sz w:val="21"/>
                <w:szCs w:val="21"/>
              </w:rPr>
            </w:pPr>
          </w:p>
        </w:tc>
        <w:tc>
          <w:tcPr>
            <w:tcW w:w="2268" w:type="dxa"/>
            <w:vAlign w:val="center"/>
          </w:tcPr>
          <w:p w14:paraId="3B1D8E7B">
            <w:pPr>
              <w:pStyle w:val="91"/>
              <w:rPr>
                <w:color w:val="auto"/>
                <w:sz w:val="21"/>
                <w:szCs w:val="21"/>
              </w:rPr>
            </w:pPr>
            <w:r>
              <w:rPr>
                <w:color w:val="auto"/>
              </w:rPr>
              <w:t>不合格产品</w:t>
            </w:r>
          </w:p>
        </w:tc>
        <w:tc>
          <w:tcPr>
            <w:tcW w:w="1560" w:type="dxa"/>
            <w:vAlign w:val="center"/>
          </w:tcPr>
          <w:p w14:paraId="77EFE989">
            <w:pPr>
              <w:pStyle w:val="91"/>
              <w:rPr>
                <w:color w:val="auto"/>
                <w:sz w:val="21"/>
                <w:szCs w:val="21"/>
              </w:rPr>
            </w:pPr>
            <w:r>
              <w:rPr>
                <w:rFonts w:hint="eastAsia"/>
                <w:color w:val="auto"/>
                <w:sz w:val="21"/>
                <w:szCs w:val="21"/>
              </w:rPr>
              <w:t>/</w:t>
            </w:r>
          </w:p>
        </w:tc>
        <w:tc>
          <w:tcPr>
            <w:tcW w:w="1134" w:type="dxa"/>
            <w:vAlign w:val="center"/>
          </w:tcPr>
          <w:p w14:paraId="49DF1957">
            <w:pPr>
              <w:pStyle w:val="91"/>
              <w:rPr>
                <w:color w:val="auto"/>
                <w:sz w:val="21"/>
                <w:szCs w:val="21"/>
              </w:rPr>
            </w:pPr>
            <w:r>
              <w:rPr>
                <w:rFonts w:hint="eastAsia"/>
                <w:color w:val="auto"/>
                <w:sz w:val="21"/>
                <w:szCs w:val="21"/>
              </w:rPr>
              <w:t>/</w:t>
            </w:r>
          </w:p>
        </w:tc>
        <w:tc>
          <w:tcPr>
            <w:tcW w:w="1597" w:type="dxa"/>
            <w:vAlign w:val="center"/>
          </w:tcPr>
          <w:p w14:paraId="0EDC0017">
            <w:pPr>
              <w:pStyle w:val="91"/>
              <w:rPr>
                <w:color w:val="auto"/>
                <w:sz w:val="21"/>
                <w:szCs w:val="21"/>
              </w:rPr>
            </w:pPr>
            <w:r>
              <w:rPr>
                <w:rFonts w:hint="eastAsia"/>
                <w:color w:val="auto"/>
                <w:sz w:val="21"/>
                <w:szCs w:val="21"/>
              </w:rPr>
              <w:t>/</w:t>
            </w:r>
          </w:p>
        </w:tc>
        <w:tc>
          <w:tcPr>
            <w:tcW w:w="1559" w:type="dxa"/>
            <w:vAlign w:val="center"/>
          </w:tcPr>
          <w:p w14:paraId="28FC31E5">
            <w:pPr>
              <w:pStyle w:val="91"/>
              <w:rPr>
                <w:color w:val="auto"/>
                <w:sz w:val="21"/>
                <w:szCs w:val="21"/>
              </w:rPr>
            </w:pPr>
            <w:r>
              <w:rPr>
                <w:rFonts w:hint="eastAsia"/>
                <w:color w:val="auto"/>
              </w:rPr>
              <w:t>1</w:t>
            </w:r>
            <w:r>
              <w:rPr>
                <w:color w:val="auto"/>
              </w:rPr>
              <w:t>05</w:t>
            </w:r>
            <w:r>
              <w:rPr>
                <w:rFonts w:hint="eastAsia"/>
                <w:color w:val="auto"/>
                <w:sz w:val="21"/>
                <w:szCs w:val="21"/>
              </w:rPr>
              <w:t xml:space="preserve"> t</w:t>
            </w:r>
            <w:r>
              <w:rPr>
                <w:color w:val="auto"/>
                <w:sz w:val="21"/>
                <w:szCs w:val="21"/>
              </w:rPr>
              <w:t>/</w:t>
            </w:r>
            <w:r>
              <w:rPr>
                <w:rFonts w:hint="eastAsia"/>
                <w:color w:val="auto"/>
                <w:sz w:val="21"/>
                <w:szCs w:val="21"/>
              </w:rPr>
              <w:t>a</w:t>
            </w:r>
          </w:p>
        </w:tc>
        <w:tc>
          <w:tcPr>
            <w:tcW w:w="1761" w:type="dxa"/>
            <w:vAlign w:val="center"/>
          </w:tcPr>
          <w:p w14:paraId="6E12F93A">
            <w:pPr>
              <w:pStyle w:val="91"/>
              <w:rPr>
                <w:color w:val="auto"/>
                <w:sz w:val="21"/>
                <w:szCs w:val="21"/>
              </w:rPr>
            </w:pPr>
            <w:r>
              <w:rPr>
                <w:rFonts w:hint="eastAsia"/>
                <w:color w:val="auto"/>
                <w:sz w:val="21"/>
                <w:szCs w:val="21"/>
              </w:rPr>
              <w:t>/</w:t>
            </w:r>
          </w:p>
        </w:tc>
        <w:tc>
          <w:tcPr>
            <w:tcW w:w="1745" w:type="dxa"/>
            <w:vAlign w:val="center"/>
          </w:tcPr>
          <w:p w14:paraId="68F01A82">
            <w:pPr>
              <w:pStyle w:val="91"/>
              <w:rPr>
                <w:color w:val="auto"/>
                <w:sz w:val="21"/>
                <w:szCs w:val="21"/>
              </w:rPr>
            </w:pPr>
            <w:r>
              <w:rPr>
                <w:rFonts w:hint="eastAsia"/>
                <w:color w:val="auto"/>
              </w:rPr>
              <w:t>1</w:t>
            </w:r>
            <w:r>
              <w:rPr>
                <w:color w:val="auto"/>
              </w:rPr>
              <w:t>05</w:t>
            </w:r>
            <w:r>
              <w:rPr>
                <w:rFonts w:hint="eastAsia"/>
                <w:color w:val="auto"/>
                <w:sz w:val="21"/>
                <w:szCs w:val="21"/>
              </w:rPr>
              <w:t xml:space="preserve"> t</w:t>
            </w:r>
            <w:r>
              <w:rPr>
                <w:color w:val="auto"/>
                <w:sz w:val="21"/>
                <w:szCs w:val="21"/>
              </w:rPr>
              <w:t>/</w:t>
            </w:r>
            <w:r>
              <w:rPr>
                <w:rFonts w:hint="eastAsia"/>
                <w:color w:val="auto"/>
                <w:sz w:val="21"/>
                <w:szCs w:val="21"/>
              </w:rPr>
              <w:t>a</w:t>
            </w:r>
          </w:p>
        </w:tc>
        <w:tc>
          <w:tcPr>
            <w:tcW w:w="1417" w:type="dxa"/>
            <w:vAlign w:val="center"/>
          </w:tcPr>
          <w:p w14:paraId="5E35D18E">
            <w:pPr>
              <w:pStyle w:val="91"/>
              <w:rPr>
                <w:color w:val="auto"/>
                <w:sz w:val="21"/>
                <w:szCs w:val="21"/>
              </w:rPr>
            </w:pPr>
            <w:r>
              <w:rPr>
                <w:color w:val="auto"/>
              </w:rPr>
              <w:t>+</w:t>
            </w:r>
            <w:r>
              <w:rPr>
                <w:rFonts w:hint="eastAsia"/>
                <w:color w:val="auto"/>
              </w:rPr>
              <w:t>1</w:t>
            </w:r>
            <w:r>
              <w:rPr>
                <w:color w:val="auto"/>
              </w:rPr>
              <w:t>05</w:t>
            </w:r>
            <w:r>
              <w:rPr>
                <w:rFonts w:hint="eastAsia"/>
                <w:color w:val="auto"/>
                <w:sz w:val="21"/>
                <w:szCs w:val="21"/>
              </w:rPr>
              <w:t xml:space="preserve"> t</w:t>
            </w:r>
            <w:r>
              <w:rPr>
                <w:color w:val="auto"/>
                <w:sz w:val="21"/>
                <w:szCs w:val="21"/>
              </w:rPr>
              <w:t>/</w:t>
            </w:r>
            <w:r>
              <w:rPr>
                <w:rFonts w:hint="eastAsia"/>
                <w:color w:val="auto"/>
                <w:sz w:val="21"/>
                <w:szCs w:val="21"/>
              </w:rPr>
              <w:t>a</w:t>
            </w:r>
          </w:p>
        </w:tc>
      </w:tr>
      <w:tr w14:paraId="154087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124" w:type="dxa"/>
            <w:vMerge w:val="continue"/>
            <w:vAlign w:val="center"/>
          </w:tcPr>
          <w:p w14:paraId="3164E276">
            <w:pPr>
              <w:pStyle w:val="91"/>
              <w:rPr>
                <w:color w:val="auto"/>
                <w:sz w:val="21"/>
                <w:szCs w:val="21"/>
              </w:rPr>
            </w:pPr>
          </w:p>
        </w:tc>
        <w:tc>
          <w:tcPr>
            <w:tcW w:w="2268" w:type="dxa"/>
            <w:vAlign w:val="center"/>
          </w:tcPr>
          <w:p w14:paraId="06508F27">
            <w:pPr>
              <w:pStyle w:val="91"/>
              <w:rPr>
                <w:color w:val="auto"/>
                <w:sz w:val="21"/>
                <w:szCs w:val="21"/>
              </w:rPr>
            </w:pPr>
            <w:r>
              <w:rPr>
                <w:color w:val="auto"/>
              </w:rPr>
              <w:t>化粪池污泥</w:t>
            </w:r>
          </w:p>
        </w:tc>
        <w:tc>
          <w:tcPr>
            <w:tcW w:w="1560" w:type="dxa"/>
            <w:vAlign w:val="center"/>
          </w:tcPr>
          <w:p w14:paraId="5B908D2E">
            <w:pPr>
              <w:pStyle w:val="91"/>
              <w:rPr>
                <w:color w:val="auto"/>
                <w:sz w:val="21"/>
                <w:szCs w:val="21"/>
              </w:rPr>
            </w:pPr>
            <w:r>
              <w:rPr>
                <w:rFonts w:hint="eastAsia"/>
                <w:color w:val="auto"/>
                <w:sz w:val="21"/>
                <w:szCs w:val="21"/>
              </w:rPr>
              <w:t>/</w:t>
            </w:r>
          </w:p>
        </w:tc>
        <w:tc>
          <w:tcPr>
            <w:tcW w:w="1134" w:type="dxa"/>
            <w:vAlign w:val="center"/>
          </w:tcPr>
          <w:p w14:paraId="5384F886">
            <w:pPr>
              <w:pStyle w:val="91"/>
              <w:rPr>
                <w:color w:val="auto"/>
                <w:sz w:val="21"/>
                <w:szCs w:val="21"/>
              </w:rPr>
            </w:pPr>
            <w:r>
              <w:rPr>
                <w:rFonts w:hint="eastAsia"/>
                <w:color w:val="auto"/>
                <w:sz w:val="21"/>
                <w:szCs w:val="21"/>
              </w:rPr>
              <w:t>/</w:t>
            </w:r>
          </w:p>
        </w:tc>
        <w:tc>
          <w:tcPr>
            <w:tcW w:w="1597" w:type="dxa"/>
            <w:vAlign w:val="center"/>
          </w:tcPr>
          <w:p w14:paraId="2F3F0C37">
            <w:pPr>
              <w:pStyle w:val="91"/>
              <w:rPr>
                <w:color w:val="auto"/>
                <w:sz w:val="21"/>
                <w:szCs w:val="21"/>
              </w:rPr>
            </w:pPr>
            <w:r>
              <w:rPr>
                <w:rFonts w:hint="eastAsia"/>
                <w:color w:val="auto"/>
                <w:sz w:val="21"/>
                <w:szCs w:val="21"/>
              </w:rPr>
              <w:t>/</w:t>
            </w:r>
          </w:p>
        </w:tc>
        <w:tc>
          <w:tcPr>
            <w:tcW w:w="1559" w:type="dxa"/>
            <w:vAlign w:val="center"/>
          </w:tcPr>
          <w:p w14:paraId="20C46429">
            <w:pPr>
              <w:pStyle w:val="91"/>
              <w:rPr>
                <w:color w:val="auto"/>
                <w:sz w:val="21"/>
                <w:szCs w:val="21"/>
              </w:rPr>
            </w:pPr>
            <w:r>
              <w:rPr>
                <w:rFonts w:hint="eastAsia"/>
                <w:color w:val="auto"/>
              </w:rPr>
              <w:t>0</w:t>
            </w:r>
            <w:r>
              <w:rPr>
                <w:color w:val="auto"/>
              </w:rPr>
              <w:t>.012</w:t>
            </w:r>
            <w:r>
              <w:rPr>
                <w:rFonts w:hint="eastAsia"/>
                <w:color w:val="auto"/>
                <w:sz w:val="21"/>
                <w:szCs w:val="21"/>
              </w:rPr>
              <w:t xml:space="preserve"> t</w:t>
            </w:r>
            <w:r>
              <w:rPr>
                <w:color w:val="auto"/>
                <w:sz w:val="21"/>
                <w:szCs w:val="21"/>
              </w:rPr>
              <w:t>/</w:t>
            </w:r>
            <w:r>
              <w:rPr>
                <w:rFonts w:hint="eastAsia"/>
                <w:color w:val="auto"/>
                <w:sz w:val="21"/>
                <w:szCs w:val="21"/>
              </w:rPr>
              <w:t>a</w:t>
            </w:r>
          </w:p>
        </w:tc>
        <w:tc>
          <w:tcPr>
            <w:tcW w:w="1761" w:type="dxa"/>
            <w:vAlign w:val="center"/>
          </w:tcPr>
          <w:p w14:paraId="29434BFE">
            <w:pPr>
              <w:pStyle w:val="91"/>
              <w:rPr>
                <w:color w:val="auto"/>
                <w:sz w:val="21"/>
                <w:szCs w:val="21"/>
              </w:rPr>
            </w:pPr>
            <w:r>
              <w:rPr>
                <w:rFonts w:hint="eastAsia"/>
                <w:color w:val="auto"/>
                <w:sz w:val="21"/>
                <w:szCs w:val="21"/>
              </w:rPr>
              <w:t>/</w:t>
            </w:r>
          </w:p>
        </w:tc>
        <w:tc>
          <w:tcPr>
            <w:tcW w:w="1745" w:type="dxa"/>
            <w:vAlign w:val="center"/>
          </w:tcPr>
          <w:p w14:paraId="15C7139C">
            <w:pPr>
              <w:pStyle w:val="91"/>
              <w:rPr>
                <w:color w:val="auto"/>
                <w:sz w:val="21"/>
                <w:szCs w:val="21"/>
              </w:rPr>
            </w:pPr>
            <w:r>
              <w:rPr>
                <w:rFonts w:hint="eastAsia"/>
                <w:color w:val="auto"/>
              </w:rPr>
              <w:t>0</w:t>
            </w:r>
            <w:r>
              <w:rPr>
                <w:color w:val="auto"/>
              </w:rPr>
              <w:t>.012</w:t>
            </w:r>
            <w:r>
              <w:rPr>
                <w:rFonts w:hint="eastAsia"/>
                <w:color w:val="auto"/>
                <w:sz w:val="21"/>
                <w:szCs w:val="21"/>
              </w:rPr>
              <w:t xml:space="preserve"> t</w:t>
            </w:r>
            <w:r>
              <w:rPr>
                <w:color w:val="auto"/>
                <w:sz w:val="21"/>
                <w:szCs w:val="21"/>
              </w:rPr>
              <w:t>/</w:t>
            </w:r>
            <w:r>
              <w:rPr>
                <w:rFonts w:hint="eastAsia"/>
                <w:color w:val="auto"/>
                <w:sz w:val="21"/>
                <w:szCs w:val="21"/>
              </w:rPr>
              <w:t>a</w:t>
            </w:r>
          </w:p>
        </w:tc>
        <w:tc>
          <w:tcPr>
            <w:tcW w:w="1417" w:type="dxa"/>
            <w:vAlign w:val="center"/>
          </w:tcPr>
          <w:p w14:paraId="11481454">
            <w:pPr>
              <w:pStyle w:val="91"/>
              <w:rPr>
                <w:color w:val="auto"/>
                <w:sz w:val="21"/>
                <w:szCs w:val="21"/>
              </w:rPr>
            </w:pPr>
            <w:r>
              <w:rPr>
                <w:color w:val="auto"/>
              </w:rPr>
              <w:t>+</w:t>
            </w:r>
            <w:r>
              <w:rPr>
                <w:rFonts w:hint="eastAsia"/>
                <w:color w:val="auto"/>
              </w:rPr>
              <w:t>0</w:t>
            </w:r>
            <w:r>
              <w:rPr>
                <w:color w:val="auto"/>
              </w:rPr>
              <w:t>.012</w:t>
            </w:r>
            <w:r>
              <w:rPr>
                <w:rFonts w:hint="eastAsia"/>
                <w:color w:val="auto"/>
                <w:sz w:val="21"/>
                <w:szCs w:val="21"/>
              </w:rPr>
              <w:t xml:space="preserve"> t</w:t>
            </w:r>
            <w:r>
              <w:rPr>
                <w:color w:val="auto"/>
                <w:sz w:val="21"/>
                <w:szCs w:val="21"/>
              </w:rPr>
              <w:t>/</w:t>
            </w:r>
            <w:r>
              <w:rPr>
                <w:rFonts w:hint="eastAsia"/>
                <w:color w:val="auto"/>
                <w:sz w:val="21"/>
                <w:szCs w:val="21"/>
              </w:rPr>
              <w:t>a</w:t>
            </w:r>
          </w:p>
        </w:tc>
      </w:tr>
      <w:tr w14:paraId="0D5496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124" w:type="dxa"/>
            <w:vMerge w:val="continue"/>
            <w:vAlign w:val="center"/>
          </w:tcPr>
          <w:p w14:paraId="0EDAD243">
            <w:pPr>
              <w:pStyle w:val="91"/>
              <w:rPr>
                <w:color w:val="auto"/>
                <w:sz w:val="21"/>
                <w:szCs w:val="21"/>
              </w:rPr>
            </w:pPr>
          </w:p>
        </w:tc>
        <w:tc>
          <w:tcPr>
            <w:tcW w:w="2268" w:type="dxa"/>
            <w:vAlign w:val="center"/>
          </w:tcPr>
          <w:p w14:paraId="7BC108DC">
            <w:pPr>
              <w:pStyle w:val="91"/>
              <w:rPr>
                <w:color w:val="auto"/>
                <w:sz w:val="21"/>
                <w:szCs w:val="21"/>
              </w:rPr>
            </w:pPr>
            <w:r>
              <w:rPr>
                <w:color w:val="auto"/>
              </w:rPr>
              <w:t>炉渣</w:t>
            </w:r>
          </w:p>
        </w:tc>
        <w:tc>
          <w:tcPr>
            <w:tcW w:w="1560" w:type="dxa"/>
            <w:vAlign w:val="center"/>
          </w:tcPr>
          <w:p w14:paraId="377DECCA">
            <w:pPr>
              <w:pStyle w:val="91"/>
              <w:rPr>
                <w:color w:val="auto"/>
                <w:sz w:val="21"/>
                <w:szCs w:val="21"/>
              </w:rPr>
            </w:pPr>
            <w:r>
              <w:rPr>
                <w:rFonts w:hint="eastAsia"/>
                <w:color w:val="auto"/>
                <w:sz w:val="21"/>
                <w:szCs w:val="21"/>
              </w:rPr>
              <w:t>/</w:t>
            </w:r>
          </w:p>
        </w:tc>
        <w:tc>
          <w:tcPr>
            <w:tcW w:w="1134" w:type="dxa"/>
            <w:vAlign w:val="center"/>
          </w:tcPr>
          <w:p w14:paraId="74F1C770">
            <w:pPr>
              <w:pStyle w:val="91"/>
              <w:rPr>
                <w:color w:val="auto"/>
                <w:sz w:val="21"/>
                <w:szCs w:val="21"/>
              </w:rPr>
            </w:pPr>
            <w:r>
              <w:rPr>
                <w:rFonts w:hint="eastAsia"/>
                <w:color w:val="auto"/>
                <w:sz w:val="21"/>
                <w:szCs w:val="21"/>
              </w:rPr>
              <w:t>/</w:t>
            </w:r>
          </w:p>
        </w:tc>
        <w:tc>
          <w:tcPr>
            <w:tcW w:w="1597" w:type="dxa"/>
            <w:vAlign w:val="center"/>
          </w:tcPr>
          <w:p w14:paraId="7A7D0D85">
            <w:pPr>
              <w:pStyle w:val="91"/>
              <w:rPr>
                <w:color w:val="auto"/>
                <w:sz w:val="21"/>
                <w:szCs w:val="21"/>
              </w:rPr>
            </w:pPr>
            <w:r>
              <w:rPr>
                <w:rFonts w:hint="eastAsia"/>
                <w:color w:val="auto"/>
                <w:sz w:val="21"/>
                <w:szCs w:val="21"/>
              </w:rPr>
              <w:t>/</w:t>
            </w:r>
          </w:p>
        </w:tc>
        <w:tc>
          <w:tcPr>
            <w:tcW w:w="1559" w:type="dxa"/>
            <w:vAlign w:val="center"/>
          </w:tcPr>
          <w:p w14:paraId="2A7C8EA5">
            <w:pPr>
              <w:pStyle w:val="91"/>
              <w:rPr>
                <w:color w:val="auto"/>
                <w:sz w:val="21"/>
                <w:szCs w:val="21"/>
              </w:rPr>
            </w:pPr>
            <w:r>
              <w:rPr>
                <w:rFonts w:hint="eastAsia"/>
                <w:color w:val="auto"/>
              </w:rPr>
              <w:t>4</w:t>
            </w:r>
            <w:r>
              <w:rPr>
                <w:color w:val="auto"/>
              </w:rPr>
              <w:t>7.355</w:t>
            </w:r>
            <w:r>
              <w:rPr>
                <w:rFonts w:hint="eastAsia"/>
                <w:color w:val="auto"/>
                <w:sz w:val="21"/>
                <w:szCs w:val="21"/>
              </w:rPr>
              <w:t xml:space="preserve"> t</w:t>
            </w:r>
            <w:r>
              <w:rPr>
                <w:color w:val="auto"/>
                <w:sz w:val="21"/>
                <w:szCs w:val="21"/>
              </w:rPr>
              <w:t>/</w:t>
            </w:r>
            <w:r>
              <w:rPr>
                <w:rFonts w:hint="eastAsia"/>
                <w:color w:val="auto"/>
                <w:sz w:val="21"/>
                <w:szCs w:val="21"/>
              </w:rPr>
              <w:t>a</w:t>
            </w:r>
          </w:p>
        </w:tc>
        <w:tc>
          <w:tcPr>
            <w:tcW w:w="1761" w:type="dxa"/>
            <w:vAlign w:val="center"/>
          </w:tcPr>
          <w:p w14:paraId="07791601">
            <w:pPr>
              <w:pStyle w:val="91"/>
              <w:rPr>
                <w:color w:val="auto"/>
                <w:sz w:val="21"/>
                <w:szCs w:val="21"/>
              </w:rPr>
            </w:pPr>
            <w:r>
              <w:rPr>
                <w:rFonts w:hint="eastAsia"/>
                <w:color w:val="auto"/>
                <w:sz w:val="21"/>
                <w:szCs w:val="21"/>
              </w:rPr>
              <w:t>/</w:t>
            </w:r>
          </w:p>
        </w:tc>
        <w:tc>
          <w:tcPr>
            <w:tcW w:w="1745" w:type="dxa"/>
            <w:vAlign w:val="center"/>
          </w:tcPr>
          <w:p w14:paraId="4B4DD178">
            <w:pPr>
              <w:pStyle w:val="91"/>
              <w:rPr>
                <w:color w:val="auto"/>
                <w:sz w:val="21"/>
                <w:szCs w:val="21"/>
              </w:rPr>
            </w:pPr>
            <w:r>
              <w:rPr>
                <w:rFonts w:hint="eastAsia"/>
                <w:color w:val="auto"/>
              </w:rPr>
              <w:t>4</w:t>
            </w:r>
            <w:r>
              <w:rPr>
                <w:color w:val="auto"/>
              </w:rPr>
              <w:t>7.355</w:t>
            </w:r>
            <w:r>
              <w:rPr>
                <w:rFonts w:hint="eastAsia"/>
                <w:color w:val="auto"/>
                <w:sz w:val="21"/>
                <w:szCs w:val="21"/>
              </w:rPr>
              <w:t xml:space="preserve"> t</w:t>
            </w:r>
            <w:r>
              <w:rPr>
                <w:color w:val="auto"/>
                <w:sz w:val="21"/>
                <w:szCs w:val="21"/>
              </w:rPr>
              <w:t>/</w:t>
            </w:r>
            <w:r>
              <w:rPr>
                <w:rFonts w:hint="eastAsia"/>
                <w:color w:val="auto"/>
                <w:sz w:val="21"/>
                <w:szCs w:val="21"/>
              </w:rPr>
              <w:t>a</w:t>
            </w:r>
          </w:p>
        </w:tc>
        <w:tc>
          <w:tcPr>
            <w:tcW w:w="1417" w:type="dxa"/>
            <w:vAlign w:val="center"/>
          </w:tcPr>
          <w:p w14:paraId="0369CFC6">
            <w:pPr>
              <w:pStyle w:val="91"/>
              <w:rPr>
                <w:color w:val="auto"/>
                <w:sz w:val="21"/>
                <w:szCs w:val="21"/>
              </w:rPr>
            </w:pPr>
            <w:r>
              <w:rPr>
                <w:color w:val="auto"/>
              </w:rPr>
              <w:t>+</w:t>
            </w:r>
            <w:r>
              <w:rPr>
                <w:rFonts w:hint="eastAsia"/>
                <w:color w:val="auto"/>
              </w:rPr>
              <w:t>4</w:t>
            </w:r>
            <w:r>
              <w:rPr>
                <w:color w:val="auto"/>
              </w:rPr>
              <w:t>7.355</w:t>
            </w:r>
            <w:r>
              <w:rPr>
                <w:rFonts w:hint="eastAsia"/>
                <w:color w:val="auto"/>
                <w:sz w:val="21"/>
                <w:szCs w:val="21"/>
              </w:rPr>
              <w:t xml:space="preserve"> t</w:t>
            </w:r>
            <w:r>
              <w:rPr>
                <w:color w:val="auto"/>
                <w:sz w:val="21"/>
                <w:szCs w:val="21"/>
              </w:rPr>
              <w:t>/</w:t>
            </w:r>
            <w:r>
              <w:rPr>
                <w:rFonts w:hint="eastAsia"/>
                <w:color w:val="auto"/>
                <w:sz w:val="21"/>
                <w:szCs w:val="21"/>
              </w:rPr>
              <w:t>a</w:t>
            </w:r>
          </w:p>
        </w:tc>
      </w:tr>
      <w:tr w14:paraId="0EE232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restart"/>
            <w:vAlign w:val="center"/>
          </w:tcPr>
          <w:p w14:paraId="7FE695B4">
            <w:pPr>
              <w:pStyle w:val="91"/>
              <w:rPr>
                <w:color w:val="auto"/>
                <w:sz w:val="21"/>
                <w:szCs w:val="21"/>
              </w:rPr>
            </w:pPr>
            <w:r>
              <w:rPr>
                <w:color w:val="auto"/>
                <w:sz w:val="21"/>
                <w:szCs w:val="21"/>
              </w:rPr>
              <w:t>危险废物</w:t>
            </w:r>
          </w:p>
        </w:tc>
        <w:tc>
          <w:tcPr>
            <w:tcW w:w="2268" w:type="dxa"/>
            <w:vAlign w:val="center"/>
          </w:tcPr>
          <w:p w14:paraId="4C0A0F47">
            <w:pPr>
              <w:pStyle w:val="91"/>
              <w:rPr>
                <w:color w:val="auto"/>
                <w:sz w:val="21"/>
                <w:szCs w:val="21"/>
              </w:rPr>
            </w:pPr>
            <w:r>
              <w:rPr>
                <w:rFonts w:hint="eastAsia"/>
                <w:color w:val="auto"/>
                <w:sz w:val="21"/>
                <w:szCs w:val="21"/>
              </w:rPr>
              <w:t>废机油</w:t>
            </w:r>
          </w:p>
        </w:tc>
        <w:tc>
          <w:tcPr>
            <w:tcW w:w="1560" w:type="dxa"/>
            <w:vAlign w:val="center"/>
          </w:tcPr>
          <w:p w14:paraId="38F8FE6B">
            <w:pPr>
              <w:pStyle w:val="91"/>
              <w:rPr>
                <w:color w:val="auto"/>
                <w:sz w:val="21"/>
                <w:szCs w:val="21"/>
              </w:rPr>
            </w:pPr>
            <w:r>
              <w:rPr>
                <w:rFonts w:hint="eastAsia"/>
                <w:color w:val="auto"/>
                <w:sz w:val="21"/>
                <w:szCs w:val="21"/>
              </w:rPr>
              <w:t>/</w:t>
            </w:r>
          </w:p>
        </w:tc>
        <w:tc>
          <w:tcPr>
            <w:tcW w:w="1134" w:type="dxa"/>
            <w:vAlign w:val="center"/>
          </w:tcPr>
          <w:p w14:paraId="434530BA">
            <w:pPr>
              <w:pStyle w:val="91"/>
              <w:rPr>
                <w:color w:val="auto"/>
                <w:sz w:val="21"/>
                <w:szCs w:val="21"/>
              </w:rPr>
            </w:pPr>
            <w:r>
              <w:rPr>
                <w:rFonts w:hint="eastAsia"/>
                <w:color w:val="auto"/>
                <w:sz w:val="21"/>
                <w:szCs w:val="21"/>
              </w:rPr>
              <w:t>/</w:t>
            </w:r>
          </w:p>
        </w:tc>
        <w:tc>
          <w:tcPr>
            <w:tcW w:w="1597" w:type="dxa"/>
            <w:vAlign w:val="center"/>
          </w:tcPr>
          <w:p w14:paraId="506B31F3">
            <w:pPr>
              <w:pStyle w:val="91"/>
              <w:rPr>
                <w:color w:val="auto"/>
                <w:sz w:val="21"/>
                <w:szCs w:val="21"/>
              </w:rPr>
            </w:pPr>
            <w:r>
              <w:rPr>
                <w:rFonts w:hint="eastAsia"/>
                <w:color w:val="auto"/>
                <w:sz w:val="21"/>
                <w:szCs w:val="21"/>
              </w:rPr>
              <w:t>/</w:t>
            </w:r>
          </w:p>
        </w:tc>
        <w:tc>
          <w:tcPr>
            <w:tcW w:w="1559" w:type="dxa"/>
            <w:vAlign w:val="center"/>
          </w:tcPr>
          <w:p w14:paraId="3B682413">
            <w:pPr>
              <w:pStyle w:val="91"/>
              <w:rPr>
                <w:color w:val="auto"/>
                <w:sz w:val="21"/>
                <w:szCs w:val="21"/>
              </w:rPr>
            </w:pPr>
            <w:r>
              <w:rPr>
                <w:rFonts w:hint="eastAsia"/>
                <w:color w:val="auto"/>
                <w:sz w:val="21"/>
                <w:szCs w:val="21"/>
              </w:rPr>
              <w:t>0</w:t>
            </w:r>
            <w:r>
              <w:rPr>
                <w:color w:val="auto"/>
                <w:sz w:val="21"/>
                <w:szCs w:val="21"/>
              </w:rPr>
              <w:t>.1</w:t>
            </w:r>
            <w:r>
              <w:rPr>
                <w:rFonts w:hint="eastAsia"/>
                <w:color w:val="auto"/>
                <w:sz w:val="21"/>
                <w:szCs w:val="21"/>
              </w:rPr>
              <w:t>t</w:t>
            </w:r>
            <w:r>
              <w:rPr>
                <w:color w:val="auto"/>
                <w:sz w:val="21"/>
                <w:szCs w:val="21"/>
              </w:rPr>
              <w:t>/</w:t>
            </w:r>
            <w:r>
              <w:rPr>
                <w:rFonts w:hint="eastAsia"/>
                <w:color w:val="auto"/>
                <w:sz w:val="21"/>
                <w:szCs w:val="21"/>
              </w:rPr>
              <w:t>a</w:t>
            </w:r>
          </w:p>
        </w:tc>
        <w:tc>
          <w:tcPr>
            <w:tcW w:w="1761" w:type="dxa"/>
            <w:vAlign w:val="center"/>
          </w:tcPr>
          <w:p w14:paraId="253CBCDA">
            <w:pPr>
              <w:pStyle w:val="91"/>
              <w:rPr>
                <w:color w:val="auto"/>
                <w:sz w:val="21"/>
                <w:szCs w:val="21"/>
              </w:rPr>
            </w:pPr>
            <w:r>
              <w:rPr>
                <w:rFonts w:hint="eastAsia"/>
                <w:color w:val="auto"/>
                <w:sz w:val="21"/>
                <w:szCs w:val="21"/>
              </w:rPr>
              <w:t>/</w:t>
            </w:r>
          </w:p>
        </w:tc>
        <w:tc>
          <w:tcPr>
            <w:tcW w:w="1745" w:type="dxa"/>
            <w:vAlign w:val="center"/>
          </w:tcPr>
          <w:p w14:paraId="2625C9C5">
            <w:pPr>
              <w:pStyle w:val="91"/>
              <w:rPr>
                <w:color w:val="auto"/>
                <w:sz w:val="21"/>
                <w:szCs w:val="21"/>
              </w:rPr>
            </w:pPr>
            <w:r>
              <w:rPr>
                <w:rFonts w:hint="eastAsia"/>
                <w:color w:val="auto"/>
                <w:sz w:val="21"/>
                <w:szCs w:val="21"/>
              </w:rPr>
              <w:t>0</w:t>
            </w:r>
            <w:r>
              <w:rPr>
                <w:color w:val="auto"/>
                <w:sz w:val="21"/>
                <w:szCs w:val="21"/>
              </w:rPr>
              <w:t>.1</w:t>
            </w:r>
            <w:r>
              <w:rPr>
                <w:rFonts w:hint="eastAsia"/>
                <w:color w:val="auto"/>
                <w:sz w:val="21"/>
                <w:szCs w:val="21"/>
              </w:rPr>
              <w:t>t</w:t>
            </w:r>
            <w:r>
              <w:rPr>
                <w:color w:val="auto"/>
                <w:sz w:val="21"/>
                <w:szCs w:val="21"/>
              </w:rPr>
              <w:t>/</w:t>
            </w:r>
            <w:r>
              <w:rPr>
                <w:rFonts w:hint="eastAsia"/>
                <w:color w:val="auto"/>
                <w:sz w:val="21"/>
                <w:szCs w:val="21"/>
              </w:rPr>
              <w:t>a</w:t>
            </w:r>
          </w:p>
        </w:tc>
        <w:tc>
          <w:tcPr>
            <w:tcW w:w="1417" w:type="dxa"/>
            <w:vAlign w:val="center"/>
          </w:tcPr>
          <w:p w14:paraId="12BA447D">
            <w:pPr>
              <w:pStyle w:val="91"/>
              <w:rPr>
                <w:color w:val="auto"/>
                <w:sz w:val="21"/>
                <w:szCs w:val="21"/>
              </w:rPr>
            </w:pPr>
            <w:r>
              <w:rPr>
                <w:color w:val="auto"/>
                <w:sz w:val="21"/>
                <w:szCs w:val="21"/>
              </w:rPr>
              <w:t>+</w:t>
            </w:r>
            <w:r>
              <w:rPr>
                <w:rFonts w:hint="eastAsia"/>
                <w:color w:val="auto"/>
                <w:sz w:val="21"/>
                <w:szCs w:val="21"/>
              </w:rPr>
              <w:t>0</w:t>
            </w:r>
            <w:r>
              <w:rPr>
                <w:color w:val="auto"/>
                <w:sz w:val="21"/>
                <w:szCs w:val="21"/>
              </w:rPr>
              <w:t>.1</w:t>
            </w:r>
            <w:r>
              <w:rPr>
                <w:rFonts w:hint="eastAsia"/>
                <w:color w:val="auto"/>
                <w:sz w:val="21"/>
                <w:szCs w:val="21"/>
              </w:rPr>
              <w:t>t</w:t>
            </w:r>
            <w:r>
              <w:rPr>
                <w:color w:val="auto"/>
                <w:sz w:val="21"/>
                <w:szCs w:val="21"/>
              </w:rPr>
              <w:t>/</w:t>
            </w:r>
            <w:r>
              <w:rPr>
                <w:rFonts w:hint="eastAsia"/>
                <w:color w:val="auto"/>
                <w:sz w:val="21"/>
                <w:szCs w:val="21"/>
              </w:rPr>
              <w:t>a</w:t>
            </w:r>
          </w:p>
        </w:tc>
      </w:tr>
      <w:tr w14:paraId="05FCF1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124" w:type="dxa"/>
            <w:vMerge w:val="continue"/>
            <w:vAlign w:val="center"/>
          </w:tcPr>
          <w:p w14:paraId="0D8B7B7B">
            <w:pPr>
              <w:pStyle w:val="91"/>
              <w:rPr>
                <w:color w:val="auto"/>
                <w:sz w:val="21"/>
                <w:szCs w:val="21"/>
              </w:rPr>
            </w:pPr>
          </w:p>
        </w:tc>
        <w:tc>
          <w:tcPr>
            <w:tcW w:w="2268" w:type="dxa"/>
            <w:vAlign w:val="center"/>
          </w:tcPr>
          <w:p w14:paraId="3B0CDFD9">
            <w:pPr>
              <w:pStyle w:val="91"/>
              <w:rPr>
                <w:color w:val="auto"/>
                <w:sz w:val="21"/>
                <w:szCs w:val="21"/>
              </w:rPr>
            </w:pPr>
            <w:r>
              <w:rPr>
                <w:rFonts w:hint="eastAsia"/>
                <w:color w:val="auto"/>
                <w:sz w:val="21"/>
                <w:szCs w:val="21"/>
              </w:rPr>
              <w:t>废机油桶</w:t>
            </w:r>
          </w:p>
        </w:tc>
        <w:tc>
          <w:tcPr>
            <w:tcW w:w="1560" w:type="dxa"/>
            <w:vAlign w:val="center"/>
          </w:tcPr>
          <w:p w14:paraId="77F44A37">
            <w:pPr>
              <w:pStyle w:val="91"/>
              <w:rPr>
                <w:color w:val="auto"/>
                <w:sz w:val="21"/>
                <w:szCs w:val="21"/>
              </w:rPr>
            </w:pPr>
            <w:r>
              <w:rPr>
                <w:rFonts w:hint="eastAsia"/>
                <w:color w:val="auto"/>
                <w:sz w:val="21"/>
                <w:szCs w:val="21"/>
              </w:rPr>
              <w:t>/</w:t>
            </w:r>
          </w:p>
        </w:tc>
        <w:tc>
          <w:tcPr>
            <w:tcW w:w="1134" w:type="dxa"/>
            <w:vAlign w:val="center"/>
          </w:tcPr>
          <w:p w14:paraId="71D01DA2">
            <w:pPr>
              <w:pStyle w:val="91"/>
              <w:rPr>
                <w:color w:val="auto"/>
                <w:sz w:val="21"/>
                <w:szCs w:val="21"/>
              </w:rPr>
            </w:pPr>
            <w:r>
              <w:rPr>
                <w:rFonts w:hint="eastAsia"/>
                <w:color w:val="auto"/>
                <w:sz w:val="21"/>
                <w:szCs w:val="21"/>
              </w:rPr>
              <w:t>/</w:t>
            </w:r>
          </w:p>
        </w:tc>
        <w:tc>
          <w:tcPr>
            <w:tcW w:w="1597" w:type="dxa"/>
            <w:vAlign w:val="center"/>
          </w:tcPr>
          <w:p w14:paraId="580DC138">
            <w:pPr>
              <w:pStyle w:val="91"/>
              <w:rPr>
                <w:color w:val="auto"/>
                <w:sz w:val="21"/>
                <w:szCs w:val="21"/>
              </w:rPr>
            </w:pPr>
            <w:r>
              <w:rPr>
                <w:rFonts w:hint="eastAsia"/>
                <w:color w:val="auto"/>
                <w:sz w:val="21"/>
                <w:szCs w:val="21"/>
              </w:rPr>
              <w:t>/</w:t>
            </w:r>
          </w:p>
        </w:tc>
        <w:tc>
          <w:tcPr>
            <w:tcW w:w="1559" w:type="dxa"/>
            <w:vAlign w:val="center"/>
          </w:tcPr>
          <w:p w14:paraId="22BA5471">
            <w:pPr>
              <w:pStyle w:val="91"/>
              <w:rPr>
                <w:color w:val="auto"/>
                <w:sz w:val="21"/>
                <w:szCs w:val="21"/>
              </w:rPr>
            </w:pPr>
            <w:r>
              <w:rPr>
                <w:rFonts w:hint="eastAsia"/>
                <w:color w:val="auto"/>
                <w:sz w:val="21"/>
                <w:szCs w:val="21"/>
              </w:rPr>
              <w:t>0</w:t>
            </w:r>
            <w:r>
              <w:rPr>
                <w:color w:val="auto"/>
                <w:sz w:val="21"/>
                <w:szCs w:val="21"/>
              </w:rPr>
              <w:t>.01</w:t>
            </w:r>
            <w:r>
              <w:rPr>
                <w:rFonts w:hint="eastAsia"/>
                <w:color w:val="auto"/>
                <w:sz w:val="21"/>
                <w:szCs w:val="21"/>
              </w:rPr>
              <w:t>t</w:t>
            </w:r>
            <w:r>
              <w:rPr>
                <w:color w:val="auto"/>
                <w:sz w:val="21"/>
                <w:szCs w:val="21"/>
              </w:rPr>
              <w:t>/</w:t>
            </w:r>
            <w:r>
              <w:rPr>
                <w:rFonts w:hint="eastAsia"/>
                <w:color w:val="auto"/>
                <w:sz w:val="21"/>
                <w:szCs w:val="21"/>
              </w:rPr>
              <w:t>a</w:t>
            </w:r>
          </w:p>
        </w:tc>
        <w:tc>
          <w:tcPr>
            <w:tcW w:w="1761" w:type="dxa"/>
            <w:vAlign w:val="center"/>
          </w:tcPr>
          <w:p w14:paraId="61463762">
            <w:pPr>
              <w:pStyle w:val="91"/>
              <w:rPr>
                <w:color w:val="auto"/>
                <w:sz w:val="21"/>
                <w:szCs w:val="21"/>
              </w:rPr>
            </w:pPr>
            <w:r>
              <w:rPr>
                <w:rFonts w:hint="eastAsia"/>
                <w:color w:val="auto"/>
                <w:sz w:val="21"/>
                <w:szCs w:val="21"/>
              </w:rPr>
              <w:t>/</w:t>
            </w:r>
          </w:p>
        </w:tc>
        <w:tc>
          <w:tcPr>
            <w:tcW w:w="1745" w:type="dxa"/>
            <w:vAlign w:val="center"/>
          </w:tcPr>
          <w:p w14:paraId="5DC79D9D">
            <w:pPr>
              <w:pStyle w:val="91"/>
              <w:rPr>
                <w:color w:val="auto"/>
                <w:sz w:val="21"/>
                <w:szCs w:val="21"/>
              </w:rPr>
            </w:pPr>
            <w:r>
              <w:rPr>
                <w:rFonts w:hint="eastAsia"/>
                <w:color w:val="auto"/>
                <w:sz w:val="21"/>
                <w:szCs w:val="21"/>
              </w:rPr>
              <w:t>0</w:t>
            </w:r>
            <w:r>
              <w:rPr>
                <w:color w:val="auto"/>
                <w:sz w:val="21"/>
                <w:szCs w:val="21"/>
              </w:rPr>
              <w:t>.01</w:t>
            </w:r>
            <w:r>
              <w:rPr>
                <w:rFonts w:hint="eastAsia"/>
                <w:color w:val="auto"/>
                <w:sz w:val="21"/>
                <w:szCs w:val="21"/>
              </w:rPr>
              <w:t>t</w:t>
            </w:r>
            <w:r>
              <w:rPr>
                <w:color w:val="auto"/>
                <w:sz w:val="21"/>
                <w:szCs w:val="21"/>
              </w:rPr>
              <w:t>/</w:t>
            </w:r>
            <w:r>
              <w:rPr>
                <w:rFonts w:hint="eastAsia"/>
                <w:color w:val="auto"/>
                <w:sz w:val="21"/>
                <w:szCs w:val="21"/>
              </w:rPr>
              <w:t>a</w:t>
            </w:r>
          </w:p>
        </w:tc>
        <w:tc>
          <w:tcPr>
            <w:tcW w:w="1417" w:type="dxa"/>
            <w:vAlign w:val="center"/>
          </w:tcPr>
          <w:p w14:paraId="4DF68945">
            <w:pPr>
              <w:pStyle w:val="91"/>
              <w:rPr>
                <w:color w:val="auto"/>
                <w:sz w:val="21"/>
                <w:szCs w:val="21"/>
              </w:rPr>
            </w:pPr>
            <w:r>
              <w:rPr>
                <w:color w:val="auto"/>
                <w:sz w:val="21"/>
                <w:szCs w:val="21"/>
              </w:rPr>
              <w:t>+</w:t>
            </w:r>
            <w:r>
              <w:rPr>
                <w:rFonts w:hint="eastAsia"/>
                <w:color w:val="auto"/>
                <w:sz w:val="21"/>
                <w:szCs w:val="21"/>
              </w:rPr>
              <w:t>0</w:t>
            </w:r>
            <w:r>
              <w:rPr>
                <w:color w:val="auto"/>
                <w:sz w:val="21"/>
                <w:szCs w:val="21"/>
              </w:rPr>
              <w:t>.01</w:t>
            </w:r>
            <w:r>
              <w:rPr>
                <w:rFonts w:hint="eastAsia"/>
                <w:color w:val="auto"/>
                <w:sz w:val="21"/>
                <w:szCs w:val="21"/>
              </w:rPr>
              <w:t>t</w:t>
            </w:r>
            <w:r>
              <w:rPr>
                <w:color w:val="auto"/>
                <w:sz w:val="21"/>
                <w:szCs w:val="21"/>
              </w:rPr>
              <w:t>/</w:t>
            </w:r>
            <w:r>
              <w:rPr>
                <w:rFonts w:hint="eastAsia"/>
                <w:color w:val="auto"/>
                <w:sz w:val="21"/>
                <w:szCs w:val="21"/>
              </w:rPr>
              <w:t>a</w:t>
            </w:r>
          </w:p>
        </w:tc>
      </w:tr>
      <w:tr w14:paraId="49A24D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3392" w:type="dxa"/>
            <w:gridSpan w:val="2"/>
            <w:vAlign w:val="center"/>
          </w:tcPr>
          <w:p w14:paraId="36DA33FA">
            <w:pPr>
              <w:pStyle w:val="91"/>
              <w:rPr>
                <w:color w:val="auto"/>
                <w:sz w:val="21"/>
                <w:szCs w:val="21"/>
              </w:rPr>
            </w:pPr>
            <w:r>
              <w:rPr>
                <w:rFonts w:hint="eastAsia"/>
                <w:color w:val="auto"/>
                <w:sz w:val="21"/>
                <w:szCs w:val="21"/>
              </w:rPr>
              <w:t>生活垃圾</w:t>
            </w:r>
          </w:p>
        </w:tc>
        <w:tc>
          <w:tcPr>
            <w:tcW w:w="1560" w:type="dxa"/>
            <w:vAlign w:val="center"/>
          </w:tcPr>
          <w:p w14:paraId="6C08C1C7">
            <w:pPr>
              <w:pStyle w:val="91"/>
              <w:rPr>
                <w:color w:val="auto"/>
                <w:sz w:val="21"/>
                <w:szCs w:val="21"/>
              </w:rPr>
            </w:pPr>
          </w:p>
        </w:tc>
        <w:tc>
          <w:tcPr>
            <w:tcW w:w="1134" w:type="dxa"/>
            <w:vAlign w:val="center"/>
          </w:tcPr>
          <w:p w14:paraId="26FEE5D5">
            <w:pPr>
              <w:pStyle w:val="91"/>
              <w:rPr>
                <w:color w:val="auto"/>
                <w:sz w:val="21"/>
                <w:szCs w:val="21"/>
              </w:rPr>
            </w:pPr>
            <w:r>
              <w:rPr>
                <w:rFonts w:hint="eastAsia"/>
                <w:color w:val="auto"/>
                <w:sz w:val="21"/>
                <w:szCs w:val="21"/>
              </w:rPr>
              <w:t>/</w:t>
            </w:r>
          </w:p>
        </w:tc>
        <w:tc>
          <w:tcPr>
            <w:tcW w:w="1597" w:type="dxa"/>
            <w:vAlign w:val="center"/>
          </w:tcPr>
          <w:p w14:paraId="1BC3DDA5">
            <w:pPr>
              <w:pStyle w:val="91"/>
              <w:rPr>
                <w:color w:val="auto"/>
                <w:sz w:val="21"/>
                <w:szCs w:val="21"/>
              </w:rPr>
            </w:pPr>
            <w:r>
              <w:rPr>
                <w:rFonts w:hint="eastAsia"/>
                <w:color w:val="auto"/>
                <w:sz w:val="21"/>
                <w:szCs w:val="21"/>
              </w:rPr>
              <w:t>/</w:t>
            </w:r>
          </w:p>
        </w:tc>
        <w:tc>
          <w:tcPr>
            <w:tcW w:w="1559" w:type="dxa"/>
            <w:vAlign w:val="center"/>
          </w:tcPr>
          <w:p w14:paraId="441ABE6F">
            <w:pPr>
              <w:pStyle w:val="91"/>
              <w:rPr>
                <w:color w:val="auto"/>
                <w:sz w:val="21"/>
                <w:szCs w:val="21"/>
              </w:rPr>
            </w:pPr>
            <w:r>
              <w:rPr>
                <w:rFonts w:hint="eastAsia"/>
                <w:color w:val="auto"/>
              </w:rPr>
              <w:t>2</w:t>
            </w:r>
            <w:r>
              <w:rPr>
                <w:color w:val="auto"/>
              </w:rPr>
              <w:t>.25</w:t>
            </w:r>
            <w:r>
              <w:rPr>
                <w:rFonts w:hint="eastAsia"/>
                <w:color w:val="auto"/>
                <w:sz w:val="21"/>
                <w:szCs w:val="21"/>
              </w:rPr>
              <w:t xml:space="preserve"> t</w:t>
            </w:r>
            <w:r>
              <w:rPr>
                <w:color w:val="auto"/>
                <w:sz w:val="21"/>
                <w:szCs w:val="21"/>
              </w:rPr>
              <w:t>/</w:t>
            </w:r>
            <w:r>
              <w:rPr>
                <w:rFonts w:hint="eastAsia"/>
                <w:color w:val="auto"/>
                <w:sz w:val="21"/>
                <w:szCs w:val="21"/>
              </w:rPr>
              <w:t>a</w:t>
            </w:r>
          </w:p>
        </w:tc>
        <w:tc>
          <w:tcPr>
            <w:tcW w:w="1761" w:type="dxa"/>
            <w:vAlign w:val="center"/>
          </w:tcPr>
          <w:p w14:paraId="51088AB4">
            <w:pPr>
              <w:pStyle w:val="91"/>
              <w:rPr>
                <w:color w:val="auto"/>
                <w:sz w:val="21"/>
                <w:szCs w:val="21"/>
              </w:rPr>
            </w:pPr>
            <w:r>
              <w:rPr>
                <w:rFonts w:hint="eastAsia"/>
                <w:color w:val="auto"/>
                <w:sz w:val="21"/>
                <w:szCs w:val="21"/>
              </w:rPr>
              <w:t>/</w:t>
            </w:r>
          </w:p>
        </w:tc>
        <w:tc>
          <w:tcPr>
            <w:tcW w:w="1745" w:type="dxa"/>
            <w:vAlign w:val="center"/>
          </w:tcPr>
          <w:p w14:paraId="4FBE0830">
            <w:pPr>
              <w:pStyle w:val="91"/>
              <w:rPr>
                <w:color w:val="auto"/>
                <w:sz w:val="21"/>
                <w:szCs w:val="21"/>
              </w:rPr>
            </w:pPr>
            <w:r>
              <w:rPr>
                <w:rFonts w:hint="eastAsia"/>
                <w:color w:val="auto"/>
              </w:rPr>
              <w:t>2</w:t>
            </w:r>
            <w:r>
              <w:rPr>
                <w:color w:val="auto"/>
              </w:rPr>
              <w:t>.25</w:t>
            </w:r>
            <w:r>
              <w:rPr>
                <w:rFonts w:hint="eastAsia"/>
                <w:color w:val="auto"/>
                <w:sz w:val="21"/>
                <w:szCs w:val="21"/>
              </w:rPr>
              <w:t xml:space="preserve"> t</w:t>
            </w:r>
            <w:r>
              <w:rPr>
                <w:color w:val="auto"/>
                <w:sz w:val="21"/>
                <w:szCs w:val="21"/>
              </w:rPr>
              <w:t>/</w:t>
            </w:r>
            <w:r>
              <w:rPr>
                <w:rFonts w:hint="eastAsia"/>
                <w:color w:val="auto"/>
                <w:sz w:val="21"/>
                <w:szCs w:val="21"/>
              </w:rPr>
              <w:t>a</w:t>
            </w:r>
          </w:p>
        </w:tc>
        <w:tc>
          <w:tcPr>
            <w:tcW w:w="1417" w:type="dxa"/>
            <w:vAlign w:val="center"/>
          </w:tcPr>
          <w:p w14:paraId="484CE963">
            <w:pPr>
              <w:pStyle w:val="91"/>
              <w:rPr>
                <w:color w:val="auto"/>
                <w:sz w:val="21"/>
                <w:szCs w:val="21"/>
              </w:rPr>
            </w:pPr>
            <w:r>
              <w:rPr>
                <w:color w:val="auto"/>
              </w:rPr>
              <w:t>+</w:t>
            </w:r>
            <w:r>
              <w:rPr>
                <w:rFonts w:hint="eastAsia"/>
                <w:color w:val="auto"/>
              </w:rPr>
              <w:t>2</w:t>
            </w:r>
            <w:r>
              <w:rPr>
                <w:color w:val="auto"/>
              </w:rPr>
              <w:t>.25</w:t>
            </w:r>
            <w:r>
              <w:rPr>
                <w:rFonts w:hint="eastAsia"/>
                <w:color w:val="auto"/>
                <w:sz w:val="21"/>
                <w:szCs w:val="21"/>
              </w:rPr>
              <w:t xml:space="preserve"> t</w:t>
            </w:r>
            <w:r>
              <w:rPr>
                <w:color w:val="auto"/>
                <w:sz w:val="21"/>
                <w:szCs w:val="21"/>
              </w:rPr>
              <w:t>/</w:t>
            </w:r>
            <w:r>
              <w:rPr>
                <w:rFonts w:hint="eastAsia"/>
                <w:color w:val="auto"/>
                <w:sz w:val="21"/>
                <w:szCs w:val="21"/>
              </w:rPr>
              <w:t>a</w:t>
            </w:r>
          </w:p>
        </w:tc>
      </w:tr>
    </w:tbl>
    <w:p w14:paraId="64CD8770">
      <w:pPr>
        <w:pStyle w:val="91"/>
        <w:jc w:val="both"/>
        <w:rPr>
          <w:color w:val="auto"/>
        </w:rPr>
      </w:pPr>
      <w:r>
        <w:rPr>
          <w:color w:val="auto"/>
        </w:rPr>
        <w:t>注：</w:t>
      </w:r>
      <w:r>
        <w:rPr>
          <w:color w:val="auto"/>
          <w:spacing w:val="-16"/>
        </w:rPr>
        <w:fldChar w:fldCharType="begin"/>
      </w:r>
      <w:r>
        <w:rPr>
          <w:color w:val="auto"/>
          <w:spacing w:val="-16"/>
        </w:rPr>
        <w:instrText xml:space="preserve"> = 6 \* GB3 \* MERGEFORMAT </w:instrText>
      </w:r>
      <w:r>
        <w:rPr>
          <w:color w:val="auto"/>
          <w:spacing w:val="-16"/>
        </w:rPr>
        <w:fldChar w:fldCharType="separate"/>
      </w:r>
      <w:r>
        <w:rPr>
          <w:rFonts w:hint="eastAsia" w:ascii="宋体" w:hAnsi="宋体" w:cs="宋体"/>
          <w:color w:val="auto"/>
        </w:rPr>
        <w:t>⑥</w:t>
      </w:r>
      <w:r>
        <w:rPr>
          <w:color w:val="auto"/>
          <w:spacing w:val="-16"/>
        </w:rPr>
        <w:fldChar w:fldCharType="end"/>
      </w:r>
      <w:r>
        <w:rPr>
          <w:color w:val="auto"/>
          <w:spacing w:val="-16"/>
        </w:rPr>
        <w:t>=</w:t>
      </w:r>
      <w:r>
        <w:rPr>
          <w:color w:val="auto"/>
        </w:rPr>
        <w:fldChar w:fldCharType="begin"/>
      </w:r>
      <w:r>
        <w:rPr>
          <w:color w:val="auto"/>
        </w:rPr>
        <w:instrText xml:space="preserve"> = 1 \* GB3 \* MERGEFORMAT </w:instrText>
      </w:r>
      <w:r>
        <w:rPr>
          <w:color w:val="auto"/>
        </w:rPr>
        <w:fldChar w:fldCharType="separate"/>
      </w:r>
      <w:r>
        <w:rPr>
          <w:rFonts w:hint="eastAsia" w:ascii="宋体" w:hAnsi="宋体" w:cs="宋体"/>
          <w:color w:val="auto"/>
        </w:rPr>
        <w:t>①</w:t>
      </w:r>
      <w:r>
        <w:rPr>
          <w:color w:val="auto"/>
        </w:rPr>
        <w:fldChar w:fldCharType="end"/>
      </w:r>
      <w:r>
        <w:rPr>
          <w:color w:val="auto"/>
        </w:rPr>
        <w:t>+</w:t>
      </w:r>
      <w:r>
        <w:rPr>
          <w:color w:val="auto"/>
        </w:rPr>
        <w:fldChar w:fldCharType="begin"/>
      </w:r>
      <w:r>
        <w:rPr>
          <w:color w:val="auto"/>
        </w:rPr>
        <w:instrText xml:space="preserve"> = 3 \* GB3 \* MERGEFORMAT </w:instrText>
      </w:r>
      <w:r>
        <w:rPr>
          <w:color w:val="auto"/>
        </w:rPr>
        <w:fldChar w:fldCharType="separate"/>
      </w:r>
      <w:r>
        <w:rPr>
          <w:rFonts w:hint="eastAsia" w:ascii="宋体" w:hAnsi="宋体" w:cs="宋体"/>
          <w:color w:val="auto"/>
        </w:rPr>
        <w:t>③</w:t>
      </w:r>
      <w:r>
        <w:rPr>
          <w:color w:val="auto"/>
        </w:rPr>
        <w:fldChar w:fldCharType="end"/>
      </w:r>
      <w:r>
        <w:rPr>
          <w:color w:val="auto"/>
        </w:rPr>
        <w:t>+</w:t>
      </w:r>
      <w:r>
        <w:rPr>
          <w:color w:val="auto"/>
        </w:rPr>
        <w:fldChar w:fldCharType="begin"/>
      </w:r>
      <w:r>
        <w:rPr>
          <w:color w:val="auto"/>
        </w:rPr>
        <w:instrText xml:space="preserve"> = 4 \* GB3 \* MERGEFORMAT </w:instrText>
      </w:r>
      <w:r>
        <w:rPr>
          <w:color w:val="auto"/>
        </w:rPr>
        <w:fldChar w:fldCharType="separate"/>
      </w:r>
      <w:r>
        <w:rPr>
          <w:rFonts w:hint="eastAsia" w:ascii="宋体" w:hAnsi="宋体" w:cs="宋体"/>
          <w:color w:val="auto"/>
        </w:rPr>
        <w:t>④</w:t>
      </w:r>
      <w:r>
        <w:rPr>
          <w:color w:val="auto"/>
        </w:rPr>
        <w:fldChar w:fldCharType="end"/>
      </w:r>
      <w:r>
        <w:rPr>
          <w:color w:val="auto"/>
        </w:rPr>
        <w:t>-</w:t>
      </w:r>
      <w:r>
        <w:rPr>
          <w:color w:val="auto"/>
          <w:spacing w:val="-16"/>
        </w:rPr>
        <w:fldChar w:fldCharType="begin"/>
      </w:r>
      <w:r>
        <w:rPr>
          <w:color w:val="auto"/>
          <w:spacing w:val="-16"/>
        </w:rPr>
        <w:instrText xml:space="preserve"> = 5 \* GB3 \* MERGEFORMAT </w:instrText>
      </w:r>
      <w:r>
        <w:rPr>
          <w:color w:val="auto"/>
          <w:spacing w:val="-16"/>
        </w:rPr>
        <w:fldChar w:fldCharType="separate"/>
      </w:r>
      <w:r>
        <w:rPr>
          <w:rFonts w:hint="eastAsia" w:ascii="宋体" w:hAnsi="宋体" w:cs="宋体"/>
          <w:color w:val="auto"/>
        </w:rPr>
        <w:t>⑤</w:t>
      </w:r>
      <w:r>
        <w:rPr>
          <w:color w:val="auto"/>
          <w:spacing w:val="-16"/>
        </w:rPr>
        <w:fldChar w:fldCharType="end"/>
      </w:r>
      <w:r>
        <w:rPr>
          <w:color w:val="auto"/>
          <w:spacing w:val="-16"/>
        </w:rPr>
        <w:t>；</w:t>
      </w:r>
      <w:r>
        <w:rPr>
          <w:color w:val="auto"/>
        </w:rPr>
        <w:fldChar w:fldCharType="begin"/>
      </w:r>
      <w:r>
        <w:rPr>
          <w:color w:val="auto"/>
        </w:rPr>
        <w:instrText xml:space="preserve"> = 7 \* GB3 \* MERGEFORMAT </w:instrText>
      </w:r>
      <w:r>
        <w:rPr>
          <w:color w:val="auto"/>
        </w:rPr>
        <w:fldChar w:fldCharType="separate"/>
      </w:r>
      <w:r>
        <w:rPr>
          <w:rFonts w:hint="eastAsia" w:ascii="宋体" w:hAnsi="宋体" w:cs="宋体"/>
          <w:color w:val="auto"/>
        </w:rPr>
        <w:t>⑦</w:t>
      </w:r>
      <w:r>
        <w:rPr>
          <w:color w:val="auto"/>
        </w:rPr>
        <w:fldChar w:fldCharType="end"/>
      </w:r>
      <w:r>
        <w:rPr>
          <w:color w:val="auto"/>
        </w:rPr>
        <w:t>=</w:t>
      </w:r>
      <w:r>
        <w:rPr>
          <w:color w:val="auto"/>
          <w:spacing w:val="-16"/>
        </w:rPr>
        <w:fldChar w:fldCharType="begin"/>
      </w:r>
      <w:r>
        <w:rPr>
          <w:color w:val="auto"/>
          <w:spacing w:val="-16"/>
        </w:rPr>
        <w:instrText xml:space="preserve"> = 6 \* GB3 \* MERGEFORMAT </w:instrText>
      </w:r>
      <w:r>
        <w:rPr>
          <w:color w:val="auto"/>
          <w:spacing w:val="-16"/>
        </w:rPr>
        <w:fldChar w:fldCharType="separate"/>
      </w:r>
      <w:r>
        <w:rPr>
          <w:rFonts w:hint="eastAsia" w:ascii="宋体" w:hAnsi="宋体" w:cs="宋体"/>
          <w:color w:val="auto"/>
        </w:rPr>
        <w:t>⑥</w:t>
      </w:r>
      <w:r>
        <w:rPr>
          <w:color w:val="auto"/>
          <w:spacing w:val="-16"/>
        </w:rPr>
        <w:fldChar w:fldCharType="end"/>
      </w:r>
      <w:r>
        <w:rPr>
          <w:color w:val="auto"/>
          <w:spacing w:val="-16"/>
        </w:rPr>
        <w:t>-</w:t>
      </w:r>
      <w:r>
        <w:rPr>
          <w:color w:val="auto"/>
        </w:rPr>
        <w:fldChar w:fldCharType="begin"/>
      </w:r>
      <w:r>
        <w:rPr>
          <w:color w:val="auto"/>
        </w:rPr>
        <w:instrText xml:space="preserve"> = 1 \* GB3 \* MERGEFORMAT </w:instrText>
      </w:r>
      <w:r>
        <w:rPr>
          <w:color w:val="auto"/>
        </w:rPr>
        <w:fldChar w:fldCharType="separate"/>
      </w:r>
      <w:r>
        <w:rPr>
          <w:rFonts w:hint="eastAsia" w:ascii="宋体" w:hAnsi="宋体" w:cs="宋体"/>
          <w:color w:val="auto"/>
        </w:rPr>
        <w:t>①</w:t>
      </w:r>
      <w:r>
        <w:rPr>
          <w:color w:val="auto"/>
        </w:rPr>
        <w:fldChar w:fldCharType="end"/>
      </w:r>
    </w:p>
    <w:sectPr>
      <w:footerReference r:id="rId13" w:type="default"/>
      <w:pgSz w:w="16838" w:h="11906" w:orient="landscape"/>
      <w:pgMar w:top="1418" w:right="1440" w:bottom="1797" w:left="1440" w:header="851" w:footer="958" w:gutter="0"/>
      <w:pgNumType w:fmt="numberInDash"/>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TimesNewRoman">
    <w:altName w:val="宋体"/>
    <w:panose1 w:val="00000000000000000000"/>
    <w:charset w:val="00"/>
    <w:family w:val="roman"/>
    <w:pitch w:val="default"/>
    <w:sig w:usb0="00000000" w:usb1="00000000" w:usb2="00000010" w:usb3="00000000" w:csb0="00040001"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panose1 w:val="00000600000000000000"/>
    <w:charset w:val="86"/>
    <w:family w:val="auto"/>
    <w:pitch w:val="default"/>
    <w:sig w:usb0="800002BF" w:usb1="184F6CF8" w:usb2="00000012" w:usb3="00000000" w:csb0="00160001" w:csb1="1203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Microsoft Yi Baiti">
    <w:panose1 w:val="03000500000000000000"/>
    <w:charset w:val="00"/>
    <w:family w:val="script"/>
    <w:pitch w:val="default"/>
    <w:sig w:usb0="80000003" w:usb1="00010402" w:usb2="00080002" w:usb3="00000000" w:csb0="00000001" w:csb1="00000000"/>
  </w:font>
  <w:font w:name="Cambria Math">
    <w:panose1 w:val="02040503050406030204"/>
    <w:charset w:val="00"/>
    <w:family w:val="roman"/>
    <w:pitch w:val="default"/>
    <w:sig w:usb0="E00006FF" w:usb1="420024FF" w:usb2="02000000" w:usb3="00000000" w:csb0="2000019F" w:csb1="00000000"/>
  </w:font>
  <w:font w:name="TimesNewRomanPSMT">
    <w:altName w:val="微软雅黑"/>
    <w:panose1 w:val="00000000000000000000"/>
    <w:charset w:val="00"/>
    <w:family w:val="roman"/>
    <w:pitch w:val="default"/>
    <w:sig w:usb0="00000000" w:usb1="00000000" w:usb2="00000010" w:usb3="00000000" w:csb0="0006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B5C7D">
    <w:pPr>
      <w:pStyle w:val="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98E8D">
    <w:pPr>
      <w:pStyle w:val="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A0B87">
    <w:pPr>
      <w:pStyle w:val="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F8134">
    <w:pPr>
      <w:pStyle w:val="20"/>
      <w:ind w:firstLine="360"/>
      <w:jc w:val="center"/>
    </w:pPr>
    <w:r>
      <w:fldChar w:fldCharType="begin"/>
    </w:r>
    <w:r>
      <w:instrText xml:space="preserve"> PAGE   \* MERGEFORMAT </w:instrText>
    </w:r>
    <w:r>
      <w:fldChar w:fldCharType="separate"/>
    </w:r>
    <w:r>
      <w:rPr>
        <w:lang w:val="zh-CN"/>
      </w:rPr>
      <w:t>-</w:t>
    </w:r>
    <w:r>
      <w:t xml:space="preserve"> 82 -</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9DDBD">
    <w:pPr>
      <w:pStyle w:val="20"/>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83CE6">
    <w:pPr>
      <w:pStyle w:val="21"/>
      <w:pBdr>
        <w:bottom w:val="none" w:color="auto" w:sz="0" w:space="0"/>
      </w:pBdr>
      <w:spacing w:line="10" w:lineRule="atLeast"/>
      <w:ind w:firstLine="0" w:firstLineChars="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E36D6">
    <w:pPr>
      <w:pStyle w:val="2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83DA2">
    <w:pPr>
      <w:pStyle w:val="2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8482D">
    <w:pPr>
      <w:pStyle w:val="21"/>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multilevel"/>
    <w:tmpl w:val="00000005"/>
    <w:lvl w:ilvl="0" w:tentative="0">
      <w:start w:val="1"/>
      <w:numFmt w:val="chineseCountingThousand"/>
      <w:pStyle w:val="51"/>
      <w:suff w:val="nothing"/>
      <w:lvlText w:val="第%1章"/>
      <w:lvlJc w:val="left"/>
      <w:pPr>
        <w:ind w:left="0" w:firstLine="0"/>
      </w:pPr>
      <w:rPr>
        <w:rFonts w:hint="eastAsia"/>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c2YTA2MTlmODUxZjU3MzEyZjI2ZmViODQ5ZGI0MzEifQ=="/>
  </w:docVars>
  <w:rsids>
    <w:rsidRoot w:val="00172A27"/>
    <w:rsid w:val="00000300"/>
    <w:rsid w:val="00001193"/>
    <w:rsid w:val="000012FD"/>
    <w:rsid w:val="00001A9B"/>
    <w:rsid w:val="00001FD7"/>
    <w:rsid w:val="00003203"/>
    <w:rsid w:val="00003A3C"/>
    <w:rsid w:val="0000469C"/>
    <w:rsid w:val="00004CDA"/>
    <w:rsid w:val="00005061"/>
    <w:rsid w:val="000053BE"/>
    <w:rsid w:val="00006269"/>
    <w:rsid w:val="000063E0"/>
    <w:rsid w:val="000065A1"/>
    <w:rsid w:val="00006732"/>
    <w:rsid w:val="00006853"/>
    <w:rsid w:val="000069C6"/>
    <w:rsid w:val="00006CA7"/>
    <w:rsid w:val="00007032"/>
    <w:rsid w:val="000070CB"/>
    <w:rsid w:val="000070F9"/>
    <w:rsid w:val="00007190"/>
    <w:rsid w:val="00007494"/>
    <w:rsid w:val="000076F7"/>
    <w:rsid w:val="00007CDA"/>
    <w:rsid w:val="00007DF4"/>
    <w:rsid w:val="00007DFA"/>
    <w:rsid w:val="00010585"/>
    <w:rsid w:val="00010FC8"/>
    <w:rsid w:val="00011679"/>
    <w:rsid w:val="000116FF"/>
    <w:rsid w:val="0001204D"/>
    <w:rsid w:val="00012138"/>
    <w:rsid w:val="000125B0"/>
    <w:rsid w:val="000125ED"/>
    <w:rsid w:val="00012660"/>
    <w:rsid w:val="000126EC"/>
    <w:rsid w:val="00013842"/>
    <w:rsid w:val="000138C3"/>
    <w:rsid w:val="00013A7B"/>
    <w:rsid w:val="00013A8F"/>
    <w:rsid w:val="00013B9B"/>
    <w:rsid w:val="00014321"/>
    <w:rsid w:val="00014A56"/>
    <w:rsid w:val="000155B4"/>
    <w:rsid w:val="00015CD0"/>
    <w:rsid w:val="000161E7"/>
    <w:rsid w:val="000166C9"/>
    <w:rsid w:val="0001690B"/>
    <w:rsid w:val="000169B9"/>
    <w:rsid w:val="00016D12"/>
    <w:rsid w:val="00016EB1"/>
    <w:rsid w:val="00016EF3"/>
    <w:rsid w:val="00016FFB"/>
    <w:rsid w:val="000170A7"/>
    <w:rsid w:val="000176F7"/>
    <w:rsid w:val="00017EE2"/>
    <w:rsid w:val="0002025D"/>
    <w:rsid w:val="000206D0"/>
    <w:rsid w:val="000213EF"/>
    <w:rsid w:val="00021557"/>
    <w:rsid w:val="0002189F"/>
    <w:rsid w:val="00021E28"/>
    <w:rsid w:val="00021EDF"/>
    <w:rsid w:val="00021FE5"/>
    <w:rsid w:val="00022229"/>
    <w:rsid w:val="000222BF"/>
    <w:rsid w:val="00022576"/>
    <w:rsid w:val="000229E8"/>
    <w:rsid w:val="0002397E"/>
    <w:rsid w:val="00023A07"/>
    <w:rsid w:val="00023BAA"/>
    <w:rsid w:val="00023CF3"/>
    <w:rsid w:val="00023FD1"/>
    <w:rsid w:val="00024513"/>
    <w:rsid w:val="00024C1E"/>
    <w:rsid w:val="0002533E"/>
    <w:rsid w:val="00025464"/>
    <w:rsid w:val="0002585E"/>
    <w:rsid w:val="000259CD"/>
    <w:rsid w:val="00025CAB"/>
    <w:rsid w:val="00025DBC"/>
    <w:rsid w:val="00026BEE"/>
    <w:rsid w:val="000273F2"/>
    <w:rsid w:val="000274A4"/>
    <w:rsid w:val="00027BA6"/>
    <w:rsid w:val="00030169"/>
    <w:rsid w:val="00030B2B"/>
    <w:rsid w:val="000310B7"/>
    <w:rsid w:val="000313D4"/>
    <w:rsid w:val="00031DBA"/>
    <w:rsid w:val="000323D6"/>
    <w:rsid w:val="00032CEB"/>
    <w:rsid w:val="00033089"/>
    <w:rsid w:val="000332B4"/>
    <w:rsid w:val="000333A9"/>
    <w:rsid w:val="00033626"/>
    <w:rsid w:val="000336D0"/>
    <w:rsid w:val="00033888"/>
    <w:rsid w:val="00033B67"/>
    <w:rsid w:val="00033C71"/>
    <w:rsid w:val="00033E0D"/>
    <w:rsid w:val="00035360"/>
    <w:rsid w:val="00035670"/>
    <w:rsid w:val="000356C6"/>
    <w:rsid w:val="00036596"/>
    <w:rsid w:val="00036BCE"/>
    <w:rsid w:val="00036E89"/>
    <w:rsid w:val="00037CC9"/>
    <w:rsid w:val="00040137"/>
    <w:rsid w:val="00040140"/>
    <w:rsid w:val="00040EF5"/>
    <w:rsid w:val="000412E7"/>
    <w:rsid w:val="00041336"/>
    <w:rsid w:val="00041827"/>
    <w:rsid w:val="000418B1"/>
    <w:rsid w:val="00041CA5"/>
    <w:rsid w:val="000425C1"/>
    <w:rsid w:val="00042830"/>
    <w:rsid w:val="0004356F"/>
    <w:rsid w:val="00043E3D"/>
    <w:rsid w:val="00044DB1"/>
    <w:rsid w:val="00045292"/>
    <w:rsid w:val="000466D8"/>
    <w:rsid w:val="00046AE4"/>
    <w:rsid w:val="0004750B"/>
    <w:rsid w:val="0004755A"/>
    <w:rsid w:val="00047AA6"/>
    <w:rsid w:val="000501DB"/>
    <w:rsid w:val="00050870"/>
    <w:rsid w:val="000508BE"/>
    <w:rsid w:val="0005127E"/>
    <w:rsid w:val="0005130F"/>
    <w:rsid w:val="00051537"/>
    <w:rsid w:val="0005157C"/>
    <w:rsid w:val="00051B2F"/>
    <w:rsid w:val="00051FEA"/>
    <w:rsid w:val="000526BF"/>
    <w:rsid w:val="00052EB8"/>
    <w:rsid w:val="00052F67"/>
    <w:rsid w:val="00054309"/>
    <w:rsid w:val="00054473"/>
    <w:rsid w:val="00054829"/>
    <w:rsid w:val="00055298"/>
    <w:rsid w:val="00055C1B"/>
    <w:rsid w:val="00055D1C"/>
    <w:rsid w:val="00057A38"/>
    <w:rsid w:val="00060125"/>
    <w:rsid w:val="00060153"/>
    <w:rsid w:val="000606AE"/>
    <w:rsid w:val="00060E8A"/>
    <w:rsid w:val="0006110E"/>
    <w:rsid w:val="000614B9"/>
    <w:rsid w:val="00061815"/>
    <w:rsid w:val="000619AF"/>
    <w:rsid w:val="000623C5"/>
    <w:rsid w:val="000623CF"/>
    <w:rsid w:val="0006266E"/>
    <w:rsid w:val="0006310C"/>
    <w:rsid w:val="00063234"/>
    <w:rsid w:val="00063624"/>
    <w:rsid w:val="00063740"/>
    <w:rsid w:val="00063BFF"/>
    <w:rsid w:val="00063DAA"/>
    <w:rsid w:val="00063FAD"/>
    <w:rsid w:val="000640EB"/>
    <w:rsid w:val="00064151"/>
    <w:rsid w:val="00064C51"/>
    <w:rsid w:val="00065412"/>
    <w:rsid w:val="0006587F"/>
    <w:rsid w:val="000661AD"/>
    <w:rsid w:val="000664EE"/>
    <w:rsid w:val="00066B36"/>
    <w:rsid w:val="00066B8B"/>
    <w:rsid w:val="00066DE6"/>
    <w:rsid w:val="00067299"/>
    <w:rsid w:val="00067388"/>
    <w:rsid w:val="00067AA0"/>
    <w:rsid w:val="00067B7A"/>
    <w:rsid w:val="000701A3"/>
    <w:rsid w:val="000705BF"/>
    <w:rsid w:val="000707FC"/>
    <w:rsid w:val="0007096E"/>
    <w:rsid w:val="0007097E"/>
    <w:rsid w:val="00070A86"/>
    <w:rsid w:val="00070C28"/>
    <w:rsid w:val="00071326"/>
    <w:rsid w:val="0007177C"/>
    <w:rsid w:val="0007189D"/>
    <w:rsid w:val="00071DE0"/>
    <w:rsid w:val="00071FB3"/>
    <w:rsid w:val="000720A9"/>
    <w:rsid w:val="000723D7"/>
    <w:rsid w:val="00072B96"/>
    <w:rsid w:val="00072D53"/>
    <w:rsid w:val="00073276"/>
    <w:rsid w:val="0007398F"/>
    <w:rsid w:val="00073EF6"/>
    <w:rsid w:val="000745DF"/>
    <w:rsid w:val="0007469B"/>
    <w:rsid w:val="00075117"/>
    <w:rsid w:val="00075227"/>
    <w:rsid w:val="00075336"/>
    <w:rsid w:val="000758FD"/>
    <w:rsid w:val="000764C1"/>
    <w:rsid w:val="000764E5"/>
    <w:rsid w:val="0007653B"/>
    <w:rsid w:val="00076647"/>
    <w:rsid w:val="00077087"/>
    <w:rsid w:val="000770A3"/>
    <w:rsid w:val="0007722C"/>
    <w:rsid w:val="00077B92"/>
    <w:rsid w:val="00080EA8"/>
    <w:rsid w:val="000812FE"/>
    <w:rsid w:val="0008176D"/>
    <w:rsid w:val="0008180D"/>
    <w:rsid w:val="000819EE"/>
    <w:rsid w:val="00082BA1"/>
    <w:rsid w:val="00082CB1"/>
    <w:rsid w:val="00082CEA"/>
    <w:rsid w:val="00082FE1"/>
    <w:rsid w:val="00083033"/>
    <w:rsid w:val="000838DF"/>
    <w:rsid w:val="00084080"/>
    <w:rsid w:val="0008476A"/>
    <w:rsid w:val="0008496E"/>
    <w:rsid w:val="00084B1E"/>
    <w:rsid w:val="00084EAF"/>
    <w:rsid w:val="000857BA"/>
    <w:rsid w:val="00085A9D"/>
    <w:rsid w:val="00085CEB"/>
    <w:rsid w:val="0008687D"/>
    <w:rsid w:val="000868EB"/>
    <w:rsid w:val="0008691A"/>
    <w:rsid w:val="0008723E"/>
    <w:rsid w:val="000875F4"/>
    <w:rsid w:val="00087C70"/>
    <w:rsid w:val="00087D8B"/>
    <w:rsid w:val="00090195"/>
    <w:rsid w:val="0009037D"/>
    <w:rsid w:val="00090AB6"/>
    <w:rsid w:val="00090AC0"/>
    <w:rsid w:val="00090E84"/>
    <w:rsid w:val="00091138"/>
    <w:rsid w:val="00091B13"/>
    <w:rsid w:val="00091D34"/>
    <w:rsid w:val="00092034"/>
    <w:rsid w:val="0009243D"/>
    <w:rsid w:val="0009243F"/>
    <w:rsid w:val="000924F5"/>
    <w:rsid w:val="00092676"/>
    <w:rsid w:val="00092A63"/>
    <w:rsid w:val="00093F3F"/>
    <w:rsid w:val="0009484B"/>
    <w:rsid w:val="00095D76"/>
    <w:rsid w:val="00096381"/>
    <w:rsid w:val="000965D4"/>
    <w:rsid w:val="00097CD2"/>
    <w:rsid w:val="00097DE9"/>
    <w:rsid w:val="00097E13"/>
    <w:rsid w:val="000A0759"/>
    <w:rsid w:val="000A0C25"/>
    <w:rsid w:val="000A0E49"/>
    <w:rsid w:val="000A0F6D"/>
    <w:rsid w:val="000A1493"/>
    <w:rsid w:val="000A17F1"/>
    <w:rsid w:val="000A1834"/>
    <w:rsid w:val="000A22E7"/>
    <w:rsid w:val="000A24A9"/>
    <w:rsid w:val="000A2566"/>
    <w:rsid w:val="000A259B"/>
    <w:rsid w:val="000A25D3"/>
    <w:rsid w:val="000A2604"/>
    <w:rsid w:val="000A2664"/>
    <w:rsid w:val="000A284B"/>
    <w:rsid w:val="000A2B13"/>
    <w:rsid w:val="000A2DFD"/>
    <w:rsid w:val="000A4A63"/>
    <w:rsid w:val="000A4AAE"/>
    <w:rsid w:val="000A5036"/>
    <w:rsid w:val="000A5180"/>
    <w:rsid w:val="000A587A"/>
    <w:rsid w:val="000A61F6"/>
    <w:rsid w:val="000A6414"/>
    <w:rsid w:val="000A693F"/>
    <w:rsid w:val="000A69FD"/>
    <w:rsid w:val="000A71E4"/>
    <w:rsid w:val="000A7AED"/>
    <w:rsid w:val="000B009D"/>
    <w:rsid w:val="000B044E"/>
    <w:rsid w:val="000B073A"/>
    <w:rsid w:val="000B0E67"/>
    <w:rsid w:val="000B106D"/>
    <w:rsid w:val="000B1DF8"/>
    <w:rsid w:val="000B22CE"/>
    <w:rsid w:val="000B2445"/>
    <w:rsid w:val="000B2639"/>
    <w:rsid w:val="000B2C00"/>
    <w:rsid w:val="000B2D5C"/>
    <w:rsid w:val="000B361F"/>
    <w:rsid w:val="000B36E6"/>
    <w:rsid w:val="000B40E4"/>
    <w:rsid w:val="000B43D0"/>
    <w:rsid w:val="000B54FD"/>
    <w:rsid w:val="000B57D3"/>
    <w:rsid w:val="000B60FF"/>
    <w:rsid w:val="000B62FB"/>
    <w:rsid w:val="000B6496"/>
    <w:rsid w:val="000B68DF"/>
    <w:rsid w:val="000B6DB8"/>
    <w:rsid w:val="000B721B"/>
    <w:rsid w:val="000B748C"/>
    <w:rsid w:val="000B74C7"/>
    <w:rsid w:val="000B780A"/>
    <w:rsid w:val="000B78F1"/>
    <w:rsid w:val="000B7B6D"/>
    <w:rsid w:val="000B7BAD"/>
    <w:rsid w:val="000B7D28"/>
    <w:rsid w:val="000B7ED9"/>
    <w:rsid w:val="000C0092"/>
    <w:rsid w:val="000C019D"/>
    <w:rsid w:val="000C0365"/>
    <w:rsid w:val="000C12D8"/>
    <w:rsid w:val="000C12EA"/>
    <w:rsid w:val="000C144B"/>
    <w:rsid w:val="000C1776"/>
    <w:rsid w:val="000C18C2"/>
    <w:rsid w:val="000C21C0"/>
    <w:rsid w:val="000C2227"/>
    <w:rsid w:val="000C2402"/>
    <w:rsid w:val="000C277E"/>
    <w:rsid w:val="000C2858"/>
    <w:rsid w:val="000C2CCC"/>
    <w:rsid w:val="000C2D86"/>
    <w:rsid w:val="000C35BA"/>
    <w:rsid w:val="000C3945"/>
    <w:rsid w:val="000C3C2A"/>
    <w:rsid w:val="000C3C6B"/>
    <w:rsid w:val="000C3CC8"/>
    <w:rsid w:val="000C45BD"/>
    <w:rsid w:val="000C5692"/>
    <w:rsid w:val="000C5973"/>
    <w:rsid w:val="000C5DCB"/>
    <w:rsid w:val="000C63E7"/>
    <w:rsid w:val="000C67D1"/>
    <w:rsid w:val="000C6A99"/>
    <w:rsid w:val="000C6B80"/>
    <w:rsid w:val="000C7344"/>
    <w:rsid w:val="000C7607"/>
    <w:rsid w:val="000C7A8F"/>
    <w:rsid w:val="000C7CB9"/>
    <w:rsid w:val="000C7E1D"/>
    <w:rsid w:val="000D0228"/>
    <w:rsid w:val="000D065C"/>
    <w:rsid w:val="000D07DA"/>
    <w:rsid w:val="000D092B"/>
    <w:rsid w:val="000D1449"/>
    <w:rsid w:val="000D1677"/>
    <w:rsid w:val="000D17DA"/>
    <w:rsid w:val="000D1F2C"/>
    <w:rsid w:val="000D2036"/>
    <w:rsid w:val="000D2287"/>
    <w:rsid w:val="000D2A5C"/>
    <w:rsid w:val="000D2B03"/>
    <w:rsid w:val="000D3FEE"/>
    <w:rsid w:val="000D45A9"/>
    <w:rsid w:val="000D52E5"/>
    <w:rsid w:val="000D5BFA"/>
    <w:rsid w:val="000D5F49"/>
    <w:rsid w:val="000D6389"/>
    <w:rsid w:val="000D6425"/>
    <w:rsid w:val="000D647D"/>
    <w:rsid w:val="000D64A0"/>
    <w:rsid w:val="000D68E3"/>
    <w:rsid w:val="000D6B0B"/>
    <w:rsid w:val="000D7150"/>
    <w:rsid w:val="000E0114"/>
    <w:rsid w:val="000E05D6"/>
    <w:rsid w:val="000E0741"/>
    <w:rsid w:val="000E0CB7"/>
    <w:rsid w:val="000E0DC9"/>
    <w:rsid w:val="000E104F"/>
    <w:rsid w:val="000E1195"/>
    <w:rsid w:val="000E13FF"/>
    <w:rsid w:val="000E1555"/>
    <w:rsid w:val="000E2986"/>
    <w:rsid w:val="000E2A6B"/>
    <w:rsid w:val="000E4BE8"/>
    <w:rsid w:val="000E52D0"/>
    <w:rsid w:val="000E5722"/>
    <w:rsid w:val="000E57AD"/>
    <w:rsid w:val="000E60B4"/>
    <w:rsid w:val="000E612B"/>
    <w:rsid w:val="000E640A"/>
    <w:rsid w:val="000E6610"/>
    <w:rsid w:val="000E69DC"/>
    <w:rsid w:val="000E6C9D"/>
    <w:rsid w:val="000E6E08"/>
    <w:rsid w:val="000E733F"/>
    <w:rsid w:val="000E7713"/>
    <w:rsid w:val="000E77AF"/>
    <w:rsid w:val="000E7CB8"/>
    <w:rsid w:val="000E7F34"/>
    <w:rsid w:val="000F013E"/>
    <w:rsid w:val="000F03C3"/>
    <w:rsid w:val="000F08C1"/>
    <w:rsid w:val="000F1108"/>
    <w:rsid w:val="000F135A"/>
    <w:rsid w:val="000F196F"/>
    <w:rsid w:val="000F244D"/>
    <w:rsid w:val="000F2814"/>
    <w:rsid w:val="000F2AD1"/>
    <w:rsid w:val="000F2C94"/>
    <w:rsid w:val="000F2E98"/>
    <w:rsid w:val="000F4182"/>
    <w:rsid w:val="000F4E36"/>
    <w:rsid w:val="000F51F1"/>
    <w:rsid w:val="000F52BA"/>
    <w:rsid w:val="000F5A69"/>
    <w:rsid w:val="000F5F31"/>
    <w:rsid w:val="000F6C01"/>
    <w:rsid w:val="000F6EC7"/>
    <w:rsid w:val="000F7D64"/>
    <w:rsid w:val="000F7E07"/>
    <w:rsid w:val="00100561"/>
    <w:rsid w:val="00100577"/>
    <w:rsid w:val="0010068F"/>
    <w:rsid w:val="0010094B"/>
    <w:rsid w:val="0010127F"/>
    <w:rsid w:val="00101A31"/>
    <w:rsid w:val="00101F64"/>
    <w:rsid w:val="00101F76"/>
    <w:rsid w:val="001022AC"/>
    <w:rsid w:val="0010298B"/>
    <w:rsid w:val="00103620"/>
    <w:rsid w:val="00103865"/>
    <w:rsid w:val="00103E25"/>
    <w:rsid w:val="00103FB7"/>
    <w:rsid w:val="00104ACE"/>
    <w:rsid w:val="00105328"/>
    <w:rsid w:val="001053F3"/>
    <w:rsid w:val="00105530"/>
    <w:rsid w:val="0010560D"/>
    <w:rsid w:val="0010592C"/>
    <w:rsid w:val="00105C95"/>
    <w:rsid w:val="0010620B"/>
    <w:rsid w:val="001063F9"/>
    <w:rsid w:val="001067AF"/>
    <w:rsid w:val="001067B6"/>
    <w:rsid w:val="00106BB1"/>
    <w:rsid w:val="00106BCB"/>
    <w:rsid w:val="00107193"/>
    <w:rsid w:val="001076C2"/>
    <w:rsid w:val="00110AFD"/>
    <w:rsid w:val="00110CD8"/>
    <w:rsid w:val="00110D4A"/>
    <w:rsid w:val="00110D81"/>
    <w:rsid w:val="00111C1D"/>
    <w:rsid w:val="00111CBC"/>
    <w:rsid w:val="00112857"/>
    <w:rsid w:val="001128A6"/>
    <w:rsid w:val="001139A6"/>
    <w:rsid w:val="00113CB1"/>
    <w:rsid w:val="00113EA9"/>
    <w:rsid w:val="00113F9A"/>
    <w:rsid w:val="0011463F"/>
    <w:rsid w:val="001146D5"/>
    <w:rsid w:val="00114937"/>
    <w:rsid w:val="0011586B"/>
    <w:rsid w:val="00120492"/>
    <w:rsid w:val="00120FC0"/>
    <w:rsid w:val="00121439"/>
    <w:rsid w:val="0012177A"/>
    <w:rsid w:val="001217FC"/>
    <w:rsid w:val="00121A0E"/>
    <w:rsid w:val="00121B80"/>
    <w:rsid w:val="00121C8A"/>
    <w:rsid w:val="00121CB7"/>
    <w:rsid w:val="001227C1"/>
    <w:rsid w:val="00122954"/>
    <w:rsid w:val="00122DB1"/>
    <w:rsid w:val="00122FD1"/>
    <w:rsid w:val="00123CC7"/>
    <w:rsid w:val="00123F40"/>
    <w:rsid w:val="00124ACC"/>
    <w:rsid w:val="001252E2"/>
    <w:rsid w:val="00125882"/>
    <w:rsid w:val="00125CC5"/>
    <w:rsid w:val="00127629"/>
    <w:rsid w:val="00127B42"/>
    <w:rsid w:val="00127FA3"/>
    <w:rsid w:val="0013000F"/>
    <w:rsid w:val="0013053C"/>
    <w:rsid w:val="00130BC9"/>
    <w:rsid w:val="00130D2D"/>
    <w:rsid w:val="001311D3"/>
    <w:rsid w:val="001319B6"/>
    <w:rsid w:val="00132086"/>
    <w:rsid w:val="0013222C"/>
    <w:rsid w:val="0013334C"/>
    <w:rsid w:val="00133433"/>
    <w:rsid w:val="00133880"/>
    <w:rsid w:val="00134740"/>
    <w:rsid w:val="00134858"/>
    <w:rsid w:val="00134DCE"/>
    <w:rsid w:val="00134EF4"/>
    <w:rsid w:val="0013503E"/>
    <w:rsid w:val="001356DB"/>
    <w:rsid w:val="001358F1"/>
    <w:rsid w:val="00135CDB"/>
    <w:rsid w:val="00135F5C"/>
    <w:rsid w:val="00136525"/>
    <w:rsid w:val="00136568"/>
    <w:rsid w:val="00136593"/>
    <w:rsid w:val="00136B0D"/>
    <w:rsid w:val="00136D20"/>
    <w:rsid w:val="0013718B"/>
    <w:rsid w:val="00137866"/>
    <w:rsid w:val="00137E05"/>
    <w:rsid w:val="00137E88"/>
    <w:rsid w:val="00140189"/>
    <w:rsid w:val="001410FB"/>
    <w:rsid w:val="0014160E"/>
    <w:rsid w:val="00141C52"/>
    <w:rsid w:val="00141CDB"/>
    <w:rsid w:val="00141D90"/>
    <w:rsid w:val="001422A6"/>
    <w:rsid w:val="001431EF"/>
    <w:rsid w:val="001431F5"/>
    <w:rsid w:val="00143279"/>
    <w:rsid w:val="00143583"/>
    <w:rsid w:val="00143A09"/>
    <w:rsid w:val="00143C12"/>
    <w:rsid w:val="0014470A"/>
    <w:rsid w:val="00144C14"/>
    <w:rsid w:val="00144F16"/>
    <w:rsid w:val="00144F91"/>
    <w:rsid w:val="00145422"/>
    <w:rsid w:val="001457A2"/>
    <w:rsid w:val="00145A07"/>
    <w:rsid w:val="00145F94"/>
    <w:rsid w:val="0014601E"/>
    <w:rsid w:val="00146020"/>
    <w:rsid w:val="0014683B"/>
    <w:rsid w:val="00146AE9"/>
    <w:rsid w:val="00147513"/>
    <w:rsid w:val="001475F9"/>
    <w:rsid w:val="001479FB"/>
    <w:rsid w:val="00147F41"/>
    <w:rsid w:val="0015054D"/>
    <w:rsid w:val="00150561"/>
    <w:rsid w:val="00150838"/>
    <w:rsid w:val="00150E15"/>
    <w:rsid w:val="001510A4"/>
    <w:rsid w:val="00151211"/>
    <w:rsid w:val="00151517"/>
    <w:rsid w:val="00152241"/>
    <w:rsid w:val="00152ACD"/>
    <w:rsid w:val="00152B61"/>
    <w:rsid w:val="00152E60"/>
    <w:rsid w:val="00153395"/>
    <w:rsid w:val="00153423"/>
    <w:rsid w:val="00153AAD"/>
    <w:rsid w:val="00153B3E"/>
    <w:rsid w:val="00153B40"/>
    <w:rsid w:val="00154092"/>
    <w:rsid w:val="00154262"/>
    <w:rsid w:val="001542D0"/>
    <w:rsid w:val="00154364"/>
    <w:rsid w:val="00154544"/>
    <w:rsid w:val="00154B14"/>
    <w:rsid w:val="00154B47"/>
    <w:rsid w:val="001551AB"/>
    <w:rsid w:val="00155915"/>
    <w:rsid w:val="00155977"/>
    <w:rsid w:val="0015597F"/>
    <w:rsid w:val="00155A3B"/>
    <w:rsid w:val="00155BF1"/>
    <w:rsid w:val="00155BF8"/>
    <w:rsid w:val="00155C58"/>
    <w:rsid w:val="001560DF"/>
    <w:rsid w:val="00156118"/>
    <w:rsid w:val="00156454"/>
    <w:rsid w:val="00156C48"/>
    <w:rsid w:val="00156E08"/>
    <w:rsid w:val="00156F64"/>
    <w:rsid w:val="0015717F"/>
    <w:rsid w:val="00157339"/>
    <w:rsid w:val="0015771C"/>
    <w:rsid w:val="0015779A"/>
    <w:rsid w:val="00160000"/>
    <w:rsid w:val="00160347"/>
    <w:rsid w:val="001603AC"/>
    <w:rsid w:val="00160462"/>
    <w:rsid w:val="001605B3"/>
    <w:rsid w:val="0016080B"/>
    <w:rsid w:val="00160A62"/>
    <w:rsid w:val="0016158B"/>
    <w:rsid w:val="0016176A"/>
    <w:rsid w:val="00161785"/>
    <w:rsid w:val="001625A1"/>
    <w:rsid w:val="001628C3"/>
    <w:rsid w:val="00162A6C"/>
    <w:rsid w:val="00162FDB"/>
    <w:rsid w:val="00163050"/>
    <w:rsid w:val="00163251"/>
    <w:rsid w:val="00163532"/>
    <w:rsid w:val="00163684"/>
    <w:rsid w:val="0016398A"/>
    <w:rsid w:val="001643F1"/>
    <w:rsid w:val="00164672"/>
    <w:rsid w:val="00165483"/>
    <w:rsid w:val="00165546"/>
    <w:rsid w:val="001657F7"/>
    <w:rsid w:val="00165B88"/>
    <w:rsid w:val="00165D55"/>
    <w:rsid w:val="001666E1"/>
    <w:rsid w:val="00166838"/>
    <w:rsid w:val="001671A3"/>
    <w:rsid w:val="00167E07"/>
    <w:rsid w:val="001700CC"/>
    <w:rsid w:val="001700DF"/>
    <w:rsid w:val="00170535"/>
    <w:rsid w:val="0017062F"/>
    <w:rsid w:val="001708D0"/>
    <w:rsid w:val="0017099D"/>
    <w:rsid w:val="0017116B"/>
    <w:rsid w:val="00171805"/>
    <w:rsid w:val="00171A10"/>
    <w:rsid w:val="00171B7F"/>
    <w:rsid w:val="00172126"/>
    <w:rsid w:val="0017212A"/>
    <w:rsid w:val="001725E0"/>
    <w:rsid w:val="00172A27"/>
    <w:rsid w:val="00173607"/>
    <w:rsid w:val="00173C22"/>
    <w:rsid w:val="001744B5"/>
    <w:rsid w:val="001746C0"/>
    <w:rsid w:val="00174F86"/>
    <w:rsid w:val="001752F0"/>
    <w:rsid w:val="00175611"/>
    <w:rsid w:val="00175845"/>
    <w:rsid w:val="001760B6"/>
    <w:rsid w:val="0017643F"/>
    <w:rsid w:val="001765B9"/>
    <w:rsid w:val="00176642"/>
    <w:rsid w:val="001768E3"/>
    <w:rsid w:val="00176BCC"/>
    <w:rsid w:val="00176CFE"/>
    <w:rsid w:val="00176EB4"/>
    <w:rsid w:val="00177178"/>
    <w:rsid w:val="001772DF"/>
    <w:rsid w:val="0017735D"/>
    <w:rsid w:val="00177675"/>
    <w:rsid w:val="00177B0A"/>
    <w:rsid w:val="001806B0"/>
    <w:rsid w:val="00180A8D"/>
    <w:rsid w:val="00181185"/>
    <w:rsid w:val="001811F1"/>
    <w:rsid w:val="00182EA1"/>
    <w:rsid w:val="00183056"/>
    <w:rsid w:val="0018306D"/>
    <w:rsid w:val="00183332"/>
    <w:rsid w:val="0018343D"/>
    <w:rsid w:val="00183D17"/>
    <w:rsid w:val="00183E25"/>
    <w:rsid w:val="001849E9"/>
    <w:rsid w:val="00186664"/>
    <w:rsid w:val="00186DBB"/>
    <w:rsid w:val="001876A8"/>
    <w:rsid w:val="00187FE1"/>
    <w:rsid w:val="00190562"/>
    <w:rsid w:val="00190780"/>
    <w:rsid w:val="00190936"/>
    <w:rsid w:val="00190E17"/>
    <w:rsid w:val="00190FB5"/>
    <w:rsid w:val="0019121D"/>
    <w:rsid w:val="001914B2"/>
    <w:rsid w:val="0019161F"/>
    <w:rsid w:val="00192162"/>
    <w:rsid w:val="00192411"/>
    <w:rsid w:val="00193499"/>
    <w:rsid w:val="001938FB"/>
    <w:rsid w:val="001941E3"/>
    <w:rsid w:val="0019432F"/>
    <w:rsid w:val="001949DD"/>
    <w:rsid w:val="00194B2F"/>
    <w:rsid w:val="00194D7A"/>
    <w:rsid w:val="0019577A"/>
    <w:rsid w:val="001958A5"/>
    <w:rsid w:val="00195CEB"/>
    <w:rsid w:val="00195DBC"/>
    <w:rsid w:val="00195DCE"/>
    <w:rsid w:val="00195E3B"/>
    <w:rsid w:val="0019617D"/>
    <w:rsid w:val="00196406"/>
    <w:rsid w:val="001969AC"/>
    <w:rsid w:val="00197444"/>
    <w:rsid w:val="001974A9"/>
    <w:rsid w:val="00197DB0"/>
    <w:rsid w:val="001A0203"/>
    <w:rsid w:val="001A05DA"/>
    <w:rsid w:val="001A0BFF"/>
    <w:rsid w:val="001A1BBB"/>
    <w:rsid w:val="001A281E"/>
    <w:rsid w:val="001A2CE2"/>
    <w:rsid w:val="001A3586"/>
    <w:rsid w:val="001A37F7"/>
    <w:rsid w:val="001A3996"/>
    <w:rsid w:val="001A3A32"/>
    <w:rsid w:val="001A3D63"/>
    <w:rsid w:val="001A401D"/>
    <w:rsid w:val="001A465E"/>
    <w:rsid w:val="001A503C"/>
    <w:rsid w:val="001A54BC"/>
    <w:rsid w:val="001A5507"/>
    <w:rsid w:val="001A55B3"/>
    <w:rsid w:val="001A5CE1"/>
    <w:rsid w:val="001A6B3F"/>
    <w:rsid w:val="001A6E0C"/>
    <w:rsid w:val="001A6FB5"/>
    <w:rsid w:val="001A73DB"/>
    <w:rsid w:val="001A744A"/>
    <w:rsid w:val="001B057E"/>
    <w:rsid w:val="001B062C"/>
    <w:rsid w:val="001B0635"/>
    <w:rsid w:val="001B091B"/>
    <w:rsid w:val="001B0C0A"/>
    <w:rsid w:val="001B0E78"/>
    <w:rsid w:val="001B131B"/>
    <w:rsid w:val="001B1464"/>
    <w:rsid w:val="001B17D2"/>
    <w:rsid w:val="001B17F2"/>
    <w:rsid w:val="001B210F"/>
    <w:rsid w:val="001B2262"/>
    <w:rsid w:val="001B26AE"/>
    <w:rsid w:val="001B276F"/>
    <w:rsid w:val="001B2B4B"/>
    <w:rsid w:val="001B2F0B"/>
    <w:rsid w:val="001B2F2A"/>
    <w:rsid w:val="001B3516"/>
    <w:rsid w:val="001B3DC7"/>
    <w:rsid w:val="001B468C"/>
    <w:rsid w:val="001B46B7"/>
    <w:rsid w:val="001B48F2"/>
    <w:rsid w:val="001B4942"/>
    <w:rsid w:val="001B4AED"/>
    <w:rsid w:val="001B5354"/>
    <w:rsid w:val="001B5516"/>
    <w:rsid w:val="001B63EE"/>
    <w:rsid w:val="001B6829"/>
    <w:rsid w:val="001B6EFE"/>
    <w:rsid w:val="001B797A"/>
    <w:rsid w:val="001B7A50"/>
    <w:rsid w:val="001B7AF6"/>
    <w:rsid w:val="001B7E3F"/>
    <w:rsid w:val="001C001E"/>
    <w:rsid w:val="001C00AF"/>
    <w:rsid w:val="001C074D"/>
    <w:rsid w:val="001C0785"/>
    <w:rsid w:val="001C0986"/>
    <w:rsid w:val="001C1209"/>
    <w:rsid w:val="001C13A9"/>
    <w:rsid w:val="001C13B1"/>
    <w:rsid w:val="001C264F"/>
    <w:rsid w:val="001C2F27"/>
    <w:rsid w:val="001C3676"/>
    <w:rsid w:val="001C36CA"/>
    <w:rsid w:val="001C372D"/>
    <w:rsid w:val="001C3746"/>
    <w:rsid w:val="001C3F12"/>
    <w:rsid w:val="001C4140"/>
    <w:rsid w:val="001C41A4"/>
    <w:rsid w:val="001C4DA7"/>
    <w:rsid w:val="001C589B"/>
    <w:rsid w:val="001C5B06"/>
    <w:rsid w:val="001C6271"/>
    <w:rsid w:val="001C6FAA"/>
    <w:rsid w:val="001C7A86"/>
    <w:rsid w:val="001D091B"/>
    <w:rsid w:val="001D0BC8"/>
    <w:rsid w:val="001D11BB"/>
    <w:rsid w:val="001D1460"/>
    <w:rsid w:val="001D16AF"/>
    <w:rsid w:val="001D1957"/>
    <w:rsid w:val="001D1B79"/>
    <w:rsid w:val="001D231F"/>
    <w:rsid w:val="001D2B30"/>
    <w:rsid w:val="001D2ED6"/>
    <w:rsid w:val="001D34A6"/>
    <w:rsid w:val="001D35A0"/>
    <w:rsid w:val="001D360D"/>
    <w:rsid w:val="001D3E30"/>
    <w:rsid w:val="001D4767"/>
    <w:rsid w:val="001D491F"/>
    <w:rsid w:val="001D4CF8"/>
    <w:rsid w:val="001D4D3D"/>
    <w:rsid w:val="001D5261"/>
    <w:rsid w:val="001D526C"/>
    <w:rsid w:val="001D52C6"/>
    <w:rsid w:val="001D5527"/>
    <w:rsid w:val="001D585E"/>
    <w:rsid w:val="001D59FA"/>
    <w:rsid w:val="001D5C4E"/>
    <w:rsid w:val="001D5E09"/>
    <w:rsid w:val="001D643B"/>
    <w:rsid w:val="001D69CC"/>
    <w:rsid w:val="001D6DD9"/>
    <w:rsid w:val="001D6E00"/>
    <w:rsid w:val="001D7421"/>
    <w:rsid w:val="001D75A6"/>
    <w:rsid w:val="001D75E1"/>
    <w:rsid w:val="001D797D"/>
    <w:rsid w:val="001E05B1"/>
    <w:rsid w:val="001E18E9"/>
    <w:rsid w:val="001E1DF3"/>
    <w:rsid w:val="001E1EB0"/>
    <w:rsid w:val="001E2D3B"/>
    <w:rsid w:val="001E2FB3"/>
    <w:rsid w:val="001E34B1"/>
    <w:rsid w:val="001E34DD"/>
    <w:rsid w:val="001E368F"/>
    <w:rsid w:val="001E38F1"/>
    <w:rsid w:val="001E3B69"/>
    <w:rsid w:val="001E3DC0"/>
    <w:rsid w:val="001E5037"/>
    <w:rsid w:val="001E57DD"/>
    <w:rsid w:val="001E5E79"/>
    <w:rsid w:val="001E6345"/>
    <w:rsid w:val="001E682D"/>
    <w:rsid w:val="001E6CDE"/>
    <w:rsid w:val="001E6F4E"/>
    <w:rsid w:val="001E7AD2"/>
    <w:rsid w:val="001E7BB7"/>
    <w:rsid w:val="001E7DD1"/>
    <w:rsid w:val="001F00C9"/>
    <w:rsid w:val="001F014E"/>
    <w:rsid w:val="001F0A92"/>
    <w:rsid w:val="001F11A2"/>
    <w:rsid w:val="001F1759"/>
    <w:rsid w:val="001F1B0D"/>
    <w:rsid w:val="001F1D49"/>
    <w:rsid w:val="001F21E9"/>
    <w:rsid w:val="001F237B"/>
    <w:rsid w:val="001F242E"/>
    <w:rsid w:val="001F25D1"/>
    <w:rsid w:val="001F31DB"/>
    <w:rsid w:val="001F34AA"/>
    <w:rsid w:val="001F373C"/>
    <w:rsid w:val="001F3E56"/>
    <w:rsid w:val="001F4421"/>
    <w:rsid w:val="001F5079"/>
    <w:rsid w:val="001F5868"/>
    <w:rsid w:val="001F5FC3"/>
    <w:rsid w:val="001F6833"/>
    <w:rsid w:val="001F6AA4"/>
    <w:rsid w:val="001F6DCE"/>
    <w:rsid w:val="001F7126"/>
    <w:rsid w:val="001F75F3"/>
    <w:rsid w:val="0020045F"/>
    <w:rsid w:val="002004A1"/>
    <w:rsid w:val="00200528"/>
    <w:rsid w:val="00200C08"/>
    <w:rsid w:val="00200C3A"/>
    <w:rsid w:val="0020148B"/>
    <w:rsid w:val="00201773"/>
    <w:rsid w:val="00201CD6"/>
    <w:rsid w:val="00201DDF"/>
    <w:rsid w:val="002022CB"/>
    <w:rsid w:val="0020264B"/>
    <w:rsid w:val="00202973"/>
    <w:rsid w:val="002032E1"/>
    <w:rsid w:val="00203344"/>
    <w:rsid w:val="0020361F"/>
    <w:rsid w:val="002039AF"/>
    <w:rsid w:val="00203F29"/>
    <w:rsid w:val="002041E4"/>
    <w:rsid w:val="00204A5F"/>
    <w:rsid w:val="00204ADA"/>
    <w:rsid w:val="0020508B"/>
    <w:rsid w:val="002050A2"/>
    <w:rsid w:val="00205227"/>
    <w:rsid w:val="0020537B"/>
    <w:rsid w:val="00205E60"/>
    <w:rsid w:val="00205E6D"/>
    <w:rsid w:val="00205F4F"/>
    <w:rsid w:val="0020627B"/>
    <w:rsid w:val="002064FE"/>
    <w:rsid w:val="00206CA4"/>
    <w:rsid w:val="00207026"/>
    <w:rsid w:val="00207420"/>
    <w:rsid w:val="00207653"/>
    <w:rsid w:val="0021068C"/>
    <w:rsid w:val="00210722"/>
    <w:rsid w:val="00210886"/>
    <w:rsid w:val="00210CF6"/>
    <w:rsid w:val="00211399"/>
    <w:rsid w:val="00211577"/>
    <w:rsid w:val="00212776"/>
    <w:rsid w:val="00212A8D"/>
    <w:rsid w:val="00212C33"/>
    <w:rsid w:val="00212C43"/>
    <w:rsid w:val="0021358B"/>
    <w:rsid w:val="00213ACB"/>
    <w:rsid w:val="00213ADE"/>
    <w:rsid w:val="00213B4B"/>
    <w:rsid w:val="00213DF6"/>
    <w:rsid w:val="002146D5"/>
    <w:rsid w:val="002147ED"/>
    <w:rsid w:val="00214AD3"/>
    <w:rsid w:val="00214E5F"/>
    <w:rsid w:val="00215212"/>
    <w:rsid w:val="00215AA5"/>
    <w:rsid w:val="00215C37"/>
    <w:rsid w:val="00215CE9"/>
    <w:rsid w:val="002160D2"/>
    <w:rsid w:val="00216704"/>
    <w:rsid w:val="00216711"/>
    <w:rsid w:val="00216BD4"/>
    <w:rsid w:val="00216F14"/>
    <w:rsid w:val="002170D1"/>
    <w:rsid w:val="0021756E"/>
    <w:rsid w:val="002178B3"/>
    <w:rsid w:val="002200F6"/>
    <w:rsid w:val="0022069F"/>
    <w:rsid w:val="00220701"/>
    <w:rsid w:val="00220D41"/>
    <w:rsid w:val="00221C6B"/>
    <w:rsid w:val="00221D75"/>
    <w:rsid w:val="00222E04"/>
    <w:rsid w:val="00222E9D"/>
    <w:rsid w:val="00223256"/>
    <w:rsid w:val="00223B16"/>
    <w:rsid w:val="00223D7D"/>
    <w:rsid w:val="00224223"/>
    <w:rsid w:val="002243F0"/>
    <w:rsid w:val="00224544"/>
    <w:rsid w:val="002247BC"/>
    <w:rsid w:val="00224AAD"/>
    <w:rsid w:val="00224C14"/>
    <w:rsid w:val="00224EB4"/>
    <w:rsid w:val="002258C1"/>
    <w:rsid w:val="00225A30"/>
    <w:rsid w:val="0022638C"/>
    <w:rsid w:val="002264A4"/>
    <w:rsid w:val="00227217"/>
    <w:rsid w:val="002278CA"/>
    <w:rsid w:val="00227B4F"/>
    <w:rsid w:val="002301D3"/>
    <w:rsid w:val="002308A2"/>
    <w:rsid w:val="00230A9D"/>
    <w:rsid w:val="00230FA5"/>
    <w:rsid w:val="0023149B"/>
    <w:rsid w:val="00231AA8"/>
    <w:rsid w:val="00231ED1"/>
    <w:rsid w:val="00231EFD"/>
    <w:rsid w:val="00232ECD"/>
    <w:rsid w:val="002331B9"/>
    <w:rsid w:val="0023323D"/>
    <w:rsid w:val="00233842"/>
    <w:rsid w:val="00233916"/>
    <w:rsid w:val="00233E49"/>
    <w:rsid w:val="00234483"/>
    <w:rsid w:val="00234831"/>
    <w:rsid w:val="00234C1E"/>
    <w:rsid w:val="00234ED4"/>
    <w:rsid w:val="002351FA"/>
    <w:rsid w:val="00235204"/>
    <w:rsid w:val="0023535F"/>
    <w:rsid w:val="00235605"/>
    <w:rsid w:val="00235C77"/>
    <w:rsid w:val="0023602D"/>
    <w:rsid w:val="00236073"/>
    <w:rsid w:val="00236116"/>
    <w:rsid w:val="002364FF"/>
    <w:rsid w:val="002365F8"/>
    <w:rsid w:val="0023667C"/>
    <w:rsid w:val="0023699C"/>
    <w:rsid w:val="00236D66"/>
    <w:rsid w:val="00236E27"/>
    <w:rsid w:val="002372FB"/>
    <w:rsid w:val="0023740F"/>
    <w:rsid w:val="002377F9"/>
    <w:rsid w:val="00237885"/>
    <w:rsid w:val="002379DF"/>
    <w:rsid w:val="00237B01"/>
    <w:rsid w:val="00237FE4"/>
    <w:rsid w:val="0024057A"/>
    <w:rsid w:val="0024084E"/>
    <w:rsid w:val="00240A43"/>
    <w:rsid w:val="00240A4B"/>
    <w:rsid w:val="00240D56"/>
    <w:rsid w:val="002411EB"/>
    <w:rsid w:val="00242179"/>
    <w:rsid w:val="00243894"/>
    <w:rsid w:val="0024391D"/>
    <w:rsid w:val="00243E04"/>
    <w:rsid w:val="002440D6"/>
    <w:rsid w:val="002448D7"/>
    <w:rsid w:val="00244ABE"/>
    <w:rsid w:val="00244C23"/>
    <w:rsid w:val="00244F6C"/>
    <w:rsid w:val="00245368"/>
    <w:rsid w:val="00245580"/>
    <w:rsid w:val="00245F26"/>
    <w:rsid w:val="00245F98"/>
    <w:rsid w:val="00246639"/>
    <w:rsid w:val="00247416"/>
    <w:rsid w:val="00247CC8"/>
    <w:rsid w:val="00250327"/>
    <w:rsid w:val="002508A0"/>
    <w:rsid w:val="002509A1"/>
    <w:rsid w:val="00251546"/>
    <w:rsid w:val="00251E33"/>
    <w:rsid w:val="00251E92"/>
    <w:rsid w:val="0025233B"/>
    <w:rsid w:val="0025240B"/>
    <w:rsid w:val="0025322B"/>
    <w:rsid w:val="002532E9"/>
    <w:rsid w:val="00253364"/>
    <w:rsid w:val="00253907"/>
    <w:rsid w:val="0025487F"/>
    <w:rsid w:val="00254E1C"/>
    <w:rsid w:val="00254F1E"/>
    <w:rsid w:val="00254F20"/>
    <w:rsid w:val="00255525"/>
    <w:rsid w:val="00255EEF"/>
    <w:rsid w:val="00255F3C"/>
    <w:rsid w:val="00256499"/>
    <w:rsid w:val="00256542"/>
    <w:rsid w:val="00256577"/>
    <w:rsid w:val="002568AE"/>
    <w:rsid w:val="00256F7C"/>
    <w:rsid w:val="00257192"/>
    <w:rsid w:val="0025759B"/>
    <w:rsid w:val="002579A5"/>
    <w:rsid w:val="00257D69"/>
    <w:rsid w:val="00257DD5"/>
    <w:rsid w:val="00260269"/>
    <w:rsid w:val="0026030D"/>
    <w:rsid w:val="002603D8"/>
    <w:rsid w:val="002604FC"/>
    <w:rsid w:val="00260552"/>
    <w:rsid w:val="002607CF"/>
    <w:rsid w:val="0026169A"/>
    <w:rsid w:val="00261A33"/>
    <w:rsid w:val="00262396"/>
    <w:rsid w:val="002623A1"/>
    <w:rsid w:val="0026257C"/>
    <w:rsid w:val="00262740"/>
    <w:rsid w:val="00263049"/>
    <w:rsid w:val="002632DC"/>
    <w:rsid w:val="0026359D"/>
    <w:rsid w:val="0026410A"/>
    <w:rsid w:val="00264A1D"/>
    <w:rsid w:val="00264F84"/>
    <w:rsid w:val="00264FC9"/>
    <w:rsid w:val="002657E1"/>
    <w:rsid w:val="0026651C"/>
    <w:rsid w:val="002666A7"/>
    <w:rsid w:val="00267337"/>
    <w:rsid w:val="00267D97"/>
    <w:rsid w:val="00267ED6"/>
    <w:rsid w:val="002700C1"/>
    <w:rsid w:val="002701B8"/>
    <w:rsid w:val="002704E1"/>
    <w:rsid w:val="00271A2D"/>
    <w:rsid w:val="002721D8"/>
    <w:rsid w:val="00272FC1"/>
    <w:rsid w:val="0027307D"/>
    <w:rsid w:val="002731DF"/>
    <w:rsid w:val="0027321F"/>
    <w:rsid w:val="002734E0"/>
    <w:rsid w:val="0027393F"/>
    <w:rsid w:val="00273EEF"/>
    <w:rsid w:val="002745AC"/>
    <w:rsid w:val="00274A56"/>
    <w:rsid w:val="00274FCF"/>
    <w:rsid w:val="00275049"/>
    <w:rsid w:val="002750E8"/>
    <w:rsid w:val="00275415"/>
    <w:rsid w:val="002754DA"/>
    <w:rsid w:val="002756ED"/>
    <w:rsid w:val="00276A97"/>
    <w:rsid w:val="00276F26"/>
    <w:rsid w:val="00276FA1"/>
    <w:rsid w:val="0027735A"/>
    <w:rsid w:val="002776EA"/>
    <w:rsid w:val="002777F9"/>
    <w:rsid w:val="00277D51"/>
    <w:rsid w:val="00277DBC"/>
    <w:rsid w:val="002807FD"/>
    <w:rsid w:val="00280E32"/>
    <w:rsid w:val="00280EEF"/>
    <w:rsid w:val="0028162B"/>
    <w:rsid w:val="002818BB"/>
    <w:rsid w:val="00281F3D"/>
    <w:rsid w:val="002828A5"/>
    <w:rsid w:val="00282ABE"/>
    <w:rsid w:val="00282C23"/>
    <w:rsid w:val="00283E10"/>
    <w:rsid w:val="00284972"/>
    <w:rsid w:val="00284A51"/>
    <w:rsid w:val="00284B30"/>
    <w:rsid w:val="00284FC0"/>
    <w:rsid w:val="00285498"/>
    <w:rsid w:val="002855A4"/>
    <w:rsid w:val="00285BD6"/>
    <w:rsid w:val="00285CAE"/>
    <w:rsid w:val="00286E59"/>
    <w:rsid w:val="00286EF9"/>
    <w:rsid w:val="0028719C"/>
    <w:rsid w:val="002874A1"/>
    <w:rsid w:val="002875FC"/>
    <w:rsid w:val="00287861"/>
    <w:rsid w:val="002878D2"/>
    <w:rsid w:val="002879D3"/>
    <w:rsid w:val="00287C81"/>
    <w:rsid w:val="00290631"/>
    <w:rsid w:val="00290F6C"/>
    <w:rsid w:val="00291117"/>
    <w:rsid w:val="002911FC"/>
    <w:rsid w:val="002917E8"/>
    <w:rsid w:val="00291AC4"/>
    <w:rsid w:val="00291BB1"/>
    <w:rsid w:val="00291E70"/>
    <w:rsid w:val="00291F28"/>
    <w:rsid w:val="00292531"/>
    <w:rsid w:val="0029254C"/>
    <w:rsid w:val="00292B24"/>
    <w:rsid w:val="002933BF"/>
    <w:rsid w:val="002937C0"/>
    <w:rsid w:val="0029391C"/>
    <w:rsid w:val="0029412B"/>
    <w:rsid w:val="0029466F"/>
    <w:rsid w:val="00294818"/>
    <w:rsid w:val="002948BC"/>
    <w:rsid w:val="00295251"/>
    <w:rsid w:val="00295B57"/>
    <w:rsid w:val="00295C16"/>
    <w:rsid w:val="00295C9F"/>
    <w:rsid w:val="0029608F"/>
    <w:rsid w:val="00296229"/>
    <w:rsid w:val="00296697"/>
    <w:rsid w:val="002A02A1"/>
    <w:rsid w:val="002A038E"/>
    <w:rsid w:val="002A0397"/>
    <w:rsid w:val="002A06B4"/>
    <w:rsid w:val="002A123E"/>
    <w:rsid w:val="002A1BC5"/>
    <w:rsid w:val="002A1C31"/>
    <w:rsid w:val="002A1CD0"/>
    <w:rsid w:val="002A1EF3"/>
    <w:rsid w:val="002A1F76"/>
    <w:rsid w:val="002A2352"/>
    <w:rsid w:val="002A2620"/>
    <w:rsid w:val="002A2883"/>
    <w:rsid w:val="002A2B03"/>
    <w:rsid w:val="002A2E1A"/>
    <w:rsid w:val="002A32A7"/>
    <w:rsid w:val="002A374D"/>
    <w:rsid w:val="002A3E64"/>
    <w:rsid w:val="002A3E9C"/>
    <w:rsid w:val="002A5173"/>
    <w:rsid w:val="002A51AD"/>
    <w:rsid w:val="002A5540"/>
    <w:rsid w:val="002A56A7"/>
    <w:rsid w:val="002A6F80"/>
    <w:rsid w:val="002A725D"/>
    <w:rsid w:val="002A72E5"/>
    <w:rsid w:val="002A75CE"/>
    <w:rsid w:val="002A77B1"/>
    <w:rsid w:val="002B03D2"/>
    <w:rsid w:val="002B0F8D"/>
    <w:rsid w:val="002B1359"/>
    <w:rsid w:val="002B1E20"/>
    <w:rsid w:val="002B2635"/>
    <w:rsid w:val="002B2C1F"/>
    <w:rsid w:val="002B2FD3"/>
    <w:rsid w:val="002B3026"/>
    <w:rsid w:val="002B31D1"/>
    <w:rsid w:val="002B3777"/>
    <w:rsid w:val="002B386B"/>
    <w:rsid w:val="002B4A85"/>
    <w:rsid w:val="002B4A99"/>
    <w:rsid w:val="002B4E35"/>
    <w:rsid w:val="002B4EFC"/>
    <w:rsid w:val="002B51EB"/>
    <w:rsid w:val="002B5272"/>
    <w:rsid w:val="002B5BA8"/>
    <w:rsid w:val="002B69C4"/>
    <w:rsid w:val="002B73C8"/>
    <w:rsid w:val="002B79ED"/>
    <w:rsid w:val="002B7D6C"/>
    <w:rsid w:val="002B7FAA"/>
    <w:rsid w:val="002C04C7"/>
    <w:rsid w:val="002C0512"/>
    <w:rsid w:val="002C0666"/>
    <w:rsid w:val="002C0F83"/>
    <w:rsid w:val="002C10B9"/>
    <w:rsid w:val="002C1780"/>
    <w:rsid w:val="002C1961"/>
    <w:rsid w:val="002C209A"/>
    <w:rsid w:val="002C2431"/>
    <w:rsid w:val="002C2E09"/>
    <w:rsid w:val="002C2E19"/>
    <w:rsid w:val="002C2FAA"/>
    <w:rsid w:val="002C32AB"/>
    <w:rsid w:val="002C3334"/>
    <w:rsid w:val="002C3568"/>
    <w:rsid w:val="002C39BF"/>
    <w:rsid w:val="002C45AF"/>
    <w:rsid w:val="002C472A"/>
    <w:rsid w:val="002C4C6B"/>
    <w:rsid w:val="002C4D4E"/>
    <w:rsid w:val="002C4D82"/>
    <w:rsid w:val="002C4DC8"/>
    <w:rsid w:val="002C4E87"/>
    <w:rsid w:val="002C4F1F"/>
    <w:rsid w:val="002C5141"/>
    <w:rsid w:val="002C562C"/>
    <w:rsid w:val="002C5AE0"/>
    <w:rsid w:val="002C5B54"/>
    <w:rsid w:val="002C60C5"/>
    <w:rsid w:val="002C7C86"/>
    <w:rsid w:val="002D037D"/>
    <w:rsid w:val="002D0400"/>
    <w:rsid w:val="002D08AE"/>
    <w:rsid w:val="002D0BF4"/>
    <w:rsid w:val="002D0DB6"/>
    <w:rsid w:val="002D22C4"/>
    <w:rsid w:val="002D27EB"/>
    <w:rsid w:val="002D2BC7"/>
    <w:rsid w:val="002D37B0"/>
    <w:rsid w:val="002D3AB3"/>
    <w:rsid w:val="002D3D0F"/>
    <w:rsid w:val="002D4210"/>
    <w:rsid w:val="002D4663"/>
    <w:rsid w:val="002D466F"/>
    <w:rsid w:val="002D4C72"/>
    <w:rsid w:val="002D51E7"/>
    <w:rsid w:val="002D5A4B"/>
    <w:rsid w:val="002D604A"/>
    <w:rsid w:val="002D6341"/>
    <w:rsid w:val="002D6479"/>
    <w:rsid w:val="002D64EC"/>
    <w:rsid w:val="002D6D7D"/>
    <w:rsid w:val="002D722F"/>
    <w:rsid w:val="002D7A1B"/>
    <w:rsid w:val="002D7C6C"/>
    <w:rsid w:val="002E0340"/>
    <w:rsid w:val="002E034A"/>
    <w:rsid w:val="002E10D8"/>
    <w:rsid w:val="002E143B"/>
    <w:rsid w:val="002E1557"/>
    <w:rsid w:val="002E1FB0"/>
    <w:rsid w:val="002E233B"/>
    <w:rsid w:val="002E283B"/>
    <w:rsid w:val="002E2EF6"/>
    <w:rsid w:val="002E2FB7"/>
    <w:rsid w:val="002E3030"/>
    <w:rsid w:val="002E3B51"/>
    <w:rsid w:val="002E44A3"/>
    <w:rsid w:val="002E4751"/>
    <w:rsid w:val="002E47CC"/>
    <w:rsid w:val="002E4C07"/>
    <w:rsid w:val="002E50DB"/>
    <w:rsid w:val="002E52BB"/>
    <w:rsid w:val="002E5BD6"/>
    <w:rsid w:val="002E5D80"/>
    <w:rsid w:val="002E6441"/>
    <w:rsid w:val="002E6FB7"/>
    <w:rsid w:val="002E720C"/>
    <w:rsid w:val="002E76A1"/>
    <w:rsid w:val="002E7DEF"/>
    <w:rsid w:val="002E7E8A"/>
    <w:rsid w:val="002F06D3"/>
    <w:rsid w:val="002F163F"/>
    <w:rsid w:val="002F1FBC"/>
    <w:rsid w:val="002F2211"/>
    <w:rsid w:val="002F26B9"/>
    <w:rsid w:val="002F2C2E"/>
    <w:rsid w:val="002F3058"/>
    <w:rsid w:val="002F34DE"/>
    <w:rsid w:val="002F3E7C"/>
    <w:rsid w:val="002F3ED9"/>
    <w:rsid w:val="002F477B"/>
    <w:rsid w:val="002F4D59"/>
    <w:rsid w:val="002F5063"/>
    <w:rsid w:val="002F5D31"/>
    <w:rsid w:val="002F60F6"/>
    <w:rsid w:val="002F6DD1"/>
    <w:rsid w:val="002F7DBE"/>
    <w:rsid w:val="0030067D"/>
    <w:rsid w:val="003006E6"/>
    <w:rsid w:val="00300896"/>
    <w:rsid w:val="00300EB1"/>
    <w:rsid w:val="00300F70"/>
    <w:rsid w:val="0030108F"/>
    <w:rsid w:val="0030155A"/>
    <w:rsid w:val="00301D1A"/>
    <w:rsid w:val="003020C8"/>
    <w:rsid w:val="003022F8"/>
    <w:rsid w:val="00302647"/>
    <w:rsid w:val="00302CE3"/>
    <w:rsid w:val="0030308C"/>
    <w:rsid w:val="0030350B"/>
    <w:rsid w:val="003035C1"/>
    <w:rsid w:val="00303689"/>
    <w:rsid w:val="0030460A"/>
    <w:rsid w:val="0030476B"/>
    <w:rsid w:val="00304D17"/>
    <w:rsid w:val="00304ED8"/>
    <w:rsid w:val="00304F74"/>
    <w:rsid w:val="0030524D"/>
    <w:rsid w:val="003054C4"/>
    <w:rsid w:val="00305CF1"/>
    <w:rsid w:val="00306145"/>
    <w:rsid w:val="00306733"/>
    <w:rsid w:val="00306CF4"/>
    <w:rsid w:val="00307227"/>
    <w:rsid w:val="00307BD9"/>
    <w:rsid w:val="00307D71"/>
    <w:rsid w:val="00307DA6"/>
    <w:rsid w:val="003106D5"/>
    <w:rsid w:val="00310712"/>
    <w:rsid w:val="00310FF0"/>
    <w:rsid w:val="00311BC5"/>
    <w:rsid w:val="00311CF7"/>
    <w:rsid w:val="003120DA"/>
    <w:rsid w:val="00312952"/>
    <w:rsid w:val="00312E17"/>
    <w:rsid w:val="003132E7"/>
    <w:rsid w:val="003133ED"/>
    <w:rsid w:val="003141D2"/>
    <w:rsid w:val="00314394"/>
    <w:rsid w:val="003146AB"/>
    <w:rsid w:val="003148A3"/>
    <w:rsid w:val="00314EEA"/>
    <w:rsid w:val="0031583A"/>
    <w:rsid w:val="00315A8A"/>
    <w:rsid w:val="00316092"/>
    <w:rsid w:val="003165CF"/>
    <w:rsid w:val="00316D6E"/>
    <w:rsid w:val="00316F5C"/>
    <w:rsid w:val="00316F88"/>
    <w:rsid w:val="003170D9"/>
    <w:rsid w:val="0031758B"/>
    <w:rsid w:val="00317CB4"/>
    <w:rsid w:val="003218D0"/>
    <w:rsid w:val="00321FC8"/>
    <w:rsid w:val="0032219B"/>
    <w:rsid w:val="003226DA"/>
    <w:rsid w:val="003228E1"/>
    <w:rsid w:val="00322963"/>
    <w:rsid w:val="00322A55"/>
    <w:rsid w:val="00322AAC"/>
    <w:rsid w:val="003230B0"/>
    <w:rsid w:val="003232C8"/>
    <w:rsid w:val="003237A8"/>
    <w:rsid w:val="0032391E"/>
    <w:rsid w:val="00324E12"/>
    <w:rsid w:val="00325A72"/>
    <w:rsid w:val="00325A88"/>
    <w:rsid w:val="00325FDC"/>
    <w:rsid w:val="003261B3"/>
    <w:rsid w:val="003262A5"/>
    <w:rsid w:val="003264FC"/>
    <w:rsid w:val="003265FE"/>
    <w:rsid w:val="00326C17"/>
    <w:rsid w:val="00326F9E"/>
    <w:rsid w:val="00327CFC"/>
    <w:rsid w:val="00330CBD"/>
    <w:rsid w:val="0033183C"/>
    <w:rsid w:val="00331D14"/>
    <w:rsid w:val="00331E73"/>
    <w:rsid w:val="0033298B"/>
    <w:rsid w:val="00332B03"/>
    <w:rsid w:val="00333030"/>
    <w:rsid w:val="003337CB"/>
    <w:rsid w:val="00333A00"/>
    <w:rsid w:val="00333E70"/>
    <w:rsid w:val="003343D7"/>
    <w:rsid w:val="00334D0B"/>
    <w:rsid w:val="00334D60"/>
    <w:rsid w:val="00335585"/>
    <w:rsid w:val="0033570C"/>
    <w:rsid w:val="00335AA4"/>
    <w:rsid w:val="00335FA8"/>
    <w:rsid w:val="003361AF"/>
    <w:rsid w:val="003363DA"/>
    <w:rsid w:val="00336547"/>
    <w:rsid w:val="00336BEA"/>
    <w:rsid w:val="00336D94"/>
    <w:rsid w:val="00336F39"/>
    <w:rsid w:val="0033704B"/>
    <w:rsid w:val="003370B3"/>
    <w:rsid w:val="0033749B"/>
    <w:rsid w:val="003376F7"/>
    <w:rsid w:val="00337DCC"/>
    <w:rsid w:val="003400D4"/>
    <w:rsid w:val="00340216"/>
    <w:rsid w:val="00340704"/>
    <w:rsid w:val="003407AA"/>
    <w:rsid w:val="003408D3"/>
    <w:rsid w:val="00340AFB"/>
    <w:rsid w:val="003414AB"/>
    <w:rsid w:val="00341554"/>
    <w:rsid w:val="00341D1F"/>
    <w:rsid w:val="003431C1"/>
    <w:rsid w:val="003439C0"/>
    <w:rsid w:val="00343ADC"/>
    <w:rsid w:val="00343E87"/>
    <w:rsid w:val="003446D6"/>
    <w:rsid w:val="00344901"/>
    <w:rsid w:val="00344DC3"/>
    <w:rsid w:val="00345A60"/>
    <w:rsid w:val="00345AEF"/>
    <w:rsid w:val="00347850"/>
    <w:rsid w:val="003478FF"/>
    <w:rsid w:val="003479A8"/>
    <w:rsid w:val="00347C7E"/>
    <w:rsid w:val="00347C97"/>
    <w:rsid w:val="00350888"/>
    <w:rsid w:val="00350A22"/>
    <w:rsid w:val="003515CF"/>
    <w:rsid w:val="003516F3"/>
    <w:rsid w:val="0035173D"/>
    <w:rsid w:val="0035181D"/>
    <w:rsid w:val="003518BA"/>
    <w:rsid w:val="00351E1C"/>
    <w:rsid w:val="00352193"/>
    <w:rsid w:val="003529E3"/>
    <w:rsid w:val="00352D8F"/>
    <w:rsid w:val="0035314B"/>
    <w:rsid w:val="003532E6"/>
    <w:rsid w:val="0035332D"/>
    <w:rsid w:val="003537AF"/>
    <w:rsid w:val="00354093"/>
    <w:rsid w:val="00354103"/>
    <w:rsid w:val="0035453B"/>
    <w:rsid w:val="00354600"/>
    <w:rsid w:val="00355247"/>
    <w:rsid w:val="003556A7"/>
    <w:rsid w:val="00355BDE"/>
    <w:rsid w:val="003560B1"/>
    <w:rsid w:val="0035685F"/>
    <w:rsid w:val="00356EE4"/>
    <w:rsid w:val="00356F3E"/>
    <w:rsid w:val="00357414"/>
    <w:rsid w:val="0036010A"/>
    <w:rsid w:val="003601F7"/>
    <w:rsid w:val="00360240"/>
    <w:rsid w:val="003604C9"/>
    <w:rsid w:val="0036093E"/>
    <w:rsid w:val="00360B3F"/>
    <w:rsid w:val="00360CCE"/>
    <w:rsid w:val="00360DAF"/>
    <w:rsid w:val="00361115"/>
    <w:rsid w:val="00361261"/>
    <w:rsid w:val="00361640"/>
    <w:rsid w:val="00361735"/>
    <w:rsid w:val="00361985"/>
    <w:rsid w:val="00361BE3"/>
    <w:rsid w:val="0036205A"/>
    <w:rsid w:val="0036233E"/>
    <w:rsid w:val="0036266A"/>
    <w:rsid w:val="0036279B"/>
    <w:rsid w:val="00362A5B"/>
    <w:rsid w:val="003633CD"/>
    <w:rsid w:val="00363D81"/>
    <w:rsid w:val="003640CB"/>
    <w:rsid w:val="00364105"/>
    <w:rsid w:val="0036462C"/>
    <w:rsid w:val="00364764"/>
    <w:rsid w:val="00364DD3"/>
    <w:rsid w:val="00365120"/>
    <w:rsid w:val="00365232"/>
    <w:rsid w:val="0036596C"/>
    <w:rsid w:val="00365D3B"/>
    <w:rsid w:val="00365D62"/>
    <w:rsid w:val="00365D66"/>
    <w:rsid w:val="0036654C"/>
    <w:rsid w:val="0036693B"/>
    <w:rsid w:val="00366D0B"/>
    <w:rsid w:val="00367D6E"/>
    <w:rsid w:val="00367ECB"/>
    <w:rsid w:val="003703A5"/>
    <w:rsid w:val="003707CF"/>
    <w:rsid w:val="003709B2"/>
    <w:rsid w:val="003709C3"/>
    <w:rsid w:val="0037163F"/>
    <w:rsid w:val="003719AA"/>
    <w:rsid w:val="00372670"/>
    <w:rsid w:val="00372782"/>
    <w:rsid w:val="0037289E"/>
    <w:rsid w:val="00372BDC"/>
    <w:rsid w:val="00372E25"/>
    <w:rsid w:val="003730F4"/>
    <w:rsid w:val="0037328A"/>
    <w:rsid w:val="00373A97"/>
    <w:rsid w:val="00373B86"/>
    <w:rsid w:val="00373C64"/>
    <w:rsid w:val="00373EFD"/>
    <w:rsid w:val="00373F4A"/>
    <w:rsid w:val="0037425E"/>
    <w:rsid w:val="0037450A"/>
    <w:rsid w:val="00374A27"/>
    <w:rsid w:val="00375642"/>
    <w:rsid w:val="00376212"/>
    <w:rsid w:val="0037631A"/>
    <w:rsid w:val="00376489"/>
    <w:rsid w:val="00376F64"/>
    <w:rsid w:val="003772D0"/>
    <w:rsid w:val="00377532"/>
    <w:rsid w:val="00377E83"/>
    <w:rsid w:val="00380139"/>
    <w:rsid w:val="003803E5"/>
    <w:rsid w:val="0038083D"/>
    <w:rsid w:val="003816C7"/>
    <w:rsid w:val="00381A34"/>
    <w:rsid w:val="00381C58"/>
    <w:rsid w:val="00381D7E"/>
    <w:rsid w:val="00382AB6"/>
    <w:rsid w:val="00383396"/>
    <w:rsid w:val="003833DE"/>
    <w:rsid w:val="00383411"/>
    <w:rsid w:val="00383657"/>
    <w:rsid w:val="00383669"/>
    <w:rsid w:val="00383804"/>
    <w:rsid w:val="00383927"/>
    <w:rsid w:val="00383AF5"/>
    <w:rsid w:val="00383F80"/>
    <w:rsid w:val="00383FF3"/>
    <w:rsid w:val="0038415F"/>
    <w:rsid w:val="0038453C"/>
    <w:rsid w:val="003849DD"/>
    <w:rsid w:val="00384D1F"/>
    <w:rsid w:val="00385016"/>
    <w:rsid w:val="00385641"/>
    <w:rsid w:val="00385A60"/>
    <w:rsid w:val="00385E24"/>
    <w:rsid w:val="003864B3"/>
    <w:rsid w:val="00386A54"/>
    <w:rsid w:val="00386C4F"/>
    <w:rsid w:val="00386E48"/>
    <w:rsid w:val="00387262"/>
    <w:rsid w:val="0038735E"/>
    <w:rsid w:val="003879B3"/>
    <w:rsid w:val="00390495"/>
    <w:rsid w:val="00390D1D"/>
    <w:rsid w:val="0039106B"/>
    <w:rsid w:val="0039191F"/>
    <w:rsid w:val="00391AAE"/>
    <w:rsid w:val="00391BF0"/>
    <w:rsid w:val="00391C98"/>
    <w:rsid w:val="003923A4"/>
    <w:rsid w:val="0039240D"/>
    <w:rsid w:val="00392509"/>
    <w:rsid w:val="003928EF"/>
    <w:rsid w:val="00392CDB"/>
    <w:rsid w:val="00392DA0"/>
    <w:rsid w:val="00392DE7"/>
    <w:rsid w:val="00392FA5"/>
    <w:rsid w:val="003937FB"/>
    <w:rsid w:val="00393B26"/>
    <w:rsid w:val="00394776"/>
    <w:rsid w:val="003948CA"/>
    <w:rsid w:val="00394A08"/>
    <w:rsid w:val="00394A5F"/>
    <w:rsid w:val="00394BA9"/>
    <w:rsid w:val="00394E66"/>
    <w:rsid w:val="00395056"/>
    <w:rsid w:val="003953D5"/>
    <w:rsid w:val="00395640"/>
    <w:rsid w:val="003956D6"/>
    <w:rsid w:val="00395E80"/>
    <w:rsid w:val="003961A9"/>
    <w:rsid w:val="0039688F"/>
    <w:rsid w:val="00396AC0"/>
    <w:rsid w:val="00396BAC"/>
    <w:rsid w:val="003972E5"/>
    <w:rsid w:val="00397822"/>
    <w:rsid w:val="00397E83"/>
    <w:rsid w:val="003A058D"/>
    <w:rsid w:val="003A091D"/>
    <w:rsid w:val="003A1156"/>
    <w:rsid w:val="003A144C"/>
    <w:rsid w:val="003A14A6"/>
    <w:rsid w:val="003A2396"/>
    <w:rsid w:val="003A2E17"/>
    <w:rsid w:val="003A3828"/>
    <w:rsid w:val="003A3B41"/>
    <w:rsid w:val="003A3BAD"/>
    <w:rsid w:val="003A3CE8"/>
    <w:rsid w:val="003A4331"/>
    <w:rsid w:val="003A47BA"/>
    <w:rsid w:val="003A498D"/>
    <w:rsid w:val="003A49D3"/>
    <w:rsid w:val="003A5311"/>
    <w:rsid w:val="003A6138"/>
    <w:rsid w:val="003A6290"/>
    <w:rsid w:val="003A667B"/>
    <w:rsid w:val="003A7042"/>
    <w:rsid w:val="003A71B6"/>
    <w:rsid w:val="003A724B"/>
    <w:rsid w:val="003A7290"/>
    <w:rsid w:val="003A7391"/>
    <w:rsid w:val="003A748C"/>
    <w:rsid w:val="003A78BF"/>
    <w:rsid w:val="003B0228"/>
    <w:rsid w:val="003B09F4"/>
    <w:rsid w:val="003B0C6C"/>
    <w:rsid w:val="003B0CA6"/>
    <w:rsid w:val="003B0D09"/>
    <w:rsid w:val="003B0E44"/>
    <w:rsid w:val="003B0E50"/>
    <w:rsid w:val="003B12CA"/>
    <w:rsid w:val="003B1600"/>
    <w:rsid w:val="003B1B07"/>
    <w:rsid w:val="003B1B4D"/>
    <w:rsid w:val="003B2168"/>
    <w:rsid w:val="003B2821"/>
    <w:rsid w:val="003B296E"/>
    <w:rsid w:val="003B2BD9"/>
    <w:rsid w:val="003B3505"/>
    <w:rsid w:val="003B4068"/>
    <w:rsid w:val="003B4838"/>
    <w:rsid w:val="003B4BD4"/>
    <w:rsid w:val="003B6107"/>
    <w:rsid w:val="003B62A3"/>
    <w:rsid w:val="003B65E8"/>
    <w:rsid w:val="003B6C5E"/>
    <w:rsid w:val="003B6F32"/>
    <w:rsid w:val="003B74C0"/>
    <w:rsid w:val="003B78DE"/>
    <w:rsid w:val="003B7D8F"/>
    <w:rsid w:val="003C0078"/>
    <w:rsid w:val="003C07ED"/>
    <w:rsid w:val="003C0A9D"/>
    <w:rsid w:val="003C137D"/>
    <w:rsid w:val="003C15E1"/>
    <w:rsid w:val="003C17D9"/>
    <w:rsid w:val="003C1854"/>
    <w:rsid w:val="003C196D"/>
    <w:rsid w:val="003C2026"/>
    <w:rsid w:val="003C210F"/>
    <w:rsid w:val="003C222E"/>
    <w:rsid w:val="003C26FE"/>
    <w:rsid w:val="003C294D"/>
    <w:rsid w:val="003C2968"/>
    <w:rsid w:val="003C29E2"/>
    <w:rsid w:val="003C2B4E"/>
    <w:rsid w:val="003C2D6B"/>
    <w:rsid w:val="003C2E80"/>
    <w:rsid w:val="003C40BD"/>
    <w:rsid w:val="003C55F0"/>
    <w:rsid w:val="003C6107"/>
    <w:rsid w:val="003C65BF"/>
    <w:rsid w:val="003C6C0E"/>
    <w:rsid w:val="003C72AB"/>
    <w:rsid w:val="003C781F"/>
    <w:rsid w:val="003C78D7"/>
    <w:rsid w:val="003C7922"/>
    <w:rsid w:val="003C7964"/>
    <w:rsid w:val="003C7C4F"/>
    <w:rsid w:val="003D04D8"/>
    <w:rsid w:val="003D06DE"/>
    <w:rsid w:val="003D0980"/>
    <w:rsid w:val="003D0BD5"/>
    <w:rsid w:val="003D0CD8"/>
    <w:rsid w:val="003D0D65"/>
    <w:rsid w:val="003D13EE"/>
    <w:rsid w:val="003D15DA"/>
    <w:rsid w:val="003D227C"/>
    <w:rsid w:val="003D290D"/>
    <w:rsid w:val="003D3804"/>
    <w:rsid w:val="003D3A67"/>
    <w:rsid w:val="003D41BB"/>
    <w:rsid w:val="003D42D3"/>
    <w:rsid w:val="003D47C5"/>
    <w:rsid w:val="003D49A1"/>
    <w:rsid w:val="003D4A48"/>
    <w:rsid w:val="003D4E19"/>
    <w:rsid w:val="003D52CF"/>
    <w:rsid w:val="003D571B"/>
    <w:rsid w:val="003D685E"/>
    <w:rsid w:val="003D6CD0"/>
    <w:rsid w:val="003D7AD8"/>
    <w:rsid w:val="003D7D85"/>
    <w:rsid w:val="003E045A"/>
    <w:rsid w:val="003E061B"/>
    <w:rsid w:val="003E0727"/>
    <w:rsid w:val="003E076F"/>
    <w:rsid w:val="003E0ADA"/>
    <w:rsid w:val="003E0C8A"/>
    <w:rsid w:val="003E0F2C"/>
    <w:rsid w:val="003E11E8"/>
    <w:rsid w:val="003E1C86"/>
    <w:rsid w:val="003E2757"/>
    <w:rsid w:val="003E2820"/>
    <w:rsid w:val="003E2E42"/>
    <w:rsid w:val="003E31BF"/>
    <w:rsid w:val="003E38E5"/>
    <w:rsid w:val="003E3E08"/>
    <w:rsid w:val="003E445B"/>
    <w:rsid w:val="003E4AD0"/>
    <w:rsid w:val="003E4F20"/>
    <w:rsid w:val="003E56B8"/>
    <w:rsid w:val="003E5D39"/>
    <w:rsid w:val="003E648B"/>
    <w:rsid w:val="003E67D5"/>
    <w:rsid w:val="003E6D4C"/>
    <w:rsid w:val="003E6F5C"/>
    <w:rsid w:val="003E7885"/>
    <w:rsid w:val="003F0825"/>
    <w:rsid w:val="003F09D3"/>
    <w:rsid w:val="003F0A80"/>
    <w:rsid w:val="003F0D98"/>
    <w:rsid w:val="003F1E13"/>
    <w:rsid w:val="003F2162"/>
    <w:rsid w:val="003F21B7"/>
    <w:rsid w:val="003F263B"/>
    <w:rsid w:val="003F3417"/>
    <w:rsid w:val="003F357A"/>
    <w:rsid w:val="003F3E0A"/>
    <w:rsid w:val="003F40A7"/>
    <w:rsid w:val="003F4182"/>
    <w:rsid w:val="003F42F0"/>
    <w:rsid w:val="003F453B"/>
    <w:rsid w:val="003F47E8"/>
    <w:rsid w:val="003F4BD6"/>
    <w:rsid w:val="003F4E38"/>
    <w:rsid w:val="003F576F"/>
    <w:rsid w:val="003F6754"/>
    <w:rsid w:val="003F6947"/>
    <w:rsid w:val="003F6C75"/>
    <w:rsid w:val="003F6C86"/>
    <w:rsid w:val="003F704C"/>
    <w:rsid w:val="003F73E7"/>
    <w:rsid w:val="003F778A"/>
    <w:rsid w:val="003F7E98"/>
    <w:rsid w:val="003F7ED4"/>
    <w:rsid w:val="0040046C"/>
    <w:rsid w:val="0040059E"/>
    <w:rsid w:val="004007DE"/>
    <w:rsid w:val="0040096F"/>
    <w:rsid w:val="00400ABB"/>
    <w:rsid w:val="00400BFC"/>
    <w:rsid w:val="00400F94"/>
    <w:rsid w:val="00401269"/>
    <w:rsid w:val="00401D39"/>
    <w:rsid w:val="00402FF5"/>
    <w:rsid w:val="00403173"/>
    <w:rsid w:val="00403768"/>
    <w:rsid w:val="00403C60"/>
    <w:rsid w:val="00403CFF"/>
    <w:rsid w:val="00404141"/>
    <w:rsid w:val="00404277"/>
    <w:rsid w:val="00404405"/>
    <w:rsid w:val="004048D7"/>
    <w:rsid w:val="00404EB5"/>
    <w:rsid w:val="00404EE1"/>
    <w:rsid w:val="00404EE8"/>
    <w:rsid w:val="00405A02"/>
    <w:rsid w:val="00405AD2"/>
    <w:rsid w:val="00406604"/>
    <w:rsid w:val="00406B7C"/>
    <w:rsid w:val="00406D98"/>
    <w:rsid w:val="00406E6B"/>
    <w:rsid w:val="00407349"/>
    <w:rsid w:val="00407469"/>
    <w:rsid w:val="00407E63"/>
    <w:rsid w:val="00407F0B"/>
    <w:rsid w:val="004104CD"/>
    <w:rsid w:val="004108BB"/>
    <w:rsid w:val="00410C89"/>
    <w:rsid w:val="00410E1B"/>
    <w:rsid w:val="00410EFD"/>
    <w:rsid w:val="004114E8"/>
    <w:rsid w:val="004118BD"/>
    <w:rsid w:val="00411A97"/>
    <w:rsid w:val="00411AAB"/>
    <w:rsid w:val="00411E72"/>
    <w:rsid w:val="00412085"/>
    <w:rsid w:val="0041268E"/>
    <w:rsid w:val="004127A6"/>
    <w:rsid w:val="004130E6"/>
    <w:rsid w:val="004138E2"/>
    <w:rsid w:val="0041458C"/>
    <w:rsid w:val="004148DA"/>
    <w:rsid w:val="00414ABC"/>
    <w:rsid w:val="00414EF3"/>
    <w:rsid w:val="00415BDD"/>
    <w:rsid w:val="004164E4"/>
    <w:rsid w:val="004168AA"/>
    <w:rsid w:val="00416AEC"/>
    <w:rsid w:val="00416DF2"/>
    <w:rsid w:val="00417674"/>
    <w:rsid w:val="00420203"/>
    <w:rsid w:val="0042037F"/>
    <w:rsid w:val="00420DFF"/>
    <w:rsid w:val="00420E08"/>
    <w:rsid w:val="004210E8"/>
    <w:rsid w:val="00421360"/>
    <w:rsid w:val="00422313"/>
    <w:rsid w:val="00422537"/>
    <w:rsid w:val="004227FA"/>
    <w:rsid w:val="004228C2"/>
    <w:rsid w:val="0042297C"/>
    <w:rsid w:val="00422ED1"/>
    <w:rsid w:val="0042345C"/>
    <w:rsid w:val="004234E1"/>
    <w:rsid w:val="00423B46"/>
    <w:rsid w:val="00423F1B"/>
    <w:rsid w:val="00424654"/>
    <w:rsid w:val="004246F3"/>
    <w:rsid w:val="00424832"/>
    <w:rsid w:val="00424833"/>
    <w:rsid w:val="00424DD0"/>
    <w:rsid w:val="004250DD"/>
    <w:rsid w:val="0042523C"/>
    <w:rsid w:val="004258D6"/>
    <w:rsid w:val="00425BAE"/>
    <w:rsid w:val="00425FBE"/>
    <w:rsid w:val="004261B1"/>
    <w:rsid w:val="00426272"/>
    <w:rsid w:val="004262C9"/>
    <w:rsid w:val="004267EF"/>
    <w:rsid w:val="00426C50"/>
    <w:rsid w:val="00426CF6"/>
    <w:rsid w:val="004271AF"/>
    <w:rsid w:val="00427735"/>
    <w:rsid w:val="004278DF"/>
    <w:rsid w:val="00427AC1"/>
    <w:rsid w:val="00427C08"/>
    <w:rsid w:val="00427F02"/>
    <w:rsid w:val="00430819"/>
    <w:rsid w:val="004318EB"/>
    <w:rsid w:val="00431C43"/>
    <w:rsid w:val="00431C4A"/>
    <w:rsid w:val="00431E17"/>
    <w:rsid w:val="00432260"/>
    <w:rsid w:val="00432C05"/>
    <w:rsid w:val="00432EEE"/>
    <w:rsid w:val="004331BF"/>
    <w:rsid w:val="00433541"/>
    <w:rsid w:val="0043394F"/>
    <w:rsid w:val="00433D0A"/>
    <w:rsid w:val="00433D3F"/>
    <w:rsid w:val="00433EB1"/>
    <w:rsid w:val="00433F27"/>
    <w:rsid w:val="0043448D"/>
    <w:rsid w:val="00434514"/>
    <w:rsid w:val="00434531"/>
    <w:rsid w:val="004350EE"/>
    <w:rsid w:val="00435369"/>
    <w:rsid w:val="004359AA"/>
    <w:rsid w:val="00435EC3"/>
    <w:rsid w:val="00436486"/>
    <w:rsid w:val="004365FE"/>
    <w:rsid w:val="00436B6A"/>
    <w:rsid w:val="00436E6E"/>
    <w:rsid w:val="004374A4"/>
    <w:rsid w:val="00437BBA"/>
    <w:rsid w:val="00437CF6"/>
    <w:rsid w:val="004401AD"/>
    <w:rsid w:val="004402B1"/>
    <w:rsid w:val="0044039E"/>
    <w:rsid w:val="004407EF"/>
    <w:rsid w:val="00440EEF"/>
    <w:rsid w:val="00440F7D"/>
    <w:rsid w:val="00441BA1"/>
    <w:rsid w:val="00441E2E"/>
    <w:rsid w:val="00442475"/>
    <w:rsid w:val="00442DD3"/>
    <w:rsid w:val="00442F18"/>
    <w:rsid w:val="004430E7"/>
    <w:rsid w:val="004433C7"/>
    <w:rsid w:val="00443DD6"/>
    <w:rsid w:val="00443E3B"/>
    <w:rsid w:val="004440FB"/>
    <w:rsid w:val="00444487"/>
    <w:rsid w:val="004446BB"/>
    <w:rsid w:val="00445D0D"/>
    <w:rsid w:val="00446848"/>
    <w:rsid w:val="00446AE7"/>
    <w:rsid w:val="00446F41"/>
    <w:rsid w:val="00446F86"/>
    <w:rsid w:val="00447226"/>
    <w:rsid w:val="00450E0A"/>
    <w:rsid w:val="00450EC0"/>
    <w:rsid w:val="00450FC4"/>
    <w:rsid w:val="00451184"/>
    <w:rsid w:val="00451713"/>
    <w:rsid w:val="00451B03"/>
    <w:rsid w:val="00451DE7"/>
    <w:rsid w:val="00452256"/>
    <w:rsid w:val="00453202"/>
    <w:rsid w:val="00453A6B"/>
    <w:rsid w:val="00453A9B"/>
    <w:rsid w:val="00454485"/>
    <w:rsid w:val="00454CFC"/>
    <w:rsid w:val="00454DD6"/>
    <w:rsid w:val="0045525C"/>
    <w:rsid w:val="0045535D"/>
    <w:rsid w:val="004557E9"/>
    <w:rsid w:val="00455CC1"/>
    <w:rsid w:val="004561D1"/>
    <w:rsid w:val="00456478"/>
    <w:rsid w:val="00456534"/>
    <w:rsid w:val="0045657C"/>
    <w:rsid w:val="00456674"/>
    <w:rsid w:val="00456A5E"/>
    <w:rsid w:val="00456E26"/>
    <w:rsid w:val="00457701"/>
    <w:rsid w:val="0045773F"/>
    <w:rsid w:val="00457E4D"/>
    <w:rsid w:val="004605B4"/>
    <w:rsid w:val="00460B47"/>
    <w:rsid w:val="00460B56"/>
    <w:rsid w:val="0046115D"/>
    <w:rsid w:val="00461366"/>
    <w:rsid w:val="0046193F"/>
    <w:rsid w:val="00461FD4"/>
    <w:rsid w:val="004621B5"/>
    <w:rsid w:val="004623FA"/>
    <w:rsid w:val="00462805"/>
    <w:rsid w:val="00462BCF"/>
    <w:rsid w:val="00462C79"/>
    <w:rsid w:val="00462E45"/>
    <w:rsid w:val="00462EC8"/>
    <w:rsid w:val="0046368F"/>
    <w:rsid w:val="00463777"/>
    <w:rsid w:val="00463CB7"/>
    <w:rsid w:val="00463E34"/>
    <w:rsid w:val="00464529"/>
    <w:rsid w:val="00464942"/>
    <w:rsid w:val="00464BDF"/>
    <w:rsid w:val="0046500D"/>
    <w:rsid w:val="0046518C"/>
    <w:rsid w:val="00465951"/>
    <w:rsid w:val="0046666A"/>
    <w:rsid w:val="004666DC"/>
    <w:rsid w:val="0046675E"/>
    <w:rsid w:val="00466845"/>
    <w:rsid w:val="0046762A"/>
    <w:rsid w:val="00467697"/>
    <w:rsid w:val="004702DA"/>
    <w:rsid w:val="004704BC"/>
    <w:rsid w:val="00470507"/>
    <w:rsid w:val="00470868"/>
    <w:rsid w:val="004709E5"/>
    <w:rsid w:val="00470FB2"/>
    <w:rsid w:val="00471220"/>
    <w:rsid w:val="004712D0"/>
    <w:rsid w:val="004727F6"/>
    <w:rsid w:val="00472D25"/>
    <w:rsid w:val="00472F2D"/>
    <w:rsid w:val="004731CA"/>
    <w:rsid w:val="004733E2"/>
    <w:rsid w:val="00473F08"/>
    <w:rsid w:val="004740A1"/>
    <w:rsid w:val="00474497"/>
    <w:rsid w:val="00475043"/>
    <w:rsid w:val="00475060"/>
    <w:rsid w:val="00475295"/>
    <w:rsid w:val="00475674"/>
    <w:rsid w:val="00475CB7"/>
    <w:rsid w:val="00475DE0"/>
    <w:rsid w:val="00475E36"/>
    <w:rsid w:val="00476F10"/>
    <w:rsid w:val="00477103"/>
    <w:rsid w:val="00477A93"/>
    <w:rsid w:val="00477B67"/>
    <w:rsid w:val="00477FA0"/>
    <w:rsid w:val="00480270"/>
    <w:rsid w:val="00480AA4"/>
    <w:rsid w:val="00480B89"/>
    <w:rsid w:val="00480DFD"/>
    <w:rsid w:val="00480FB4"/>
    <w:rsid w:val="00481099"/>
    <w:rsid w:val="004810EA"/>
    <w:rsid w:val="00481107"/>
    <w:rsid w:val="00481468"/>
    <w:rsid w:val="00481783"/>
    <w:rsid w:val="004817A8"/>
    <w:rsid w:val="00481926"/>
    <w:rsid w:val="00481ADA"/>
    <w:rsid w:val="00482026"/>
    <w:rsid w:val="0048204B"/>
    <w:rsid w:val="00482105"/>
    <w:rsid w:val="00482519"/>
    <w:rsid w:val="004827D3"/>
    <w:rsid w:val="004833EA"/>
    <w:rsid w:val="00483D24"/>
    <w:rsid w:val="00484EBC"/>
    <w:rsid w:val="00484FEC"/>
    <w:rsid w:val="00485CD3"/>
    <w:rsid w:val="00485FC4"/>
    <w:rsid w:val="00485FFC"/>
    <w:rsid w:val="00486476"/>
    <w:rsid w:val="00486746"/>
    <w:rsid w:val="00486B2A"/>
    <w:rsid w:val="0048775D"/>
    <w:rsid w:val="004879FE"/>
    <w:rsid w:val="00490B0C"/>
    <w:rsid w:val="004913C3"/>
    <w:rsid w:val="004913E6"/>
    <w:rsid w:val="004913FA"/>
    <w:rsid w:val="004916F4"/>
    <w:rsid w:val="00492022"/>
    <w:rsid w:val="004925DB"/>
    <w:rsid w:val="00492E57"/>
    <w:rsid w:val="0049347C"/>
    <w:rsid w:val="004937CF"/>
    <w:rsid w:val="00494009"/>
    <w:rsid w:val="004941ED"/>
    <w:rsid w:val="004941F3"/>
    <w:rsid w:val="00494654"/>
    <w:rsid w:val="004955DE"/>
    <w:rsid w:val="0049596C"/>
    <w:rsid w:val="00495EB1"/>
    <w:rsid w:val="00496017"/>
    <w:rsid w:val="0049673C"/>
    <w:rsid w:val="00496775"/>
    <w:rsid w:val="0049734C"/>
    <w:rsid w:val="004974C4"/>
    <w:rsid w:val="004978E7"/>
    <w:rsid w:val="004A07FC"/>
    <w:rsid w:val="004A09CD"/>
    <w:rsid w:val="004A0D6E"/>
    <w:rsid w:val="004A0EB5"/>
    <w:rsid w:val="004A11FB"/>
    <w:rsid w:val="004A125E"/>
    <w:rsid w:val="004A151E"/>
    <w:rsid w:val="004A1A06"/>
    <w:rsid w:val="004A1BA9"/>
    <w:rsid w:val="004A1C3D"/>
    <w:rsid w:val="004A1ED9"/>
    <w:rsid w:val="004A24A4"/>
    <w:rsid w:val="004A2586"/>
    <w:rsid w:val="004A29F8"/>
    <w:rsid w:val="004A2A56"/>
    <w:rsid w:val="004A2B4F"/>
    <w:rsid w:val="004A34CF"/>
    <w:rsid w:val="004A39D5"/>
    <w:rsid w:val="004A447E"/>
    <w:rsid w:val="004A4D4D"/>
    <w:rsid w:val="004A580E"/>
    <w:rsid w:val="004A65ED"/>
    <w:rsid w:val="004A6AE7"/>
    <w:rsid w:val="004A6B64"/>
    <w:rsid w:val="004A7BAB"/>
    <w:rsid w:val="004A7CEE"/>
    <w:rsid w:val="004B0258"/>
    <w:rsid w:val="004B0347"/>
    <w:rsid w:val="004B06EB"/>
    <w:rsid w:val="004B1784"/>
    <w:rsid w:val="004B1D01"/>
    <w:rsid w:val="004B1E04"/>
    <w:rsid w:val="004B2305"/>
    <w:rsid w:val="004B240B"/>
    <w:rsid w:val="004B297E"/>
    <w:rsid w:val="004B2C71"/>
    <w:rsid w:val="004B2F57"/>
    <w:rsid w:val="004B30FF"/>
    <w:rsid w:val="004B33ED"/>
    <w:rsid w:val="004B3725"/>
    <w:rsid w:val="004B3E95"/>
    <w:rsid w:val="004B4114"/>
    <w:rsid w:val="004B4526"/>
    <w:rsid w:val="004B4562"/>
    <w:rsid w:val="004B4964"/>
    <w:rsid w:val="004B4B65"/>
    <w:rsid w:val="004B54E9"/>
    <w:rsid w:val="004B5B25"/>
    <w:rsid w:val="004B6277"/>
    <w:rsid w:val="004B6557"/>
    <w:rsid w:val="004B698A"/>
    <w:rsid w:val="004B69E9"/>
    <w:rsid w:val="004B6AFE"/>
    <w:rsid w:val="004B731E"/>
    <w:rsid w:val="004B799B"/>
    <w:rsid w:val="004B79FB"/>
    <w:rsid w:val="004B7C64"/>
    <w:rsid w:val="004C025E"/>
    <w:rsid w:val="004C02A1"/>
    <w:rsid w:val="004C04E7"/>
    <w:rsid w:val="004C0DDD"/>
    <w:rsid w:val="004C1334"/>
    <w:rsid w:val="004C15A7"/>
    <w:rsid w:val="004C1682"/>
    <w:rsid w:val="004C2B5B"/>
    <w:rsid w:val="004C2E65"/>
    <w:rsid w:val="004C31D6"/>
    <w:rsid w:val="004C3580"/>
    <w:rsid w:val="004C3832"/>
    <w:rsid w:val="004C3D58"/>
    <w:rsid w:val="004C4A36"/>
    <w:rsid w:val="004C4D66"/>
    <w:rsid w:val="004C597B"/>
    <w:rsid w:val="004C5EA2"/>
    <w:rsid w:val="004C6324"/>
    <w:rsid w:val="004C683E"/>
    <w:rsid w:val="004C6AC7"/>
    <w:rsid w:val="004C700E"/>
    <w:rsid w:val="004C73FD"/>
    <w:rsid w:val="004C7630"/>
    <w:rsid w:val="004C7731"/>
    <w:rsid w:val="004C775B"/>
    <w:rsid w:val="004C7A08"/>
    <w:rsid w:val="004C7EFD"/>
    <w:rsid w:val="004D02B0"/>
    <w:rsid w:val="004D02F5"/>
    <w:rsid w:val="004D035B"/>
    <w:rsid w:val="004D07B0"/>
    <w:rsid w:val="004D0B57"/>
    <w:rsid w:val="004D1285"/>
    <w:rsid w:val="004D136F"/>
    <w:rsid w:val="004D195D"/>
    <w:rsid w:val="004D1AB9"/>
    <w:rsid w:val="004D1EDC"/>
    <w:rsid w:val="004D2AB2"/>
    <w:rsid w:val="004D3425"/>
    <w:rsid w:val="004D347A"/>
    <w:rsid w:val="004D383A"/>
    <w:rsid w:val="004D39B2"/>
    <w:rsid w:val="004D400E"/>
    <w:rsid w:val="004D41BB"/>
    <w:rsid w:val="004D4598"/>
    <w:rsid w:val="004D5019"/>
    <w:rsid w:val="004D5304"/>
    <w:rsid w:val="004D5426"/>
    <w:rsid w:val="004D579C"/>
    <w:rsid w:val="004D6287"/>
    <w:rsid w:val="004D6B5D"/>
    <w:rsid w:val="004D758D"/>
    <w:rsid w:val="004D768B"/>
    <w:rsid w:val="004E017E"/>
    <w:rsid w:val="004E0F4B"/>
    <w:rsid w:val="004E117E"/>
    <w:rsid w:val="004E1605"/>
    <w:rsid w:val="004E18FA"/>
    <w:rsid w:val="004E1C8E"/>
    <w:rsid w:val="004E393A"/>
    <w:rsid w:val="004E4460"/>
    <w:rsid w:val="004E503F"/>
    <w:rsid w:val="004E5437"/>
    <w:rsid w:val="004E547B"/>
    <w:rsid w:val="004E5A04"/>
    <w:rsid w:val="004E64DC"/>
    <w:rsid w:val="004E65E8"/>
    <w:rsid w:val="004E674D"/>
    <w:rsid w:val="004E6999"/>
    <w:rsid w:val="004E6F18"/>
    <w:rsid w:val="004E793A"/>
    <w:rsid w:val="004E7969"/>
    <w:rsid w:val="004E7D5A"/>
    <w:rsid w:val="004F03C3"/>
    <w:rsid w:val="004F0AC2"/>
    <w:rsid w:val="004F0FFB"/>
    <w:rsid w:val="004F1C8F"/>
    <w:rsid w:val="004F21CB"/>
    <w:rsid w:val="004F2370"/>
    <w:rsid w:val="004F2CBB"/>
    <w:rsid w:val="004F3015"/>
    <w:rsid w:val="004F30BB"/>
    <w:rsid w:val="004F342B"/>
    <w:rsid w:val="004F35B3"/>
    <w:rsid w:val="004F3C2B"/>
    <w:rsid w:val="004F3D25"/>
    <w:rsid w:val="004F4A5F"/>
    <w:rsid w:val="004F4CA2"/>
    <w:rsid w:val="004F5102"/>
    <w:rsid w:val="004F559F"/>
    <w:rsid w:val="004F55AE"/>
    <w:rsid w:val="004F6801"/>
    <w:rsid w:val="004F6ED2"/>
    <w:rsid w:val="004F6F30"/>
    <w:rsid w:val="004F7D8A"/>
    <w:rsid w:val="004F7E90"/>
    <w:rsid w:val="004F7F08"/>
    <w:rsid w:val="00500266"/>
    <w:rsid w:val="005004B6"/>
    <w:rsid w:val="005004D9"/>
    <w:rsid w:val="00500900"/>
    <w:rsid w:val="0050117E"/>
    <w:rsid w:val="005024A1"/>
    <w:rsid w:val="005031ED"/>
    <w:rsid w:val="005033B0"/>
    <w:rsid w:val="005036E6"/>
    <w:rsid w:val="00503796"/>
    <w:rsid w:val="00504447"/>
    <w:rsid w:val="00504760"/>
    <w:rsid w:val="00504ADE"/>
    <w:rsid w:val="00504FBD"/>
    <w:rsid w:val="00504FD3"/>
    <w:rsid w:val="005054E0"/>
    <w:rsid w:val="005056A2"/>
    <w:rsid w:val="00505C0C"/>
    <w:rsid w:val="00505DD7"/>
    <w:rsid w:val="00506478"/>
    <w:rsid w:val="00506773"/>
    <w:rsid w:val="00506FB2"/>
    <w:rsid w:val="005070F1"/>
    <w:rsid w:val="0050728B"/>
    <w:rsid w:val="005077C5"/>
    <w:rsid w:val="00507AD3"/>
    <w:rsid w:val="00507BCE"/>
    <w:rsid w:val="00507F80"/>
    <w:rsid w:val="005104C2"/>
    <w:rsid w:val="0051063D"/>
    <w:rsid w:val="00510687"/>
    <w:rsid w:val="00510B3A"/>
    <w:rsid w:val="00510E4D"/>
    <w:rsid w:val="005111C0"/>
    <w:rsid w:val="0051191E"/>
    <w:rsid w:val="00511A4E"/>
    <w:rsid w:val="00511E66"/>
    <w:rsid w:val="00512E8E"/>
    <w:rsid w:val="0051313B"/>
    <w:rsid w:val="005131C5"/>
    <w:rsid w:val="0051360C"/>
    <w:rsid w:val="005137F6"/>
    <w:rsid w:val="00513AC1"/>
    <w:rsid w:val="005140EB"/>
    <w:rsid w:val="005143E6"/>
    <w:rsid w:val="005146B6"/>
    <w:rsid w:val="00514C7C"/>
    <w:rsid w:val="00515137"/>
    <w:rsid w:val="00515855"/>
    <w:rsid w:val="00515D1F"/>
    <w:rsid w:val="0051603B"/>
    <w:rsid w:val="005162A1"/>
    <w:rsid w:val="00516627"/>
    <w:rsid w:val="005167DF"/>
    <w:rsid w:val="00516900"/>
    <w:rsid w:val="00516AD3"/>
    <w:rsid w:val="005176FD"/>
    <w:rsid w:val="005177B2"/>
    <w:rsid w:val="00517AC7"/>
    <w:rsid w:val="00517CDB"/>
    <w:rsid w:val="00517F4E"/>
    <w:rsid w:val="005202A2"/>
    <w:rsid w:val="0052054E"/>
    <w:rsid w:val="0052056F"/>
    <w:rsid w:val="005206BB"/>
    <w:rsid w:val="0052084A"/>
    <w:rsid w:val="00520AD9"/>
    <w:rsid w:val="00520B30"/>
    <w:rsid w:val="00520DAC"/>
    <w:rsid w:val="00521168"/>
    <w:rsid w:val="00521AB0"/>
    <w:rsid w:val="005221D5"/>
    <w:rsid w:val="00522262"/>
    <w:rsid w:val="00522724"/>
    <w:rsid w:val="0052277A"/>
    <w:rsid w:val="005227A2"/>
    <w:rsid w:val="005229C9"/>
    <w:rsid w:val="00522FE6"/>
    <w:rsid w:val="005230E6"/>
    <w:rsid w:val="00523782"/>
    <w:rsid w:val="00523936"/>
    <w:rsid w:val="00523CE6"/>
    <w:rsid w:val="00524221"/>
    <w:rsid w:val="00524563"/>
    <w:rsid w:val="0052462B"/>
    <w:rsid w:val="00524A35"/>
    <w:rsid w:val="00524DD8"/>
    <w:rsid w:val="0052544C"/>
    <w:rsid w:val="005254D4"/>
    <w:rsid w:val="00525EC7"/>
    <w:rsid w:val="0052657B"/>
    <w:rsid w:val="0052666F"/>
    <w:rsid w:val="00526ECB"/>
    <w:rsid w:val="00530374"/>
    <w:rsid w:val="005303B0"/>
    <w:rsid w:val="005308EC"/>
    <w:rsid w:val="00530A6F"/>
    <w:rsid w:val="00530E28"/>
    <w:rsid w:val="00530F21"/>
    <w:rsid w:val="00532040"/>
    <w:rsid w:val="00532494"/>
    <w:rsid w:val="00532ECD"/>
    <w:rsid w:val="005331D9"/>
    <w:rsid w:val="0053394F"/>
    <w:rsid w:val="00533F21"/>
    <w:rsid w:val="00534255"/>
    <w:rsid w:val="005351ED"/>
    <w:rsid w:val="00535C85"/>
    <w:rsid w:val="00536C34"/>
    <w:rsid w:val="00536D83"/>
    <w:rsid w:val="00536DD0"/>
    <w:rsid w:val="00536F00"/>
    <w:rsid w:val="00537064"/>
    <w:rsid w:val="0053736A"/>
    <w:rsid w:val="0053759C"/>
    <w:rsid w:val="005379B3"/>
    <w:rsid w:val="00537E28"/>
    <w:rsid w:val="00537FFB"/>
    <w:rsid w:val="00540046"/>
    <w:rsid w:val="005400BD"/>
    <w:rsid w:val="005408F5"/>
    <w:rsid w:val="00541777"/>
    <w:rsid w:val="00541FDF"/>
    <w:rsid w:val="00542869"/>
    <w:rsid w:val="0054331F"/>
    <w:rsid w:val="005436E0"/>
    <w:rsid w:val="00543934"/>
    <w:rsid w:val="0054420F"/>
    <w:rsid w:val="0054462B"/>
    <w:rsid w:val="00544F21"/>
    <w:rsid w:val="005450B7"/>
    <w:rsid w:val="005458D8"/>
    <w:rsid w:val="005459A2"/>
    <w:rsid w:val="00546895"/>
    <w:rsid w:val="005469EB"/>
    <w:rsid w:val="00546E87"/>
    <w:rsid w:val="00546FF6"/>
    <w:rsid w:val="0054798B"/>
    <w:rsid w:val="00547DD9"/>
    <w:rsid w:val="005501BF"/>
    <w:rsid w:val="005502B0"/>
    <w:rsid w:val="005502BB"/>
    <w:rsid w:val="00550C56"/>
    <w:rsid w:val="00550C7A"/>
    <w:rsid w:val="00550E70"/>
    <w:rsid w:val="00551202"/>
    <w:rsid w:val="005517B7"/>
    <w:rsid w:val="00551DC6"/>
    <w:rsid w:val="00552451"/>
    <w:rsid w:val="00552B67"/>
    <w:rsid w:val="005530A1"/>
    <w:rsid w:val="005531DA"/>
    <w:rsid w:val="00553782"/>
    <w:rsid w:val="00553D67"/>
    <w:rsid w:val="00555795"/>
    <w:rsid w:val="00555D8E"/>
    <w:rsid w:val="00555EE0"/>
    <w:rsid w:val="0055625A"/>
    <w:rsid w:val="0055625B"/>
    <w:rsid w:val="00556308"/>
    <w:rsid w:val="0055689C"/>
    <w:rsid w:val="00556F41"/>
    <w:rsid w:val="00557141"/>
    <w:rsid w:val="00557199"/>
    <w:rsid w:val="00557504"/>
    <w:rsid w:val="00560192"/>
    <w:rsid w:val="00560436"/>
    <w:rsid w:val="00560655"/>
    <w:rsid w:val="00560C0A"/>
    <w:rsid w:val="00560C41"/>
    <w:rsid w:val="0056190E"/>
    <w:rsid w:val="00561999"/>
    <w:rsid w:val="00561D57"/>
    <w:rsid w:val="00562F55"/>
    <w:rsid w:val="00563228"/>
    <w:rsid w:val="00563732"/>
    <w:rsid w:val="005644C6"/>
    <w:rsid w:val="0056464E"/>
    <w:rsid w:val="005647EB"/>
    <w:rsid w:val="00564B28"/>
    <w:rsid w:val="00565301"/>
    <w:rsid w:val="0056563B"/>
    <w:rsid w:val="00565680"/>
    <w:rsid w:val="00565C7B"/>
    <w:rsid w:val="00565CE8"/>
    <w:rsid w:val="00565E2A"/>
    <w:rsid w:val="005663FD"/>
    <w:rsid w:val="00566946"/>
    <w:rsid w:val="00566C6C"/>
    <w:rsid w:val="005670E3"/>
    <w:rsid w:val="0056742A"/>
    <w:rsid w:val="00567459"/>
    <w:rsid w:val="005676BB"/>
    <w:rsid w:val="005679F7"/>
    <w:rsid w:val="00567A7C"/>
    <w:rsid w:val="00567BFC"/>
    <w:rsid w:val="00567D58"/>
    <w:rsid w:val="00567E47"/>
    <w:rsid w:val="00567E72"/>
    <w:rsid w:val="0057009F"/>
    <w:rsid w:val="0057055C"/>
    <w:rsid w:val="00570563"/>
    <w:rsid w:val="00570678"/>
    <w:rsid w:val="00570993"/>
    <w:rsid w:val="00570C9A"/>
    <w:rsid w:val="00571A2B"/>
    <w:rsid w:val="00572854"/>
    <w:rsid w:val="00572B3D"/>
    <w:rsid w:val="00572CFB"/>
    <w:rsid w:val="00573328"/>
    <w:rsid w:val="00573642"/>
    <w:rsid w:val="00573A43"/>
    <w:rsid w:val="005743F9"/>
    <w:rsid w:val="005748CA"/>
    <w:rsid w:val="00574FFD"/>
    <w:rsid w:val="0057518C"/>
    <w:rsid w:val="00575403"/>
    <w:rsid w:val="005755E3"/>
    <w:rsid w:val="005755F7"/>
    <w:rsid w:val="00576A03"/>
    <w:rsid w:val="00576A87"/>
    <w:rsid w:val="00577086"/>
    <w:rsid w:val="00577450"/>
    <w:rsid w:val="00577CC0"/>
    <w:rsid w:val="00577DEF"/>
    <w:rsid w:val="00577FDE"/>
    <w:rsid w:val="005801DF"/>
    <w:rsid w:val="00580237"/>
    <w:rsid w:val="00580662"/>
    <w:rsid w:val="005807C1"/>
    <w:rsid w:val="005808AE"/>
    <w:rsid w:val="00580B6E"/>
    <w:rsid w:val="00581711"/>
    <w:rsid w:val="005818A7"/>
    <w:rsid w:val="00581B5A"/>
    <w:rsid w:val="00581C90"/>
    <w:rsid w:val="00581DBA"/>
    <w:rsid w:val="0058248A"/>
    <w:rsid w:val="0058320D"/>
    <w:rsid w:val="00583718"/>
    <w:rsid w:val="0058403C"/>
    <w:rsid w:val="00584B49"/>
    <w:rsid w:val="00584C1F"/>
    <w:rsid w:val="00584D77"/>
    <w:rsid w:val="00584EFF"/>
    <w:rsid w:val="005856C4"/>
    <w:rsid w:val="0058586C"/>
    <w:rsid w:val="00585890"/>
    <w:rsid w:val="00585917"/>
    <w:rsid w:val="00585AAA"/>
    <w:rsid w:val="005868BB"/>
    <w:rsid w:val="00586ECD"/>
    <w:rsid w:val="00587022"/>
    <w:rsid w:val="00587606"/>
    <w:rsid w:val="00590350"/>
    <w:rsid w:val="00590DDF"/>
    <w:rsid w:val="005910AF"/>
    <w:rsid w:val="005910D0"/>
    <w:rsid w:val="0059174B"/>
    <w:rsid w:val="00591C9B"/>
    <w:rsid w:val="00592070"/>
    <w:rsid w:val="00592E00"/>
    <w:rsid w:val="00593CD0"/>
    <w:rsid w:val="00593CE8"/>
    <w:rsid w:val="00593D98"/>
    <w:rsid w:val="00594069"/>
    <w:rsid w:val="005941C7"/>
    <w:rsid w:val="00594240"/>
    <w:rsid w:val="00594255"/>
    <w:rsid w:val="0059427C"/>
    <w:rsid w:val="00594EEA"/>
    <w:rsid w:val="00594F6F"/>
    <w:rsid w:val="005952E7"/>
    <w:rsid w:val="00595323"/>
    <w:rsid w:val="005953F5"/>
    <w:rsid w:val="0059585A"/>
    <w:rsid w:val="00596001"/>
    <w:rsid w:val="005962AD"/>
    <w:rsid w:val="00596BB4"/>
    <w:rsid w:val="005974D3"/>
    <w:rsid w:val="005A07D4"/>
    <w:rsid w:val="005A0DD4"/>
    <w:rsid w:val="005A1551"/>
    <w:rsid w:val="005A1F58"/>
    <w:rsid w:val="005A2981"/>
    <w:rsid w:val="005A2D87"/>
    <w:rsid w:val="005A305A"/>
    <w:rsid w:val="005A368E"/>
    <w:rsid w:val="005A38B3"/>
    <w:rsid w:val="005A38FF"/>
    <w:rsid w:val="005A3959"/>
    <w:rsid w:val="005A3BAE"/>
    <w:rsid w:val="005A3C28"/>
    <w:rsid w:val="005A43FF"/>
    <w:rsid w:val="005A48BE"/>
    <w:rsid w:val="005A4D88"/>
    <w:rsid w:val="005A4D91"/>
    <w:rsid w:val="005A5231"/>
    <w:rsid w:val="005A54DA"/>
    <w:rsid w:val="005A5520"/>
    <w:rsid w:val="005A5715"/>
    <w:rsid w:val="005A57D8"/>
    <w:rsid w:val="005A5986"/>
    <w:rsid w:val="005A5D60"/>
    <w:rsid w:val="005A5F42"/>
    <w:rsid w:val="005A64EC"/>
    <w:rsid w:val="005A662E"/>
    <w:rsid w:val="005A67ED"/>
    <w:rsid w:val="005A6C7C"/>
    <w:rsid w:val="005A7073"/>
    <w:rsid w:val="005B0619"/>
    <w:rsid w:val="005B07EB"/>
    <w:rsid w:val="005B0918"/>
    <w:rsid w:val="005B0BC1"/>
    <w:rsid w:val="005B0E25"/>
    <w:rsid w:val="005B16BC"/>
    <w:rsid w:val="005B180C"/>
    <w:rsid w:val="005B1B01"/>
    <w:rsid w:val="005B1F0E"/>
    <w:rsid w:val="005B2765"/>
    <w:rsid w:val="005B2A83"/>
    <w:rsid w:val="005B2AE9"/>
    <w:rsid w:val="005B43FA"/>
    <w:rsid w:val="005B4755"/>
    <w:rsid w:val="005B4EC1"/>
    <w:rsid w:val="005B507B"/>
    <w:rsid w:val="005B52BA"/>
    <w:rsid w:val="005B56BE"/>
    <w:rsid w:val="005B5B5B"/>
    <w:rsid w:val="005B5BD4"/>
    <w:rsid w:val="005B6320"/>
    <w:rsid w:val="005B63DF"/>
    <w:rsid w:val="005B6955"/>
    <w:rsid w:val="005B6E19"/>
    <w:rsid w:val="005B7A2A"/>
    <w:rsid w:val="005C025F"/>
    <w:rsid w:val="005C0404"/>
    <w:rsid w:val="005C06CB"/>
    <w:rsid w:val="005C07BA"/>
    <w:rsid w:val="005C091E"/>
    <w:rsid w:val="005C0A2F"/>
    <w:rsid w:val="005C0C64"/>
    <w:rsid w:val="005C0CB3"/>
    <w:rsid w:val="005C0CF6"/>
    <w:rsid w:val="005C0DF1"/>
    <w:rsid w:val="005C17B9"/>
    <w:rsid w:val="005C1CFE"/>
    <w:rsid w:val="005C1D4B"/>
    <w:rsid w:val="005C225B"/>
    <w:rsid w:val="005C28EF"/>
    <w:rsid w:val="005C2A9D"/>
    <w:rsid w:val="005C2B6E"/>
    <w:rsid w:val="005C3811"/>
    <w:rsid w:val="005C3A0A"/>
    <w:rsid w:val="005C3AB5"/>
    <w:rsid w:val="005C3CB3"/>
    <w:rsid w:val="005C3D78"/>
    <w:rsid w:val="005C426B"/>
    <w:rsid w:val="005C4CB7"/>
    <w:rsid w:val="005C4F4B"/>
    <w:rsid w:val="005C4F7F"/>
    <w:rsid w:val="005C50B8"/>
    <w:rsid w:val="005C5129"/>
    <w:rsid w:val="005C5402"/>
    <w:rsid w:val="005C5713"/>
    <w:rsid w:val="005C5DC4"/>
    <w:rsid w:val="005C61C3"/>
    <w:rsid w:val="005C68E9"/>
    <w:rsid w:val="005C694F"/>
    <w:rsid w:val="005C6BC0"/>
    <w:rsid w:val="005C773D"/>
    <w:rsid w:val="005C78D3"/>
    <w:rsid w:val="005D08B0"/>
    <w:rsid w:val="005D0CD9"/>
    <w:rsid w:val="005D112E"/>
    <w:rsid w:val="005D11DE"/>
    <w:rsid w:val="005D15F9"/>
    <w:rsid w:val="005D17F2"/>
    <w:rsid w:val="005D26AB"/>
    <w:rsid w:val="005D2ACB"/>
    <w:rsid w:val="005D2AF4"/>
    <w:rsid w:val="005D2BA3"/>
    <w:rsid w:val="005D3046"/>
    <w:rsid w:val="005D348E"/>
    <w:rsid w:val="005D3587"/>
    <w:rsid w:val="005D3D66"/>
    <w:rsid w:val="005D3DE7"/>
    <w:rsid w:val="005D4127"/>
    <w:rsid w:val="005D42BC"/>
    <w:rsid w:val="005D4559"/>
    <w:rsid w:val="005D470E"/>
    <w:rsid w:val="005D4902"/>
    <w:rsid w:val="005D51B7"/>
    <w:rsid w:val="005D533E"/>
    <w:rsid w:val="005D5AC5"/>
    <w:rsid w:val="005D61E0"/>
    <w:rsid w:val="005D6D02"/>
    <w:rsid w:val="005D6DE1"/>
    <w:rsid w:val="005D6EC4"/>
    <w:rsid w:val="005D76B1"/>
    <w:rsid w:val="005D76EA"/>
    <w:rsid w:val="005D795A"/>
    <w:rsid w:val="005D7B04"/>
    <w:rsid w:val="005E027C"/>
    <w:rsid w:val="005E051A"/>
    <w:rsid w:val="005E12B6"/>
    <w:rsid w:val="005E193C"/>
    <w:rsid w:val="005E24B7"/>
    <w:rsid w:val="005E2815"/>
    <w:rsid w:val="005E2A0C"/>
    <w:rsid w:val="005E2BF5"/>
    <w:rsid w:val="005E309E"/>
    <w:rsid w:val="005E3167"/>
    <w:rsid w:val="005E31FF"/>
    <w:rsid w:val="005E3325"/>
    <w:rsid w:val="005E335E"/>
    <w:rsid w:val="005E33A5"/>
    <w:rsid w:val="005E3BAB"/>
    <w:rsid w:val="005E4DB0"/>
    <w:rsid w:val="005E52D3"/>
    <w:rsid w:val="005E56FC"/>
    <w:rsid w:val="005E5D85"/>
    <w:rsid w:val="005E5D88"/>
    <w:rsid w:val="005E63C2"/>
    <w:rsid w:val="005E662B"/>
    <w:rsid w:val="005E6857"/>
    <w:rsid w:val="005E6885"/>
    <w:rsid w:val="005E6931"/>
    <w:rsid w:val="005E6F17"/>
    <w:rsid w:val="005E7783"/>
    <w:rsid w:val="005E7CE4"/>
    <w:rsid w:val="005E7E7C"/>
    <w:rsid w:val="005E7EBC"/>
    <w:rsid w:val="005E7F2D"/>
    <w:rsid w:val="005F0A13"/>
    <w:rsid w:val="005F11D5"/>
    <w:rsid w:val="005F18D9"/>
    <w:rsid w:val="005F2490"/>
    <w:rsid w:val="005F2673"/>
    <w:rsid w:val="005F2B90"/>
    <w:rsid w:val="005F34C5"/>
    <w:rsid w:val="005F35CE"/>
    <w:rsid w:val="005F37EF"/>
    <w:rsid w:val="005F3B07"/>
    <w:rsid w:val="005F3DEC"/>
    <w:rsid w:val="005F3E98"/>
    <w:rsid w:val="005F49AB"/>
    <w:rsid w:val="005F4BD3"/>
    <w:rsid w:val="005F52B0"/>
    <w:rsid w:val="005F5683"/>
    <w:rsid w:val="005F56F1"/>
    <w:rsid w:val="005F584D"/>
    <w:rsid w:val="005F5903"/>
    <w:rsid w:val="005F5A2B"/>
    <w:rsid w:val="005F5AFA"/>
    <w:rsid w:val="005F5EBB"/>
    <w:rsid w:val="005F6A15"/>
    <w:rsid w:val="005F6B55"/>
    <w:rsid w:val="005F72FE"/>
    <w:rsid w:val="005F761B"/>
    <w:rsid w:val="005F76AB"/>
    <w:rsid w:val="005F7D9E"/>
    <w:rsid w:val="005F7F83"/>
    <w:rsid w:val="00600216"/>
    <w:rsid w:val="00600321"/>
    <w:rsid w:val="006008E6"/>
    <w:rsid w:val="00600DD2"/>
    <w:rsid w:val="00600EA3"/>
    <w:rsid w:val="00601288"/>
    <w:rsid w:val="006022B5"/>
    <w:rsid w:val="006026A3"/>
    <w:rsid w:val="00602BEA"/>
    <w:rsid w:val="00602F9B"/>
    <w:rsid w:val="006031B4"/>
    <w:rsid w:val="006040C4"/>
    <w:rsid w:val="006049EB"/>
    <w:rsid w:val="00604A44"/>
    <w:rsid w:val="00604C5F"/>
    <w:rsid w:val="0060505A"/>
    <w:rsid w:val="00605179"/>
    <w:rsid w:val="0060541B"/>
    <w:rsid w:val="00605B88"/>
    <w:rsid w:val="00605FF8"/>
    <w:rsid w:val="00606084"/>
    <w:rsid w:val="006065A2"/>
    <w:rsid w:val="00606A14"/>
    <w:rsid w:val="00606AF2"/>
    <w:rsid w:val="00606D1E"/>
    <w:rsid w:val="00606E9C"/>
    <w:rsid w:val="00607E2D"/>
    <w:rsid w:val="00610301"/>
    <w:rsid w:val="006104AC"/>
    <w:rsid w:val="00611F9C"/>
    <w:rsid w:val="0061255B"/>
    <w:rsid w:val="00612A92"/>
    <w:rsid w:val="00613538"/>
    <w:rsid w:val="0061408F"/>
    <w:rsid w:val="006140FC"/>
    <w:rsid w:val="00614282"/>
    <w:rsid w:val="0061458E"/>
    <w:rsid w:val="00614724"/>
    <w:rsid w:val="00614776"/>
    <w:rsid w:val="006147FA"/>
    <w:rsid w:val="00614A6E"/>
    <w:rsid w:val="00614A87"/>
    <w:rsid w:val="00614BB0"/>
    <w:rsid w:val="00614CBE"/>
    <w:rsid w:val="00615780"/>
    <w:rsid w:val="0061579D"/>
    <w:rsid w:val="00615D17"/>
    <w:rsid w:val="00615F11"/>
    <w:rsid w:val="00616316"/>
    <w:rsid w:val="0061654B"/>
    <w:rsid w:val="006165BF"/>
    <w:rsid w:val="00616709"/>
    <w:rsid w:val="006169A1"/>
    <w:rsid w:val="0061701F"/>
    <w:rsid w:val="006173D7"/>
    <w:rsid w:val="006176BE"/>
    <w:rsid w:val="00617AB1"/>
    <w:rsid w:val="00617D9F"/>
    <w:rsid w:val="00620442"/>
    <w:rsid w:val="006206B6"/>
    <w:rsid w:val="00620C49"/>
    <w:rsid w:val="0062113F"/>
    <w:rsid w:val="0062147A"/>
    <w:rsid w:val="00621B5E"/>
    <w:rsid w:val="00621ECE"/>
    <w:rsid w:val="00622382"/>
    <w:rsid w:val="0062242B"/>
    <w:rsid w:val="00622D03"/>
    <w:rsid w:val="00622ECE"/>
    <w:rsid w:val="00623316"/>
    <w:rsid w:val="00623515"/>
    <w:rsid w:val="00623E70"/>
    <w:rsid w:val="0062404E"/>
    <w:rsid w:val="00624A6D"/>
    <w:rsid w:val="006257A6"/>
    <w:rsid w:val="006258C2"/>
    <w:rsid w:val="00625AF1"/>
    <w:rsid w:val="00625C65"/>
    <w:rsid w:val="0062616F"/>
    <w:rsid w:val="006266BE"/>
    <w:rsid w:val="006267AD"/>
    <w:rsid w:val="00626A20"/>
    <w:rsid w:val="0062728D"/>
    <w:rsid w:val="0062742C"/>
    <w:rsid w:val="0062749D"/>
    <w:rsid w:val="006278DF"/>
    <w:rsid w:val="00627971"/>
    <w:rsid w:val="00627DB2"/>
    <w:rsid w:val="00630300"/>
    <w:rsid w:val="00630427"/>
    <w:rsid w:val="00630A16"/>
    <w:rsid w:val="00631170"/>
    <w:rsid w:val="006313C7"/>
    <w:rsid w:val="00631699"/>
    <w:rsid w:val="0063199A"/>
    <w:rsid w:val="00631DA0"/>
    <w:rsid w:val="006320D6"/>
    <w:rsid w:val="00633DE9"/>
    <w:rsid w:val="006349EC"/>
    <w:rsid w:val="006357B5"/>
    <w:rsid w:val="00635D97"/>
    <w:rsid w:val="00635FD0"/>
    <w:rsid w:val="006360EC"/>
    <w:rsid w:val="0063646C"/>
    <w:rsid w:val="00636A51"/>
    <w:rsid w:val="00636CC9"/>
    <w:rsid w:val="00637596"/>
    <w:rsid w:val="006375D0"/>
    <w:rsid w:val="00637A63"/>
    <w:rsid w:val="00640031"/>
    <w:rsid w:val="006404B3"/>
    <w:rsid w:val="0064092D"/>
    <w:rsid w:val="00640ADD"/>
    <w:rsid w:val="00640FAC"/>
    <w:rsid w:val="00641276"/>
    <w:rsid w:val="00641F0E"/>
    <w:rsid w:val="0064215F"/>
    <w:rsid w:val="00642457"/>
    <w:rsid w:val="00644522"/>
    <w:rsid w:val="00644C64"/>
    <w:rsid w:val="00645015"/>
    <w:rsid w:val="00645480"/>
    <w:rsid w:val="0064560F"/>
    <w:rsid w:val="00645664"/>
    <w:rsid w:val="006456E9"/>
    <w:rsid w:val="0064576D"/>
    <w:rsid w:val="00645C0D"/>
    <w:rsid w:val="00645DE3"/>
    <w:rsid w:val="00646CAB"/>
    <w:rsid w:val="00646D07"/>
    <w:rsid w:val="00646E6B"/>
    <w:rsid w:val="006473B5"/>
    <w:rsid w:val="00647503"/>
    <w:rsid w:val="0064762C"/>
    <w:rsid w:val="006476F3"/>
    <w:rsid w:val="006477CC"/>
    <w:rsid w:val="0064788F"/>
    <w:rsid w:val="0064798B"/>
    <w:rsid w:val="00647DA8"/>
    <w:rsid w:val="006501B4"/>
    <w:rsid w:val="0065052B"/>
    <w:rsid w:val="0065074C"/>
    <w:rsid w:val="00650773"/>
    <w:rsid w:val="006507AE"/>
    <w:rsid w:val="006508D8"/>
    <w:rsid w:val="00650A94"/>
    <w:rsid w:val="00650EA9"/>
    <w:rsid w:val="00651925"/>
    <w:rsid w:val="00651E97"/>
    <w:rsid w:val="0065212D"/>
    <w:rsid w:val="006527E7"/>
    <w:rsid w:val="00653069"/>
    <w:rsid w:val="006539AF"/>
    <w:rsid w:val="00653E0A"/>
    <w:rsid w:val="00653E7B"/>
    <w:rsid w:val="00653F7E"/>
    <w:rsid w:val="00654858"/>
    <w:rsid w:val="006548C9"/>
    <w:rsid w:val="00654AAD"/>
    <w:rsid w:val="00654D30"/>
    <w:rsid w:val="00654D91"/>
    <w:rsid w:val="00655E24"/>
    <w:rsid w:val="00656BDE"/>
    <w:rsid w:val="0065705E"/>
    <w:rsid w:val="006570CB"/>
    <w:rsid w:val="00657171"/>
    <w:rsid w:val="00657923"/>
    <w:rsid w:val="00657E2A"/>
    <w:rsid w:val="006600CE"/>
    <w:rsid w:val="00660711"/>
    <w:rsid w:val="00660E84"/>
    <w:rsid w:val="006610FB"/>
    <w:rsid w:val="006614A5"/>
    <w:rsid w:val="006614E1"/>
    <w:rsid w:val="006615AD"/>
    <w:rsid w:val="0066175A"/>
    <w:rsid w:val="00661ED9"/>
    <w:rsid w:val="00662176"/>
    <w:rsid w:val="00662DBA"/>
    <w:rsid w:val="00662DBC"/>
    <w:rsid w:val="00662DED"/>
    <w:rsid w:val="00662F1B"/>
    <w:rsid w:val="006631AA"/>
    <w:rsid w:val="0066356F"/>
    <w:rsid w:val="00663970"/>
    <w:rsid w:val="00663E2A"/>
    <w:rsid w:val="006643CE"/>
    <w:rsid w:val="0066441B"/>
    <w:rsid w:val="006644BF"/>
    <w:rsid w:val="006645B0"/>
    <w:rsid w:val="00664E1E"/>
    <w:rsid w:val="00665696"/>
    <w:rsid w:val="00665BDA"/>
    <w:rsid w:val="00665E8C"/>
    <w:rsid w:val="00666D1A"/>
    <w:rsid w:val="0066753A"/>
    <w:rsid w:val="00667F9C"/>
    <w:rsid w:val="00670FCC"/>
    <w:rsid w:val="006715B8"/>
    <w:rsid w:val="00671A63"/>
    <w:rsid w:val="00672034"/>
    <w:rsid w:val="006725D7"/>
    <w:rsid w:val="006728BC"/>
    <w:rsid w:val="00672ACB"/>
    <w:rsid w:val="006744DC"/>
    <w:rsid w:val="00674558"/>
    <w:rsid w:val="00674579"/>
    <w:rsid w:val="006745A0"/>
    <w:rsid w:val="00674F30"/>
    <w:rsid w:val="006755D7"/>
    <w:rsid w:val="00675922"/>
    <w:rsid w:val="00675D65"/>
    <w:rsid w:val="00676634"/>
    <w:rsid w:val="00676941"/>
    <w:rsid w:val="0067697C"/>
    <w:rsid w:val="00676EA3"/>
    <w:rsid w:val="00676FA8"/>
    <w:rsid w:val="00676FE5"/>
    <w:rsid w:val="006777C1"/>
    <w:rsid w:val="00677B4D"/>
    <w:rsid w:val="00677E94"/>
    <w:rsid w:val="0068042F"/>
    <w:rsid w:val="006805AC"/>
    <w:rsid w:val="00680A4C"/>
    <w:rsid w:val="00680AA1"/>
    <w:rsid w:val="00681BEF"/>
    <w:rsid w:val="00682053"/>
    <w:rsid w:val="00682528"/>
    <w:rsid w:val="00682639"/>
    <w:rsid w:val="006828AE"/>
    <w:rsid w:val="00682E65"/>
    <w:rsid w:val="00682EB4"/>
    <w:rsid w:val="006839BE"/>
    <w:rsid w:val="00683F6F"/>
    <w:rsid w:val="006843C4"/>
    <w:rsid w:val="006851EC"/>
    <w:rsid w:val="0068546B"/>
    <w:rsid w:val="00685490"/>
    <w:rsid w:val="006855A2"/>
    <w:rsid w:val="006864D3"/>
    <w:rsid w:val="00686918"/>
    <w:rsid w:val="00686AA7"/>
    <w:rsid w:val="00686C85"/>
    <w:rsid w:val="00686E3E"/>
    <w:rsid w:val="00687509"/>
    <w:rsid w:val="00687BAC"/>
    <w:rsid w:val="00687FB3"/>
    <w:rsid w:val="00690034"/>
    <w:rsid w:val="0069097B"/>
    <w:rsid w:val="00691CAE"/>
    <w:rsid w:val="00691E5B"/>
    <w:rsid w:val="0069245E"/>
    <w:rsid w:val="0069412D"/>
    <w:rsid w:val="00694315"/>
    <w:rsid w:val="0069490A"/>
    <w:rsid w:val="00694E21"/>
    <w:rsid w:val="00694F2D"/>
    <w:rsid w:val="0069507A"/>
    <w:rsid w:val="006954A0"/>
    <w:rsid w:val="00695CB0"/>
    <w:rsid w:val="00695D95"/>
    <w:rsid w:val="00696790"/>
    <w:rsid w:val="00696E2E"/>
    <w:rsid w:val="00697847"/>
    <w:rsid w:val="00697916"/>
    <w:rsid w:val="006979E1"/>
    <w:rsid w:val="00697A1A"/>
    <w:rsid w:val="006A0136"/>
    <w:rsid w:val="006A016F"/>
    <w:rsid w:val="006A03AE"/>
    <w:rsid w:val="006A12B4"/>
    <w:rsid w:val="006A1526"/>
    <w:rsid w:val="006A1C99"/>
    <w:rsid w:val="006A1CCB"/>
    <w:rsid w:val="006A20F0"/>
    <w:rsid w:val="006A22FC"/>
    <w:rsid w:val="006A24D8"/>
    <w:rsid w:val="006A2C31"/>
    <w:rsid w:val="006A2DBF"/>
    <w:rsid w:val="006A3349"/>
    <w:rsid w:val="006A369E"/>
    <w:rsid w:val="006A3751"/>
    <w:rsid w:val="006A3AFC"/>
    <w:rsid w:val="006A3D49"/>
    <w:rsid w:val="006A4285"/>
    <w:rsid w:val="006A48BF"/>
    <w:rsid w:val="006A4A29"/>
    <w:rsid w:val="006A5555"/>
    <w:rsid w:val="006A5592"/>
    <w:rsid w:val="006A5F91"/>
    <w:rsid w:val="006A602B"/>
    <w:rsid w:val="006A694C"/>
    <w:rsid w:val="006A747E"/>
    <w:rsid w:val="006A7729"/>
    <w:rsid w:val="006A79B7"/>
    <w:rsid w:val="006A7A3F"/>
    <w:rsid w:val="006A7C01"/>
    <w:rsid w:val="006A7DC1"/>
    <w:rsid w:val="006B009D"/>
    <w:rsid w:val="006B0130"/>
    <w:rsid w:val="006B0C78"/>
    <w:rsid w:val="006B1220"/>
    <w:rsid w:val="006B1A7E"/>
    <w:rsid w:val="006B2513"/>
    <w:rsid w:val="006B2D8F"/>
    <w:rsid w:val="006B3455"/>
    <w:rsid w:val="006B378F"/>
    <w:rsid w:val="006B3CFA"/>
    <w:rsid w:val="006B42C3"/>
    <w:rsid w:val="006B42E8"/>
    <w:rsid w:val="006B4395"/>
    <w:rsid w:val="006B464B"/>
    <w:rsid w:val="006B52C7"/>
    <w:rsid w:val="006B566D"/>
    <w:rsid w:val="006B5912"/>
    <w:rsid w:val="006B598C"/>
    <w:rsid w:val="006B5B8C"/>
    <w:rsid w:val="006B5DB5"/>
    <w:rsid w:val="006B6436"/>
    <w:rsid w:val="006B6474"/>
    <w:rsid w:val="006B6763"/>
    <w:rsid w:val="006B6A3A"/>
    <w:rsid w:val="006B77C5"/>
    <w:rsid w:val="006B7C96"/>
    <w:rsid w:val="006B7D92"/>
    <w:rsid w:val="006B7FB0"/>
    <w:rsid w:val="006C05B6"/>
    <w:rsid w:val="006C0DCF"/>
    <w:rsid w:val="006C1B80"/>
    <w:rsid w:val="006C2568"/>
    <w:rsid w:val="006C27FE"/>
    <w:rsid w:val="006C3889"/>
    <w:rsid w:val="006C4C60"/>
    <w:rsid w:val="006C6731"/>
    <w:rsid w:val="006C7029"/>
    <w:rsid w:val="006C71F4"/>
    <w:rsid w:val="006C7B80"/>
    <w:rsid w:val="006C7C6E"/>
    <w:rsid w:val="006D0528"/>
    <w:rsid w:val="006D0885"/>
    <w:rsid w:val="006D207F"/>
    <w:rsid w:val="006D22C6"/>
    <w:rsid w:val="006D2BA9"/>
    <w:rsid w:val="006D2CE9"/>
    <w:rsid w:val="006D2D72"/>
    <w:rsid w:val="006D2DC9"/>
    <w:rsid w:val="006D303C"/>
    <w:rsid w:val="006D36A6"/>
    <w:rsid w:val="006D37A9"/>
    <w:rsid w:val="006D3BFF"/>
    <w:rsid w:val="006D3F72"/>
    <w:rsid w:val="006D58CA"/>
    <w:rsid w:val="006D6369"/>
    <w:rsid w:val="006D6383"/>
    <w:rsid w:val="006D64E6"/>
    <w:rsid w:val="006D68DE"/>
    <w:rsid w:val="006D6989"/>
    <w:rsid w:val="006D6C88"/>
    <w:rsid w:val="006D6E08"/>
    <w:rsid w:val="006D6F4B"/>
    <w:rsid w:val="006D6F7F"/>
    <w:rsid w:val="006D752E"/>
    <w:rsid w:val="006D7533"/>
    <w:rsid w:val="006D79D8"/>
    <w:rsid w:val="006D7A74"/>
    <w:rsid w:val="006D7AD9"/>
    <w:rsid w:val="006D7BE3"/>
    <w:rsid w:val="006E0550"/>
    <w:rsid w:val="006E07C9"/>
    <w:rsid w:val="006E08EB"/>
    <w:rsid w:val="006E18BC"/>
    <w:rsid w:val="006E1D2F"/>
    <w:rsid w:val="006E274D"/>
    <w:rsid w:val="006E2A33"/>
    <w:rsid w:val="006E2B07"/>
    <w:rsid w:val="006E2B7E"/>
    <w:rsid w:val="006E2D5B"/>
    <w:rsid w:val="006E3173"/>
    <w:rsid w:val="006E3A07"/>
    <w:rsid w:val="006E4311"/>
    <w:rsid w:val="006E44B4"/>
    <w:rsid w:val="006E4549"/>
    <w:rsid w:val="006E4872"/>
    <w:rsid w:val="006E4BBC"/>
    <w:rsid w:val="006E4D62"/>
    <w:rsid w:val="006E4E23"/>
    <w:rsid w:val="006E53EB"/>
    <w:rsid w:val="006E554C"/>
    <w:rsid w:val="006E565A"/>
    <w:rsid w:val="006E5739"/>
    <w:rsid w:val="006E5832"/>
    <w:rsid w:val="006E5872"/>
    <w:rsid w:val="006E597D"/>
    <w:rsid w:val="006E5EF9"/>
    <w:rsid w:val="006E6249"/>
    <w:rsid w:val="006E65FD"/>
    <w:rsid w:val="006E6799"/>
    <w:rsid w:val="006E6D18"/>
    <w:rsid w:val="006E6D1C"/>
    <w:rsid w:val="006E6F13"/>
    <w:rsid w:val="006E7281"/>
    <w:rsid w:val="006F002B"/>
    <w:rsid w:val="006F03B3"/>
    <w:rsid w:val="006F055D"/>
    <w:rsid w:val="006F05AA"/>
    <w:rsid w:val="006F085B"/>
    <w:rsid w:val="006F09F8"/>
    <w:rsid w:val="006F0B20"/>
    <w:rsid w:val="006F0F72"/>
    <w:rsid w:val="006F10AE"/>
    <w:rsid w:val="006F1326"/>
    <w:rsid w:val="006F19EC"/>
    <w:rsid w:val="006F1D98"/>
    <w:rsid w:val="006F2E04"/>
    <w:rsid w:val="006F343D"/>
    <w:rsid w:val="006F35E8"/>
    <w:rsid w:val="006F3866"/>
    <w:rsid w:val="006F3C2D"/>
    <w:rsid w:val="006F3EDE"/>
    <w:rsid w:val="006F40EA"/>
    <w:rsid w:val="006F41F2"/>
    <w:rsid w:val="006F435F"/>
    <w:rsid w:val="006F45DC"/>
    <w:rsid w:val="006F4BDF"/>
    <w:rsid w:val="006F4F64"/>
    <w:rsid w:val="006F51D5"/>
    <w:rsid w:val="006F51EB"/>
    <w:rsid w:val="006F571C"/>
    <w:rsid w:val="006F5952"/>
    <w:rsid w:val="006F59E6"/>
    <w:rsid w:val="006F6646"/>
    <w:rsid w:val="006F7141"/>
    <w:rsid w:val="006F7288"/>
    <w:rsid w:val="006F7770"/>
    <w:rsid w:val="006F7958"/>
    <w:rsid w:val="006F7BB7"/>
    <w:rsid w:val="006F7F6E"/>
    <w:rsid w:val="007000F9"/>
    <w:rsid w:val="00700440"/>
    <w:rsid w:val="00700F0D"/>
    <w:rsid w:val="00701193"/>
    <w:rsid w:val="007015FA"/>
    <w:rsid w:val="007017E5"/>
    <w:rsid w:val="007020C3"/>
    <w:rsid w:val="00703555"/>
    <w:rsid w:val="00703939"/>
    <w:rsid w:val="00703F62"/>
    <w:rsid w:val="00704166"/>
    <w:rsid w:val="007041A6"/>
    <w:rsid w:val="0070443F"/>
    <w:rsid w:val="00704499"/>
    <w:rsid w:val="00704854"/>
    <w:rsid w:val="00704AFD"/>
    <w:rsid w:val="00704D1E"/>
    <w:rsid w:val="00704EB7"/>
    <w:rsid w:val="00705795"/>
    <w:rsid w:val="00706531"/>
    <w:rsid w:val="00706B4B"/>
    <w:rsid w:val="007070B5"/>
    <w:rsid w:val="00707E3C"/>
    <w:rsid w:val="007100DB"/>
    <w:rsid w:val="0071035D"/>
    <w:rsid w:val="007105C8"/>
    <w:rsid w:val="007105F6"/>
    <w:rsid w:val="007106D5"/>
    <w:rsid w:val="00710FB5"/>
    <w:rsid w:val="00711D72"/>
    <w:rsid w:val="007123A9"/>
    <w:rsid w:val="00712B51"/>
    <w:rsid w:val="00713816"/>
    <w:rsid w:val="00713984"/>
    <w:rsid w:val="00713A97"/>
    <w:rsid w:val="00713CC1"/>
    <w:rsid w:val="00713CD3"/>
    <w:rsid w:val="00713D7C"/>
    <w:rsid w:val="00714392"/>
    <w:rsid w:val="00714BED"/>
    <w:rsid w:val="00714D53"/>
    <w:rsid w:val="007154FD"/>
    <w:rsid w:val="007157B7"/>
    <w:rsid w:val="00715DBD"/>
    <w:rsid w:val="00716289"/>
    <w:rsid w:val="007163A4"/>
    <w:rsid w:val="007166A0"/>
    <w:rsid w:val="007166D6"/>
    <w:rsid w:val="00716B54"/>
    <w:rsid w:val="00716C7C"/>
    <w:rsid w:val="007171A3"/>
    <w:rsid w:val="00717484"/>
    <w:rsid w:val="007176C9"/>
    <w:rsid w:val="00717DAA"/>
    <w:rsid w:val="00720FE3"/>
    <w:rsid w:val="00721EA2"/>
    <w:rsid w:val="00721EA8"/>
    <w:rsid w:val="00722310"/>
    <w:rsid w:val="007228F6"/>
    <w:rsid w:val="0072329C"/>
    <w:rsid w:val="007233DC"/>
    <w:rsid w:val="00723765"/>
    <w:rsid w:val="00723C8A"/>
    <w:rsid w:val="00723D3C"/>
    <w:rsid w:val="00723F78"/>
    <w:rsid w:val="00724194"/>
    <w:rsid w:val="007248C2"/>
    <w:rsid w:val="00724970"/>
    <w:rsid w:val="00724A61"/>
    <w:rsid w:val="00724CCF"/>
    <w:rsid w:val="00724F5F"/>
    <w:rsid w:val="00725356"/>
    <w:rsid w:val="007263A9"/>
    <w:rsid w:val="007264AD"/>
    <w:rsid w:val="007264F0"/>
    <w:rsid w:val="00726757"/>
    <w:rsid w:val="00726B7D"/>
    <w:rsid w:val="0072753F"/>
    <w:rsid w:val="0072762F"/>
    <w:rsid w:val="0072779E"/>
    <w:rsid w:val="00727A66"/>
    <w:rsid w:val="00727BBD"/>
    <w:rsid w:val="00727CF3"/>
    <w:rsid w:val="00730B72"/>
    <w:rsid w:val="007314CB"/>
    <w:rsid w:val="0073219B"/>
    <w:rsid w:val="00732ABA"/>
    <w:rsid w:val="007333C6"/>
    <w:rsid w:val="007335CA"/>
    <w:rsid w:val="00733693"/>
    <w:rsid w:val="00733724"/>
    <w:rsid w:val="007337A0"/>
    <w:rsid w:val="00733F28"/>
    <w:rsid w:val="007349B9"/>
    <w:rsid w:val="00734A5B"/>
    <w:rsid w:val="00735C2C"/>
    <w:rsid w:val="0073604A"/>
    <w:rsid w:val="0073617F"/>
    <w:rsid w:val="007367CB"/>
    <w:rsid w:val="00736932"/>
    <w:rsid w:val="00736A76"/>
    <w:rsid w:val="007373E9"/>
    <w:rsid w:val="00737CBE"/>
    <w:rsid w:val="00740275"/>
    <w:rsid w:val="0074038F"/>
    <w:rsid w:val="0074049E"/>
    <w:rsid w:val="007404B1"/>
    <w:rsid w:val="00740824"/>
    <w:rsid w:val="00740C03"/>
    <w:rsid w:val="00741156"/>
    <w:rsid w:val="00741F4C"/>
    <w:rsid w:val="0074204E"/>
    <w:rsid w:val="00742187"/>
    <w:rsid w:val="007423BB"/>
    <w:rsid w:val="0074240A"/>
    <w:rsid w:val="0074257A"/>
    <w:rsid w:val="007429BF"/>
    <w:rsid w:val="00742BBC"/>
    <w:rsid w:val="00742DEA"/>
    <w:rsid w:val="007432C7"/>
    <w:rsid w:val="00743506"/>
    <w:rsid w:val="00743A2F"/>
    <w:rsid w:val="00743B3F"/>
    <w:rsid w:val="00743D05"/>
    <w:rsid w:val="007440A3"/>
    <w:rsid w:val="00744248"/>
    <w:rsid w:val="00744CA4"/>
    <w:rsid w:val="00744F76"/>
    <w:rsid w:val="0074503D"/>
    <w:rsid w:val="007453C9"/>
    <w:rsid w:val="00745C02"/>
    <w:rsid w:val="00745EF4"/>
    <w:rsid w:val="00746793"/>
    <w:rsid w:val="00747619"/>
    <w:rsid w:val="00747A52"/>
    <w:rsid w:val="00747B00"/>
    <w:rsid w:val="00747ECA"/>
    <w:rsid w:val="007502CD"/>
    <w:rsid w:val="007503DC"/>
    <w:rsid w:val="00750A4D"/>
    <w:rsid w:val="00750B4F"/>
    <w:rsid w:val="00750BBA"/>
    <w:rsid w:val="007516D7"/>
    <w:rsid w:val="00751962"/>
    <w:rsid w:val="00751A12"/>
    <w:rsid w:val="00751A4B"/>
    <w:rsid w:val="00751E28"/>
    <w:rsid w:val="00752314"/>
    <w:rsid w:val="007526E2"/>
    <w:rsid w:val="007528AF"/>
    <w:rsid w:val="00752F82"/>
    <w:rsid w:val="0075372F"/>
    <w:rsid w:val="007538FF"/>
    <w:rsid w:val="00753BFF"/>
    <w:rsid w:val="00754087"/>
    <w:rsid w:val="00754595"/>
    <w:rsid w:val="0075480D"/>
    <w:rsid w:val="00755519"/>
    <w:rsid w:val="007555E9"/>
    <w:rsid w:val="00755ABC"/>
    <w:rsid w:val="00756245"/>
    <w:rsid w:val="007566FA"/>
    <w:rsid w:val="00756961"/>
    <w:rsid w:val="00756A97"/>
    <w:rsid w:val="00756B9E"/>
    <w:rsid w:val="00756C3C"/>
    <w:rsid w:val="00756C70"/>
    <w:rsid w:val="0075779E"/>
    <w:rsid w:val="00757E28"/>
    <w:rsid w:val="00757E91"/>
    <w:rsid w:val="00757EFA"/>
    <w:rsid w:val="0076029F"/>
    <w:rsid w:val="00760ED9"/>
    <w:rsid w:val="007611F5"/>
    <w:rsid w:val="007614DE"/>
    <w:rsid w:val="0076179B"/>
    <w:rsid w:val="00762004"/>
    <w:rsid w:val="0076238A"/>
    <w:rsid w:val="007626BC"/>
    <w:rsid w:val="00762CB7"/>
    <w:rsid w:val="00762CBF"/>
    <w:rsid w:val="007631DD"/>
    <w:rsid w:val="007634DF"/>
    <w:rsid w:val="00763529"/>
    <w:rsid w:val="00763597"/>
    <w:rsid w:val="00764995"/>
    <w:rsid w:val="007653E1"/>
    <w:rsid w:val="007658EC"/>
    <w:rsid w:val="007662E3"/>
    <w:rsid w:val="00766547"/>
    <w:rsid w:val="00767193"/>
    <w:rsid w:val="007671C7"/>
    <w:rsid w:val="00767A22"/>
    <w:rsid w:val="00770714"/>
    <w:rsid w:val="00770E64"/>
    <w:rsid w:val="0077115B"/>
    <w:rsid w:val="00771352"/>
    <w:rsid w:val="00771A56"/>
    <w:rsid w:val="00771BAC"/>
    <w:rsid w:val="00772025"/>
    <w:rsid w:val="007722A4"/>
    <w:rsid w:val="007724A1"/>
    <w:rsid w:val="00772A12"/>
    <w:rsid w:val="00772B74"/>
    <w:rsid w:val="00772CE3"/>
    <w:rsid w:val="00773638"/>
    <w:rsid w:val="00773708"/>
    <w:rsid w:val="007737DE"/>
    <w:rsid w:val="007738B0"/>
    <w:rsid w:val="00773FA3"/>
    <w:rsid w:val="007741A7"/>
    <w:rsid w:val="00774F7F"/>
    <w:rsid w:val="00775A8D"/>
    <w:rsid w:val="007762D5"/>
    <w:rsid w:val="0077630B"/>
    <w:rsid w:val="00776A98"/>
    <w:rsid w:val="00776B14"/>
    <w:rsid w:val="00776D34"/>
    <w:rsid w:val="00776F43"/>
    <w:rsid w:val="0077727C"/>
    <w:rsid w:val="0077730F"/>
    <w:rsid w:val="00777CD9"/>
    <w:rsid w:val="00777E37"/>
    <w:rsid w:val="00777F2A"/>
    <w:rsid w:val="0078026F"/>
    <w:rsid w:val="007803BB"/>
    <w:rsid w:val="00780488"/>
    <w:rsid w:val="007809B0"/>
    <w:rsid w:val="007817B0"/>
    <w:rsid w:val="00781C62"/>
    <w:rsid w:val="00782022"/>
    <w:rsid w:val="007824A5"/>
    <w:rsid w:val="007830C1"/>
    <w:rsid w:val="00783F87"/>
    <w:rsid w:val="00784920"/>
    <w:rsid w:val="0078494A"/>
    <w:rsid w:val="007849E9"/>
    <w:rsid w:val="00784C74"/>
    <w:rsid w:val="00784F03"/>
    <w:rsid w:val="00784FFF"/>
    <w:rsid w:val="00785163"/>
    <w:rsid w:val="007851DB"/>
    <w:rsid w:val="0078543B"/>
    <w:rsid w:val="00785451"/>
    <w:rsid w:val="0078618E"/>
    <w:rsid w:val="007862CF"/>
    <w:rsid w:val="00786449"/>
    <w:rsid w:val="007869D0"/>
    <w:rsid w:val="007870F6"/>
    <w:rsid w:val="00787527"/>
    <w:rsid w:val="0078757E"/>
    <w:rsid w:val="00787BD2"/>
    <w:rsid w:val="00787F34"/>
    <w:rsid w:val="00787F7D"/>
    <w:rsid w:val="00787FE7"/>
    <w:rsid w:val="00790024"/>
    <w:rsid w:val="00790072"/>
    <w:rsid w:val="0079007A"/>
    <w:rsid w:val="007901E7"/>
    <w:rsid w:val="0079099E"/>
    <w:rsid w:val="00790B85"/>
    <w:rsid w:val="007915F1"/>
    <w:rsid w:val="0079188F"/>
    <w:rsid w:val="00792130"/>
    <w:rsid w:val="00792417"/>
    <w:rsid w:val="007927BA"/>
    <w:rsid w:val="0079292C"/>
    <w:rsid w:val="0079302E"/>
    <w:rsid w:val="0079379E"/>
    <w:rsid w:val="00794565"/>
    <w:rsid w:val="007952B7"/>
    <w:rsid w:val="0079599B"/>
    <w:rsid w:val="00795F69"/>
    <w:rsid w:val="00796C0D"/>
    <w:rsid w:val="00797083"/>
    <w:rsid w:val="0079771B"/>
    <w:rsid w:val="007A01AC"/>
    <w:rsid w:val="007A0521"/>
    <w:rsid w:val="007A0553"/>
    <w:rsid w:val="007A0797"/>
    <w:rsid w:val="007A0A0C"/>
    <w:rsid w:val="007A1B5D"/>
    <w:rsid w:val="007A1BEC"/>
    <w:rsid w:val="007A2202"/>
    <w:rsid w:val="007A2A0C"/>
    <w:rsid w:val="007A2A38"/>
    <w:rsid w:val="007A2F7F"/>
    <w:rsid w:val="007A354F"/>
    <w:rsid w:val="007A36CE"/>
    <w:rsid w:val="007A37CC"/>
    <w:rsid w:val="007A3873"/>
    <w:rsid w:val="007A4DCC"/>
    <w:rsid w:val="007A555B"/>
    <w:rsid w:val="007A56CE"/>
    <w:rsid w:val="007A575B"/>
    <w:rsid w:val="007A633D"/>
    <w:rsid w:val="007A6377"/>
    <w:rsid w:val="007A63B3"/>
    <w:rsid w:val="007A643C"/>
    <w:rsid w:val="007A6795"/>
    <w:rsid w:val="007A6FDA"/>
    <w:rsid w:val="007A72DD"/>
    <w:rsid w:val="007A73E3"/>
    <w:rsid w:val="007A741B"/>
    <w:rsid w:val="007A7A7F"/>
    <w:rsid w:val="007A7AF6"/>
    <w:rsid w:val="007A7F56"/>
    <w:rsid w:val="007B104D"/>
    <w:rsid w:val="007B1F24"/>
    <w:rsid w:val="007B274F"/>
    <w:rsid w:val="007B2E5B"/>
    <w:rsid w:val="007B304E"/>
    <w:rsid w:val="007B3240"/>
    <w:rsid w:val="007B32C0"/>
    <w:rsid w:val="007B369E"/>
    <w:rsid w:val="007B38AB"/>
    <w:rsid w:val="007B38FE"/>
    <w:rsid w:val="007B3BAE"/>
    <w:rsid w:val="007B3D25"/>
    <w:rsid w:val="007B3FD2"/>
    <w:rsid w:val="007B4BDA"/>
    <w:rsid w:val="007B670A"/>
    <w:rsid w:val="007B6E9C"/>
    <w:rsid w:val="007B70A1"/>
    <w:rsid w:val="007B7399"/>
    <w:rsid w:val="007B763C"/>
    <w:rsid w:val="007B7CB5"/>
    <w:rsid w:val="007C01C5"/>
    <w:rsid w:val="007C065A"/>
    <w:rsid w:val="007C08CB"/>
    <w:rsid w:val="007C0A41"/>
    <w:rsid w:val="007C0E72"/>
    <w:rsid w:val="007C17DE"/>
    <w:rsid w:val="007C1BB8"/>
    <w:rsid w:val="007C1DAD"/>
    <w:rsid w:val="007C1E9F"/>
    <w:rsid w:val="007C257A"/>
    <w:rsid w:val="007C27EC"/>
    <w:rsid w:val="007C2891"/>
    <w:rsid w:val="007C2AD3"/>
    <w:rsid w:val="007C2DAE"/>
    <w:rsid w:val="007C328A"/>
    <w:rsid w:val="007C340E"/>
    <w:rsid w:val="007C3F78"/>
    <w:rsid w:val="007C4048"/>
    <w:rsid w:val="007C4BD4"/>
    <w:rsid w:val="007C56F3"/>
    <w:rsid w:val="007C584F"/>
    <w:rsid w:val="007C5A73"/>
    <w:rsid w:val="007C6125"/>
    <w:rsid w:val="007C638F"/>
    <w:rsid w:val="007C6993"/>
    <w:rsid w:val="007C6F32"/>
    <w:rsid w:val="007C71E4"/>
    <w:rsid w:val="007C79D2"/>
    <w:rsid w:val="007C7E32"/>
    <w:rsid w:val="007D00BA"/>
    <w:rsid w:val="007D0287"/>
    <w:rsid w:val="007D0447"/>
    <w:rsid w:val="007D04A9"/>
    <w:rsid w:val="007D0663"/>
    <w:rsid w:val="007D09DD"/>
    <w:rsid w:val="007D0B6B"/>
    <w:rsid w:val="007D0C25"/>
    <w:rsid w:val="007D158A"/>
    <w:rsid w:val="007D1ADF"/>
    <w:rsid w:val="007D1B22"/>
    <w:rsid w:val="007D1DC2"/>
    <w:rsid w:val="007D2150"/>
    <w:rsid w:val="007D28A6"/>
    <w:rsid w:val="007D2C8D"/>
    <w:rsid w:val="007D31AA"/>
    <w:rsid w:val="007D3579"/>
    <w:rsid w:val="007D37EA"/>
    <w:rsid w:val="007D3A88"/>
    <w:rsid w:val="007D3B25"/>
    <w:rsid w:val="007D424F"/>
    <w:rsid w:val="007D471A"/>
    <w:rsid w:val="007D4AB9"/>
    <w:rsid w:val="007D4EA8"/>
    <w:rsid w:val="007D595E"/>
    <w:rsid w:val="007D60EC"/>
    <w:rsid w:val="007D61DB"/>
    <w:rsid w:val="007D634E"/>
    <w:rsid w:val="007D6393"/>
    <w:rsid w:val="007D6663"/>
    <w:rsid w:val="007D66F3"/>
    <w:rsid w:val="007D77E7"/>
    <w:rsid w:val="007E0AEC"/>
    <w:rsid w:val="007E17A2"/>
    <w:rsid w:val="007E198C"/>
    <w:rsid w:val="007E1C16"/>
    <w:rsid w:val="007E1DA2"/>
    <w:rsid w:val="007E1DC3"/>
    <w:rsid w:val="007E1EDE"/>
    <w:rsid w:val="007E1F75"/>
    <w:rsid w:val="007E29B6"/>
    <w:rsid w:val="007E2F7C"/>
    <w:rsid w:val="007E3008"/>
    <w:rsid w:val="007E30DC"/>
    <w:rsid w:val="007E3A0F"/>
    <w:rsid w:val="007E3AFE"/>
    <w:rsid w:val="007E3C3F"/>
    <w:rsid w:val="007E3F65"/>
    <w:rsid w:val="007E433F"/>
    <w:rsid w:val="007E4687"/>
    <w:rsid w:val="007E47C2"/>
    <w:rsid w:val="007E5491"/>
    <w:rsid w:val="007E59D8"/>
    <w:rsid w:val="007E6993"/>
    <w:rsid w:val="007E75CA"/>
    <w:rsid w:val="007E7A6F"/>
    <w:rsid w:val="007E7D9B"/>
    <w:rsid w:val="007F035C"/>
    <w:rsid w:val="007F054F"/>
    <w:rsid w:val="007F11D0"/>
    <w:rsid w:val="007F1E16"/>
    <w:rsid w:val="007F2480"/>
    <w:rsid w:val="007F26DC"/>
    <w:rsid w:val="007F3202"/>
    <w:rsid w:val="007F3316"/>
    <w:rsid w:val="007F3497"/>
    <w:rsid w:val="007F36A4"/>
    <w:rsid w:val="007F3E0D"/>
    <w:rsid w:val="007F464E"/>
    <w:rsid w:val="007F4F71"/>
    <w:rsid w:val="007F50C0"/>
    <w:rsid w:val="007F5C35"/>
    <w:rsid w:val="007F5DFB"/>
    <w:rsid w:val="007F67B4"/>
    <w:rsid w:val="007F6B68"/>
    <w:rsid w:val="007F7215"/>
    <w:rsid w:val="007F73C9"/>
    <w:rsid w:val="007F75D6"/>
    <w:rsid w:val="007F760A"/>
    <w:rsid w:val="007F7B86"/>
    <w:rsid w:val="007F7EC0"/>
    <w:rsid w:val="00800358"/>
    <w:rsid w:val="00800E83"/>
    <w:rsid w:val="008018C7"/>
    <w:rsid w:val="00801C99"/>
    <w:rsid w:val="008020DA"/>
    <w:rsid w:val="00802370"/>
    <w:rsid w:val="008029E3"/>
    <w:rsid w:val="00802A23"/>
    <w:rsid w:val="00802D31"/>
    <w:rsid w:val="0080332F"/>
    <w:rsid w:val="008038A8"/>
    <w:rsid w:val="0080419F"/>
    <w:rsid w:val="0080431C"/>
    <w:rsid w:val="00804733"/>
    <w:rsid w:val="00804AF3"/>
    <w:rsid w:val="00805091"/>
    <w:rsid w:val="0080517E"/>
    <w:rsid w:val="00805596"/>
    <w:rsid w:val="0080564C"/>
    <w:rsid w:val="00805DDE"/>
    <w:rsid w:val="00805EAC"/>
    <w:rsid w:val="00805FDB"/>
    <w:rsid w:val="00806286"/>
    <w:rsid w:val="00806421"/>
    <w:rsid w:val="008066C3"/>
    <w:rsid w:val="00807110"/>
    <w:rsid w:val="00807229"/>
    <w:rsid w:val="0080781D"/>
    <w:rsid w:val="0080792C"/>
    <w:rsid w:val="00807B08"/>
    <w:rsid w:val="00807D65"/>
    <w:rsid w:val="00807E2B"/>
    <w:rsid w:val="0081048B"/>
    <w:rsid w:val="00810598"/>
    <w:rsid w:val="00811382"/>
    <w:rsid w:val="00811630"/>
    <w:rsid w:val="00811699"/>
    <w:rsid w:val="008117BF"/>
    <w:rsid w:val="0081195D"/>
    <w:rsid w:val="00811AC4"/>
    <w:rsid w:val="00811F5F"/>
    <w:rsid w:val="0081243A"/>
    <w:rsid w:val="008124AB"/>
    <w:rsid w:val="00812508"/>
    <w:rsid w:val="00812599"/>
    <w:rsid w:val="0081274E"/>
    <w:rsid w:val="00812A30"/>
    <w:rsid w:val="00812CBC"/>
    <w:rsid w:val="0081347C"/>
    <w:rsid w:val="0081389F"/>
    <w:rsid w:val="00813ADD"/>
    <w:rsid w:val="00813DF3"/>
    <w:rsid w:val="00814401"/>
    <w:rsid w:val="0081479E"/>
    <w:rsid w:val="00814F5F"/>
    <w:rsid w:val="00815176"/>
    <w:rsid w:val="00815531"/>
    <w:rsid w:val="00815EF6"/>
    <w:rsid w:val="00816690"/>
    <w:rsid w:val="00817CF7"/>
    <w:rsid w:val="00817D51"/>
    <w:rsid w:val="00817FF8"/>
    <w:rsid w:val="008208FD"/>
    <w:rsid w:val="00820F3F"/>
    <w:rsid w:val="008217F5"/>
    <w:rsid w:val="00821AA8"/>
    <w:rsid w:val="00821B0A"/>
    <w:rsid w:val="00822D44"/>
    <w:rsid w:val="00823078"/>
    <w:rsid w:val="00823171"/>
    <w:rsid w:val="00823180"/>
    <w:rsid w:val="00823292"/>
    <w:rsid w:val="00823556"/>
    <w:rsid w:val="00823810"/>
    <w:rsid w:val="008242DE"/>
    <w:rsid w:val="00824455"/>
    <w:rsid w:val="00824B8D"/>
    <w:rsid w:val="00824F05"/>
    <w:rsid w:val="00824F0F"/>
    <w:rsid w:val="008258A2"/>
    <w:rsid w:val="00825ECA"/>
    <w:rsid w:val="0082606E"/>
    <w:rsid w:val="0082647F"/>
    <w:rsid w:val="0082663A"/>
    <w:rsid w:val="00826DE2"/>
    <w:rsid w:val="00826E74"/>
    <w:rsid w:val="0082704B"/>
    <w:rsid w:val="0082738B"/>
    <w:rsid w:val="00830BB4"/>
    <w:rsid w:val="00830FAB"/>
    <w:rsid w:val="0083117B"/>
    <w:rsid w:val="00831F40"/>
    <w:rsid w:val="00832323"/>
    <w:rsid w:val="00832355"/>
    <w:rsid w:val="008327F8"/>
    <w:rsid w:val="0083292F"/>
    <w:rsid w:val="008330A7"/>
    <w:rsid w:val="00833311"/>
    <w:rsid w:val="00833629"/>
    <w:rsid w:val="0083389D"/>
    <w:rsid w:val="00833BBA"/>
    <w:rsid w:val="00833F06"/>
    <w:rsid w:val="00833FED"/>
    <w:rsid w:val="008340B0"/>
    <w:rsid w:val="0083498E"/>
    <w:rsid w:val="00835AF5"/>
    <w:rsid w:val="00835D29"/>
    <w:rsid w:val="008363E1"/>
    <w:rsid w:val="008364CD"/>
    <w:rsid w:val="00836AC0"/>
    <w:rsid w:val="00837C37"/>
    <w:rsid w:val="00840338"/>
    <w:rsid w:val="008403C6"/>
    <w:rsid w:val="008403F7"/>
    <w:rsid w:val="0084047C"/>
    <w:rsid w:val="008405D2"/>
    <w:rsid w:val="008408B7"/>
    <w:rsid w:val="00840B4F"/>
    <w:rsid w:val="00840E07"/>
    <w:rsid w:val="008410AA"/>
    <w:rsid w:val="00841438"/>
    <w:rsid w:val="00841DB4"/>
    <w:rsid w:val="0084210C"/>
    <w:rsid w:val="008426B3"/>
    <w:rsid w:val="00843083"/>
    <w:rsid w:val="008434F7"/>
    <w:rsid w:val="0084399A"/>
    <w:rsid w:val="00843A71"/>
    <w:rsid w:val="0084472E"/>
    <w:rsid w:val="00844795"/>
    <w:rsid w:val="0084528F"/>
    <w:rsid w:val="0084585E"/>
    <w:rsid w:val="00845BC1"/>
    <w:rsid w:val="00845D3D"/>
    <w:rsid w:val="00845DBB"/>
    <w:rsid w:val="00845EF1"/>
    <w:rsid w:val="0084652E"/>
    <w:rsid w:val="00846716"/>
    <w:rsid w:val="00846E8C"/>
    <w:rsid w:val="00847166"/>
    <w:rsid w:val="00847581"/>
    <w:rsid w:val="0085019A"/>
    <w:rsid w:val="00850296"/>
    <w:rsid w:val="00850408"/>
    <w:rsid w:val="0085044B"/>
    <w:rsid w:val="0085050B"/>
    <w:rsid w:val="00850812"/>
    <w:rsid w:val="00850AD8"/>
    <w:rsid w:val="00850C2B"/>
    <w:rsid w:val="00850CBC"/>
    <w:rsid w:val="008513C0"/>
    <w:rsid w:val="00851469"/>
    <w:rsid w:val="00851496"/>
    <w:rsid w:val="008519B0"/>
    <w:rsid w:val="00851F72"/>
    <w:rsid w:val="00851FF9"/>
    <w:rsid w:val="008522B5"/>
    <w:rsid w:val="008527CA"/>
    <w:rsid w:val="008528E2"/>
    <w:rsid w:val="00852C59"/>
    <w:rsid w:val="00853427"/>
    <w:rsid w:val="00853968"/>
    <w:rsid w:val="00853D75"/>
    <w:rsid w:val="008543CA"/>
    <w:rsid w:val="00854597"/>
    <w:rsid w:val="008550A9"/>
    <w:rsid w:val="008551CA"/>
    <w:rsid w:val="00855575"/>
    <w:rsid w:val="008557CC"/>
    <w:rsid w:val="00856EA9"/>
    <w:rsid w:val="00856FB2"/>
    <w:rsid w:val="0085740A"/>
    <w:rsid w:val="00857999"/>
    <w:rsid w:val="00857C8A"/>
    <w:rsid w:val="008602BD"/>
    <w:rsid w:val="008603A6"/>
    <w:rsid w:val="00860463"/>
    <w:rsid w:val="008604A0"/>
    <w:rsid w:val="00860A9C"/>
    <w:rsid w:val="00860F60"/>
    <w:rsid w:val="0086112A"/>
    <w:rsid w:val="00861991"/>
    <w:rsid w:val="008619DE"/>
    <w:rsid w:val="008621E2"/>
    <w:rsid w:val="0086223A"/>
    <w:rsid w:val="00862AA7"/>
    <w:rsid w:val="00862DD3"/>
    <w:rsid w:val="008634D4"/>
    <w:rsid w:val="00864812"/>
    <w:rsid w:val="00864B2A"/>
    <w:rsid w:val="00864C69"/>
    <w:rsid w:val="00864D78"/>
    <w:rsid w:val="00864E31"/>
    <w:rsid w:val="00865001"/>
    <w:rsid w:val="0086516E"/>
    <w:rsid w:val="00865F64"/>
    <w:rsid w:val="00866046"/>
    <w:rsid w:val="008667C5"/>
    <w:rsid w:val="0086707E"/>
    <w:rsid w:val="008671B3"/>
    <w:rsid w:val="00867413"/>
    <w:rsid w:val="00867748"/>
    <w:rsid w:val="00867B36"/>
    <w:rsid w:val="00867E55"/>
    <w:rsid w:val="008700A6"/>
    <w:rsid w:val="00870D33"/>
    <w:rsid w:val="00870D7E"/>
    <w:rsid w:val="00870E6A"/>
    <w:rsid w:val="00871286"/>
    <w:rsid w:val="0087166C"/>
    <w:rsid w:val="00871C63"/>
    <w:rsid w:val="00871C86"/>
    <w:rsid w:val="00873003"/>
    <w:rsid w:val="008745CD"/>
    <w:rsid w:val="0087476A"/>
    <w:rsid w:val="008749BC"/>
    <w:rsid w:val="00874D1F"/>
    <w:rsid w:val="0087507E"/>
    <w:rsid w:val="00875748"/>
    <w:rsid w:val="00875AFB"/>
    <w:rsid w:val="00875B12"/>
    <w:rsid w:val="00875D71"/>
    <w:rsid w:val="00875E2B"/>
    <w:rsid w:val="00875EA2"/>
    <w:rsid w:val="008765B9"/>
    <w:rsid w:val="008765BE"/>
    <w:rsid w:val="0087674B"/>
    <w:rsid w:val="00876A40"/>
    <w:rsid w:val="008770C6"/>
    <w:rsid w:val="008778A4"/>
    <w:rsid w:val="00877D0A"/>
    <w:rsid w:val="00877D1A"/>
    <w:rsid w:val="0088038B"/>
    <w:rsid w:val="0088048B"/>
    <w:rsid w:val="00880B55"/>
    <w:rsid w:val="00880E4A"/>
    <w:rsid w:val="00880FF0"/>
    <w:rsid w:val="00881277"/>
    <w:rsid w:val="0088134C"/>
    <w:rsid w:val="008815E6"/>
    <w:rsid w:val="00881F9B"/>
    <w:rsid w:val="008820DB"/>
    <w:rsid w:val="008827DB"/>
    <w:rsid w:val="0088289A"/>
    <w:rsid w:val="00883077"/>
    <w:rsid w:val="00883C02"/>
    <w:rsid w:val="00883C5A"/>
    <w:rsid w:val="008840C2"/>
    <w:rsid w:val="008846C1"/>
    <w:rsid w:val="0088521E"/>
    <w:rsid w:val="0088553A"/>
    <w:rsid w:val="00885F4F"/>
    <w:rsid w:val="008861FF"/>
    <w:rsid w:val="00886214"/>
    <w:rsid w:val="00886367"/>
    <w:rsid w:val="00886EA1"/>
    <w:rsid w:val="00887060"/>
    <w:rsid w:val="00887288"/>
    <w:rsid w:val="00887455"/>
    <w:rsid w:val="00887909"/>
    <w:rsid w:val="00887B64"/>
    <w:rsid w:val="00887BDE"/>
    <w:rsid w:val="00890263"/>
    <w:rsid w:val="0089039F"/>
    <w:rsid w:val="00890859"/>
    <w:rsid w:val="0089160E"/>
    <w:rsid w:val="00891989"/>
    <w:rsid w:val="0089229F"/>
    <w:rsid w:val="0089283B"/>
    <w:rsid w:val="00892E5F"/>
    <w:rsid w:val="00892F20"/>
    <w:rsid w:val="00892FD9"/>
    <w:rsid w:val="00893018"/>
    <w:rsid w:val="00893F06"/>
    <w:rsid w:val="00894C23"/>
    <w:rsid w:val="00894D29"/>
    <w:rsid w:val="00894EAA"/>
    <w:rsid w:val="0089511F"/>
    <w:rsid w:val="00896111"/>
    <w:rsid w:val="00896449"/>
    <w:rsid w:val="00896746"/>
    <w:rsid w:val="008969CE"/>
    <w:rsid w:val="0089716B"/>
    <w:rsid w:val="00897238"/>
    <w:rsid w:val="00897844"/>
    <w:rsid w:val="00897A01"/>
    <w:rsid w:val="00897F5E"/>
    <w:rsid w:val="008A002B"/>
    <w:rsid w:val="008A02B9"/>
    <w:rsid w:val="008A0F55"/>
    <w:rsid w:val="008A0F94"/>
    <w:rsid w:val="008A1142"/>
    <w:rsid w:val="008A1550"/>
    <w:rsid w:val="008A181F"/>
    <w:rsid w:val="008A1A99"/>
    <w:rsid w:val="008A1CC6"/>
    <w:rsid w:val="008A1CCF"/>
    <w:rsid w:val="008A1F92"/>
    <w:rsid w:val="008A2034"/>
    <w:rsid w:val="008A267A"/>
    <w:rsid w:val="008A2C8D"/>
    <w:rsid w:val="008A300E"/>
    <w:rsid w:val="008A31A7"/>
    <w:rsid w:val="008A3303"/>
    <w:rsid w:val="008A476F"/>
    <w:rsid w:val="008A4932"/>
    <w:rsid w:val="008A5505"/>
    <w:rsid w:val="008A5715"/>
    <w:rsid w:val="008A5DBA"/>
    <w:rsid w:val="008A65E5"/>
    <w:rsid w:val="008A692A"/>
    <w:rsid w:val="008A6D03"/>
    <w:rsid w:val="008A6D89"/>
    <w:rsid w:val="008A7075"/>
    <w:rsid w:val="008A757F"/>
    <w:rsid w:val="008A795E"/>
    <w:rsid w:val="008A7A7F"/>
    <w:rsid w:val="008B0488"/>
    <w:rsid w:val="008B0639"/>
    <w:rsid w:val="008B0BB1"/>
    <w:rsid w:val="008B0C90"/>
    <w:rsid w:val="008B0DA9"/>
    <w:rsid w:val="008B1FD2"/>
    <w:rsid w:val="008B226D"/>
    <w:rsid w:val="008B2665"/>
    <w:rsid w:val="008B2694"/>
    <w:rsid w:val="008B2D3D"/>
    <w:rsid w:val="008B35A1"/>
    <w:rsid w:val="008B3F78"/>
    <w:rsid w:val="008B4280"/>
    <w:rsid w:val="008B42CE"/>
    <w:rsid w:val="008B42F6"/>
    <w:rsid w:val="008B437C"/>
    <w:rsid w:val="008B44F1"/>
    <w:rsid w:val="008B4667"/>
    <w:rsid w:val="008B4A51"/>
    <w:rsid w:val="008B4D64"/>
    <w:rsid w:val="008B4D6A"/>
    <w:rsid w:val="008B52B2"/>
    <w:rsid w:val="008B57DC"/>
    <w:rsid w:val="008B5BB2"/>
    <w:rsid w:val="008B5F50"/>
    <w:rsid w:val="008B6BFC"/>
    <w:rsid w:val="008B7214"/>
    <w:rsid w:val="008B72B7"/>
    <w:rsid w:val="008B7351"/>
    <w:rsid w:val="008B761B"/>
    <w:rsid w:val="008B7916"/>
    <w:rsid w:val="008C0101"/>
    <w:rsid w:val="008C10A5"/>
    <w:rsid w:val="008C1374"/>
    <w:rsid w:val="008C1541"/>
    <w:rsid w:val="008C1CB9"/>
    <w:rsid w:val="008C1D60"/>
    <w:rsid w:val="008C1F0E"/>
    <w:rsid w:val="008C262B"/>
    <w:rsid w:val="008C2F26"/>
    <w:rsid w:val="008C3162"/>
    <w:rsid w:val="008C32E2"/>
    <w:rsid w:val="008C3454"/>
    <w:rsid w:val="008C3476"/>
    <w:rsid w:val="008C3937"/>
    <w:rsid w:val="008C3A46"/>
    <w:rsid w:val="008C3BBF"/>
    <w:rsid w:val="008C3CDD"/>
    <w:rsid w:val="008C3F30"/>
    <w:rsid w:val="008C4019"/>
    <w:rsid w:val="008C4062"/>
    <w:rsid w:val="008C472F"/>
    <w:rsid w:val="008C4B36"/>
    <w:rsid w:val="008C4FF1"/>
    <w:rsid w:val="008C51E3"/>
    <w:rsid w:val="008C54CD"/>
    <w:rsid w:val="008C5B77"/>
    <w:rsid w:val="008C5E1F"/>
    <w:rsid w:val="008C5E5B"/>
    <w:rsid w:val="008C667A"/>
    <w:rsid w:val="008C744B"/>
    <w:rsid w:val="008C7559"/>
    <w:rsid w:val="008C7813"/>
    <w:rsid w:val="008D00A8"/>
    <w:rsid w:val="008D04BF"/>
    <w:rsid w:val="008D0705"/>
    <w:rsid w:val="008D0A1B"/>
    <w:rsid w:val="008D0C4E"/>
    <w:rsid w:val="008D1500"/>
    <w:rsid w:val="008D1E38"/>
    <w:rsid w:val="008D1EC7"/>
    <w:rsid w:val="008D24DE"/>
    <w:rsid w:val="008D2511"/>
    <w:rsid w:val="008D29E1"/>
    <w:rsid w:val="008D2A57"/>
    <w:rsid w:val="008D2ACF"/>
    <w:rsid w:val="008D2F6C"/>
    <w:rsid w:val="008D346A"/>
    <w:rsid w:val="008D40D2"/>
    <w:rsid w:val="008D414E"/>
    <w:rsid w:val="008D41CE"/>
    <w:rsid w:val="008D426D"/>
    <w:rsid w:val="008D43AB"/>
    <w:rsid w:val="008D5153"/>
    <w:rsid w:val="008D52E1"/>
    <w:rsid w:val="008D57EC"/>
    <w:rsid w:val="008D5B45"/>
    <w:rsid w:val="008D5EDB"/>
    <w:rsid w:val="008D624E"/>
    <w:rsid w:val="008D6BA9"/>
    <w:rsid w:val="008D6D3E"/>
    <w:rsid w:val="008D75E9"/>
    <w:rsid w:val="008D7607"/>
    <w:rsid w:val="008D778E"/>
    <w:rsid w:val="008D79BC"/>
    <w:rsid w:val="008D7B12"/>
    <w:rsid w:val="008E05F1"/>
    <w:rsid w:val="008E0F6E"/>
    <w:rsid w:val="008E1314"/>
    <w:rsid w:val="008E1348"/>
    <w:rsid w:val="008E18F7"/>
    <w:rsid w:val="008E1BAF"/>
    <w:rsid w:val="008E2301"/>
    <w:rsid w:val="008E3851"/>
    <w:rsid w:val="008E3D8B"/>
    <w:rsid w:val="008E41F5"/>
    <w:rsid w:val="008E4941"/>
    <w:rsid w:val="008E551A"/>
    <w:rsid w:val="008E567F"/>
    <w:rsid w:val="008E6328"/>
    <w:rsid w:val="008E6612"/>
    <w:rsid w:val="008E6839"/>
    <w:rsid w:val="008E6CE0"/>
    <w:rsid w:val="008E7866"/>
    <w:rsid w:val="008E7B3F"/>
    <w:rsid w:val="008F073D"/>
    <w:rsid w:val="008F0D33"/>
    <w:rsid w:val="008F0D6D"/>
    <w:rsid w:val="008F123E"/>
    <w:rsid w:val="008F16C6"/>
    <w:rsid w:val="008F16DE"/>
    <w:rsid w:val="008F175B"/>
    <w:rsid w:val="008F1846"/>
    <w:rsid w:val="008F1AB9"/>
    <w:rsid w:val="008F1C1C"/>
    <w:rsid w:val="008F24EE"/>
    <w:rsid w:val="008F2835"/>
    <w:rsid w:val="008F29FD"/>
    <w:rsid w:val="008F2B12"/>
    <w:rsid w:val="008F2F8F"/>
    <w:rsid w:val="008F32F3"/>
    <w:rsid w:val="008F342C"/>
    <w:rsid w:val="008F348A"/>
    <w:rsid w:val="008F349D"/>
    <w:rsid w:val="008F38EC"/>
    <w:rsid w:val="008F39E6"/>
    <w:rsid w:val="008F3C10"/>
    <w:rsid w:val="008F3F14"/>
    <w:rsid w:val="008F3F8A"/>
    <w:rsid w:val="008F40E3"/>
    <w:rsid w:val="008F40FC"/>
    <w:rsid w:val="008F429B"/>
    <w:rsid w:val="008F5339"/>
    <w:rsid w:val="008F5890"/>
    <w:rsid w:val="008F5942"/>
    <w:rsid w:val="008F643B"/>
    <w:rsid w:val="008F65CB"/>
    <w:rsid w:val="008F65EA"/>
    <w:rsid w:val="008F6756"/>
    <w:rsid w:val="008F6937"/>
    <w:rsid w:val="008F6A2B"/>
    <w:rsid w:val="008F6A70"/>
    <w:rsid w:val="008F6D31"/>
    <w:rsid w:val="008F73F5"/>
    <w:rsid w:val="008F7815"/>
    <w:rsid w:val="008F7BBA"/>
    <w:rsid w:val="008F7F1D"/>
    <w:rsid w:val="00900B3E"/>
    <w:rsid w:val="00900B8D"/>
    <w:rsid w:val="00900D0C"/>
    <w:rsid w:val="00900D85"/>
    <w:rsid w:val="00900E10"/>
    <w:rsid w:val="009014C9"/>
    <w:rsid w:val="0090152D"/>
    <w:rsid w:val="009015C5"/>
    <w:rsid w:val="009016E6"/>
    <w:rsid w:val="00901CC4"/>
    <w:rsid w:val="0090201D"/>
    <w:rsid w:val="009024D1"/>
    <w:rsid w:val="00902A0C"/>
    <w:rsid w:val="00902D3B"/>
    <w:rsid w:val="00902D4A"/>
    <w:rsid w:val="00902FDA"/>
    <w:rsid w:val="009032A4"/>
    <w:rsid w:val="0090357B"/>
    <w:rsid w:val="0090370E"/>
    <w:rsid w:val="00903723"/>
    <w:rsid w:val="00903AC8"/>
    <w:rsid w:val="009047FD"/>
    <w:rsid w:val="0090483E"/>
    <w:rsid w:val="00905084"/>
    <w:rsid w:val="0090539C"/>
    <w:rsid w:val="009055A0"/>
    <w:rsid w:val="00905D6C"/>
    <w:rsid w:val="00906AAE"/>
    <w:rsid w:val="0090785C"/>
    <w:rsid w:val="00907C9A"/>
    <w:rsid w:val="00907D32"/>
    <w:rsid w:val="0091093D"/>
    <w:rsid w:val="00910B34"/>
    <w:rsid w:val="00910C56"/>
    <w:rsid w:val="00910CF3"/>
    <w:rsid w:val="00911190"/>
    <w:rsid w:val="00911298"/>
    <w:rsid w:val="00911308"/>
    <w:rsid w:val="009114C4"/>
    <w:rsid w:val="00911DC9"/>
    <w:rsid w:val="009127C9"/>
    <w:rsid w:val="009131D4"/>
    <w:rsid w:val="009133DD"/>
    <w:rsid w:val="009134FC"/>
    <w:rsid w:val="00913771"/>
    <w:rsid w:val="009138FC"/>
    <w:rsid w:val="00913A44"/>
    <w:rsid w:val="00915082"/>
    <w:rsid w:val="009152C7"/>
    <w:rsid w:val="00915418"/>
    <w:rsid w:val="00915512"/>
    <w:rsid w:val="00915E7A"/>
    <w:rsid w:val="00916089"/>
    <w:rsid w:val="00916124"/>
    <w:rsid w:val="009168EF"/>
    <w:rsid w:val="0091698B"/>
    <w:rsid w:val="00916C06"/>
    <w:rsid w:val="00916EEA"/>
    <w:rsid w:val="0091709D"/>
    <w:rsid w:val="00917620"/>
    <w:rsid w:val="00917D08"/>
    <w:rsid w:val="00920673"/>
    <w:rsid w:val="00920AF1"/>
    <w:rsid w:val="0092125D"/>
    <w:rsid w:val="0092131B"/>
    <w:rsid w:val="00921747"/>
    <w:rsid w:val="0092194A"/>
    <w:rsid w:val="00923154"/>
    <w:rsid w:val="00923DE8"/>
    <w:rsid w:val="00924642"/>
    <w:rsid w:val="00924863"/>
    <w:rsid w:val="00924BD6"/>
    <w:rsid w:val="00924E39"/>
    <w:rsid w:val="00924F3D"/>
    <w:rsid w:val="0092519A"/>
    <w:rsid w:val="00925F82"/>
    <w:rsid w:val="009267C2"/>
    <w:rsid w:val="0092680D"/>
    <w:rsid w:val="009268F0"/>
    <w:rsid w:val="0092745E"/>
    <w:rsid w:val="00927A35"/>
    <w:rsid w:val="00927B41"/>
    <w:rsid w:val="00930197"/>
    <w:rsid w:val="009303B7"/>
    <w:rsid w:val="00931001"/>
    <w:rsid w:val="0093124B"/>
    <w:rsid w:val="009314E1"/>
    <w:rsid w:val="009319F3"/>
    <w:rsid w:val="00931C80"/>
    <w:rsid w:val="00931E85"/>
    <w:rsid w:val="00932135"/>
    <w:rsid w:val="009324CF"/>
    <w:rsid w:val="00932518"/>
    <w:rsid w:val="00932580"/>
    <w:rsid w:val="009326F4"/>
    <w:rsid w:val="00933792"/>
    <w:rsid w:val="00933C77"/>
    <w:rsid w:val="00933FD9"/>
    <w:rsid w:val="00934880"/>
    <w:rsid w:val="00934B67"/>
    <w:rsid w:val="00934F4D"/>
    <w:rsid w:val="00935F11"/>
    <w:rsid w:val="009366C0"/>
    <w:rsid w:val="00936A22"/>
    <w:rsid w:val="00936D89"/>
    <w:rsid w:val="00937073"/>
    <w:rsid w:val="009374B6"/>
    <w:rsid w:val="0093767B"/>
    <w:rsid w:val="009377E8"/>
    <w:rsid w:val="00937B7C"/>
    <w:rsid w:val="009402BD"/>
    <w:rsid w:val="00940404"/>
    <w:rsid w:val="0094070D"/>
    <w:rsid w:val="00940B90"/>
    <w:rsid w:val="00940C21"/>
    <w:rsid w:val="009418F8"/>
    <w:rsid w:val="00941F7B"/>
    <w:rsid w:val="009425E4"/>
    <w:rsid w:val="009426AA"/>
    <w:rsid w:val="00942BFF"/>
    <w:rsid w:val="009438D9"/>
    <w:rsid w:val="009439D3"/>
    <w:rsid w:val="00943A65"/>
    <w:rsid w:val="00944011"/>
    <w:rsid w:val="00944205"/>
    <w:rsid w:val="00945213"/>
    <w:rsid w:val="0094616B"/>
    <w:rsid w:val="009468E0"/>
    <w:rsid w:val="009476A3"/>
    <w:rsid w:val="00947815"/>
    <w:rsid w:val="00947A2D"/>
    <w:rsid w:val="009504A4"/>
    <w:rsid w:val="009504A7"/>
    <w:rsid w:val="00950770"/>
    <w:rsid w:val="009514EB"/>
    <w:rsid w:val="0095158F"/>
    <w:rsid w:val="00951C71"/>
    <w:rsid w:val="0095215B"/>
    <w:rsid w:val="009523F6"/>
    <w:rsid w:val="00952705"/>
    <w:rsid w:val="00952CAA"/>
    <w:rsid w:val="0095344F"/>
    <w:rsid w:val="009536EA"/>
    <w:rsid w:val="00953AA5"/>
    <w:rsid w:val="009546E4"/>
    <w:rsid w:val="00954EE0"/>
    <w:rsid w:val="00955A05"/>
    <w:rsid w:val="00955EF5"/>
    <w:rsid w:val="009564D9"/>
    <w:rsid w:val="00956759"/>
    <w:rsid w:val="00956896"/>
    <w:rsid w:val="00957600"/>
    <w:rsid w:val="00957BCA"/>
    <w:rsid w:val="00960B65"/>
    <w:rsid w:val="00960DEF"/>
    <w:rsid w:val="00961AAB"/>
    <w:rsid w:val="00961C28"/>
    <w:rsid w:val="00962952"/>
    <w:rsid w:val="00962D47"/>
    <w:rsid w:val="009630F0"/>
    <w:rsid w:val="00963452"/>
    <w:rsid w:val="0096373D"/>
    <w:rsid w:val="00963BB9"/>
    <w:rsid w:val="00963D68"/>
    <w:rsid w:val="0096409F"/>
    <w:rsid w:val="0096413A"/>
    <w:rsid w:val="0096465A"/>
    <w:rsid w:val="00964682"/>
    <w:rsid w:val="0096486F"/>
    <w:rsid w:val="00965090"/>
    <w:rsid w:val="0096511A"/>
    <w:rsid w:val="009652BD"/>
    <w:rsid w:val="00965432"/>
    <w:rsid w:val="00965614"/>
    <w:rsid w:val="00965BC1"/>
    <w:rsid w:val="009661BF"/>
    <w:rsid w:val="009661CF"/>
    <w:rsid w:val="0096620A"/>
    <w:rsid w:val="009663F4"/>
    <w:rsid w:val="00966CCF"/>
    <w:rsid w:val="00966EA7"/>
    <w:rsid w:val="0096707B"/>
    <w:rsid w:val="009671DF"/>
    <w:rsid w:val="0096797C"/>
    <w:rsid w:val="00967C4D"/>
    <w:rsid w:val="00970011"/>
    <w:rsid w:val="009702CA"/>
    <w:rsid w:val="00970801"/>
    <w:rsid w:val="00970A19"/>
    <w:rsid w:val="00970A3B"/>
    <w:rsid w:val="00970D04"/>
    <w:rsid w:val="00970E26"/>
    <w:rsid w:val="00970F4F"/>
    <w:rsid w:val="00971218"/>
    <w:rsid w:val="00971241"/>
    <w:rsid w:val="0097133A"/>
    <w:rsid w:val="00971AC5"/>
    <w:rsid w:val="009728D7"/>
    <w:rsid w:val="00972E77"/>
    <w:rsid w:val="00972E9C"/>
    <w:rsid w:val="00973393"/>
    <w:rsid w:val="009735CB"/>
    <w:rsid w:val="00973675"/>
    <w:rsid w:val="00973D9A"/>
    <w:rsid w:val="00973DC7"/>
    <w:rsid w:val="00974027"/>
    <w:rsid w:val="00974713"/>
    <w:rsid w:val="00974847"/>
    <w:rsid w:val="00975071"/>
    <w:rsid w:val="00975294"/>
    <w:rsid w:val="009758E0"/>
    <w:rsid w:val="00976188"/>
    <w:rsid w:val="009767B2"/>
    <w:rsid w:val="00976F50"/>
    <w:rsid w:val="00977246"/>
    <w:rsid w:val="00977262"/>
    <w:rsid w:val="00977305"/>
    <w:rsid w:val="00977AE4"/>
    <w:rsid w:val="0098000C"/>
    <w:rsid w:val="00980344"/>
    <w:rsid w:val="009803D7"/>
    <w:rsid w:val="0098070A"/>
    <w:rsid w:val="0098074D"/>
    <w:rsid w:val="009807FA"/>
    <w:rsid w:val="00980D40"/>
    <w:rsid w:val="009812F5"/>
    <w:rsid w:val="00981C77"/>
    <w:rsid w:val="00981E7B"/>
    <w:rsid w:val="00982239"/>
    <w:rsid w:val="00982344"/>
    <w:rsid w:val="009829C5"/>
    <w:rsid w:val="00982E6F"/>
    <w:rsid w:val="00983050"/>
    <w:rsid w:val="00983304"/>
    <w:rsid w:val="00983351"/>
    <w:rsid w:val="00984010"/>
    <w:rsid w:val="0098416F"/>
    <w:rsid w:val="009844F6"/>
    <w:rsid w:val="00984897"/>
    <w:rsid w:val="00984B9D"/>
    <w:rsid w:val="00984D89"/>
    <w:rsid w:val="00984DAD"/>
    <w:rsid w:val="00984E0D"/>
    <w:rsid w:val="009856B0"/>
    <w:rsid w:val="0098591D"/>
    <w:rsid w:val="00985C75"/>
    <w:rsid w:val="00986056"/>
    <w:rsid w:val="0098605B"/>
    <w:rsid w:val="009861D1"/>
    <w:rsid w:val="009862BC"/>
    <w:rsid w:val="00986477"/>
    <w:rsid w:val="009864C4"/>
    <w:rsid w:val="00986DE9"/>
    <w:rsid w:val="00986F2D"/>
    <w:rsid w:val="00987058"/>
    <w:rsid w:val="009870AD"/>
    <w:rsid w:val="00987158"/>
    <w:rsid w:val="009874C3"/>
    <w:rsid w:val="009901E7"/>
    <w:rsid w:val="009905DC"/>
    <w:rsid w:val="00990784"/>
    <w:rsid w:val="00990C82"/>
    <w:rsid w:val="009920C6"/>
    <w:rsid w:val="009923F8"/>
    <w:rsid w:val="009924A4"/>
    <w:rsid w:val="009928DA"/>
    <w:rsid w:val="00992BA0"/>
    <w:rsid w:val="00992C83"/>
    <w:rsid w:val="00992E28"/>
    <w:rsid w:val="00992ED9"/>
    <w:rsid w:val="009931A0"/>
    <w:rsid w:val="009936B2"/>
    <w:rsid w:val="00993847"/>
    <w:rsid w:val="009938A9"/>
    <w:rsid w:val="00993C46"/>
    <w:rsid w:val="00993D01"/>
    <w:rsid w:val="00993F88"/>
    <w:rsid w:val="00994708"/>
    <w:rsid w:val="0099485F"/>
    <w:rsid w:val="00995036"/>
    <w:rsid w:val="00996A81"/>
    <w:rsid w:val="009971FA"/>
    <w:rsid w:val="0099776B"/>
    <w:rsid w:val="00997AEE"/>
    <w:rsid w:val="00997F24"/>
    <w:rsid w:val="009A038A"/>
    <w:rsid w:val="009A06D7"/>
    <w:rsid w:val="009A081F"/>
    <w:rsid w:val="009A0BD2"/>
    <w:rsid w:val="009A0E98"/>
    <w:rsid w:val="009A0EA4"/>
    <w:rsid w:val="009A1117"/>
    <w:rsid w:val="009A1266"/>
    <w:rsid w:val="009A1DCE"/>
    <w:rsid w:val="009A2A24"/>
    <w:rsid w:val="009A2FD2"/>
    <w:rsid w:val="009A31BF"/>
    <w:rsid w:val="009A3228"/>
    <w:rsid w:val="009A36AB"/>
    <w:rsid w:val="009A38E3"/>
    <w:rsid w:val="009A3C9A"/>
    <w:rsid w:val="009A430F"/>
    <w:rsid w:val="009A5359"/>
    <w:rsid w:val="009A5410"/>
    <w:rsid w:val="009A5422"/>
    <w:rsid w:val="009A6578"/>
    <w:rsid w:val="009A685C"/>
    <w:rsid w:val="009A6870"/>
    <w:rsid w:val="009A69F3"/>
    <w:rsid w:val="009A6D0E"/>
    <w:rsid w:val="009A6D2B"/>
    <w:rsid w:val="009A6EA6"/>
    <w:rsid w:val="009A7426"/>
    <w:rsid w:val="009A7494"/>
    <w:rsid w:val="009A7CF5"/>
    <w:rsid w:val="009A7F04"/>
    <w:rsid w:val="009A7F21"/>
    <w:rsid w:val="009B0357"/>
    <w:rsid w:val="009B0664"/>
    <w:rsid w:val="009B06D5"/>
    <w:rsid w:val="009B085C"/>
    <w:rsid w:val="009B0A42"/>
    <w:rsid w:val="009B0B2E"/>
    <w:rsid w:val="009B1BA6"/>
    <w:rsid w:val="009B1D2B"/>
    <w:rsid w:val="009B1D99"/>
    <w:rsid w:val="009B1DC2"/>
    <w:rsid w:val="009B1DDE"/>
    <w:rsid w:val="009B3589"/>
    <w:rsid w:val="009B358B"/>
    <w:rsid w:val="009B38B1"/>
    <w:rsid w:val="009B38C9"/>
    <w:rsid w:val="009B39B1"/>
    <w:rsid w:val="009B4E1D"/>
    <w:rsid w:val="009B4E38"/>
    <w:rsid w:val="009B4E7E"/>
    <w:rsid w:val="009B4ECB"/>
    <w:rsid w:val="009B5598"/>
    <w:rsid w:val="009B5746"/>
    <w:rsid w:val="009B5B27"/>
    <w:rsid w:val="009B5E56"/>
    <w:rsid w:val="009B7268"/>
    <w:rsid w:val="009B7CA2"/>
    <w:rsid w:val="009B7DE0"/>
    <w:rsid w:val="009C00BF"/>
    <w:rsid w:val="009C012E"/>
    <w:rsid w:val="009C085D"/>
    <w:rsid w:val="009C114C"/>
    <w:rsid w:val="009C1E2D"/>
    <w:rsid w:val="009C2CEB"/>
    <w:rsid w:val="009C2DD1"/>
    <w:rsid w:val="009C2FAA"/>
    <w:rsid w:val="009C30EE"/>
    <w:rsid w:val="009C3574"/>
    <w:rsid w:val="009C37C3"/>
    <w:rsid w:val="009C3F82"/>
    <w:rsid w:val="009C40DC"/>
    <w:rsid w:val="009C488B"/>
    <w:rsid w:val="009C4C99"/>
    <w:rsid w:val="009C5265"/>
    <w:rsid w:val="009C58D2"/>
    <w:rsid w:val="009C5B4A"/>
    <w:rsid w:val="009C60A5"/>
    <w:rsid w:val="009C60D5"/>
    <w:rsid w:val="009C6C07"/>
    <w:rsid w:val="009C6C7E"/>
    <w:rsid w:val="009C7240"/>
    <w:rsid w:val="009C74C3"/>
    <w:rsid w:val="009C79D6"/>
    <w:rsid w:val="009C7B25"/>
    <w:rsid w:val="009C7E5D"/>
    <w:rsid w:val="009C7EC5"/>
    <w:rsid w:val="009D0E1B"/>
    <w:rsid w:val="009D0FC6"/>
    <w:rsid w:val="009D154F"/>
    <w:rsid w:val="009D16D0"/>
    <w:rsid w:val="009D245A"/>
    <w:rsid w:val="009D2A09"/>
    <w:rsid w:val="009D2F7A"/>
    <w:rsid w:val="009D32CE"/>
    <w:rsid w:val="009D34CF"/>
    <w:rsid w:val="009D3633"/>
    <w:rsid w:val="009D38FD"/>
    <w:rsid w:val="009D4175"/>
    <w:rsid w:val="009D432B"/>
    <w:rsid w:val="009D4352"/>
    <w:rsid w:val="009D436E"/>
    <w:rsid w:val="009D4400"/>
    <w:rsid w:val="009D49EB"/>
    <w:rsid w:val="009D51DA"/>
    <w:rsid w:val="009D54E1"/>
    <w:rsid w:val="009D5708"/>
    <w:rsid w:val="009D5CB4"/>
    <w:rsid w:val="009D5CC6"/>
    <w:rsid w:val="009D60A4"/>
    <w:rsid w:val="009D61A8"/>
    <w:rsid w:val="009D61DB"/>
    <w:rsid w:val="009D6898"/>
    <w:rsid w:val="009D6A80"/>
    <w:rsid w:val="009D6E43"/>
    <w:rsid w:val="009D6F0E"/>
    <w:rsid w:val="009D76B7"/>
    <w:rsid w:val="009D7DCE"/>
    <w:rsid w:val="009E0193"/>
    <w:rsid w:val="009E0382"/>
    <w:rsid w:val="009E11B8"/>
    <w:rsid w:val="009E1785"/>
    <w:rsid w:val="009E1CBD"/>
    <w:rsid w:val="009E2FED"/>
    <w:rsid w:val="009E3965"/>
    <w:rsid w:val="009E4096"/>
    <w:rsid w:val="009E5328"/>
    <w:rsid w:val="009E5757"/>
    <w:rsid w:val="009E5B81"/>
    <w:rsid w:val="009E5BFE"/>
    <w:rsid w:val="009E5C4A"/>
    <w:rsid w:val="009E611E"/>
    <w:rsid w:val="009E649E"/>
    <w:rsid w:val="009E6DD0"/>
    <w:rsid w:val="009E73CD"/>
    <w:rsid w:val="009E75C5"/>
    <w:rsid w:val="009E7724"/>
    <w:rsid w:val="009E7C45"/>
    <w:rsid w:val="009F00DF"/>
    <w:rsid w:val="009F08BE"/>
    <w:rsid w:val="009F0AD5"/>
    <w:rsid w:val="009F127F"/>
    <w:rsid w:val="009F13E8"/>
    <w:rsid w:val="009F1ADA"/>
    <w:rsid w:val="009F2A89"/>
    <w:rsid w:val="009F2AC7"/>
    <w:rsid w:val="009F3427"/>
    <w:rsid w:val="009F3657"/>
    <w:rsid w:val="009F38C0"/>
    <w:rsid w:val="009F3DCC"/>
    <w:rsid w:val="009F3DD0"/>
    <w:rsid w:val="009F4939"/>
    <w:rsid w:val="009F4BB5"/>
    <w:rsid w:val="009F4BB9"/>
    <w:rsid w:val="009F6301"/>
    <w:rsid w:val="009F6539"/>
    <w:rsid w:val="009F658D"/>
    <w:rsid w:val="009F65D8"/>
    <w:rsid w:val="009F6775"/>
    <w:rsid w:val="009F7133"/>
    <w:rsid w:val="009F725E"/>
    <w:rsid w:val="009F73D0"/>
    <w:rsid w:val="009F7838"/>
    <w:rsid w:val="009F7DFC"/>
    <w:rsid w:val="00A000B2"/>
    <w:rsid w:val="00A000F6"/>
    <w:rsid w:val="00A005C4"/>
    <w:rsid w:val="00A0069B"/>
    <w:rsid w:val="00A00C45"/>
    <w:rsid w:val="00A00C6B"/>
    <w:rsid w:val="00A019EC"/>
    <w:rsid w:val="00A01AEE"/>
    <w:rsid w:val="00A01B8F"/>
    <w:rsid w:val="00A01F76"/>
    <w:rsid w:val="00A02381"/>
    <w:rsid w:val="00A028F8"/>
    <w:rsid w:val="00A02BB9"/>
    <w:rsid w:val="00A02C49"/>
    <w:rsid w:val="00A03018"/>
    <w:rsid w:val="00A0316D"/>
    <w:rsid w:val="00A03863"/>
    <w:rsid w:val="00A03D5A"/>
    <w:rsid w:val="00A04171"/>
    <w:rsid w:val="00A04A44"/>
    <w:rsid w:val="00A05177"/>
    <w:rsid w:val="00A053D4"/>
    <w:rsid w:val="00A05A6B"/>
    <w:rsid w:val="00A05B77"/>
    <w:rsid w:val="00A0693C"/>
    <w:rsid w:val="00A06BF9"/>
    <w:rsid w:val="00A06EBA"/>
    <w:rsid w:val="00A072A0"/>
    <w:rsid w:val="00A072D4"/>
    <w:rsid w:val="00A07558"/>
    <w:rsid w:val="00A07B4A"/>
    <w:rsid w:val="00A100F1"/>
    <w:rsid w:val="00A10405"/>
    <w:rsid w:val="00A104ED"/>
    <w:rsid w:val="00A10690"/>
    <w:rsid w:val="00A10F0B"/>
    <w:rsid w:val="00A10F39"/>
    <w:rsid w:val="00A111D3"/>
    <w:rsid w:val="00A11466"/>
    <w:rsid w:val="00A114DE"/>
    <w:rsid w:val="00A11701"/>
    <w:rsid w:val="00A11A31"/>
    <w:rsid w:val="00A11B72"/>
    <w:rsid w:val="00A120FB"/>
    <w:rsid w:val="00A124BE"/>
    <w:rsid w:val="00A1253A"/>
    <w:rsid w:val="00A1255D"/>
    <w:rsid w:val="00A1276A"/>
    <w:rsid w:val="00A130D2"/>
    <w:rsid w:val="00A13858"/>
    <w:rsid w:val="00A13EAE"/>
    <w:rsid w:val="00A1424A"/>
    <w:rsid w:val="00A14B20"/>
    <w:rsid w:val="00A15593"/>
    <w:rsid w:val="00A155CD"/>
    <w:rsid w:val="00A168BF"/>
    <w:rsid w:val="00A175E2"/>
    <w:rsid w:val="00A17B4E"/>
    <w:rsid w:val="00A17FC1"/>
    <w:rsid w:val="00A2029A"/>
    <w:rsid w:val="00A20BA0"/>
    <w:rsid w:val="00A21708"/>
    <w:rsid w:val="00A2293C"/>
    <w:rsid w:val="00A22B82"/>
    <w:rsid w:val="00A22C71"/>
    <w:rsid w:val="00A234D4"/>
    <w:rsid w:val="00A23AD1"/>
    <w:rsid w:val="00A24C1D"/>
    <w:rsid w:val="00A24CC6"/>
    <w:rsid w:val="00A24FD4"/>
    <w:rsid w:val="00A258C7"/>
    <w:rsid w:val="00A26598"/>
    <w:rsid w:val="00A26D4B"/>
    <w:rsid w:val="00A277AC"/>
    <w:rsid w:val="00A3001A"/>
    <w:rsid w:val="00A30765"/>
    <w:rsid w:val="00A31542"/>
    <w:rsid w:val="00A3183D"/>
    <w:rsid w:val="00A31CF8"/>
    <w:rsid w:val="00A32640"/>
    <w:rsid w:val="00A32820"/>
    <w:rsid w:val="00A32F68"/>
    <w:rsid w:val="00A33147"/>
    <w:rsid w:val="00A33210"/>
    <w:rsid w:val="00A33726"/>
    <w:rsid w:val="00A33BF8"/>
    <w:rsid w:val="00A33DC3"/>
    <w:rsid w:val="00A33F89"/>
    <w:rsid w:val="00A3480D"/>
    <w:rsid w:val="00A34AC9"/>
    <w:rsid w:val="00A34B4C"/>
    <w:rsid w:val="00A34C5D"/>
    <w:rsid w:val="00A3564A"/>
    <w:rsid w:val="00A35A6D"/>
    <w:rsid w:val="00A3608F"/>
    <w:rsid w:val="00A360FC"/>
    <w:rsid w:val="00A363A6"/>
    <w:rsid w:val="00A3677E"/>
    <w:rsid w:val="00A36A9A"/>
    <w:rsid w:val="00A36C93"/>
    <w:rsid w:val="00A36E6B"/>
    <w:rsid w:val="00A36F9E"/>
    <w:rsid w:val="00A371F0"/>
    <w:rsid w:val="00A372C1"/>
    <w:rsid w:val="00A377C7"/>
    <w:rsid w:val="00A4022E"/>
    <w:rsid w:val="00A407D6"/>
    <w:rsid w:val="00A407DA"/>
    <w:rsid w:val="00A41878"/>
    <w:rsid w:val="00A423D8"/>
    <w:rsid w:val="00A424BD"/>
    <w:rsid w:val="00A42AE0"/>
    <w:rsid w:val="00A42C2B"/>
    <w:rsid w:val="00A4335A"/>
    <w:rsid w:val="00A4378B"/>
    <w:rsid w:val="00A43A94"/>
    <w:rsid w:val="00A43B84"/>
    <w:rsid w:val="00A4430E"/>
    <w:rsid w:val="00A44597"/>
    <w:rsid w:val="00A44D7A"/>
    <w:rsid w:val="00A44EF0"/>
    <w:rsid w:val="00A44F07"/>
    <w:rsid w:val="00A45E3B"/>
    <w:rsid w:val="00A46335"/>
    <w:rsid w:val="00A46553"/>
    <w:rsid w:val="00A4660A"/>
    <w:rsid w:val="00A4672E"/>
    <w:rsid w:val="00A470E2"/>
    <w:rsid w:val="00A47707"/>
    <w:rsid w:val="00A505D0"/>
    <w:rsid w:val="00A5074F"/>
    <w:rsid w:val="00A507D6"/>
    <w:rsid w:val="00A50A53"/>
    <w:rsid w:val="00A51254"/>
    <w:rsid w:val="00A5137A"/>
    <w:rsid w:val="00A514BE"/>
    <w:rsid w:val="00A51747"/>
    <w:rsid w:val="00A51CFC"/>
    <w:rsid w:val="00A526B4"/>
    <w:rsid w:val="00A5278A"/>
    <w:rsid w:val="00A529AB"/>
    <w:rsid w:val="00A53469"/>
    <w:rsid w:val="00A534B6"/>
    <w:rsid w:val="00A53990"/>
    <w:rsid w:val="00A53E6F"/>
    <w:rsid w:val="00A54775"/>
    <w:rsid w:val="00A54C39"/>
    <w:rsid w:val="00A54ED7"/>
    <w:rsid w:val="00A552AF"/>
    <w:rsid w:val="00A5538A"/>
    <w:rsid w:val="00A5545C"/>
    <w:rsid w:val="00A55C09"/>
    <w:rsid w:val="00A55CC3"/>
    <w:rsid w:val="00A55D22"/>
    <w:rsid w:val="00A55EB0"/>
    <w:rsid w:val="00A55FEB"/>
    <w:rsid w:val="00A5663E"/>
    <w:rsid w:val="00A569D3"/>
    <w:rsid w:val="00A56ECD"/>
    <w:rsid w:val="00A571E3"/>
    <w:rsid w:val="00A57215"/>
    <w:rsid w:val="00A578FF"/>
    <w:rsid w:val="00A57C14"/>
    <w:rsid w:val="00A57CAC"/>
    <w:rsid w:val="00A57E95"/>
    <w:rsid w:val="00A60134"/>
    <w:rsid w:val="00A6035E"/>
    <w:rsid w:val="00A60691"/>
    <w:rsid w:val="00A6098F"/>
    <w:rsid w:val="00A60ED2"/>
    <w:rsid w:val="00A610F1"/>
    <w:rsid w:val="00A614FF"/>
    <w:rsid w:val="00A616FA"/>
    <w:rsid w:val="00A62369"/>
    <w:rsid w:val="00A62650"/>
    <w:rsid w:val="00A627E7"/>
    <w:rsid w:val="00A63B6F"/>
    <w:rsid w:val="00A64485"/>
    <w:rsid w:val="00A64AE0"/>
    <w:rsid w:val="00A652E4"/>
    <w:rsid w:val="00A65720"/>
    <w:rsid w:val="00A6583E"/>
    <w:rsid w:val="00A658AD"/>
    <w:rsid w:val="00A65960"/>
    <w:rsid w:val="00A661BF"/>
    <w:rsid w:val="00A6664A"/>
    <w:rsid w:val="00A666CB"/>
    <w:rsid w:val="00A66757"/>
    <w:rsid w:val="00A669D1"/>
    <w:rsid w:val="00A7038F"/>
    <w:rsid w:val="00A705EE"/>
    <w:rsid w:val="00A70F08"/>
    <w:rsid w:val="00A71266"/>
    <w:rsid w:val="00A712C0"/>
    <w:rsid w:val="00A7142B"/>
    <w:rsid w:val="00A714AC"/>
    <w:rsid w:val="00A719A6"/>
    <w:rsid w:val="00A71B39"/>
    <w:rsid w:val="00A71D96"/>
    <w:rsid w:val="00A71FD3"/>
    <w:rsid w:val="00A72149"/>
    <w:rsid w:val="00A7258A"/>
    <w:rsid w:val="00A7277B"/>
    <w:rsid w:val="00A728AC"/>
    <w:rsid w:val="00A72C3A"/>
    <w:rsid w:val="00A72C6E"/>
    <w:rsid w:val="00A72F75"/>
    <w:rsid w:val="00A7392F"/>
    <w:rsid w:val="00A743FC"/>
    <w:rsid w:val="00A74BE7"/>
    <w:rsid w:val="00A75036"/>
    <w:rsid w:val="00A75963"/>
    <w:rsid w:val="00A7619C"/>
    <w:rsid w:val="00A762C6"/>
    <w:rsid w:val="00A766CC"/>
    <w:rsid w:val="00A76DEA"/>
    <w:rsid w:val="00A80580"/>
    <w:rsid w:val="00A8074D"/>
    <w:rsid w:val="00A80848"/>
    <w:rsid w:val="00A80B34"/>
    <w:rsid w:val="00A816C3"/>
    <w:rsid w:val="00A819A1"/>
    <w:rsid w:val="00A81BAD"/>
    <w:rsid w:val="00A823B5"/>
    <w:rsid w:val="00A82666"/>
    <w:rsid w:val="00A8298C"/>
    <w:rsid w:val="00A82D42"/>
    <w:rsid w:val="00A83D72"/>
    <w:rsid w:val="00A83FB8"/>
    <w:rsid w:val="00A8474C"/>
    <w:rsid w:val="00A849B6"/>
    <w:rsid w:val="00A84CB1"/>
    <w:rsid w:val="00A84E17"/>
    <w:rsid w:val="00A85232"/>
    <w:rsid w:val="00A85361"/>
    <w:rsid w:val="00A857AB"/>
    <w:rsid w:val="00A8580B"/>
    <w:rsid w:val="00A86191"/>
    <w:rsid w:val="00A86C9B"/>
    <w:rsid w:val="00A87435"/>
    <w:rsid w:val="00A877DE"/>
    <w:rsid w:val="00A87CEE"/>
    <w:rsid w:val="00A87DA3"/>
    <w:rsid w:val="00A900D7"/>
    <w:rsid w:val="00A9032A"/>
    <w:rsid w:val="00A90564"/>
    <w:rsid w:val="00A90A0F"/>
    <w:rsid w:val="00A90D5F"/>
    <w:rsid w:val="00A912DC"/>
    <w:rsid w:val="00A913A8"/>
    <w:rsid w:val="00A914AA"/>
    <w:rsid w:val="00A915B4"/>
    <w:rsid w:val="00A924F6"/>
    <w:rsid w:val="00A92E7B"/>
    <w:rsid w:val="00A93625"/>
    <w:rsid w:val="00A93C21"/>
    <w:rsid w:val="00A93F05"/>
    <w:rsid w:val="00A93F5B"/>
    <w:rsid w:val="00A9412C"/>
    <w:rsid w:val="00A942B9"/>
    <w:rsid w:val="00A94637"/>
    <w:rsid w:val="00A94925"/>
    <w:rsid w:val="00A94BAB"/>
    <w:rsid w:val="00A95CC7"/>
    <w:rsid w:val="00A961E5"/>
    <w:rsid w:val="00A96477"/>
    <w:rsid w:val="00A9657E"/>
    <w:rsid w:val="00A965CD"/>
    <w:rsid w:val="00A9710B"/>
    <w:rsid w:val="00A9713B"/>
    <w:rsid w:val="00A972E1"/>
    <w:rsid w:val="00A977CA"/>
    <w:rsid w:val="00A977D8"/>
    <w:rsid w:val="00A97D32"/>
    <w:rsid w:val="00AA0016"/>
    <w:rsid w:val="00AA01B1"/>
    <w:rsid w:val="00AA0239"/>
    <w:rsid w:val="00AA0737"/>
    <w:rsid w:val="00AA0C21"/>
    <w:rsid w:val="00AA0D28"/>
    <w:rsid w:val="00AA11A1"/>
    <w:rsid w:val="00AA1636"/>
    <w:rsid w:val="00AA16D4"/>
    <w:rsid w:val="00AA1948"/>
    <w:rsid w:val="00AA19ED"/>
    <w:rsid w:val="00AA19FE"/>
    <w:rsid w:val="00AA1CCD"/>
    <w:rsid w:val="00AA1FB5"/>
    <w:rsid w:val="00AA2180"/>
    <w:rsid w:val="00AA241E"/>
    <w:rsid w:val="00AA2BEC"/>
    <w:rsid w:val="00AA2D44"/>
    <w:rsid w:val="00AA352C"/>
    <w:rsid w:val="00AA397F"/>
    <w:rsid w:val="00AA3ACA"/>
    <w:rsid w:val="00AA43F1"/>
    <w:rsid w:val="00AA4441"/>
    <w:rsid w:val="00AA455B"/>
    <w:rsid w:val="00AA45D5"/>
    <w:rsid w:val="00AA54C2"/>
    <w:rsid w:val="00AA55E8"/>
    <w:rsid w:val="00AA5DC9"/>
    <w:rsid w:val="00AA63A7"/>
    <w:rsid w:val="00AA63C6"/>
    <w:rsid w:val="00AA6478"/>
    <w:rsid w:val="00AA67C9"/>
    <w:rsid w:val="00AA6BA3"/>
    <w:rsid w:val="00AA746F"/>
    <w:rsid w:val="00AA74E8"/>
    <w:rsid w:val="00AA7B28"/>
    <w:rsid w:val="00AA7F13"/>
    <w:rsid w:val="00AB0B16"/>
    <w:rsid w:val="00AB0B2C"/>
    <w:rsid w:val="00AB0DC0"/>
    <w:rsid w:val="00AB0DE5"/>
    <w:rsid w:val="00AB0F32"/>
    <w:rsid w:val="00AB1261"/>
    <w:rsid w:val="00AB1451"/>
    <w:rsid w:val="00AB17E9"/>
    <w:rsid w:val="00AB1802"/>
    <w:rsid w:val="00AB1B04"/>
    <w:rsid w:val="00AB28BA"/>
    <w:rsid w:val="00AB2A1E"/>
    <w:rsid w:val="00AB2B4E"/>
    <w:rsid w:val="00AB3A85"/>
    <w:rsid w:val="00AB3AAA"/>
    <w:rsid w:val="00AB3B51"/>
    <w:rsid w:val="00AB3EB5"/>
    <w:rsid w:val="00AB4354"/>
    <w:rsid w:val="00AB495E"/>
    <w:rsid w:val="00AB4996"/>
    <w:rsid w:val="00AB4C0A"/>
    <w:rsid w:val="00AB5643"/>
    <w:rsid w:val="00AB60C3"/>
    <w:rsid w:val="00AB6577"/>
    <w:rsid w:val="00AB710A"/>
    <w:rsid w:val="00AB73EB"/>
    <w:rsid w:val="00AB7F00"/>
    <w:rsid w:val="00AC0485"/>
    <w:rsid w:val="00AC053A"/>
    <w:rsid w:val="00AC0549"/>
    <w:rsid w:val="00AC0591"/>
    <w:rsid w:val="00AC05F3"/>
    <w:rsid w:val="00AC08A8"/>
    <w:rsid w:val="00AC0909"/>
    <w:rsid w:val="00AC0974"/>
    <w:rsid w:val="00AC0AF4"/>
    <w:rsid w:val="00AC12C6"/>
    <w:rsid w:val="00AC18DB"/>
    <w:rsid w:val="00AC194A"/>
    <w:rsid w:val="00AC1BEA"/>
    <w:rsid w:val="00AC26AB"/>
    <w:rsid w:val="00AC2CFE"/>
    <w:rsid w:val="00AC3948"/>
    <w:rsid w:val="00AC4D44"/>
    <w:rsid w:val="00AC4FDE"/>
    <w:rsid w:val="00AC502A"/>
    <w:rsid w:val="00AC5179"/>
    <w:rsid w:val="00AC5220"/>
    <w:rsid w:val="00AC542A"/>
    <w:rsid w:val="00AC5B48"/>
    <w:rsid w:val="00AC6053"/>
    <w:rsid w:val="00AC6407"/>
    <w:rsid w:val="00AC6B44"/>
    <w:rsid w:val="00AC6D9B"/>
    <w:rsid w:val="00AC6FAE"/>
    <w:rsid w:val="00AC7369"/>
    <w:rsid w:val="00AC79F1"/>
    <w:rsid w:val="00AC7F2D"/>
    <w:rsid w:val="00AC7FFE"/>
    <w:rsid w:val="00AD0309"/>
    <w:rsid w:val="00AD0663"/>
    <w:rsid w:val="00AD074F"/>
    <w:rsid w:val="00AD07DD"/>
    <w:rsid w:val="00AD0D22"/>
    <w:rsid w:val="00AD10A7"/>
    <w:rsid w:val="00AD10D4"/>
    <w:rsid w:val="00AD140A"/>
    <w:rsid w:val="00AD14F8"/>
    <w:rsid w:val="00AD20CC"/>
    <w:rsid w:val="00AD23B3"/>
    <w:rsid w:val="00AD28A4"/>
    <w:rsid w:val="00AD2956"/>
    <w:rsid w:val="00AD2981"/>
    <w:rsid w:val="00AD2B79"/>
    <w:rsid w:val="00AD34D2"/>
    <w:rsid w:val="00AD355F"/>
    <w:rsid w:val="00AD3810"/>
    <w:rsid w:val="00AD3965"/>
    <w:rsid w:val="00AD39F8"/>
    <w:rsid w:val="00AD3DB2"/>
    <w:rsid w:val="00AD4B00"/>
    <w:rsid w:val="00AD4DF2"/>
    <w:rsid w:val="00AD50A2"/>
    <w:rsid w:val="00AD52DD"/>
    <w:rsid w:val="00AD54BE"/>
    <w:rsid w:val="00AD5802"/>
    <w:rsid w:val="00AD5983"/>
    <w:rsid w:val="00AD5A34"/>
    <w:rsid w:val="00AD5BA9"/>
    <w:rsid w:val="00AD6A8A"/>
    <w:rsid w:val="00AD71FB"/>
    <w:rsid w:val="00AD7F23"/>
    <w:rsid w:val="00AD7F2C"/>
    <w:rsid w:val="00AE02B8"/>
    <w:rsid w:val="00AE0505"/>
    <w:rsid w:val="00AE0603"/>
    <w:rsid w:val="00AE0853"/>
    <w:rsid w:val="00AE0FAF"/>
    <w:rsid w:val="00AE1A3B"/>
    <w:rsid w:val="00AE1DCA"/>
    <w:rsid w:val="00AE1EA0"/>
    <w:rsid w:val="00AE273D"/>
    <w:rsid w:val="00AE2A0E"/>
    <w:rsid w:val="00AE3934"/>
    <w:rsid w:val="00AE39C8"/>
    <w:rsid w:val="00AE3A6C"/>
    <w:rsid w:val="00AE4A2E"/>
    <w:rsid w:val="00AE4AB2"/>
    <w:rsid w:val="00AE5000"/>
    <w:rsid w:val="00AE50AB"/>
    <w:rsid w:val="00AE50B5"/>
    <w:rsid w:val="00AE572B"/>
    <w:rsid w:val="00AE5A11"/>
    <w:rsid w:val="00AE5C66"/>
    <w:rsid w:val="00AE5CB3"/>
    <w:rsid w:val="00AE5CD1"/>
    <w:rsid w:val="00AE6212"/>
    <w:rsid w:val="00AE6674"/>
    <w:rsid w:val="00AE6D67"/>
    <w:rsid w:val="00AE6DA5"/>
    <w:rsid w:val="00AE7664"/>
    <w:rsid w:val="00AE7AC9"/>
    <w:rsid w:val="00AF061C"/>
    <w:rsid w:val="00AF0C16"/>
    <w:rsid w:val="00AF14D4"/>
    <w:rsid w:val="00AF1B01"/>
    <w:rsid w:val="00AF1B74"/>
    <w:rsid w:val="00AF1ED3"/>
    <w:rsid w:val="00AF1F72"/>
    <w:rsid w:val="00AF27B4"/>
    <w:rsid w:val="00AF2A71"/>
    <w:rsid w:val="00AF2BFD"/>
    <w:rsid w:val="00AF2D92"/>
    <w:rsid w:val="00AF2E9C"/>
    <w:rsid w:val="00AF3129"/>
    <w:rsid w:val="00AF33B6"/>
    <w:rsid w:val="00AF35A5"/>
    <w:rsid w:val="00AF38E9"/>
    <w:rsid w:val="00AF3937"/>
    <w:rsid w:val="00AF3C83"/>
    <w:rsid w:val="00AF4E5B"/>
    <w:rsid w:val="00AF5324"/>
    <w:rsid w:val="00AF533D"/>
    <w:rsid w:val="00AF604B"/>
    <w:rsid w:val="00AF61F1"/>
    <w:rsid w:val="00AF63CD"/>
    <w:rsid w:val="00AF6996"/>
    <w:rsid w:val="00AF6B04"/>
    <w:rsid w:val="00AF6BA8"/>
    <w:rsid w:val="00AF6F0C"/>
    <w:rsid w:val="00AF7358"/>
    <w:rsid w:val="00AF7635"/>
    <w:rsid w:val="00AF797F"/>
    <w:rsid w:val="00AF7A80"/>
    <w:rsid w:val="00B0010A"/>
    <w:rsid w:val="00B00180"/>
    <w:rsid w:val="00B0065B"/>
    <w:rsid w:val="00B006F9"/>
    <w:rsid w:val="00B014B8"/>
    <w:rsid w:val="00B01F3C"/>
    <w:rsid w:val="00B022A1"/>
    <w:rsid w:val="00B0272C"/>
    <w:rsid w:val="00B02A74"/>
    <w:rsid w:val="00B02B8E"/>
    <w:rsid w:val="00B02E1F"/>
    <w:rsid w:val="00B0349A"/>
    <w:rsid w:val="00B03BFB"/>
    <w:rsid w:val="00B04594"/>
    <w:rsid w:val="00B05395"/>
    <w:rsid w:val="00B053C6"/>
    <w:rsid w:val="00B05446"/>
    <w:rsid w:val="00B05583"/>
    <w:rsid w:val="00B0591A"/>
    <w:rsid w:val="00B05B5F"/>
    <w:rsid w:val="00B05B9C"/>
    <w:rsid w:val="00B06353"/>
    <w:rsid w:val="00B064BF"/>
    <w:rsid w:val="00B06D4E"/>
    <w:rsid w:val="00B07386"/>
    <w:rsid w:val="00B07D92"/>
    <w:rsid w:val="00B07E80"/>
    <w:rsid w:val="00B07F5F"/>
    <w:rsid w:val="00B10569"/>
    <w:rsid w:val="00B105EF"/>
    <w:rsid w:val="00B1072A"/>
    <w:rsid w:val="00B10C1C"/>
    <w:rsid w:val="00B10F00"/>
    <w:rsid w:val="00B10F13"/>
    <w:rsid w:val="00B113C3"/>
    <w:rsid w:val="00B116C3"/>
    <w:rsid w:val="00B124E4"/>
    <w:rsid w:val="00B13B68"/>
    <w:rsid w:val="00B13BF3"/>
    <w:rsid w:val="00B13DD4"/>
    <w:rsid w:val="00B14889"/>
    <w:rsid w:val="00B15189"/>
    <w:rsid w:val="00B158D2"/>
    <w:rsid w:val="00B16109"/>
    <w:rsid w:val="00B1623E"/>
    <w:rsid w:val="00B16674"/>
    <w:rsid w:val="00B16722"/>
    <w:rsid w:val="00B1749D"/>
    <w:rsid w:val="00B174D2"/>
    <w:rsid w:val="00B177C7"/>
    <w:rsid w:val="00B1793F"/>
    <w:rsid w:val="00B17F18"/>
    <w:rsid w:val="00B17F79"/>
    <w:rsid w:val="00B20166"/>
    <w:rsid w:val="00B212F9"/>
    <w:rsid w:val="00B215E5"/>
    <w:rsid w:val="00B216FA"/>
    <w:rsid w:val="00B21BE7"/>
    <w:rsid w:val="00B21C5F"/>
    <w:rsid w:val="00B21DC1"/>
    <w:rsid w:val="00B228DA"/>
    <w:rsid w:val="00B229C6"/>
    <w:rsid w:val="00B22D2A"/>
    <w:rsid w:val="00B236AA"/>
    <w:rsid w:val="00B2399A"/>
    <w:rsid w:val="00B24324"/>
    <w:rsid w:val="00B2432A"/>
    <w:rsid w:val="00B24B62"/>
    <w:rsid w:val="00B25B38"/>
    <w:rsid w:val="00B26782"/>
    <w:rsid w:val="00B26CAA"/>
    <w:rsid w:val="00B27920"/>
    <w:rsid w:val="00B3049F"/>
    <w:rsid w:val="00B312BA"/>
    <w:rsid w:val="00B314FB"/>
    <w:rsid w:val="00B31558"/>
    <w:rsid w:val="00B31A50"/>
    <w:rsid w:val="00B32586"/>
    <w:rsid w:val="00B329B1"/>
    <w:rsid w:val="00B329BF"/>
    <w:rsid w:val="00B32B53"/>
    <w:rsid w:val="00B33442"/>
    <w:rsid w:val="00B337C1"/>
    <w:rsid w:val="00B3385B"/>
    <w:rsid w:val="00B33886"/>
    <w:rsid w:val="00B338C2"/>
    <w:rsid w:val="00B33AF1"/>
    <w:rsid w:val="00B33C68"/>
    <w:rsid w:val="00B346EB"/>
    <w:rsid w:val="00B34DD3"/>
    <w:rsid w:val="00B35AD9"/>
    <w:rsid w:val="00B35B9A"/>
    <w:rsid w:val="00B3626A"/>
    <w:rsid w:val="00B36281"/>
    <w:rsid w:val="00B36723"/>
    <w:rsid w:val="00B3737D"/>
    <w:rsid w:val="00B374FD"/>
    <w:rsid w:val="00B37932"/>
    <w:rsid w:val="00B37B4C"/>
    <w:rsid w:val="00B40479"/>
    <w:rsid w:val="00B40521"/>
    <w:rsid w:val="00B40740"/>
    <w:rsid w:val="00B41020"/>
    <w:rsid w:val="00B410C2"/>
    <w:rsid w:val="00B410E6"/>
    <w:rsid w:val="00B413C9"/>
    <w:rsid w:val="00B4181F"/>
    <w:rsid w:val="00B418E7"/>
    <w:rsid w:val="00B42287"/>
    <w:rsid w:val="00B42886"/>
    <w:rsid w:val="00B4290F"/>
    <w:rsid w:val="00B42A9C"/>
    <w:rsid w:val="00B42AC4"/>
    <w:rsid w:val="00B42B45"/>
    <w:rsid w:val="00B42B50"/>
    <w:rsid w:val="00B433DE"/>
    <w:rsid w:val="00B4347F"/>
    <w:rsid w:val="00B434A2"/>
    <w:rsid w:val="00B4366B"/>
    <w:rsid w:val="00B444FD"/>
    <w:rsid w:val="00B447C9"/>
    <w:rsid w:val="00B4496B"/>
    <w:rsid w:val="00B45007"/>
    <w:rsid w:val="00B4507A"/>
    <w:rsid w:val="00B452EA"/>
    <w:rsid w:val="00B46070"/>
    <w:rsid w:val="00B476C2"/>
    <w:rsid w:val="00B477BF"/>
    <w:rsid w:val="00B479F9"/>
    <w:rsid w:val="00B47B4C"/>
    <w:rsid w:val="00B51105"/>
    <w:rsid w:val="00B51564"/>
    <w:rsid w:val="00B5173E"/>
    <w:rsid w:val="00B51A47"/>
    <w:rsid w:val="00B52542"/>
    <w:rsid w:val="00B526F1"/>
    <w:rsid w:val="00B53735"/>
    <w:rsid w:val="00B53872"/>
    <w:rsid w:val="00B53874"/>
    <w:rsid w:val="00B5391F"/>
    <w:rsid w:val="00B54235"/>
    <w:rsid w:val="00B547B7"/>
    <w:rsid w:val="00B5576B"/>
    <w:rsid w:val="00B558D8"/>
    <w:rsid w:val="00B55BF1"/>
    <w:rsid w:val="00B55C2D"/>
    <w:rsid w:val="00B55E4D"/>
    <w:rsid w:val="00B56826"/>
    <w:rsid w:val="00B56A67"/>
    <w:rsid w:val="00B57421"/>
    <w:rsid w:val="00B579A4"/>
    <w:rsid w:val="00B57DFA"/>
    <w:rsid w:val="00B6021E"/>
    <w:rsid w:val="00B60375"/>
    <w:rsid w:val="00B60635"/>
    <w:rsid w:val="00B607B2"/>
    <w:rsid w:val="00B60C9B"/>
    <w:rsid w:val="00B60F81"/>
    <w:rsid w:val="00B61968"/>
    <w:rsid w:val="00B61BC5"/>
    <w:rsid w:val="00B61C1E"/>
    <w:rsid w:val="00B625DC"/>
    <w:rsid w:val="00B62AB0"/>
    <w:rsid w:val="00B62D19"/>
    <w:rsid w:val="00B62EEB"/>
    <w:rsid w:val="00B6333B"/>
    <w:rsid w:val="00B63FD5"/>
    <w:rsid w:val="00B645A4"/>
    <w:rsid w:val="00B647E2"/>
    <w:rsid w:val="00B64820"/>
    <w:rsid w:val="00B64A31"/>
    <w:rsid w:val="00B64A37"/>
    <w:rsid w:val="00B64B23"/>
    <w:rsid w:val="00B64BC0"/>
    <w:rsid w:val="00B64F59"/>
    <w:rsid w:val="00B6504A"/>
    <w:rsid w:val="00B65232"/>
    <w:rsid w:val="00B65969"/>
    <w:rsid w:val="00B65CD4"/>
    <w:rsid w:val="00B6607F"/>
    <w:rsid w:val="00B665EB"/>
    <w:rsid w:val="00B66881"/>
    <w:rsid w:val="00B6782B"/>
    <w:rsid w:val="00B679E6"/>
    <w:rsid w:val="00B70102"/>
    <w:rsid w:val="00B7105D"/>
    <w:rsid w:val="00B710F6"/>
    <w:rsid w:val="00B7118E"/>
    <w:rsid w:val="00B71309"/>
    <w:rsid w:val="00B721DB"/>
    <w:rsid w:val="00B72533"/>
    <w:rsid w:val="00B7253B"/>
    <w:rsid w:val="00B725E1"/>
    <w:rsid w:val="00B72954"/>
    <w:rsid w:val="00B72D2D"/>
    <w:rsid w:val="00B72F78"/>
    <w:rsid w:val="00B73127"/>
    <w:rsid w:val="00B73146"/>
    <w:rsid w:val="00B734E0"/>
    <w:rsid w:val="00B73645"/>
    <w:rsid w:val="00B736D5"/>
    <w:rsid w:val="00B73A44"/>
    <w:rsid w:val="00B73B69"/>
    <w:rsid w:val="00B742F9"/>
    <w:rsid w:val="00B75050"/>
    <w:rsid w:val="00B752BD"/>
    <w:rsid w:val="00B757F6"/>
    <w:rsid w:val="00B75963"/>
    <w:rsid w:val="00B75A68"/>
    <w:rsid w:val="00B75D0C"/>
    <w:rsid w:val="00B760F4"/>
    <w:rsid w:val="00B76171"/>
    <w:rsid w:val="00B7682F"/>
    <w:rsid w:val="00B7734E"/>
    <w:rsid w:val="00B7747B"/>
    <w:rsid w:val="00B77AE8"/>
    <w:rsid w:val="00B77CEC"/>
    <w:rsid w:val="00B805C3"/>
    <w:rsid w:val="00B807E2"/>
    <w:rsid w:val="00B810F1"/>
    <w:rsid w:val="00B81763"/>
    <w:rsid w:val="00B81DE0"/>
    <w:rsid w:val="00B81F19"/>
    <w:rsid w:val="00B825DB"/>
    <w:rsid w:val="00B82657"/>
    <w:rsid w:val="00B82CF9"/>
    <w:rsid w:val="00B82E87"/>
    <w:rsid w:val="00B8317E"/>
    <w:rsid w:val="00B831AA"/>
    <w:rsid w:val="00B83279"/>
    <w:rsid w:val="00B832CA"/>
    <w:rsid w:val="00B833BC"/>
    <w:rsid w:val="00B836E2"/>
    <w:rsid w:val="00B838F2"/>
    <w:rsid w:val="00B83B08"/>
    <w:rsid w:val="00B84F8B"/>
    <w:rsid w:val="00B850D5"/>
    <w:rsid w:val="00B85423"/>
    <w:rsid w:val="00B85813"/>
    <w:rsid w:val="00B85814"/>
    <w:rsid w:val="00B859A5"/>
    <w:rsid w:val="00B85C41"/>
    <w:rsid w:val="00B85D89"/>
    <w:rsid w:val="00B8687B"/>
    <w:rsid w:val="00B877B2"/>
    <w:rsid w:val="00B8781B"/>
    <w:rsid w:val="00B87A89"/>
    <w:rsid w:val="00B90309"/>
    <w:rsid w:val="00B90C7A"/>
    <w:rsid w:val="00B90DCA"/>
    <w:rsid w:val="00B90E62"/>
    <w:rsid w:val="00B90E79"/>
    <w:rsid w:val="00B910EF"/>
    <w:rsid w:val="00B91837"/>
    <w:rsid w:val="00B91891"/>
    <w:rsid w:val="00B91DF1"/>
    <w:rsid w:val="00B9261F"/>
    <w:rsid w:val="00B93176"/>
    <w:rsid w:val="00B9340B"/>
    <w:rsid w:val="00B93603"/>
    <w:rsid w:val="00B93FB1"/>
    <w:rsid w:val="00B94300"/>
    <w:rsid w:val="00B94482"/>
    <w:rsid w:val="00B94554"/>
    <w:rsid w:val="00B94B19"/>
    <w:rsid w:val="00B94BB8"/>
    <w:rsid w:val="00B94E84"/>
    <w:rsid w:val="00B952D2"/>
    <w:rsid w:val="00B958EA"/>
    <w:rsid w:val="00B95C6F"/>
    <w:rsid w:val="00B97362"/>
    <w:rsid w:val="00B97E8F"/>
    <w:rsid w:val="00BA00F3"/>
    <w:rsid w:val="00BA11B6"/>
    <w:rsid w:val="00BA1565"/>
    <w:rsid w:val="00BA1A77"/>
    <w:rsid w:val="00BA1F9F"/>
    <w:rsid w:val="00BA2122"/>
    <w:rsid w:val="00BA2376"/>
    <w:rsid w:val="00BA23CF"/>
    <w:rsid w:val="00BA2E64"/>
    <w:rsid w:val="00BA391C"/>
    <w:rsid w:val="00BA3C2A"/>
    <w:rsid w:val="00BA3D90"/>
    <w:rsid w:val="00BA3F77"/>
    <w:rsid w:val="00BA3FC0"/>
    <w:rsid w:val="00BA41CC"/>
    <w:rsid w:val="00BA4C90"/>
    <w:rsid w:val="00BA4DB4"/>
    <w:rsid w:val="00BA4F85"/>
    <w:rsid w:val="00BA5299"/>
    <w:rsid w:val="00BA52EE"/>
    <w:rsid w:val="00BA542E"/>
    <w:rsid w:val="00BA5A48"/>
    <w:rsid w:val="00BA5DFF"/>
    <w:rsid w:val="00BA5E34"/>
    <w:rsid w:val="00BA5EA8"/>
    <w:rsid w:val="00BA5FFC"/>
    <w:rsid w:val="00BA60E6"/>
    <w:rsid w:val="00BA699E"/>
    <w:rsid w:val="00BA6D01"/>
    <w:rsid w:val="00BA74BB"/>
    <w:rsid w:val="00BB015F"/>
    <w:rsid w:val="00BB0298"/>
    <w:rsid w:val="00BB0ED7"/>
    <w:rsid w:val="00BB13AD"/>
    <w:rsid w:val="00BB17FB"/>
    <w:rsid w:val="00BB187C"/>
    <w:rsid w:val="00BB1FDF"/>
    <w:rsid w:val="00BB282A"/>
    <w:rsid w:val="00BB2CD3"/>
    <w:rsid w:val="00BB30A0"/>
    <w:rsid w:val="00BB3A10"/>
    <w:rsid w:val="00BB3ED7"/>
    <w:rsid w:val="00BB415B"/>
    <w:rsid w:val="00BB4464"/>
    <w:rsid w:val="00BB4717"/>
    <w:rsid w:val="00BB4F9C"/>
    <w:rsid w:val="00BB56DB"/>
    <w:rsid w:val="00BB5C2F"/>
    <w:rsid w:val="00BB5EE2"/>
    <w:rsid w:val="00BB65FB"/>
    <w:rsid w:val="00BB667A"/>
    <w:rsid w:val="00BB66F0"/>
    <w:rsid w:val="00BB727F"/>
    <w:rsid w:val="00BB7A72"/>
    <w:rsid w:val="00BB7CCE"/>
    <w:rsid w:val="00BC0391"/>
    <w:rsid w:val="00BC0B8D"/>
    <w:rsid w:val="00BC0C5A"/>
    <w:rsid w:val="00BC0EC3"/>
    <w:rsid w:val="00BC0FBA"/>
    <w:rsid w:val="00BC1384"/>
    <w:rsid w:val="00BC1ADD"/>
    <w:rsid w:val="00BC1BFD"/>
    <w:rsid w:val="00BC1C9F"/>
    <w:rsid w:val="00BC1D32"/>
    <w:rsid w:val="00BC20B2"/>
    <w:rsid w:val="00BC2522"/>
    <w:rsid w:val="00BC29A8"/>
    <w:rsid w:val="00BC2DA0"/>
    <w:rsid w:val="00BC2E17"/>
    <w:rsid w:val="00BC30F4"/>
    <w:rsid w:val="00BC360A"/>
    <w:rsid w:val="00BC38B0"/>
    <w:rsid w:val="00BC402A"/>
    <w:rsid w:val="00BC47C8"/>
    <w:rsid w:val="00BC4C47"/>
    <w:rsid w:val="00BC500A"/>
    <w:rsid w:val="00BC5846"/>
    <w:rsid w:val="00BC5E8F"/>
    <w:rsid w:val="00BC6062"/>
    <w:rsid w:val="00BC66B8"/>
    <w:rsid w:val="00BC673E"/>
    <w:rsid w:val="00BC6823"/>
    <w:rsid w:val="00BC71CF"/>
    <w:rsid w:val="00BC7748"/>
    <w:rsid w:val="00BC78AA"/>
    <w:rsid w:val="00BC7AD6"/>
    <w:rsid w:val="00BD04E5"/>
    <w:rsid w:val="00BD1631"/>
    <w:rsid w:val="00BD1A31"/>
    <w:rsid w:val="00BD2327"/>
    <w:rsid w:val="00BD23C4"/>
    <w:rsid w:val="00BD2546"/>
    <w:rsid w:val="00BD2FB2"/>
    <w:rsid w:val="00BD34AF"/>
    <w:rsid w:val="00BD3717"/>
    <w:rsid w:val="00BD5276"/>
    <w:rsid w:val="00BD54FA"/>
    <w:rsid w:val="00BD5707"/>
    <w:rsid w:val="00BD57D4"/>
    <w:rsid w:val="00BD5A0B"/>
    <w:rsid w:val="00BD5E72"/>
    <w:rsid w:val="00BD6113"/>
    <w:rsid w:val="00BD687A"/>
    <w:rsid w:val="00BD6A63"/>
    <w:rsid w:val="00BD6AFF"/>
    <w:rsid w:val="00BD6B7B"/>
    <w:rsid w:val="00BD6D83"/>
    <w:rsid w:val="00BD6E65"/>
    <w:rsid w:val="00BD6EEA"/>
    <w:rsid w:val="00BD6F73"/>
    <w:rsid w:val="00BD77AE"/>
    <w:rsid w:val="00BE0419"/>
    <w:rsid w:val="00BE0A38"/>
    <w:rsid w:val="00BE119D"/>
    <w:rsid w:val="00BE1532"/>
    <w:rsid w:val="00BE1AC4"/>
    <w:rsid w:val="00BE3340"/>
    <w:rsid w:val="00BE3BB7"/>
    <w:rsid w:val="00BE3D13"/>
    <w:rsid w:val="00BE431D"/>
    <w:rsid w:val="00BE4966"/>
    <w:rsid w:val="00BE4DA9"/>
    <w:rsid w:val="00BE58BA"/>
    <w:rsid w:val="00BE58DC"/>
    <w:rsid w:val="00BE5BEA"/>
    <w:rsid w:val="00BE6186"/>
    <w:rsid w:val="00BE6387"/>
    <w:rsid w:val="00BE6E2A"/>
    <w:rsid w:val="00BE7ACA"/>
    <w:rsid w:val="00BE7BDA"/>
    <w:rsid w:val="00BE7C0A"/>
    <w:rsid w:val="00BF057E"/>
    <w:rsid w:val="00BF0609"/>
    <w:rsid w:val="00BF08D6"/>
    <w:rsid w:val="00BF08FA"/>
    <w:rsid w:val="00BF0A62"/>
    <w:rsid w:val="00BF1ADD"/>
    <w:rsid w:val="00BF1C6A"/>
    <w:rsid w:val="00BF201F"/>
    <w:rsid w:val="00BF20FF"/>
    <w:rsid w:val="00BF2379"/>
    <w:rsid w:val="00BF2BF9"/>
    <w:rsid w:val="00BF2D49"/>
    <w:rsid w:val="00BF3405"/>
    <w:rsid w:val="00BF35A5"/>
    <w:rsid w:val="00BF3B1F"/>
    <w:rsid w:val="00BF3B39"/>
    <w:rsid w:val="00BF4420"/>
    <w:rsid w:val="00BF4497"/>
    <w:rsid w:val="00BF4864"/>
    <w:rsid w:val="00BF4D3B"/>
    <w:rsid w:val="00BF4D68"/>
    <w:rsid w:val="00BF5165"/>
    <w:rsid w:val="00BF534A"/>
    <w:rsid w:val="00BF5524"/>
    <w:rsid w:val="00BF568D"/>
    <w:rsid w:val="00BF5E18"/>
    <w:rsid w:val="00BF65A4"/>
    <w:rsid w:val="00BF6C76"/>
    <w:rsid w:val="00BF710F"/>
    <w:rsid w:val="00BF72E0"/>
    <w:rsid w:val="00BF7593"/>
    <w:rsid w:val="00BF76E1"/>
    <w:rsid w:val="00BF78BE"/>
    <w:rsid w:val="00BF7B82"/>
    <w:rsid w:val="00BF7BF5"/>
    <w:rsid w:val="00BF7D14"/>
    <w:rsid w:val="00C000BE"/>
    <w:rsid w:val="00C003A5"/>
    <w:rsid w:val="00C00919"/>
    <w:rsid w:val="00C019C1"/>
    <w:rsid w:val="00C019D1"/>
    <w:rsid w:val="00C01FA0"/>
    <w:rsid w:val="00C025BA"/>
    <w:rsid w:val="00C031BC"/>
    <w:rsid w:val="00C03BB8"/>
    <w:rsid w:val="00C0448C"/>
    <w:rsid w:val="00C044BC"/>
    <w:rsid w:val="00C04793"/>
    <w:rsid w:val="00C04DC1"/>
    <w:rsid w:val="00C04DDC"/>
    <w:rsid w:val="00C054D1"/>
    <w:rsid w:val="00C05526"/>
    <w:rsid w:val="00C05D00"/>
    <w:rsid w:val="00C05E63"/>
    <w:rsid w:val="00C05F64"/>
    <w:rsid w:val="00C06262"/>
    <w:rsid w:val="00C062B7"/>
    <w:rsid w:val="00C06689"/>
    <w:rsid w:val="00C06B7B"/>
    <w:rsid w:val="00C07109"/>
    <w:rsid w:val="00C0752D"/>
    <w:rsid w:val="00C0797D"/>
    <w:rsid w:val="00C07ADA"/>
    <w:rsid w:val="00C10250"/>
    <w:rsid w:val="00C106FF"/>
    <w:rsid w:val="00C1081E"/>
    <w:rsid w:val="00C10F4C"/>
    <w:rsid w:val="00C113D4"/>
    <w:rsid w:val="00C11632"/>
    <w:rsid w:val="00C116C5"/>
    <w:rsid w:val="00C120A3"/>
    <w:rsid w:val="00C121AF"/>
    <w:rsid w:val="00C12947"/>
    <w:rsid w:val="00C12C3D"/>
    <w:rsid w:val="00C12CE0"/>
    <w:rsid w:val="00C12DEF"/>
    <w:rsid w:val="00C13076"/>
    <w:rsid w:val="00C139B5"/>
    <w:rsid w:val="00C13D91"/>
    <w:rsid w:val="00C14568"/>
    <w:rsid w:val="00C14612"/>
    <w:rsid w:val="00C14AF0"/>
    <w:rsid w:val="00C14C38"/>
    <w:rsid w:val="00C14F0A"/>
    <w:rsid w:val="00C15165"/>
    <w:rsid w:val="00C15273"/>
    <w:rsid w:val="00C15657"/>
    <w:rsid w:val="00C15DD0"/>
    <w:rsid w:val="00C15F79"/>
    <w:rsid w:val="00C1698F"/>
    <w:rsid w:val="00C16ADE"/>
    <w:rsid w:val="00C16FE3"/>
    <w:rsid w:val="00C17161"/>
    <w:rsid w:val="00C171C1"/>
    <w:rsid w:val="00C1736F"/>
    <w:rsid w:val="00C1780B"/>
    <w:rsid w:val="00C17AA9"/>
    <w:rsid w:val="00C17BF0"/>
    <w:rsid w:val="00C17F61"/>
    <w:rsid w:val="00C204A9"/>
    <w:rsid w:val="00C20755"/>
    <w:rsid w:val="00C20C8D"/>
    <w:rsid w:val="00C20CB2"/>
    <w:rsid w:val="00C20F51"/>
    <w:rsid w:val="00C21231"/>
    <w:rsid w:val="00C212B1"/>
    <w:rsid w:val="00C212EA"/>
    <w:rsid w:val="00C22131"/>
    <w:rsid w:val="00C221C0"/>
    <w:rsid w:val="00C22995"/>
    <w:rsid w:val="00C229E1"/>
    <w:rsid w:val="00C22C1F"/>
    <w:rsid w:val="00C2336D"/>
    <w:rsid w:val="00C2343F"/>
    <w:rsid w:val="00C245CC"/>
    <w:rsid w:val="00C25474"/>
    <w:rsid w:val="00C257BE"/>
    <w:rsid w:val="00C25814"/>
    <w:rsid w:val="00C260B3"/>
    <w:rsid w:val="00C26355"/>
    <w:rsid w:val="00C26D6A"/>
    <w:rsid w:val="00C26E91"/>
    <w:rsid w:val="00C27A6F"/>
    <w:rsid w:val="00C27C6B"/>
    <w:rsid w:val="00C27E77"/>
    <w:rsid w:val="00C27F56"/>
    <w:rsid w:val="00C27F91"/>
    <w:rsid w:val="00C3031C"/>
    <w:rsid w:val="00C3105C"/>
    <w:rsid w:val="00C3116A"/>
    <w:rsid w:val="00C3116C"/>
    <w:rsid w:val="00C31350"/>
    <w:rsid w:val="00C31EA4"/>
    <w:rsid w:val="00C3327B"/>
    <w:rsid w:val="00C332B5"/>
    <w:rsid w:val="00C338D5"/>
    <w:rsid w:val="00C345D1"/>
    <w:rsid w:val="00C34E6E"/>
    <w:rsid w:val="00C34F1C"/>
    <w:rsid w:val="00C354D1"/>
    <w:rsid w:val="00C35BDE"/>
    <w:rsid w:val="00C35DCD"/>
    <w:rsid w:val="00C36014"/>
    <w:rsid w:val="00C36309"/>
    <w:rsid w:val="00C36914"/>
    <w:rsid w:val="00C36D3A"/>
    <w:rsid w:val="00C3715B"/>
    <w:rsid w:val="00C372C4"/>
    <w:rsid w:val="00C374F9"/>
    <w:rsid w:val="00C379BF"/>
    <w:rsid w:val="00C37D07"/>
    <w:rsid w:val="00C40E98"/>
    <w:rsid w:val="00C4120F"/>
    <w:rsid w:val="00C41462"/>
    <w:rsid w:val="00C41561"/>
    <w:rsid w:val="00C426A7"/>
    <w:rsid w:val="00C42EB2"/>
    <w:rsid w:val="00C43841"/>
    <w:rsid w:val="00C44174"/>
    <w:rsid w:val="00C446BC"/>
    <w:rsid w:val="00C446DD"/>
    <w:rsid w:val="00C446FF"/>
    <w:rsid w:val="00C44969"/>
    <w:rsid w:val="00C44D93"/>
    <w:rsid w:val="00C45075"/>
    <w:rsid w:val="00C456AE"/>
    <w:rsid w:val="00C45832"/>
    <w:rsid w:val="00C45D4A"/>
    <w:rsid w:val="00C46244"/>
    <w:rsid w:val="00C46604"/>
    <w:rsid w:val="00C47DF6"/>
    <w:rsid w:val="00C47FD2"/>
    <w:rsid w:val="00C507D8"/>
    <w:rsid w:val="00C507EB"/>
    <w:rsid w:val="00C50DDD"/>
    <w:rsid w:val="00C512DF"/>
    <w:rsid w:val="00C514FB"/>
    <w:rsid w:val="00C5179B"/>
    <w:rsid w:val="00C51ABB"/>
    <w:rsid w:val="00C51EBC"/>
    <w:rsid w:val="00C52833"/>
    <w:rsid w:val="00C5304B"/>
    <w:rsid w:val="00C5324B"/>
    <w:rsid w:val="00C538A3"/>
    <w:rsid w:val="00C53DCD"/>
    <w:rsid w:val="00C5413E"/>
    <w:rsid w:val="00C54F35"/>
    <w:rsid w:val="00C5544A"/>
    <w:rsid w:val="00C55CAD"/>
    <w:rsid w:val="00C567C7"/>
    <w:rsid w:val="00C5687D"/>
    <w:rsid w:val="00C56F90"/>
    <w:rsid w:val="00C572B5"/>
    <w:rsid w:val="00C57886"/>
    <w:rsid w:val="00C6000C"/>
    <w:rsid w:val="00C60593"/>
    <w:rsid w:val="00C6090B"/>
    <w:rsid w:val="00C615A7"/>
    <w:rsid w:val="00C61C0A"/>
    <w:rsid w:val="00C61CF9"/>
    <w:rsid w:val="00C62013"/>
    <w:rsid w:val="00C62404"/>
    <w:rsid w:val="00C624AF"/>
    <w:rsid w:val="00C633B5"/>
    <w:rsid w:val="00C637AB"/>
    <w:rsid w:val="00C63D6D"/>
    <w:rsid w:val="00C63D85"/>
    <w:rsid w:val="00C6455E"/>
    <w:rsid w:val="00C6476F"/>
    <w:rsid w:val="00C64820"/>
    <w:rsid w:val="00C64AE8"/>
    <w:rsid w:val="00C655D9"/>
    <w:rsid w:val="00C667D8"/>
    <w:rsid w:val="00C6738B"/>
    <w:rsid w:val="00C67598"/>
    <w:rsid w:val="00C679D8"/>
    <w:rsid w:val="00C67A56"/>
    <w:rsid w:val="00C70676"/>
    <w:rsid w:val="00C7085A"/>
    <w:rsid w:val="00C71016"/>
    <w:rsid w:val="00C7112D"/>
    <w:rsid w:val="00C71388"/>
    <w:rsid w:val="00C718CF"/>
    <w:rsid w:val="00C71CDD"/>
    <w:rsid w:val="00C721C4"/>
    <w:rsid w:val="00C7293E"/>
    <w:rsid w:val="00C72AE6"/>
    <w:rsid w:val="00C7395C"/>
    <w:rsid w:val="00C73ABD"/>
    <w:rsid w:val="00C73D78"/>
    <w:rsid w:val="00C743FC"/>
    <w:rsid w:val="00C745E2"/>
    <w:rsid w:val="00C74A90"/>
    <w:rsid w:val="00C75251"/>
    <w:rsid w:val="00C75280"/>
    <w:rsid w:val="00C7550F"/>
    <w:rsid w:val="00C75869"/>
    <w:rsid w:val="00C75F4A"/>
    <w:rsid w:val="00C76755"/>
    <w:rsid w:val="00C76CA6"/>
    <w:rsid w:val="00C76D80"/>
    <w:rsid w:val="00C771AB"/>
    <w:rsid w:val="00C7764A"/>
    <w:rsid w:val="00C77709"/>
    <w:rsid w:val="00C77713"/>
    <w:rsid w:val="00C802C1"/>
    <w:rsid w:val="00C80393"/>
    <w:rsid w:val="00C80F73"/>
    <w:rsid w:val="00C81E95"/>
    <w:rsid w:val="00C81F6E"/>
    <w:rsid w:val="00C82230"/>
    <w:rsid w:val="00C823DA"/>
    <w:rsid w:val="00C82505"/>
    <w:rsid w:val="00C825AF"/>
    <w:rsid w:val="00C8263A"/>
    <w:rsid w:val="00C828E8"/>
    <w:rsid w:val="00C83AD2"/>
    <w:rsid w:val="00C83F81"/>
    <w:rsid w:val="00C84A80"/>
    <w:rsid w:val="00C84A8D"/>
    <w:rsid w:val="00C8620C"/>
    <w:rsid w:val="00C86661"/>
    <w:rsid w:val="00C86914"/>
    <w:rsid w:val="00C86ED1"/>
    <w:rsid w:val="00C871A0"/>
    <w:rsid w:val="00C87DA9"/>
    <w:rsid w:val="00C903AD"/>
    <w:rsid w:val="00C908B6"/>
    <w:rsid w:val="00C90E6D"/>
    <w:rsid w:val="00C91101"/>
    <w:rsid w:val="00C913D1"/>
    <w:rsid w:val="00C9154A"/>
    <w:rsid w:val="00C91A47"/>
    <w:rsid w:val="00C91AAD"/>
    <w:rsid w:val="00C91B74"/>
    <w:rsid w:val="00C9209A"/>
    <w:rsid w:val="00C9215D"/>
    <w:rsid w:val="00C921B0"/>
    <w:rsid w:val="00C92235"/>
    <w:rsid w:val="00C922C2"/>
    <w:rsid w:val="00C9281A"/>
    <w:rsid w:val="00C92A0D"/>
    <w:rsid w:val="00C930E5"/>
    <w:rsid w:val="00C93BC6"/>
    <w:rsid w:val="00C94C5D"/>
    <w:rsid w:val="00C958BC"/>
    <w:rsid w:val="00C95962"/>
    <w:rsid w:val="00C9641A"/>
    <w:rsid w:val="00C96585"/>
    <w:rsid w:val="00C967F3"/>
    <w:rsid w:val="00C96EEC"/>
    <w:rsid w:val="00C972C6"/>
    <w:rsid w:val="00C973BD"/>
    <w:rsid w:val="00C97550"/>
    <w:rsid w:val="00C975D5"/>
    <w:rsid w:val="00C979C5"/>
    <w:rsid w:val="00CA0552"/>
    <w:rsid w:val="00CA077E"/>
    <w:rsid w:val="00CA08DB"/>
    <w:rsid w:val="00CA0C78"/>
    <w:rsid w:val="00CA1AAF"/>
    <w:rsid w:val="00CA22AA"/>
    <w:rsid w:val="00CA2A36"/>
    <w:rsid w:val="00CA2D14"/>
    <w:rsid w:val="00CA2FDF"/>
    <w:rsid w:val="00CA32F9"/>
    <w:rsid w:val="00CA33CD"/>
    <w:rsid w:val="00CA35D0"/>
    <w:rsid w:val="00CA3C09"/>
    <w:rsid w:val="00CA3DB0"/>
    <w:rsid w:val="00CA3E92"/>
    <w:rsid w:val="00CA411A"/>
    <w:rsid w:val="00CA4753"/>
    <w:rsid w:val="00CA48F0"/>
    <w:rsid w:val="00CA4C47"/>
    <w:rsid w:val="00CA4CFB"/>
    <w:rsid w:val="00CA4DCB"/>
    <w:rsid w:val="00CA4E1D"/>
    <w:rsid w:val="00CA4F4D"/>
    <w:rsid w:val="00CA502B"/>
    <w:rsid w:val="00CA5291"/>
    <w:rsid w:val="00CA5437"/>
    <w:rsid w:val="00CA5EF2"/>
    <w:rsid w:val="00CA606D"/>
    <w:rsid w:val="00CA680F"/>
    <w:rsid w:val="00CA6A57"/>
    <w:rsid w:val="00CA6B4B"/>
    <w:rsid w:val="00CA6BDC"/>
    <w:rsid w:val="00CA7A27"/>
    <w:rsid w:val="00CB0000"/>
    <w:rsid w:val="00CB03BC"/>
    <w:rsid w:val="00CB0F67"/>
    <w:rsid w:val="00CB1215"/>
    <w:rsid w:val="00CB1463"/>
    <w:rsid w:val="00CB194B"/>
    <w:rsid w:val="00CB1A33"/>
    <w:rsid w:val="00CB1F4D"/>
    <w:rsid w:val="00CB2048"/>
    <w:rsid w:val="00CB2B5A"/>
    <w:rsid w:val="00CB3A0C"/>
    <w:rsid w:val="00CB405B"/>
    <w:rsid w:val="00CB47F9"/>
    <w:rsid w:val="00CB4837"/>
    <w:rsid w:val="00CB52AD"/>
    <w:rsid w:val="00CB53EE"/>
    <w:rsid w:val="00CB580E"/>
    <w:rsid w:val="00CB5C3D"/>
    <w:rsid w:val="00CB5C82"/>
    <w:rsid w:val="00CB634D"/>
    <w:rsid w:val="00CB6CE9"/>
    <w:rsid w:val="00CB738D"/>
    <w:rsid w:val="00CB73D4"/>
    <w:rsid w:val="00CB76EB"/>
    <w:rsid w:val="00CB77B9"/>
    <w:rsid w:val="00CC056A"/>
    <w:rsid w:val="00CC0A6A"/>
    <w:rsid w:val="00CC0FE9"/>
    <w:rsid w:val="00CC1360"/>
    <w:rsid w:val="00CC1961"/>
    <w:rsid w:val="00CC1BFA"/>
    <w:rsid w:val="00CC26FC"/>
    <w:rsid w:val="00CC2AD8"/>
    <w:rsid w:val="00CC2C84"/>
    <w:rsid w:val="00CC2D7D"/>
    <w:rsid w:val="00CC3720"/>
    <w:rsid w:val="00CC3BC4"/>
    <w:rsid w:val="00CC47E3"/>
    <w:rsid w:val="00CC4FAE"/>
    <w:rsid w:val="00CC50AC"/>
    <w:rsid w:val="00CC5B87"/>
    <w:rsid w:val="00CC5BE0"/>
    <w:rsid w:val="00CC5F57"/>
    <w:rsid w:val="00CC6034"/>
    <w:rsid w:val="00CC6852"/>
    <w:rsid w:val="00CC6D99"/>
    <w:rsid w:val="00CC71F6"/>
    <w:rsid w:val="00CC78C1"/>
    <w:rsid w:val="00CC7B98"/>
    <w:rsid w:val="00CC7E38"/>
    <w:rsid w:val="00CD0187"/>
    <w:rsid w:val="00CD09F7"/>
    <w:rsid w:val="00CD10A4"/>
    <w:rsid w:val="00CD16E0"/>
    <w:rsid w:val="00CD1783"/>
    <w:rsid w:val="00CD18B6"/>
    <w:rsid w:val="00CD1B2A"/>
    <w:rsid w:val="00CD1C4D"/>
    <w:rsid w:val="00CD1DEF"/>
    <w:rsid w:val="00CD26B0"/>
    <w:rsid w:val="00CD28BE"/>
    <w:rsid w:val="00CD2BEA"/>
    <w:rsid w:val="00CD4083"/>
    <w:rsid w:val="00CD44BF"/>
    <w:rsid w:val="00CD4A6F"/>
    <w:rsid w:val="00CD4CAC"/>
    <w:rsid w:val="00CD5A56"/>
    <w:rsid w:val="00CD5CAC"/>
    <w:rsid w:val="00CD5F61"/>
    <w:rsid w:val="00CD5F91"/>
    <w:rsid w:val="00CD6070"/>
    <w:rsid w:val="00CD6230"/>
    <w:rsid w:val="00CD63B0"/>
    <w:rsid w:val="00CD643F"/>
    <w:rsid w:val="00CD66C5"/>
    <w:rsid w:val="00CD75F3"/>
    <w:rsid w:val="00CE063D"/>
    <w:rsid w:val="00CE08EB"/>
    <w:rsid w:val="00CE0EEA"/>
    <w:rsid w:val="00CE1000"/>
    <w:rsid w:val="00CE1A88"/>
    <w:rsid w:val="00CE1F12"/>
    <w:rsid w:val="00CE21B4"/>
    <w:rsid w:val="00CE2410"/>
    <w:rsid w:val="00CE2BCE"/>
    <w:rsid w:val="00CE2E53"/>
    <w:rsid w:val="00CE330A"/>
    <w:rsid w:val="00CE386B"/>
    <w:rsid w:val="00CE3DE3"/>
    <w:rsid w:val="00CE4124"/>
    <w:rsid w:val="00CE41CF"/>
    <w:rsid w:val="00CE4428"/>
    <w:rsid w:val="00CE4B35"/>
    <w:rsid w:val="00CE4DF7"/>
    <w:rsid w:val="00CE4FAD"/>
    <w:rsid w:val="00CE5648"/>
    <w:rsid w:val="00CE58ED"/>
    <w:rsid w:val="00CE5F2F"/>
    <w:rsid w:val="00CE6013"/>
    <w:rsid w:val="00CE645E"/>
    <w:rsid w:val="00CE65FD"/>
    <w:rsid w:val="00CE6E69"/>
    <w:rsid w:val="00CE775B"/>
    <w:rsid w:val="00CE7BB2"/>
    <w:rsid w:val="00CE7DBE"/>
    <w:rsid w:val="00CF00E8"/>
    <w:rsid w:val="00CF03E6"/>
    <w:rsid w:val="00CF0512"/>
    <w:rsid w:val="00CF07DE"/>
    <w:rsid w:val="00CF0BAE"/>
    <w:rsid w:val="00CF1210"/>
    <w:rsid w:val="00CF163A"/>
    <w:rsid w:val="00CF1A4B"/>
    <w:rsid w:val="00CF1D0A"/>
    <w:rsid w:val="00CF1F14"/>
    <w:rsid w:val="00CF1FC7"/>
    <w:rsid w:val="00CF2BB1"/>
    <w:rsid w:val="00CF3958"/>
    <w:rsid w:val="00CF4491"/>
    <w:rsid w:val="00CF4559"/>
    <w:rsid w:val="00CF4A7A"/>
    <w:rsid w:val="00CF5299"/>
    <w:rsid w:val="00CF5809"/>
    <w:rsid w:val="00CF5E19"/>
    <w:rsid w:val="00CF5F83"/>
    <w:rsid w:val="00CF61A6"/>
    <w:rsid w:val="00CF69DD"/>
    <w:rsid w:val="00CF6AE2"/>
    <w:rsid w:val="00CF6F23"/>
    <w:rsid w:val="00CF729E"/>
    <w:rsid w:val="00CF7870"/>
    <w:rsid w:val="00CF7913"/>
    <w:rsid w:val="00CF7AD7"/>
    <w:rsid w:val="00CF7BCB"/>
    <w:rsid w:val="00D0032C"/>
    <w:rsid w:val="00D00AC2"/>
    <w:rsid w:val="00D00F72"/>
    <w:rsid w:val="00D01056"/>
    <w:rsid w:val="00D013ED"/>
    <w:rsid w:val="00D018C7"/>
    <w:rsid w:val="00D01AE7"/>
    <w:rsid w:val="00D01BAF"/>
    <w:rsid w:val="00D02112"/>
    <w:rsid w:val="00D0240E"/>
    <w:rsid w:val="00D028A1"/>
    <w:rsid w:val="00D02DE5"/>
    <w:rsid w:val="00D02F4F"/>
    <w:rsid w:val="00D03940"/>
    <w:rsid w:val="00D03BB8"/>
    <w:rsid w:val="00D03DA0"/>
    <w:rsid w:val="00D04303"/>
    <w:rsid w:val="00D04614"/>
    <w:rsid w:val="00D04774"/>
    <w:rsid w:val="00D04E4C"/>
    <w:rsid w:val="00D04F1B"/>
    <w:rsid w:val="00D05270"/>
    <w:rsid w:val="00D058C5"/>
    <w:rsid w:val="00D05CAA"/>
    <w:rsid w:val="00D06282"/>
    <w:rsid w:val="00D064EF"/>
    <w:rsid w:val="00D06998"/>
    <w:rsid w:val="00D069C2"/>
    <w:rsid w:val="00D06A26"/>
    <w:rsid w:val="00D078F4"/>
    <w:rsid w:val="00D07C62"/>
    <w:rsid w:val="00D07E12"/>
    <w:rsid w:val="00D07E52"/>
    <w:rsid w:val="00D106CA"/>
    <w:rsid w:val="00D10C45"/>
    <w:rsid w:val="00D1149C"/>
    <w:rsid w:val="00D1150A"/>
    <w:rsid w:val="00D115B5"/>
    <w:rsid w:val="00D1169C"/>
    <w:rsid w:val="00D1172C"/>
    <w:rsid w:val="00D117C5"/>
    <w:rsid w:val="00D11BAA"/>
    <w:rsid w:val="00D1209E"/>
    <w:rsid w:val="00D124C4"/>
    <w:rsid w:val="00D12726"/>
    <w:rsid w:val="00D12C52"/>
    <w:rsid w:val="00D12C58"/>
    <w:rsid w:val="00D12D33"/>
    <w:rsid w:val="00D13043"/>
    <w:rsid w:val="00D133E7"/>
    <w:rsid w:val="00D13425"/>
    <w:rsid w:val="00D134B4"/>
    <w:rsid w:val="00D13C78"/>
    <w:rsid w:val="00D1425E"/>
    <w:rsid w:val="00D143F7"/>
    <w:rsid w:val="00D15942"/>
    <w:rsid w:val="00D15A68"/>
    <w:rsid w:val="00D15D24"/>
    <w:rsid w:val="00D15E5D"/>
    <w:rsid w:val="00D16350"/>
    <w:rsid w:val="00D16AE1"/>
    <w:rsid w:val="00D16CB2"/>
    <w:rsid w:val="00D16D2E"/>
    <w:rsid w:val="00D16DD6"/>
    <w:rsid w:val="00D16EA6"/>
    <w:rsid w:val="00D17255"/>
    <w:rsid w:val="00D1747C"/>
    <w:rsid w:val="00D20EB1"/>
    <w:rsid w:val="00D21371"/>
    <w:rsid w:val="00D21A9E"/>
    <w:rsid w:val="00D22C66"/>
    <w:rsid w:val="00D23670"/>
    <w:rsid w:val="00D23D2A"/>
    <w:rsid w:val="00D23FD9"/>
    <w:rsid w:val="00D2457A"/>
    <w:rsid w:val="00D2475C"/>
    <w:rsid w:val="00D247AB"/>
    <w:rsid w:val="00D24C54"/>
    <w:rsid w:val="00D255CB"/>
    <w:rsid w:val="00D25F9D"/>
    <w:rsid w:val="00D26049"/>
    <w:rsid w:val="00D26445"/>
    <w:rsid w:val="00D26CB5"/>
    <w:rsid w:val="00D26EDC"/>
    <w:rsid w:val="00D27744"/>
    <w:rsid w:val="00D27E5C"/>
    <w:rsid w:val="00D30136"/>
    <w:rsid w:val="00D302DB"/>
    <w:rsid w:val="00D303AF"/>
    <w:rsid w:val="00D30429"/>
    <w:rsid w:val="00D3053C"/>
    <w:rsid w:val="00D30804"/>
    <w:rsid w:val="00D30943"/>
    <w:rsid w:val="00D30CDD"/>
    <w:rsid w:val="00D31474"/>
    <w:rsid w:val="00D31D23"/>
    <w:rsid w:val="00D31F4D"/>
    <w:rsid w:val="00D3239A"/>
    <w:rsid w:val="00D3261C"/>
    <w:rsid w:val="00D328E5"/>
    <w:rsid w:val="00D32943"/>
    <w:rsid w:val="00D329C8"/>
    <w:rsid w:val="00D32ADE"/>
    <w:rsid w:val="00D332BE"/>
    <w:rsid w:val="00D336BB"/>
    <w:rsid w:val="00D33E0D"/>
    <w:rsid w:val="00D3411C"/>
    <w:rsid w:val="00D3419A"/>
    <w:rsid w:val="00D34839"/>
    <w:rsid w:val="00D34E83"/>
    <w:rsid w:val="00D352AF"/>
    <w:rsid w:val="00D3530D"/>
    <w:rsid w:val="00D35E73"/>
    <w:rsid w:val="00D36097"/>
    <w:rsid w:val="00D36D92"/>
    <w:rsid w:val="00D37114"/>
    <w:rsid w:val="00D3757A"/>
    <w:rsid w:val="00D375BF"/>
    <w:rsid w:val="00D40101"/>
    <w:rsid w:val="00D402F9"/>
    <w:rsid w:val="00D40AAA"/>
    <w:rsid w:val="00D41542"/>
    <w:rsid w:val="00D41701"/>
    <w:rsid w:val="00D4196A"/>
    <w:rsid w:val="00D41CFF"/>
    <w:rsid w:val="00D426F7"/>
    <w:rsid w:val="00D42893"/>
    <w:rsid w:val="00D432F1"/>
    <w:rsid w:val="00D439F2"/>
    <w:rsid w:val="00D43C51"/>
    <w:rsid w:val="00D440B2"/>
    <w:rsid w:val="00D443A2"/>
    <w:rsid w:val="00D44544"/>
    <w:rsid w:val="00D446A8"/>
    <w:rsid w:val="00D4479A"/>
    <w:rsid w:val="00D447BD"/>
    <w:rsid w:val="00D44891"/>
    <w:rsid w:val="00D44E61"/>
    <w:rsid w:val="00D450E7"/>
    <w:rsid w:val="00D4531C"/>
    <w:rsid w:val="00D45A22"/>
    <w:rsid w:val="00D45D28"/>
    <w:rsid w:val="00D46185"/>
    <w:rsid w:val="00D4649A"/>
    <w:rsid w:val="00D46FB5"/>
    <w:rsid w:val="00D4750A"/>
    <w:rsid w:val="00D47895"/>
    <w:rsid w:val="00D4789A"/>
    <w:rsid w:val="00D50A00"/>
    <w:rsid w:val="00D5127C"/>
    <w:rsid w:val="00D51842"/>
    <w:rsid w:val="00D51B72"/>
    <w:rsid w:val="00D5302B"/>
    <w:rsid w:val="00D5306C"/>
    <w:rsid w:val="00D5391B"/>
    <w:rsid w:val="00D53BA6"/>
    <w:rsid w:val="00D53CA3"/>
    <w:rsid w:val="00D549E9"/>
    <w:rsid w:val="00D54C83"/>
    <w:rsid w:val="00D54DCE"/>
    <w:rsid w:val="00D551A2"/>
    <w:rsid w:val="00D55549"/>
    <w:rsid w:val="00D55683"/>
    <w:rsid w:val="00D55829"/>
    <w:rsid w:val="00D55E4A"/>
    <w:rsid w:val="00D5623C"/>
    <w:rsid w:val="00D56361"/>
    <w:rsid w:val="00D5687E"/>
    <w:rsid w:val="00D568BC"/>
    <w:rsid w:val="00D56FED"/>
    <w:rsid w:val="00D5739A"/>
    <w:rsid w:val="00D573AD"/>
    <w:rsid w:val="00D57555"/>
    <w:rsid w:val="00D6001A"/>
    <w:rsid w:val="00D603F1"/>
    <w:rsid w:val="00D60680"/>
    <w:rsid w:val="00D60B08"/>
    <w:rsid w:val="00D61427"/>
    <w:rsid w:val="00D6199E"/>
    <w:rsid w:val="00D61ACD"/>
    <w:rsid w:val="00D622AC"/>
    <w:rsid w:val="00D638C7"/>
    <w:rsid w:val="00D63F3D"/>
    <w:rsid w:val="00D64274"/>
    <w:rsid w:val="00D64576"/>
    <w:rsid w:val="00D6475B"/>
    <w:rsid w:val="00D64EED"/>
    <w:rsid w:val="00D652E0"/>
    <w:rsid w:val="00D65CB9"/>
    <w:rsid w:val="00D666A6"/>
    <w:rsid w:val="00D66915"/>
    <w:rsid w:val="00D66AB0"/>
    <w:rsid w:val="00D671E4"/>
    <w:rsid w:val="00D67241"/>
    <w:rsid w:val="00D672C4"/>
    <w:rsid w:val="00D67D2A"/>
    <w:rsid w:val="00D70030"/>
    <w:rsid w:val="00D70497"/>
    <w:rsid w:val="00D704C0"/>
    <w:rsid w:val="00D70B0F"/>
    <w:rsid w:val="00D71390"/>
    <w:rsid w:val="00D713FE"/>
    <w:rsid w:val="00D71907"/>
    <w:rsid w:val="00D71E2C"/>
    <w:rsid w:val="00D72420"/>
    <w:rsid w:val="00D72F33"/>
    <w:rsid w:val="00D72F8A"/>
    <w:rsid w:val="00D73229"/>
    <w:rsid w:val="00D73A58"/>
    <w:rsid w:val="00D75251"/>
    <w:rsid w:val="00D75317"/>
    <w:rsid w:val="00D755E6"/>
    <w:rsid w:val="00D75B31"/>
    <w:rsid w:val="00D75CDC"/>
    <w:rsid w:val="00D764CD"/>
    <w:rsid w:val="00D76893"/>
    <w:rsid w:val="00D76EB2"/>
    <w:rsid w:val="00D774A4"/>
    <w:rsid w:val="00D8035F"/>
    <w:rsid w:val="00D8077D"/>
    <w:rsid w:val="00D809EF"/>
    <w:rsid w:val="00D817E6"/>
    <w:rsid w:val="00D81E5D"/>
    <w:rsid w:val="00D81EC9"/>
    <w:rsid w:val="00D81FA8"/>
    <w:rsid w:val="00D823B7"/>
    <w:rsid w:val="00D824D0"/>
    <w:rsid w:val="00D82B3D"/>
    <w:rsid w:val="00D83078"/>
    <w:rsid w:val="00D8315E"/>
    <w:rsid w:val="00D83380"/>
    <w:rsid w:val="00D8350F"/>
    <w:rsid w:val="00D839B3"/>
    <w:rsid w:val="00D83F4C"/>
    <w:rsid w:val="00D84948"/>
    <w:rsid w:val="00D84E2A"/>
    <w:rsid w:val="00D8527C"/>
    <w:rsid w:val="00D85774"/>
    <w:rsid w:val="00D8591A"/>
    <w:rsid w:val="00D85FE1"/>
    <w:rsid w:val="00D860D5"/>
    <w:rsid w:val="00D863E0"/>
    <w:rsid w:val="00D86D47"/>
    <w:rsid w:val="00D86F28"/>
    <w:rsid w:val="00D86F81"/>
    <w:rsid w:val="00D86FBA"/>
    <w:rsid w:val="00D87287"/>
    <w:rsid w:val="00D878FB"/>
    <w:rsid w:val="00D9015D"/>
    <w:rsid w:val="00D9072F"/>
    <w:rsid w:val="00D90ADD"/>
    <w:rsid w:val="00D90C53"/>
    <w:rsid w:val="00D90CCF"/>
    <w:rsid w:val="00D91ADE"/>
    <w:rsid w:val="00D92485"/>
    <w:rsid w:val="00D92681"/>
    <w:rsid w:val="00D929C8"/>
    <w:rsid w:val="00D92B93"/>
    <w:rsid w:val="00D93080"/>
    <w:rsid w:val="00D93230"/>
    <w:rsid w:val="00D937BF"/>
    <w:rsid w:val="00D940A4"/>
    <w:rsid w:val="00D946AD"/>
    <w:rsid w:val="00D9488F"/>
    <w:rsid w:val="00D94A68"/>
    <w:rsid w:val="00D94AE3"/>
    <w:rsid w:val="00D94FB1"/>
    <w:rsid w:val="00D951F7"/>
    <w:rsid w:val="00D959DC"/>
    <w:rsid w:val="00D95ADF"/>
    <w:rsid w:val="00D95C08"/>
    <w:rsid w:val="00D95DD0"/>
    <w:rsid w:val="00D9610A"/>
    <w:rsid w:val="00D96559"/>
    <w:rsid w:val="00D96A7E"/>
    <w:rsid w:val="00D972B3"/>
    <w:rsid w:val="00DA0964"/>
    <w:rsid w:val="00DA0BC4"/>
    <w:rsid w:val="00DA0D8E"/>
    <w:rsid w:val="00DA0DA4"/>
    <w:rsid w:val="00DA1405"/>
    <w:rsid w:val="00DA15AC"/>
    <w:rsid w:val="00DA1925"/>
    <w:rsid w:val="00DA192E"/>
    <w:rsid w:val="00DA194F"/>
    <w:rsid w:val="00DA1D14"/>
    <w:rsid w:val="00DA1F17"/>
    <w:rsid w:val="00DA2380"/>
    <w:rsid w:val="00DA3D2A"/>
    <w:rsid w:val="00DA4026"/>
    <w:rsid w:val="00DA4395"/>
    <w:rsid w:val="00DA49C8"/>
    <w:rsid w:val="00DA4FFF"/>
    <w:rsid w:val="00DA56C6"/>
    <w:rsid w:val="00DA575D"/>
    <w:rsid w:val="00DA590F"/>
    <w:rsid w:val="00DA5B12"/>
    <w:rsid w:val="00DA685A"/>
    <w:rsid w:val="00DA69F7"/>
    <w:rsid w:val="00DA70BD"/>
    <w:rsid w:val="00DA73A5"/>
    <w:rsid w:val="00DA771F"/>
    <w:rsid w:val="00DA7A8E"/>
    <w:rsid w:val="00DB01F7"/>
    <w:rsid w:val="00DB02F7"/>
    <w:rsid w:val="00DB0420"/>
    <w:rsid w:val="00DB0796"/>
    <w:rsid w:val="00DB0CBC"/>
    <w:rsid w:val="00DB16D9"/>
    <w:rsid w:val="00DB1730"/>
    <w:rsid w:val="00DB2217"/>
    <w:rsid w:val="00DB226E"/>
    <w:rsid w:val="00DB22CA"/>
    <w:rsid w:val="00DB2C22"/>
    <w:rsid w:val="00DB324E"/>
    <w:rsid w:val="00DB381D"/>
    <w:rsid w:val="00DB387D"/>
    <w:rsid w:val="00DB3907"/>
    <w:rsid w:val="00DB3F83"/>
    <w:rsid w:val="00DB419B"/>
    <w:rsid w:val="00DB41DB"/>
    <w:rsid w:val="00DB451D"/>
    <w:rsid w:val="00DB4919"/>
    <w:rsid w:val="00DB4FEF"/>
    <w:rsid w:val="00DB5767"/>
    <w:rsid w:val="00DB57A0"/>
    <w:rsid w:val="00DB5F74"/>
    <w:rsid w:val="00DB5FBC"/>
    <w:rsid w:val="00DB608F"/>
    <w:rsid w:val="00DB6300"/>
    <w:rsid w:val="00DB6444"/>
    <w:rsid w:val="00DB645A"/>
    <w:rsid w:val="00DB64A2"/>
    <w:rsid w:val="00DB6B4D"/>
    <w:rsid w:val="00DB708A"/>
    <w:rsid w:val="00DB72DA"/>
    <w:rsid w:val="00DB7571"/>
    <w:rsid w:val="00DB757C"/>
    <w:rsid w:val="00DB7622"/>
    <w:rsid w:val="00DB76E5"/>
    <w:rsid w:val="00DB7C22"/>
    <w:rsid w:val="00DC01B2"/>
    <w:rsid w:val="00DC09C1"/>
    <w:rsid w:val="00DC167E"/>
    <w:rsid w:val="00DC16BD"/>
    <w:rsid w:val="00DC2255"/>
    <w:rsid w:val="00DC22C8"/>
    <w:rsid w:val="00DC2916"/>
    <w:rsid w:val="00DC29D5"/>
    <w:rsid w:val="00DC2F0E"/>
    <w:rsid w:val="00DC3828"/>
    <w:rsid w:val="00DC3839"/>
    <w:rsid w:val="00DC3A84"/>
    <w:rsid w:val="00DC51FE"/>
    <w:rsid w:val="00DC57CB"/>
    <w:rsid w:val="00DC64CF"/>
    <w:rsid w:val="00DC663D"/>
    <w:rsid w:val="00DC6FA0"/>
    <w:rsid w:val="00DC706E"/>
    <w:rsid w:val="00DC7C15"/>
    <w:rsid w:val="00DD008A"/>
    <w:rsid w:val="00DD029A"/>
    <w:rsid w:val="00DD071C"/>
    <w:rsid w:val="00DD0BA8"/>
    <w:rsid w:val="00DD0EFE"/>
    <w:rsid w:val="00DD1963"/>
    <w:rsid w:val="00DD1FF6"/>
    <w:rsid w:val="00DD25D1"/>
    <w:rsid w:val="00DD2847"/>
    <w:rsid w:val="00DD295A"/>
    <w:rsid w:val="00DD2BAF"/>
    <w:rsid w:val="00DD2FF3"/>
    <w:rsid w:val="00DD30F9"/>
    <w:rsid w:val="00DD3A72"/>
    <w:rsid w:val="00DD3B1C"/>
    <w:rsid w:val="00DD45AE"/>
    <w:rsid w:val="00DD518A"/>
    <w:rsid w:val="00DD5283"/>
    <w:rsid w:val="00DD58A9"/>
    <w:rsid w:val="00DD607A"/>
    <w:rsid w:val="00DD63BA"/>
    <w:rsid w:val="00DD7724"/>
    <w:rsid w:val="00DD7A07"/>
    <w:rsid w:val="00DD7C6B"/>
    <w:rsid w:val="00DD7EAE"/>
    <w:rsid w:val="00DD7F45"/>
    <w:rsid w:val="00DE005C"/>
    <w:rsid w:val="00DE010F"/>
    <w:rsid w:val="00DE0204"/>
    <w:rsid w:val="00DE118D"/>
    <w:rsid w:val="00DE152C"/>
    <w:rsid w:val="00DE1D65"/>
    <w:rsid w:val="00DE2016"/>
    <w:rsid w:val="00DE24B5"/>
    <w:rsid w:val="00DE2A74"/>
    <w:rsid w:val="00DE2B77"/>
    <w:rsid w:val="00DE2C72"/>
    <w:rsid w:val="00DE2CE5"/>
    <w:rsid w:val="00DE2F64"/>
    <w:rsid w:val="00DE346B"/>
    <w:rsid w:val="00DE40FF"/>
    <w:rsid w:val="00DE4407"/>
    <w:rsid w:val="00DE457B"/>
    <w:rsid w:val="00DE4650"/>
    <w:rsid w:val="00DE4788"/>
    <w:rsid w:val="00DE55A6"/>
    <w:rsid w:val="00DE58EE"/>
    <w:rsid w:val="00DE5E14"/>
    <w:rsid w:val="00DE6136"/>
    <w:rsid w:val="00DE69A7"/>
    <w:rsid w:val="00DE75E1"/>
    <w:rsid w:val="00DE7694"/>
    <w:rsid w:val="00DE78E2"/>
    <w:rsid w:val="00DE7B64"/>
    <w:rsid w:val="00DE7C43"/>
    <w:rsid w:val="00DE7C50"/>
    <w:rsid w:val="00DF02BE"/>
    <w:rsid w:val="00DF0391"/>
    <w:rsid w:val="00DF0808"/>
    <w:rsid w:val="00DF0E15"/>
    <w:rsid w:val="00DF1195"/>
    <w:rsid w:val="00DF15A6"/>
    <w:rsid w:val="00DF1638"/>
    <w:rsid w:val="00DF19B8"/>
    <w:rsid w:val="00DF19E6"/>
    <w:rsid w:val="00DF1BCA"/>
    <w:rsid w:val="00DF21F5"/>
    <w:rsid w:val="00DF28D9"/>
    <w:rsid w:val="00DF29A2"/>
    <w:rsid w:val="00DF2F18"/>
    <w:rsid w:val="00DF383A"/>
    <w:rsid w:val="00DF38E0"/>
    <w:rsid w:val="00DF3B07"/>
    <w:rsid w:val="00DF4291"/>
    <w:rsid w:val="00DF42CF"/>
    <w:rsid w:val="00DF4CDA"/>
    <w:rsid w:val="00DF4F3A"/>
    <w:rsid w:val="00DF5298"/>
    <w:rsid w:val="00DF55E1"/>
    <w:rsid w:val="00DF5C23"/>
    <w:rsid w:val="00DF5C4E"/>
    <w:rsid w:val="00DF6302"/>
    <w:rsid w:val="00DF6B91"/>
    <w:rsid w:val="00DF6FB3"/>
    <w:rsid w:val="00DF7632"/>
    <w:rsid w:val="00DF7AF4"/>
    <w:rsid w:val="00DF7B61"/>
    <w:rsid w:val="00DF7BDC"/>
    <w:rsid w:val="00E008DF"/>
    <w:rsid w:val="00E00E23"/>
    <w:rsid w:val="00E01140"/>
    <w:rsid w:val="00E011F3"/>
    <w:rsid w:val="00E0166A"/>
    <w:rsid w:val="00E01CA6"/>
    <w:rsid w:val="00E02A5F"/>
    <w:rsid w:val="00E02FB2"/>
    <w:rsid w:val="00E03328"/>
    <w:rsid w:val="00E036F4"/>
    <w:rsid w:val="00E039A5"/>
    <w:rsid w:val="00E03B76"/>
    <w:rsid w:val="00E03EC6"/>
    <w:rsid w:val="00E045AC"/>
    <w:rsid w:val="00E04890"/>
    <w:rsid w:val="00E062A7"/>
    <w:rsid w:val="00E06562"/>
    <w:rsid w:val="00E067AF"/>
    <w:rsid w:val="00E06B84"/>
    <w:rsid w:val="00E06EA1"/>
    <w:rsid w:val="00E06F1C"/>
    <w:rsid w:val="00E0799E"/>
    <w:rsid w:val="00E07C45"/>
    <w:rsid w:val="00E07C83"/>
    <w:rsid w:val="00E10098"/>
    <w:rsid w:val="00E1048F"/>
    <w:rsid w:val="00E109BC"/>
    <w:rsid w:val="00E125D8"/>
    <w:rsid w:val="00E12EA3"/>
    <w:rsid w:val="00E13654"/>
    <w:rsid w:val="00E136A2"/>
    <w:rsid w:val="00E13F05"/>
    <w:rsid w:val="00E1439A"/>
    <w:rsid w:val="00E14613"/>
    <w:rsid w:val="00E14899"/>
    <w:rsid w:val="00E14D4C"/>
    <w:rsid w:val="00E14DB8"/>
    <w:rsid w:val="00E1518F"/>
    <w:rsid w:val="00E156B7"/>
    <w:rsid w:val="00E1575B"/>
    <w:rsid w:val="00E15D64"/>
    <w:rsid w:val="00E15E0E"/>
    <w:rsid w:val="00E15E80"/>
    <w:rsid w:val="00E1653E"/>
    <w:rsid w:val="00E16ABE"/>
    <w:rsid w:val="00E16B1C"/>
    <w:rsid w:val="00E16C29"/>
    <w:rsid w:val="00E17587"/>
    <w:rsid w:val="00E175AD"/>
    <w:rsid w:val="00E17696"/>
    <w:rsid w:val="00E179F7"/>
    <w:rsid w:val="00E17B1D"/>
    <w:rsid w:val="00E203DE"/>
    <w:rsid w:val="00E206C4"/>
    <w:rsid w:val="00E20EDE"/>
    <w:rsid w:val="00E20F75"/>
    <w:rsid w:val="00E21367"/>
    <w:rsid w:val="00E217CA"/>
    <w:rsid w:val="00E21DEF"/>
    <w:rsid w:val="00E2211D"/>
    <w:rsid w:val="00E2217D"/>
    <w:rsid w:val="00E22231"/>
    <w:rsid w:val="00E22734"/>
    <w:rsid w:val="00E22793"/>
    <w:rsid w:val="00E22FD5"/>
    <w:rsid w:val="00E230E5"/>
    <w:rsid w:val="00E245BE"/>
    <w:rsid w:val="00E25069"/>
    <w:rsid w:val="00E251C7"/>
    <w:rsid w:val="00E255CB"/>
    <w:rsid w:val="00E258BF"/>
    <w:rsid w:val="00E25CA3"/>
    <w:rsid w:val="00E25ECE"/>
    <w:rsid w:val="00E26EA0"/>
    <w:rsid w:val="00E26ECF"/>
    <w:rsid w:val="00E26EEA"/>
    <w:rsid w:val="00E273CF"/>
    <w:rsid w:val="00E27630"/>
    <w:rsid w:val="00E277BF"/>
    <w:rsid w:val="00E27C05"/>
    <w:rsid w:val="00E27C16"/>
    <w:rsid w:val="00E27EDE"/>
    <w:rsid w:val="00E304F7"/>
    <w:rsid w:val="00E3081E"/>
    <w:rsid w:val="00E30A6A"/>
    <w:rsid w:val="00E30B52"/>
    <w:rsid w:val="00E30EF2"/>
    <w:rsid w:val="00E30F38"/>
    <w:rsid w:val="00E312EC"/>
    <w:rsid w:val="00E31673"/>
    <w:rsid w:val="00E31750"/>
    <w:rsid w:val="00E31ACA"/>
    <w:rsid w:val="00E32225"/>
    <w:rsid w:val="00E32533"/>
    <w:rsid w:val="00E3274A"/>
    <w:rsid w:val="00E329D9"/>
    <w:rsid w:val="00E32EE2"/>
    <w:rsid w:val="00E32F7F"/>
    <w:rsid w:val="00E330CA"/>
    <w:rsid w:val="00E333C5"/>
    <w:rsid w:val="00E3346F"/>
    <w:rsid w:val="00E33A74"/>
    <w:rsid w:val="00E33E83"/>
    <w:rsid w:val="00E34735"/>
    <w:rsid w:val="00E34FE8"/>
    <w:rsid w:val="00E35804"/>
    <w:rsid w:val="00E35C30"/>
    <w:rsid w:val="00E36505"/>
    <w:rsid w:val="00E366C4"/>
    <w:rsid w:val="00E36A48"/>
    <w:rsid w:val="00E36A62"/>
    <w:rsid w:val="00E36D80"/>
    <w:rsid w:val="00E370E3"/>
    <w:rsid w:val="00E37632"/>
    <w:rsid w:val="00E37B20"/>
    <w:rsid w:val="00E37F16"/>
    <w:rsid w:val="00E403D6"/>
    <w:rsid w:val="00E41954"/>
    <w:rsid w:val="00E41C8F"/>
    <w:rsid w:val="00E4200E"/>
    <w:rsid w:val="00E42666"/>
    <w:rsid w:val="00E42C58"/>
    <w:rsid w:val="00E43820"/>
    <w:rsid w:val="00E43976"/>
    <w:rsid w:val="00E44B42"/>
    <w:rsid w:val="00E44E74"/>
    <w:rsid w:val="00E456B9"/>
    <w:rsid w:val="00E45756"/>
    <w:rsid w:val="00E459C0"/>
    <w:rsid w:val="00E4629A"/>
    <w:rsid w:val="00E46AA3"/>
    <w:rsid w:val="00E46D99"/>
    <w:rsid w:val="00E4708D"/>
    <w:rsid w:val="00E47818"/>
    <w:rsid w:val="00E47B17"/>
    <w:rsid w:val="00E47B35"/>
    <w:rsid w:val="00E5059F"/>
    <w:rsid w:val="00E5075F"/>
    <w:rsid w:val="00E50D51"/>
    <w:rsid w:val="00E50FD1"/>
    <w:rsid w:val="00E51106"/>
    <w:rsid w:val="00E51312"/>
    <w:rsid w:val="00E5167D"/>
    <w:rsid w:val="00E517D3"/>
    <w:rsid w:val="00E51F3C"/>
    <w:rsid w:val="00E52091"/>
    <w:rsid w:val="00E5240A"/>
    <w:rsid w:val="00E52472"/>
    <w:rsid w:val="00E52DD8"/>
    <w:rsid w:val="00E52F80"/>
    <w:rsid w:val="00E536BF"/>
    <w:rsid w:val="00E5399D"/>
    <w:rsid w:val="00E54E6F"/>
    <w:rsid w:val="00E554E1"/>
    <w:rsid w:val="00E555BF"/>
    <w:rsid w:val="00E55F6B"/>
    <w:rsid w:val="00E56834"/>
    <w:rsid w:val="00E56989"/>
    <w:rsid w:val="00E56E6D"/>
    <w:rsid w:val="00E56ECA"/>
    <w:rsid w:val="00E57077"/>
    <w:rsid w:val="00E574C2"/>
    <w:rsid w:val="00E57627"/>
    <w:rsid w:val="00E6004E"/>
    <w:rsid w:val="00E60A3E"/>
    <w:rsid w:val="00E614A2"/>
    <w:rsid w:val="00E61859"/>
    <w:rsid w:val="00E63B57"/>
    <w:rsid w:val="00E641C1"/>
    <w:rsid w:val="00E646C2"/>
    <w:rsid w:val="00E64B48"/>
    <w:rsid w:val="00E65724"/>
    <w:rsid w:val="00E657E3"/>
    <w:rsid w:val="00E65BDC"/>
    <w:rsid w:val="00E65E19"/>
    <w:rsid w:val="00E65EA4"/>
    <w:rsid w:val="00E65F05"/>
    <w:rsid w:val="00E65FD1"/>
    <w:rsid w:val="00E6615D"/>
    <w:rsid w:val="00E671F6"/>
    <w:rsid w:val="00E673E7"/>
    <w:rsid w:val="00E6746B"/>
    <w:rsid w:val="00E70094"/>
    <w:rsid w:val="00E70ED4"/>
    <w:rsid w:val="00E711CC"/>
    <w:rsid w:val="00E712AB"/>
    <w:rsid w:val="00E713D0"/>
    <w:rsid w:val="00E71578"/>
    <w:rsid w:val="00E717D1"/>
    <w:rsid w:val="00E71EAE"/>
    <w:rsid w:val="00E72006"/>
    <w:rsid w:val="00E72E01"/>
    <w:rsid w:val="00E734A5"/>
    <w:rsid w:val="00E737CF"/>
    <w:rsid w:val="00E73AB4"/>
    <w:rsid w:val="00E73C11"/>
    <w:rsid w:val="00E73EF7"/>
    <w:rsid w:val="00E743D6"/>
    <w:rsid w:val="00E7464D"/>
    <w:rsid w:val="00E74976"/>
    <w:rsid w:val="00E749F8"/>
    <w:rsid w:val="00E7523D"/>
    <w:rsid w:val="00E7560A"/>
    <w:rsid w:val="00E75DFA"/>
    <w:rsid w:val="00E767E7"/>
    <w:rsid w:val="00E769D2"/>
    <w:rsid w:val="00E76BD6"/>
    <w:rsid w:val="00E76C93"/>
    <w:rsid w:val="00E76E43"/>
    <w:rsid w:val="00E802D5"/>
    <w:rsid w:val="00E80D74"/>
    <w:rsid w:val="00E80E36"/>
    <w:rsid w:val="00E80F69"/>
    <w:rsid w:val="00E81076"/>
    <w:rsid w:val="00E810A0"/>
    <w:rsid w:val="00E81493"/>
    <w:rsid w:val="00E814B6"/>
    <w:rsid w:val="00E81924"/>
    <w:rsid w:val="00E821C4"/>
    <w:rsid w:val="00E82ABE"/>
    <w:rsid w:val="00E8316A"/>
    <w:rsid w:val="00E831E8"/>
    <w:rsid w:val="00E8330C"/>
    <w:rsid w:val="00E8362A"/>
    <w:rsid w:val="00E838B1"/>
    <w:rsid w:val="00E83B32"/>
    <w:rsid w:val="00E83B37"/>
    <w:rsid w:val="00E83CC0"/>
    <w:rsid w:val="00E841DA"/>
    <w:rsid w:val="00E8474E"/>
    <w:rsid w:val="00E8488B"/>
    <w:rsid w:val="00E84AC2"/>
    <w:rsid w:val="00E84CC1"/>
    <w:rsid w:val="00E853FA"/>
    <w:rsid w:val="00E85540"/>
    <w:rsid w:val="00E85C33"/>
    <w:rsid w:val="00E85C70"/>
    <w:rsid w:val="00E86047"/>
    <w:rsid w:val="00E862EB"/>
    <w:rsid w:val="00E86577"/>
    <w:rsid w:val="00E869FB"/>
    <w:rsid w:val="00E87816"/>
    <w:rsid w:val="00E878E6"/>
    <w:rsid w:val="00E879A0"/>
    <w:rsid w:val="00E87A7E"/>
    <w:rsid w:val="00E87D6C"/>
    <w:rsid w:val="00E90CC1"/>
    <w:rsid w:val="00E91EB6"/>
    <w:rsid w:val="00E92E39"/>
    <w:rsid w:val="00E93183"/>
    <w:rsid w:val="00E935E1"/>
    <w:rsid w:val="00E9389F"/>
    <w:rsid w:val="00E93AA5"/>
    <w:rsid w:val="00E93C1A"/>
    <w:rsid w:val="00E940F7"/>
    <w:rsid w:val="00E946D2"/>
    <w:rsid w:val="00E9492F"/>
    <w:rsid w:val="00E94A28"/>
    <w:rsid w:val="00E9550F"/>
    <w:rsid w:val="00E9577A"/>
    <w:rsid w:val="00E9624D"/>
    <w:rsid w:val="00E9684F"/>
    <w:rsid w:val="00E969D3"/>
    <w:rsid w:val="00E975E4"/>
    <w:rsid w:val="00E97633"/>
    <w:rsid w:val="00E9777E"/>
    <w:rsid w:val="00E977C9"/>
    <w:rsid w:val="00EA0539"/>
    <w:rsid w:val="00EA08D7"/>
    <w:rsid w:val="00EA0C02"/>
    <w:rsid w:val="00EA0CDC"/>
    <w:rsid w:val="00EA1705"/>
    <w:rsid w:val="00EA1E46"/>
    <w:rsid w:val="00EA1E66"/>
    <w:rsid w:val="00EA1F1F"/>
    <w:rsid w:val="00EA20D7"/>
    <w:rsid w:val="00EA344E"/>
    <w:rsid w:val="00EA34AF"/>
    <w:rsid w:val="00EA3817"/>
    <w:rsid w:val="00EA3CE0"/>
    <w:rsid w:val="00EA3E00"/>
    <w:rsid w:val="00EA48FD"/>
    <w:rsid w:val="00EA54CD"/>
    <w:rsid w:val="00EA5596"/>
    <w:rsid w:val="00EA62CD"/>
    <w:rsid w:val="00EA63D2"/>
    <w:rsid w:val="00EA6B2F"/>
    <w:rsid w:val="00EA79F5"/>
    <w:rsid w:val="00EA7C0B"/>
    <w:rsid w:val="00EA7DB6"/>
    <w:rsid w:val="00EB0107"/>
    <w:rsid w:val="00EB0437"/>
    <w:rsid w:val="00EB129C"/>
    <w:rsid w:val="00EB1796"/>
    <w:rsid w:val="00EB17BE"/>
    <w:rsid w:val="00EB184E"/>
    <w:rsid w:val="00EB219C"/>
    <w:rsid w:val="00EB254D"/>
    <w:rsid w:val="00EB3163"/>
    <w:rsid w:val="00EB37A7"/>
    <w:rsid w:val="00EB4092"/>
    <w:rsid w:val="00EB41E5"/>
    <w:rsid w:val="00EB46EA"/>
    <w:rsid w:val="00EB4833"/>
    <w:rsid w:val="00EB4876"/>
    <w:rsid w:val="00EB4972"/>
    <w:rsid w:val="00EB4E3C"/>
    <w:rsid w:val="00EB5B1F"/>
    <w:rsid w:val="00EB5F30"/>
    <w:rsid w:val="00EB6E37"/>
    <w:rsid w:val="00EB7024"/>
    <w:rsid w:val="00EB77A3"/>
    <w:rsid w:val="00EB7EBA"/>
    <w:rsid w:val="00EC01C4"/>
    <w:rsid w:val="00EC08EC"/>
    <w:rsid w:val="00EC0B60"/>
    <w:rsid w:val="00EC0C82"/>
    <w:rsid w:val="00EC0CF5"/>
    <w:rsid w:val="00EC0E1E"/>
    <w:rsid w:val="00EC10BA"/>
    <w:rsid w:val="00EC11C2"/>
    <w:rsid w:val="00EC12DB"/>
    <w:rsid w:val="00EC1A27"/>
    <w:rsid w:val="00EC1A71"/>
    <w:rsid w:val="00EC1E17"/>
    <w:rsid w:val="00EC1E1F"/>
    <w:rsid w:val="00EC1EDF"/>
    <w:rsid w:val="00EC25C0"/>
    <w:rsid w:val="00EC3295"/>
    <w:rsid w:val="00EC39CD"/>
    <w:rsid w:val="00EC44F6"/>
    <w:rsid w:val="00EC451C"/>
    <w:rsid w:val="00EC4D35"/>
    <w:rsid w:val="00EC56B4"/>
    <w:rsid w:val="00EC5EC7"/>
    <w:rsid w:val="00EC6363"/>
    <w:rsid w:val="00EC642A"/>
    <w:rsid w:val="00EC65CF"/>
    <w:rsid w:val="00EC67BC"/>
    <w:rsid w:val="00EC6B95"/>
    <w:rsid w:val="00EC752F"/>
    <w:rsid w:val="00EC7580"/>
    <w:rsid w:val="00EC79F7"/>
    <w:rsid w:val="00EC7FA2"/>
    <w:rsid w:val="00ED0B4C"/>
    <w:rsid w:val="00ED1148"/>
    <w:rsid w:val="00ED209E"/>
    <w:rsid w:val="00ED27A9"/>
    <w:rsid w:val="00ED2A9F"/>
    <w:rsid w:val="00ED2DDE"/>
    <w:rsid w:val="00ED2EF7"/>
    <w:rsid w:val="00ED3565"/>
    <w:rsid w:val="00ED3B9E"/>
    <w:rsid w:val="00ED3C93"/>
    <w:rsid w:val="00ED3ECE"/>
    <w:rsid w:val="00ED4253"/>
    <w:rsid w:val="00ED42D6"/>
    <w:rsid w:val="00ED4506"/>
    <w:rsid w:val="00ED46B3"/>
    <w:rsid w:val="00ED47BA"/>
    <w:rsid w:val="00ED595F"/>
    <w:rsid w:val="00ED628A"/>
    <w:rsid w:val="00ED6DB8"/>
    <w:rsid w:val="00ED7179"/>
    <w:rsid w:val="00ED722C"/>
    <w:rsid w:val="00EE05E6"/>
    <w:rsid w:val="00EE0911"/>
    <w:rsid w:val="00EE1085"/>
    <w:rsid w:val="00EE145B"/>
    <w:rsid w:val="00EE1596"/>
    <w:rsid w:val="00EE1610"/>
    <w:rsid w:val="00EE16A3"/>
    <w:rsid w:val="00EE16E9"/>
    <w:rsid w:val="00EE1891"/>
    <w:rsid w:val="00EE1DB9"/>
    <w:rsid w:val="00EE1F32"/>
    <w:rsid w:val="00EE1F49"/>
    <w:rsid w:val="00EE1FCB"/>
    <w:rsid w:val="00EE22AB"/>
    <w:rsid w:val="00EE2468"/>
    <w:rsid w:val="00EE2DB7"/>
    <w:rsid w:val="00EE2F2D"/>
    <w:rsid w:val="00EE2F69"/>
    <w:rsid w:val="00EE2F77"/>
    <w:rsid w:val="00EE2F89"/>
    <w:rsid w:val="00EE34BF"/>
    <w:rsid w:val="00EE39F6"/>
    <w:rsid w:val="00EE3DB7"/>
    <w:rsid w:val="00EE3DD7"/>
    <w:rsid w:val="00EE3FCA"/>
    <w:rsid w:val="00EE3FDD"/>
    <w:rsid w:val="00EE41A8"/>
    <w:rsid w:val="00EE438B"/>
    <w:rsid w:val="00EE43CE"/>
    <w:rsid w:val="00EE4858"/>
    <w:rsid w:val="00EE4FFC"/>
    <w:rsid w:val="00EE5339"/>
    <w:rsid w:val="00EE55A6"/>
    <w:rsid w:val="00EE5C98"/>
    <w:rsid w:val="00EE61BD"/>
    <w:rsid w:val="00EE6E92"/>
    <w:rsid w:val="00EE6F89"/>
    <w:rsid w:val="00EE6FC3"/>
    <w:rsid w:val="00EE7B54"/>
    <w:rsid w:val="00EF0299"/>
    <w:rsid w:val="00EF05C8"/>
    <w:rsid w:val="00EF05DC"/>
    <w:rsid w:val="00EF0724"/>
    <w:rsid w:val="00EF0E8B"/>
    <w:rsid w:val="00EF10AD"/>
    <w:rsid w:val="00EF1AB0"/>
    <w:rsid w:val="00EF1BAE"/>
    <w:rsid w:val="00EF2612"/>
    <w:rsid w:val="00EF2853"/>
    <w:rsid w:val="00EF2A0B"/>
    <w:rsid w:val="00EF2E7E"/>
    <w:rsid w:val="00EF304E"/>
    <w:rsid w:val="00EF30FF"/>
    <w:rsid w:val="00EF3915"/>
    <w:rsid w:val="00EF3B6E"/>
    <w:rsid w:val="00EF3CCB"/>
    <w:rsid w:val="00EF3E00"/>
    <w:rsid w:val="00EF40FD"/>
    <w:rsid w:val="00EF42E4"/>
    <w:rsid w:val="00EF4397"/>
    <w:rsid w:val="00EF49B3"/>
    <w:rsid w:val="00EF4E55"/>
    <w:rsid w:val="00EF50EA"/>
    <w:rsid w:val="00EF514C"/>
    <w:rsid w:val="00EF55E9"/>
    <w:rsid w:val="00EF5B4B"/>
    <w:rsid w:val="00EF5D9C"/>
    <w:rsid w:val="00EF6280"/>
    <w:rsid w:val="00EF65C9"/>
    <w:rsid w:val="00EF67B9"/>
    <w:rsid w:val="00EF7158"/>
    <w:rsid w:val="00EF7E21"/>
    <w:rsid w:val="00F005A5"/>
    <w:rsid w:val="00F007B2"/>
    <w:rsid w:val="00F019EB"/>
    <w:rsid w:val="00F01BAE"/>
    <w:rsid w:val="00F01BBA"/>
    <w:rsid w:val="00F01DD0"/>
    <w:rsid w:val="00F0236F"/>
    <w:rsid w:val="00F02485"/>
    <w:rsid w:val="00F036DE"/>
    <w:rsid w:val="00F03A6C"/>
    <w:rsid w:val="00F03AAC"/>
    <w:rsid w:val="00F03EE1"/>
    <w:rsid w:val="00F045F9"/>
    <w:rsid w:val="00F04600"/>
    <w:rsid w:val="00F0461A"/>
    <w:rsid w:val="00F048C7"/>
    <w:rsid w:val="00F04ED2"/>
    <w:rsid w:val="00F04F25"/>
    <w:rsid w:val="00F04F51"/>
    <w:rsid w:val="00F054CE"/>
    <w:rsid w:val="00F057C5"/>
    <w:rsid w:val="00F058C1"/>
    <w:rsid w:val="00F05A05"/>
    <w:rsid w:val="00F05C70"/>
    <w:rsid w:val="00F05E42"/>
    <w:rsid w:val="00F06272"/>
    <w:rsid w:val="00F066CF"/>
    <w:rsid w:val="00F06BB4"/>
    <w:rsid w:val="00F06E25"/>
    <w:rsid w:val="00F06E70"/>
    <w:rsid w:val="00F06F74"/>
    <w:rsid w:val="00F072F0"/>
    <w:rsid w:val="00F0740B"/>
    <w:rsid w:val="00F078FE"/>
    <w:rsid w:val="00F079F0"/>
    <w:rsid w:val="00F07CED"/>
    <w:rsid w:val="00F07D58"/>
    <w:rsid w:val="00F103FC"/>
    <w:rsid w:val="00F10C01"/>
    <w:rsid w:val="00F10D3C"/>
    <w:rsid w:val="00F1129C"/>
    <w:rsid w:val="00F11366"/>
    <w:rsid w:val="00F1161A"/>
    <w:rsid w:val="00F11701"/>
    <w:rsid w:val="00F1171F"/>
    <w:rsid w:val="00F117CF"/>
    <w:rsid w:val="00F11A69"/>
    <w:rsid w:val="00F11AA6"/>
    <w:rsid w:val="00F11C50"/>
    <w:rsid w:val="00F12410"/>
    <w:rsid w:val="00F134E1"/>
    <w:rsid w:val="00F13526"/>
    <w:rsid w:val="00F13E41"/>
    <w:rsid w:val="00F14642"/>
    <w:rsid w:val="00F14715"/>
    <w:rsid w:val="00F1478D"/>
    <w:rsid w:val="00F14862"/>
    <w:rsid w:val="00F1499D"/>
    <w:rsid w:val="00F15136"/>
    <w:rsid w:val="00F15338"/>
    <w:rsid w:val="00F15530"/>
    <w:rsid w:val="00F15875"/>
    <w:rsid w:val="00F15BAC"/>
    <w:rsid w:val="00F16070"/>
    <w:rsid w:val="00F16742"/>
    <w:rsid w:val="00F16972"/>
    <w:rsid w:val="00F17098"/>
    <w:rsid w:val="00F170DE"/>
    <w:rsid w:val="00F176B3"/>
    <w:rsid w:val="00F17793"/>
    <w:rsid w:val="00F17887"/>
    <w:rsid w:val="00F17A0C"/>
    <w:rsid w:val="00F20CFB"/>
    <w:rsid w:val="00F213BE"/>
    <w:rsid w:val="00F213D4"/>
    <w:rsid w:val="00F21641"/>
    <w:rsid w:val="00F216CE"/>
    <w:rsid w:val="00F21C5A"/>
    <w:rsid w:val="00F22447"/>
    <w:rsid w:val="00F22F20"/>
    <w:rsid w:val="00F24123"/>
    <w:rsid w:val="00F24207"/>
    <w:rsid w:val="00F242D2"/>
    <w:rsid w:val="00F2436E"/>
    <w:rsid w:val="00F2441A"/>
    <w:rsid w:val="00F24992"/>
    <w:rsid w:val="00F24AAA"/>
    <w:rsid w:val="00F25077"/>
    <w:rsid w:val="00F25814"/>
    <w:rsid w:val="00F25D32"/>
    <w:rsid w:val="00F26D16"/>
    <w:rsid w:val="00F26E6F"/>
    <w:rsid w:val="00F27585"/>
    <w:rsid w:val="00F27662"/>
    <w:rsid w:val="00F30C47"/>
    <w:rsid w:val="00F314DE"/>
    <w:rsid w:val="00F316CF"/>
    <w:rsid w:val="00F31EA7"/>
    <w:rsid w:val="00F31F54"/>
    <w:rsid w:val="00F32304"/>
    <w:rsid w:val="00F324C4"/>
    <w:rsid w:val="00F32785"/>
    <w:rsid w:val="00F328D7"/>
    <w:rsid w:val="00F32A58"/>
    <w:rsid w:val="00F330EF"/>
    <w:rsid w:val="00F33446"/>
    <w:rsid w:val="00F33FED"/>
    <w:rsid w:val="00F340FD"/>
    <w:rsid w:val="00F341FD"/>
    <w:rsid w:val="00F3425C"/>
    <w:rsid w:val="00F348AE"/>
    <w:rsid w:val="00F34C35"/>
    <w:rsid w:val="00F34D00"/>
    <w:rsid w:val="00F34E14"/>
    <w:rsid w:val="00F35A65"/>
    <w:rsid w:val="00F3661B"/>
    <w:rsid w:val="00F36C96"/>
    <w:rsid w:val="00F36CE4"/>
    <w:rsid w:val="00F36D96"/>
    <w:rsid w:val="00F372DA"/>
    <w:rsid w:val="00F376AF"/>
    <w:rsid w:val="00F37E61"/>
    <w:rsid w:val="00F40241"/>
    <w:rsid w:val="00F40409"/>
    <w:rsid w:val="00F40880"/>
    <w:rsid w:val="00F40B0C"/>
    <w:rsid w:val="00F40DBB"/>
    <w:rsid w:val="00F41EDA"/>
    <w:rsid w:val="00F42066"/>
    <w:rsid w:val="00F420A8"/>
    <w:rsid w:val="00F42168"/>
    <w:rsid w:val="00F42310"/>
    <w:rsid w:val="00F42569"/>
    <w:rsid w:val="00F42713"/>
    <w:rsid w:val="00F42F6B"/>
    <w:rsid w:val="00F436C0"/>
    <w:rsid w:val="00F43D0B"/>
    <w:rsid w:val="00F43DF2"/>
    <w:rsid w:val="00F44010"/>
    <w:rsid w:val="00F44CF0"/>
    <w:rsid w:val="00F45130"/>
    <w:rsid w:val="00F45781"/>
    <w:rsid w:val="00F45CC2"/>
    <w:rsid w:val="00F46087"/>
    <w:rsid w:val="00F46585"/>
    <w:rsid w:val="00F466F1"/>
    <w:rsid w:val="00F46EF0"/>
    <w:rsid w:val="00F4715C"/>
    <w:rsid w:val="00F4764A"/>
    <w:rsid w:val="00F4766E"/>
    <w:rsid w:val="00F47A8D"/>
    <w:rsid w:val="00F47AA0"/>
    <w:rsid w:val="00F500D2"/>
    <w:rsid w:val="00F50A68"/>
    <w:rsid w:val="00F50ED9"/>
    <w:rsid w:val="00F51416"/>
    <w:rsid w:val="00F51451"/>
    <w:rsid w:val="00F51484"/>
    <w:rsid w:val="00F516A8"/>
    <w:rsid w:val="00F51B41"/>
    <w:rsid w:val="00F51B93"/>
    <w:rsid w:val="00F51D5B"/>
    <w:rsid w:val="00F51F45"/>
    <w:rsid w:val="00F5200B"/>
    <w:rsid w:val="00F5323F"/>
    <w:rsid w:val="00F53959"/>
    <w:rsid w:val="00F53C34"/>
    <w:rsid w:val="00F5403C"/>
    <w:rsid w:val="00F54085"/>
    <w:rsid w:val="00F542D5"/>
    <w:rsid w:val="00F543C8"/>
    <w:rsid w:val="00F54E44"/>
    <w:rsid w:val="00F5500B"/>
    <w:rsid w:val="00F550FD"/>
    <w:rsid w:val="00F555BE"/>
    <w:rsid w:val="00F55D31"/>
    <w:rsid w:val="00F55EA9"/>
    <w:rsid w:val="00F560E3"/>
    <w:rsid w:val="00F561D2"/>
    <w:rsid w:val="00F562AB"/>
    <w:rsid w:val="00F562D9"/>
    <w:rsid w:val="00F56B63"/>
    <w:rsid w:val="00F56CBF"/>
    <w:rsid w:val="00F56D1B"/>
    <w:rsid w:val="00F57087"/>
    <w:rsid w:val="00F57A6D"/>
    <w:rsid w:val="00F57BA3"/>
    <w:rsid w:val="00F60958"/>
    <w:rsid w:val="00F60ED7"/>
    <w:rsid w:val="00F611DF"/>
    <w:rsid w:val="00F6131B"/>
    <w:rsid w:val="00F6141C"/>
    <w:rsid w:val="00F61AB1"/>
    <w:rsid w:val="00F626CF"/>
    <w:rsid w:val="00F62786"/>
    <w:rsid w:val="00F62FCC"/>
    <w:rsid w:val="00F6305E"/>
    <w:rsid w:val="00F63172"/>
    <w:rsid w:val="00F635D2"/>
    <w:rsid w:val="00F636CD"/>
    <w:rsid w:val="00F63728"/>
    <w:rsid w:val="00F63970"/>
    <w:rsid w:val="00F642C0"/>
    <w:rsid w:val="00F642CB"/>
    <w:rsid w:val="00F64344"/>
    <w:rsid w:val="00F648A4"/>
    <w:rsid w:val="00F6546F"/>
    <w:rsid w:val="00F65954"/>
    <w:rsid w:val="00F65D1A"/>
    <w:rsid w:val="00F66308"/>
    <w:rsid w:val="00F666B7"/>
    <w:rsid w:val="00F669EE"/>
    <w:rsid w:val="00F66AA7"/>
    <w:rsid w:val="00F66B3D"/>
    <w:rsid w:val="00F670FB"/>
    <w:rsid w:val="00F671DB"/>
    <w:rsid w:val="00F67835"/>
    <w:rsid w:val="00F67C5F"/>
    <w:rsid w:val="00F67E1B"/>
    <w:rsid w:val="00F700D1"/>
    <w:rsid w:val="00F701BA"/>
    <w:rsid w:val="00F70376"/>
    <w:rsid w:val="00F708B4"/>
    <w:rsid w:val="00F718C6"/>
    <w:rsid w:val="00F719D1"/>
    <w:rsid w:val="00F71F18"/>
    <w:rsid w:val="00F71F41"/>
    <w:rsid w:val="00F7220F"/>
    <w:rsid w:val="00F724A9"/>
    <w:rsid w:val="00F7297C"/>
    <w:rsid w:val="00F72BDA"/>
    <w:rsid w:val="00F72C63"/>
    <w:rsid w:val="00F72C78"/>
    <w:rsid w:val="00F73967"/>
    <w:rsid w:val="00F7397E"/>
    <w:rsid w:val="00F73AC5"/>
    <w:rsid w:val="00F74460"/>
    <w:rsid w:val="00F751E9"/>
    <w:rsid w:val="00F7585E"/>
    <w:rsid w:val="00F75A02"/>
    <w:rsid w:val="00F75C43"/>
    <w:rsid w:val="00F76199"/>
    <w:rsid w:val="00F76676"/>
    <w:rsid w:val="00F76A33"/>
    <w:rsid w:val="00F771E5"/>
    <w:rsid w:val="00F77792"/>
    <w:rsid w:val="00F77B45"/>
    <w:rsid w:val="00F77B8F"/>
    <w:rsid w:val="00F807B4"/>
    <w:rsid w:val="00F80818"/>
    <w:rsid w:val="00F80C71"/>
    <w:rsid w:val="00F80CC5"/>
    <w:rsid w:val="00F81FE4"/>
    <w:rsid w:val="00F820EB"/>
    <w:rsid w:val="00F8296F"/>
    <w:rsid w:val="00F82AAC"/>
    <w:rsid w:val="00F82D5A"/>
    <w:rsid w:val="00F82FC8"/>
    <w:rsid w:val="00F83033"/>
    <w:rsid w:val="00F8320F"/>
    <w:rsid w:val="00F8370E"/>
    <w:rsid w:val="00F8443F"/>
    <w:rsid w:val="00F845C4"/>
    <w:rsid w:val="00F848EC"/>
    <w:rsid w:val="00F85311"/>
    <w:rsid w:val="00F858DD"/>
    <w:rsid w:val="00F85B39"/>
    <w:rsid w:val="00F86437"/>
    <w:rsid w:val="00F867A7"/>
    <w:rsid w:val="00F874F2"/>
    <w:rsid w:val="00F87B78"/>
    <w:rsid w:val="00F87C8A"/>
    <w:rsid w:val="00F87F9D"/>
    <w:rsid w:val="00F90240"/>
    <w:rsid w:val="00F90274"/>
    <w:rsid w:val="00F902E8"/>
    <w:rsid w:val="00F90337"/>
    <w:rsid w:val="00F90360"/>
    <w:rsid w:val="00F919C3"/>
    <w:rsid w:val="00F91EE2"/>
    <w:rsid w:val="00F92202"/>
    <w:rsid w:val="00F9234D"/>
    <w:rsid w:val="00F92D96"/>
    <w:rsid w:val="00F92F50"/>
    <w:rsid w:val="00F93213"/>
    <w:rsid w:val="00F934F0"/>
    <w:rsid w:val="00F937C7"/>
    <w:rsid w:val="00F93AD0"/>
    <w:rsid w:val="00F941B9"/>
    <w:rsid w:val="00F9452F"/>
    <w:rsid w:val="00F945FF"/>
    <w:rsid w:val="00F94AFC"/>
    <w:rsid w:val="00F9523E"/>
    <w:rsid w:val="00F952A6"/>
    <w:rsid w:val="00F95A0F"/>
    <w:rsid w:val="00F960FC"/>
    <w:rsid w:val="00F96143"/>
    <w:rsid w:val="00F961CD"/>
    <w:rsid w:val="00F96223"/>
    <w:rsid w:val="00F9678A"/>
    <w:rsid w:val="00F96F90"/>
    <w:rsid w:val="00F970FA"/>
    <w:rsid w:val="00F97115"/>
    <w:rsid w:val="00F97257"/>
    <w:rsid w:val="00F9743B"/>
    <w:rsid w:val="00F9759E"/>
    <w:rsid w:val="00F978E9"/>
    <w:rsid w:val="00F97EC5"/>
    <w:rsid w:val="00FA0057"/>
    <w:rsid w:val="00FA03F0"/>
    <w:rsid w:val="00FA0526"/>
    <w:rsid w:val="00FA05F4"/>
    <w:rsid w:val="00FA087B"/>
    <w:rsid w:val="00FA088D"/>
    <w:rsid w:val="00FA0EE8"/>
    <w:rsid w:val="00FA137E"/>
    <w:rsid w:val="00FA1441"/>
    <w:rsid w:val="00FA1D58"/>
    <w:rsid w:val="00FA1F3C"/>
    <w:rsid w:val="00FA229B"/>
    <w:rsid w:val="00FA279F"/>
    <w:rsid w:val="00FA2836"/>
    <w:rsid w:val="00FA348C"/>
    <w:rsid w:val="00FA3855"/>
    <w:rsid w:val="00FA3B06"/>
    <w:rsid w:val="00FA439B"/>
    <w:rsid w:val="00FA43D0"/>
    <w:rsid w:val="00FA43EB"/>
    <w:rsid w:val="00FA4D0A"/>
    <w:rsid w:val="00FA52C0"/>
    <w:rsid w:val="00FA6E2F"/>
    <w:rsid w:val="00FA6ECD"/>
    <w:rsid w:val="00FA713A"/>
    <w:rsid w:val="00FA7401"/>
    <w:rsid w:val="00FA74E4"/>
    <w:rsid w:val="00FA78E4"/>
    <w:rsid w:val="00FA7AD8"/>
    <w:rsid w:val="00FA7FAC"/>
    <w:rsid w:val="00FB061D"/>
    <w:rsid w:val="00FB0DC4"/>
    <w:rsid w:val="00FB0EBA"/>
    <w:rsid w:val="00FB16B4"/>
    <w:rsid w:val="00FB1846"/>
    <w:rsid w:val="00FB19D9"/>
    <w:rsid w:val="00FB1B51"/>
    <w:rsid w:val="00FB234D"/>
    <w:rsid w:val="00FB2549"/>
    <w:rsid w:val="00FB2731"/>
    <w:rsid w:val="00FB2885"/>
    <w:rsid w:val="00FB2EA3"/>
    <w:rsid w:val="00FB2F2A"/>
    <w:rsid w:val="00FB4502"/>
    <w:rsid w:val="00FB4843"/>
    <w:rsid w:val="00FB4C6F"/>
    <w:rsid w:val="00FB4EDF"/>
    <w:rsid w:val="00FB51C9"/>
    <w:rsid w:val="00FB5849"/>
    <w:rsid w:val="00FB64EE"/>
    <w:rsid w:val="00FB6B03"/>
    <w:rsid w:val="00FB6D5F"/>
    <w:rsid w:val="00FB7E14"/>
    <w:rsid w:val="00FC0581"/>
    <w:rsid w:val="00FC0F1D"/>
    <w:rsid w:val="00FC128D"/>
    <w:rsid w:val="00FC1876"/>
    <w:rsid w:val="00FC1B74"/>
    <w:rsid w:val="00FC2D3D"/>
    <w:rsid w:val="00FC2DC3"/>
    <w:rsid w:val="00FC34F6"/>
    <w:rsid w:val="00FC3622"/>
    <w:rsid w:val="00FC3FCA"/>
    <w:rsid w:val="00FC4748"/>
    <w:rsid w:val="00FC49A6"/>
    <w:rsid w:val="00FC4D33"/>
    <w:rsid w:val="00FC4DBB"/>
    <w:rsid w:val="00FC4E4B"/>
    <w:rsid w:val="00FC55F7"/>
    <w:rsid w:val="00FC56A7"/>
    <w:rsid w:val="00FC57A0"/>
    <w:rsid w:val="00FC5E54"/>
    <w:rsid w:val="00FC6024"/>
    <w:rsid w:val="00FC63AC"/>
    <w:rsid w:val="00FC64BD"/>
    <w:rsid w:val="00FC6C8F"/>
    <w:rsid w:val="00FC7222"/>
    <w:rsid w:val="00FC750B"/>
    <w:rsid w:val="00FC7761"/>
    <w:rsid w:val="00FC78C4"/>
    <w:rsid w:val="00FD0671"/>
    <w:rsid w:val="00FD09E6"/>
    <w:rsid w:val="00FD0D29"/>
    <w:rsid w:val="00FD0E9F"/>
    <w:rsid w:val="00FD18C3"/>
    <w:rsid w:val="00FD1DDD"/>
    <w:rsid w:val="00FD1EFF"/>
    <w:rsid w:val="00FD1FD9"/>
    <w:rsid w:val="00FD2023"/>
    <w:rsid w:val="00FD2120"/>
    <w:rsid w:val="00FD253B"/>
    <w:rsid w:val="00FD2AAC"/>
    <w:rsid w:val="00FD37C3"/>
    <w:rsid w:val="00FD39BA"/>
    <w:rsid w:val="00FD43D6"/>
    <w:rsid w:val="00FD51C7"/>
    <w:rsid w:val="00FD5B66"/>
    <w:rsid w:val="00FD5E18"/>
    <w:rsid w:val="00FD5EAD"/>
    <w:rsid w:val="00FD62E0"/>
    <w:rsid w:val="00FD6CB7"/>
    <w:rsid w:val="00FD72DB"/>
    <w:rsid w:val="00FD7878"/>
    <w:rsid w:val="00FD7E18"/>
    <w:rsid w:val="00FD7F3D"/>
    <w:rsid w:val="00FE00D9"/>
    <w:rsid w:val="00FE03A9"/>
    <w:rsid w:val="00FE0407"/>
    <w:rsid w:val="00FE0E09"/>
    <w:rsid w:val="00FE0FD7"/>
    <w:rsid w:val="00FE1089"/>
    <w:rsid w:val="00FE187E"/>
    <w:rsid w:val="00FE1C24"/>
    <w:rsid w:val="00FE1CAD"/>
    <w:rsid w:val="00FE1F28"/>
    <w:rsid w:val="00FE2252"/>
    <w:rsid w:val="00FE2834"/>
    <w:rsid w:val="00FE2C5F"/>
    <w:rsid w:val="00FE2D9D"/>
    <w:rsid w:val="00FE3563"/>
    <w:rsid w:val="00FE365E"/>
    <w:rsid w:val="00FE3CEC"/>
    <w:rsid w:val="00FE3EF3"/>
    <w:rsid w:val="00FE47CB"/>
    <w:rsid w:val="00FE55EB"/>
    <w:rsid w:val="00FE5B44"/>
    <w:rsid w:val="00FE67F4"/>
    <w:rsid w:val="00FE713F"/>
    <w:rsid w:val="00FE71E0"/>
    <w:rsid w:val="00FE772D"/>
    <w:rsid w:val="00FE7A6C"/>
    <w:rsid w:val="00FF00B8"/>
    <w:rsid w:val="00FF0725"/>
    <w:rsid w:val="00FF0E3A"/>
    <w:rsid w:val="00FF0EEB"/>
    <w:rsid w:val="00FF13E9"/>
    <w:rsid w:val="00FF151A"/>
    <w:rsid w:val="00FF16D0"/>
    <w:rsid w:val="00FF1C0D"/>
    <w:rsid w:val="00FF1C54"/>
    <w:rsid w:val="00FF1CB1"/>
    <w:rsid w:val="00FF1F7F"/>
    <w:rsid w:val="00FF26C2"/>
    <w:rsid w:val="00FF2C78"/>
    <w:rsid w:val="00FF2D0E"/>
    <w:rsid w:val="00FF2EB2"/>
    <w:rsid w:val="00FF33A2"/>
    <w:rsid w:val="00FF363A"/>
    <w:rsid w:val="00FF3747"/>
    <w:rsid w:val="00FF3B79"/>
    <w:rsid w:val="00FF3F9D"/>
    <w:rsid w:val="00FF44EB"/>
    <w:rsid w:val="00FF46A6"/>
    <w:rsid w:val="00FF4766"/>
    <w:rsid w:val="00FF4825"/>
    <w:rsid w:val="00FF487B"/>
    <w:rsid w:val="00FF4DB8"/>
    <w:rsid w:val="00FF4DFD"/>
    <w:rsid w:val="00FF4E21"/>
    <w:rsid w:val="00FF4F39"/>
    <w:rsid w:val="00FF4FBF"/>
    <w:rsid w:val="00FF5292"/>
    <w:rsid w:val="00FF55C8"/>
    <w:rsid w:val="00FF56EF"/>
    <w:rsid w:val="00FF614A"/>
    <w:rsid w:val="00FF65C8"/>
    <w:rsid w:val="00FF6E3B"/>
    <w:rsid w:val="00FF72C1"/>
    <w:rsid w:val="00FF72CB"/>
    <w:rsid w:val="00FF76C9"/>
    <w:rsid w:val="00FF76EA"/>
    <w:rsid w:val="00FF7DA0"/>
    <w:rsid w:val="00FF7DE8"/>
    <w:rsid w:val="00FF7E08"/>
    <w:rsid w:val="7EB215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name="toc 2"/>
    <w:lsdException w:qFormat="1" w:unhideWhenUsed="0" w:uiPriority="0" w:semiHidden="0" w:name="toc 3"/>
    <w:lsdException w:qFormat="1" w:unhideWhenUsed="0" w:uiPriority="39" w:semiHidden="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iPriority="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spacing w:line="240" w:lineRule="auto"/>
      <w:ind w:firstLine="0" w:firstLineChars="0"/>
      <w:jc w:val="center"/>
      <w:outlineLvl w:val="0"/>
    </w:pPr>
    <w:rPr>
      <w:rFonts w:ascii="等线 Light" w:hAnsi="等线 Light" w:eastAsia="黑体"/>
      <w:sz w:val="30"/>
    </w:rPr>
  </w:style>
  <w:style w:type="paragraph" w:styleId="3">
    <w:name w:val="heading 2"/>
    <w:basedOn w:val="1"/>
    <w:next w:val="1"/>
    <w:qFormat/>
    <w:uiPriority w:val="0"/>
    <w:pPr>
      <w:keepNext/>
      <w:jc w:val="left"/>
      <w:outlineLvl w:val="1"/>
    </w:pPr>
    <w:rPr>
      <w:b/>
      <w:spacing w:val="-24"/>
      <w:sz w:val="28"/>
    </w:rPr>
  </w:style>
  <w:style w:type="paragraph" w:styleId="4">
    <w:name w:val="heading 3"/>
    <w:basedOn w:val="1"/>
    <w:next w:val="1"/>
    <w:qFormat/>
    <w:uiPriority w:val="0"/>
    <w:pPr>
      <w:keepNext/>
      <w:keepLines/>
      <w:ind w:firstLine="0" w:firstLineChars="0"/>
      <w:jc w:val="left"/>
      <w:textAlignment w:val="baseline"/>
      <w:outlineLvl w:val="2"/>
    </w:pPr>
    <w:rPr>
      <w:b/>
      <w:kern w:val="0"/>
      <w:shd w:val="clear" w:color="auto" w:fill="FFFFFF"/>
    </w:rPr>
  </w:style>
  <w:style w:type="paragraph" w:styleId="5">
    <w:name w:val="heading 4"/>
    <w:basedOn w:val="1"/>
    <w:next w:val="1"/>
    <w:link w:val="183"/>
    <w:semiHidden/>
    <w:unhideWhenUsed/>
    <w:qFormat/>
    <w:uiPriority w:val="0"/>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37">
    <w:name w:val="Default Paragraph Font"/>
    <w:semiHidden/>
    <w:unhideWhenUsed/>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Note Heading"/>
    <w:basedOn w:val="1"/>
    <w:next w:val="1"/>
    <w:qFormat/>
    <w:uiPriority w:val="0"/>
    <w:pPr>
      <w:jc w:val="center"/>
    </w:pPr>
  </w:style>
  <w:style w:type="paragraph" w:styleId="7">
    <w:name w:val="Normal Indent"/>
    <w:basedOn w:val="1"/>
    <w:link w:val="126"/>
    <w:qFormat/>
    <w:uiPriority w:val="0"/>
    <w:pPr>
      <w:ind w:firstLine="420"/>
    </w:pPr>
    <w:rPr>
      <w:lang w:val="zh-CN" w:eastAsia="zh-CN"/>
    </w:rPr>
  </w:style>
  <w:style w:type="paragraph" w:styleId="8">
    <w:name w:val="caption"/>
    <w:basedOn w:val="1"/>
    <w:next w:val="1"/>
    <w:qFormat/>
    <w:uiPriority w:val="0"/>
    <w:pPr>
      <w:jc w:val="center"/>
    </w:pPr>
    <w:rPr>
      <w:rFonts w:eastAsia="黑体" w:cs="Arial"/>
    </w:rPr>
  </w:style>
  <w:style w:type="paragraph" w:styleId="9">
    <w:name w:val="Document Map"/>
    <w:basedOn w:val="1"/>
    <w:qFormat/>
    <w:uiPriority w:val="0"/>
    <w:pPr>
      <w:shd w:val="clear" w:color="auto" w:fill="000080"/>
    </w:pPr>
  </w:style>
  <w:style w:type="paragraph" w:styleId="10">
    <w:name w:val="annotation text"/>
    <w:basedOn w:val="1"/>
    <w:link w:val="151"/>
    <w:qFormat/>
    <w:uiPriority w:val="99"/>
    <w:pPr>
      <w:jc w:val="left"/>
    </w:pPr>
  </w:style>
  <w:style w:type="paragraph" w:styleId="11">
    <w:name w:val="Body Text 3"/>
    <w:basedOn w:val="1"/>
    <w:qFormat/>
    <w:uiPriority w:val="0"/>
    <w:pPr>
      <w:spacing w:after="120"/>
    </w:pPr>
    <w:rPr>
      <w:sz w:val="16"/>
    </w:rPr>
  </w:style>
  <w:style w:type="paragraph" w:styleId="12">
    <w:name w:val="Body Text"/>
    <w:basedOn w:val="1"/>
    <w:link w:val="133"/>
    <w:qFormat/>
    <w:uiPriority w:val="0"/>
    <w:pPr>
      <w:jc w:val="center"/>
    </w:pPr>
    <w:rPr>
      <w:lang w:val="zh-CN" w:eastAsia="zh-CN"/>
    </w:rPr>
  </w:style>
  <w:style w:type="paragraph" w:styleId="13">
    <w:name w:val="Body Text Indent"/>
    <w:basedOn w:val="1"/>
    <w:qFormat/>
    <w:uiPriority w:val="0"/>
    <w:pPr>
      <w:ind w:firstLine="480"/>
    </w:pPr>
  </w:style>
  <w:style w:type="paragraph" w:styleId="14">
    <w:name w:val="Block Text"/>
    <w:basedOn w:val="1"/>
    <w:qFormat/>
    <w:uiPriority w:val="99"/>
    <w:pPr>
      <w:spacing w:line="320" w:lineRule="exact"/>
      <w:ind w:left="113" w:right="113"/>
      <w:jc w:val="center"/>
    </w:pPr>
    <w:rPr>
      <w:b/>
      <w:sz w:val="13"/>
    </w:rPr>
  </w:style>
  <w:style w:type="paragraph" w:styleId="15">
    <w:name w:val="toc 3"/>
    <w:basedOn w:val="1"/>
    <w:next w:val="1"/>
    <w:qFormat/>
    <w:uiPriority w:val="0"/>
    <w:rPr>
      <w:spacing w:val="-6"/>
    </w:rPr>
  </w:style>
  <w:style w:type="paragraph" w:styleId="16">
    <w:name w:val="Plain Text"/>
    <w:basedOn w:val="1"/>
    <w:link w:val="89"/>
    <w:qFormat/>
    <w:uiPriority w:val="0"/>
    <w:rPr>
      <w:rFonts w:ascii="宋体" w:hAnsi="Courier New"/>
    </w:rPr>
  </w:style>
  <w:style w:type="paragraph" w:styleId="17">
    <w:name w:val="Date"/>
    <w:basedOn w:val="1"/>
    <w:next w:val="1"/>
    <w:qFormat/>
    <w:uiPriority w:val="0"/>
  </w:style>
  <w:style w:type="paragraph" w:styleId="18">
    <w:name w:val="Body Text Indent 2"/>
    <w:basedOn w:val="1"/>
    <w:qFormat/>
    <w:uiPriority w:val="0"/>
    <w:pPr>
      <w:spacing w:line="460" w:lineRule="exact"/>
      <w:ind w:left="660"/>
    </w:pPr>
  </w:style>
  <w:style w:type="paragraph" w:styleId="19">
    <w:name w:val="Balloon Text"/>
    <w:basedOn w:val="1"/>
    <w:link w:val="43"/>
    <w:qFormat/>
    <w:uiPriority w:val="0"/>
    <w:rPr>
      <w:sz w:val="18"/>
    </w:rPr>
  </w:style>
  <w:style w:type="paragraph" w:styleId="20">
    <w:name w:val="footer"/>
    <w:basedOn w:val="1"/>
    <w:link w:val="111"/>
    <w:qFormat/>
    <w:uiPriority w:val="99"/>
    <w:pPr>
      <w:tabs>
        <w:tab w:val="center" w:pos="4153"/>
        <w:tab w:val="right" w:pos="8306"/>
      </w:tabs>
      <w:jc w:val="left"/>
    </w:pPr>
    <w:rPr>
      <w:sz w:val="18"/>
      <w:lang w:val="zh-CN" w:eastAsia="zh-CN"/>
    </w:rPr>
  </w:style>
  <w:style w:type="paragraph" w:styleId="21">
    <w:name w:val="header"/>
    <w:basedOn w:val="1"/>
    <w:link w:val="47"/>
    <w:qFormat/>
    <w:uiPriority w:val="0"/>
    <w:pPr>
      <w:pBdr>
        <w:bottom w:val="single" w:color="auto" w:sz="6" w:space="1"/>
      </w:pBdr>
      <w:tabs>
        <w:tab w:val="center" w:pos="4153"/>
        <w:tab w:val="right" w:pos="8306"/>
      </w:tabs>
      <w:jc w:val="center"/>
    </w:pPr>
    <w:rPr>
      <w:sz w:val="18"/>
    </w:rPr>
  </w:style>
  <w:style w:type="paragraph" w:styleId="22">
    <w:name w:val="toc 1"/>
    <w:basedOn w:val="1"/>
    <w:next w:val="1"/>
    <w:qFormat/>
    <w:uiPriority w:val="39"/>
  </w:style>
  <w:style w:type="paragraph" w:styleId="23">
    <w:name w:val="toc 4"/>
    <w:basedOn w:val="1"/>
    <w:next w:val="1"/>
    <w:qFormat/>
    <w:uiPriority w:val="39"/>
    <w:pPr>
      <w:widowControl/>
      <w:ind w:left="1260" w:leftChars="600"/>
      <w:jc w:val="left"/>
    </w:pPr>
    <w:rPr>
      <w:rFonts w:ascii="Calibri" w:hAnsi="Calibri"/>
      <w:szCs w:val="24"/>
    </w:rPr>
  </w:style>
  <w:style w:type="paragraph" w:styleId="24">
    <w:name w:val="List"/>
    <w:basedOn w:val="1"/>
    <w:link w:val="121"/>
    <w:qFormat/>
    <w:uiPriority w:val="0"/>
    <w:pPr>
      <w:ind w:left="200" w:hanging="200" w:hangingChars="200"/>
    </w:pPr>
    <w:rPr>
      <w:lang w:val="zh-CN" w:eastAsia="zh-CN"/>
    </w:rPr>
  </w:style>
  <w:style w:type="paragraph" w:styleId="25">
    <w:name w:val="Body Text Indent 3"/>
    <w:basedOn w:val="1"/>
    <w:qFormat/>
    <w:uiPriority w:val="0"/>
    <w:pPr>
      <w:spacing w:line="460" w:lineRule="exact"/>
      <w:ind w:left="479" w:leftChars="228" w:firstLine="360" w:firstLineChars="150"/>
    </w:pPr>
  </w:style>
  <w:style w:type="paragraph" w:styleId="26">
    <w:name w:val="toc 2"/>
    <w:basedOn w:val="1"/>
    <w:next w:val="1"/>
    <w:autoRedefine/>
    <w:semiHidden/>
    <w:qFormat/>
    <w:uiPriority w:val="0"/>
    <w:pPr>
      <w:ind w:left="420" w:leftChars="200"/>
    </w:pPr>
  </w:style>
  <w:style w:type="paragraph" w:styleId="27">
    <w:name w:val="Body Text 2"/>
    <w:basedOn w:val="1"/>
    <w:qFormat/>
    <w:uiPriority w:val="0"/>
    <w:rPr>
      <w:b/>
      <w:caps/>
    </w:rPr>
  </w:style>
  <w:style w:type="paragraph" w:styleId="2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rPr>
  </w:style>
  <w:style w:type="paragraph" w:styleId="29">
    <w:name w:val="Normal (Web)"/>
    <w:basedOn w:val="1"/>
    <w:link w:val="177"/>
    <w:qFormat/>
    <w:uiPriority w:val="99"/>
    <w:pPr>
      <w:widowControl/>
      <w:spacing w:before="100" w:beforeAutospacing="1" w:after="100" w:afterAutospacing="1"/>
      <w:jc w:val="left"/>
    </w:pPr>
    <w:rPr>
      <w:rFonts w:ascii="宋体" w:hAnsi="宋体"/>
      <w:kern w:val="0"/>
    </w:rPr>
  </w:style>
  <w:style w:type="paragraph" w:styleId="30">
    <w:name w:val="Title"/>
    <w:basedOn w:val="3"/>
    <w:next w:val="1"/>
    <w:link w:val="182"/>
    <w:qFormat/>
    <w:uiPriority w:val="10"/>
    <w:pPr>
      <w:keepNext w:val="0"/>
      <w:spacing w:line="480" w:lineRule="exact"/>
      <w:ind w:firstLine="0" w:firstLineChars="0"/>
      <w:outlineLvl w:val="2"/>
    </w:pPr>
    <w:rPr>
      <w:rFonts w:eastAsia="黑体" w:cstheme="majorBidi"/>
      <w:b w:val="0"/>
      <w:spacing w:val="0"/>
      <w:sz w:val="24"/>
      <w:szCs w:val="32"/>
    </w:rPr>
  </w:style>
  <w:style w:type="paragraph" w:styleId="31">
    <w:name w:val="annotation subject"/>
    <w:basedOn w:val="10"/>
    <w:next w:val="10"/>
    <w:qFormat/>
    <w:uiPriority w:val="0"/>
    <w:rPr>
      <w:b/>
    </w:rPr>
  </w:style>
  <w:style w:type="paragraph" w:styleId="32">
    <w:name w:val="Body Text First Indent"/>
    <w:basedOn w:val="12"/>
    <w:qFormat/>
    <w:uiPriority w:val="0"/>
    <w:pPr>
      <w:spacing w:after="120"/>
      <w:ind w:firstLine="420"/>
      <w:jc w:val="both"/>
    </w:p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5">
    <w:name w:val="Table Theme"/>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6">
    <w:name w:val="Table Elegant"/>
    <w:basedOn w:val="3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character" w:styleId="38">
    <w:name w:val="Strong"/>
    <w:qFormat/>
    <w:uiPriority w:val="0"/>
    <w:rPr>
      <w:b/>
    </w:rPr>
  </w:style>
  <w:style w:type="character" w:styleId="39">
    <w:name w:val="page number"/>
    <w:basedOn w:val="37"/>
    <w:qFormat/>
    <w:uiPriority w:val="0"/>
  </w:style>
  <w:style w:type="character" w:styleId="40">
    <w:name w:val="Emphasis"/>
    <w:qFormat/>
    <w:uiPriority w:val="20"/>
    <w:rPr>
      <w:color w:val="CC0000"/>
    </w:rPr>
  </w:style>
  <w:style w:type="character" w:styleId="41">
    <w:name w:val="Hyperlink"/>
    <w:qFormat/>
    <w:uiPriority w:val="99"/>
    <w:rPr>
      <w:color w:val="000000"/>
      <w:u w:val="none"/>
    </w:rPr>
  </w:style>
  <w:style w:type="character" w:styleId="42">
    <w:name w:val="annotation reference"/>
    <w:qFormat/>
    <w:uiPriority w:val="0"/>
    <w:rPr>
      <w:sz w:val="21"/>
    </w:rPr>
  </w:style>
  <w:style w:type="character" w:customStyle="1" w:styleId="43">
    <w:name w:val="批注框文本 字符"/>
    <w:link w:val="19"/>
    <w:qFormat/>
    <w:uiPriority w:val="0"/>
    <w:rPr>
      <w:rFonts w:eastAsia="宋体"/>
      <w:kern w:val="2"/>
      <w:sz w:val="18"/>
      <w:lang w:val="en-US" w:eastAsia="zh-CN"/>
    </w:rPr>
  </w:style>
  <w:style w:type="character" w:customStyle="1" w:styleId="44">
    <w:name w:val="tit031"/>
    <w:qFormat/>
    <w:uiPriority w:val="0"/>
    <w:rPr>
      <w:b/>
      <w:color w:val="990000"/>
      <w:spacing w:val="15"/>
      <w:sz w:val="24"/>
    </w:rPr>
  </w:style>
  <w:style w:type="character" w:customStyle="1" w:styleId="45">
    <w:name w:val="unnamed11"/>
    <w:basedOn w:val="37"/>
    <w:qFormat/>
    <w:uiPriority w:val="0"/>
  </w:style>
  <w:style w:type="character" w:customStyle="1" w:styleId="46">
    <w:name w:val="unnamed31"/>
    <w:basedOn w:val="37"/>
    <w:qFormat/>
    <w:uiPriority w:val="0"/>
  </w:style>
  <w:style w:type="character" w:customStyle="1" w:styleId="47">
    <w:name w:val="页眉 字符"/>
    <w:link w:val="21"/>
    <w:qFormat/>
    <w:uiPriority w:val="0"/>
    <w:rPr>
      <w:rFonts w:eastAsia="宋体"/>
      <w:kern w:val="2"/>
      <w:sz w:val="18"/>
      <w:lang w:val="en-US" w:eastAsia="zh-CN"/>
    </w:rPr>
  </w:style>
  <w:style w:type="paragraph" w:customStyle="1" w:styleId="48">
    <w:name w:val="流程图"/>
    <w:basedOn w:val="1"/>
    <w:qFormat/>
    <w:uiPriority w:val="0"/>
    <w:pPr>
      <w:tabs>
        <w:tab w:val="center" w:pos="0"/>
      </w:tabs>
    </w:pPr>
    <w:rPr>
      <w:rFonts w:eastAsia="楷体_GB2312"/>
    </w:rPr>
  </w:style>
  <w:style w:type="paragraph" w:customStyle="1" w:styleId="49">
    <w:name w:val="Char"/>
    <w:basedOn w:val="1"/>
    <w:qFormat/>
    <w:uiPriority w:val="0"/>
    <w:rPr>
      <w:sz w:val="18"/>
    </w:rPr>
  </w:style>
  <w:style w:type="paragraph" w:customStyle="1" w:styleId="50">
    <w:name w:val="xl3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rPr>
  </w:style>
  <w:style w:type="paragraph" w:customStyle="1" w:styleId="51">
    <w:name w:val="标题1"/>
    <w:basedOn w:val="1"/>
    <w:next w:val="1"/>
    <w:qFormat/>
    <w:uiPriority w:val="0"/>
    <w:pPr>
      <w:numPr>
        <w:ilvl w:val="0"/>
        <w:numId w:val="1"/>
      </w:numPr>
      <w:spacing w:line="440" w:lineRule="exact"/>
    </w:pPr>
  </w:style>
  <w:style w:type="paragraph" w:customStyle="1" w:styleId="52">
    <w:name w:val="表格标题"/>
    <w:basedOn w:val="1"/>
    <w:qFormat/>
    <w:uiPriority w:val="0"/>
    <w:pPr>
      <w:spacing w:line="540" w:lineRule="exact"/>
      <w:jc w:val="center"/>
    </w:pPr>
    <w:rPr>
      <w:rFonts w:ascii="宋体" w:hAnsi="宋体"/>
      <w:b/>
    </w:rPr>
  </w:style>
  <w:style w:type="paragraph" w:customStyle="1" w:styleId="53">
    <w:name w:val="段落"/>
    <w:basedOn w:val="1"/>
    <w:qFormat/>
    <w:uiPriority w:val="0"/>
    <w:pPr>
      <w:tabs>
        <w:tab w:val="left" w:pos="1021"/>
      </w:tabs>
      <w:ind w:firstLine="560"/>
    </w:pPr>
    <w:rPr>
      <w:color w:val="0000FF"/>
      <w:kern w:val="0"/>
      <w:sz w:val="28"/>
    </w:rPr>
  </w:style>
  <w:style w:type="paragraph" w:customStyle="1" w:styleId="54">
    <w:name w:val="简单回函地址"/>
    <w:basedOn w:val="1"/>
    <w:qFormat/>
    <w:uiPriority w:val="0"/>
  </w:style>
  <w:style w:type="paragraph" w:customStyle="1" w:styleId="55">
    <w:name w:val="xl30"/>
    <w:basedOn w:val="1"/>
    <w:qFormat/>
    <w:uiPriority w:val="0"/>
    <w:pPr>
      <w:widowControl/>
      <w:pBdr>
        <w:left w:val="single" w:color="auto" w:sz="12" w:space="0"/>
        <w:right w:val="single" w:color="auto" w:sz="4" w:space="0"/>
      </w:pBdr>
      <w:spacing w:before="100" w:after="100"/>
      <w:jc w:val="center"/>
    </w:pPr>
    <w:rPr>
      <w:rFonts w:ascii="宋体" w:hAnsi="宋体"/>
      <w:kern w:val="0"/>
    </w:rPr>
  </w:style>
  <w:style w:type="paragraph" w:customStyle="1" w:styleId="56">
    <w:name w:val="报告"/>
    <w:basedOn w:val="1"/>
    <w:link w:val="142"/>
    <w:qFormat/>
    <w:uiPriority w:val="0"/>
    <w:pPr>
      <w:ind w:firstLine="505"/>
      <w:textAlignment w:val="center"/>
    </w:pPr>
    <w:rPr>
      <w:rFonts w:ascii="TimesNewRoman" w:hAnsi="TimesNewRoman"/>
      <w:kern w:val="0"/>
    </w:rPr>
  </w:style>
  <w:style w:type="paragraph" w:customStyle="1" w:styleId="57">
    <w:name w:val="xl22"/>
    <w:basedOn w:val="1"/>
    <w:qFormat/>
    <w:uiPriority w:val="0"/>
    <w:pPr>
      <w:widowControl/>
      <w:spacing w:before="100" w:beforeAutospacing="1" w:after="100" w:afterAutospacing="1"/>
      <w:jc w:val="center"/>
    </w:pPr>
    <w:rPr>
      <w:rFonts w:ascii="宋体" w:hAnsi="宋体"/>
      <w:kern w:val="0"/>
    </w:rPr>
  </w:style>
  <w:style w:type="paragraph" w:customStyle="1" w:styleId="58">
    <w:name w:val="Char Char Char3 Char Char Char Char Char Char Char"/>
    <w:basedOn w:val="1"/>
    <w:qFormat/>
    <w:uiPriority w:val="0"/>
  </w:style>
  <w:style w:type="paragraph" w:customStyle="1" w:styleId="59">
    <w:name w:val="Char Char Char Char Char Char Char Char Char Char"/>
    <w:basedOn w:val="1"/>
    <w:qFormat/>
    <w:uiPriority w:val="0"/>
    <w:pPr>
      <w:spacing w:line="240" w:lineRule="exact"/>
    </w:pPr>
  </w:style>
  <w:style w:type="paragraph" w:customStyle="1" w:styleId="60">
    <w:name w:val="Char Char Char Char Char Char Char Char Char1 Char"/>
    <w:basedOn w:val="1"/>
    <w:qFormat/>
    <w:uiPriority w:val="0"/>
  </w:style>
  <w:style w:type="paragraph" w:customStyle="1" w:styleId="61">
    <w:name w:val="Char1"/>
    <w:basedOn w:val="1"/>
    <w:qFormat/>
    <w:uiPriority w:val="0"/>
  </w:style>
  <w:style w:type="paragraph" w:customStyle="1" w:styleId="62">
    <w:name w:val="1表格"/>
    <w:basedOn w:val="1"/>
    <w:qFormat/>
    <w:uiPriority w:val="0"/>
    <w:pPr>
      <w:spacing w:line="160" w:lineRule="atLeast"/>
      <w:jc w:val="center"/>
    </w:pPr>
    <w:rPr>
      <w:rFonts w:eastAsia="仿宋_GB2312"/>
    </w:rPr>
  </w:style>
  <w:style w:type="paragraph" w:customStyle="1" w:styleId="63">
    <w:name w:val="Char Char Char Char Char Char Char Char Char"/>
    <w:basedOn w:val="1"/>
    <w:qFormat/>
    <w:uiPriority w:val="0"/>
  </w:style>
  <w:style w:type="paragraph" w:customStyle="1" w:styleId="64">
    <w:name w:val="表格样式"/>
    <w:basedOn w:val="1"/>
    <w:qFormat/>
    <w:uiPriority w:val="0"/>
    <w:pPr>
      <w:jc w:val="center"/>
      <w:textAlignment w:val="center"/>
    </w:pPr>
    <w:rPr>
      <w:sz w:val="28"/>
    </w:rPr>
  </w:style>
  <w:style w:type="paragraph" w:customStyle="1" w:styleId="65">
    <w:name w:val="表"/>
    <w:basedOn w:val="1"/>
    <w:qFormat/>
    <w:uiPriority w:val="0"/>
    <w:pPr>
      <w:spacing w:line="240" w:lineRule="exact"/>
    </w:pPr>
    <w:rPr>
      <w:rFonts w:ascii="仿宋_GB2312" w:hAnsi="宋体" w:eastAsia="仿宋_GB2312"/>
      <w:sz w:val="18"/>
    </w:rPr>
  </w:style>
  <w:style w:type="paragraph" w:customStyle="1" w:styleId="66">
    <w:name w:val="样式 正文缩进正文（首行缩进两字） + 宋体 行距: 1.5 倍行距"/>
    <w:basedOn w:val="7"/>
    <w:qFormat/>
    <w:uiPriority w:val="0"/>
    <w:pPr>
      <w:spacing w:line="300" w:lineRule="auto"/>
      <w:ind w:firstLine="482"/>
      <w:jc w:val="left"/>
      <w:textAlignment w:val="baseline"/>
    </w:pPr>
    <w:rPr>
      <w:rFonts w:ascii="宋体" w:hAnsi="宋体"/>
    </w:rPr>
  </w:style>
  <w:style w:type="paragraph" w:customStyle="1" w:styleId="67">
    <w:name w:val="zhang正文"/>
    <w:basedOn w:val="13"/>
    <w:qFormat/>
    <w:uiPriority w:val="0"/>
    <w:pPr>
      <w:autoSpaceDE w:val="0"/>
      <w:autoSpaceDN w:val="0"/>
      <w:spacing w:line="500" w:lineRule="exact"/>
      <w:ind w:firstLine="539" w:firstLineChars="0"/>
      <w:textAlignment w:val="baseline"/>
    </w:pPr>
    <w:rPr>
      <w:rFonts w:eastAsia="楷体_GB2312"/>
      <w:kern w:val="0"/>
      <w:sz w:val="28"/>
    </w:rPr>
  </w:style>
  <w:style w:type="paragraph" w:customStyle="1" w:styleId="68">
    <w:name w:val="样式4"/>
    <w:basedOn w:val="1"/>
    <w:next w:val="1"/>
    <w:qFormat/>
    <w:uiPriority w:val="0"/>
    <w:pPr>
      <w:spacing w:line="440" w:lineRule="exact"/>
    </w:pPr>
  </w:style>
  <w:style w:type="paragraph" w:customStyle="1" w:styleId="69">
    <w:name w:val="报告书表格"/>
    <w:basedOn w:val="1"/>
    <w:qFormat/>
    <w:uiPriority w:val="0"/>
    <w:pPr>
      <w:spacing w:before="60" w:after="60" w:line="240" w:lineRule="atLeast"/>
      <w:jc w:val="center"/>
      <w:textAlignment w:val="baseline"/>
    </w:pPr>
    <w:rPr>
      <w:kern w:val="0"/>
    </w:rPr>
  </w:style>
  <w:style w:type="paragraph" w:customStyle="1" w:styleId="70">
    <w:name w:val="报告表正文"/>
    <w:basedOn w:val="1"/>
    <w:qFormat/>
    <w:uiPriority w:val="0"/>
    <w:pPr>
      <w:spacing w:line="312" w:lineRule="auto"/>
      <w:ind w:left="113" w:right="113" w:firstLine="482"/>
      <w:jc w:val="left"/>
      <w:textAlignment w:val="baseline"/>
    </w:pPr>
    <w:rPr>
      <w:kern w:val="0"/>
    </w:rPr>
  </w:style>
  <w:style w:type="paragraph" w:customStyle="1" w:styleId="71">
    <w:name w:val="xl2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eastAsia="Arial Unicode MS"/>
      <w:kern w:val="0"/>
    </w:rPr>
  </w:style>
  <w:style w:type="paragraph" w:customStyle="1" w:styleId="72">
    <w:name w:val="居中正文"/>
    <w:basedOn w:val="32"/>
    <w:qFormat/>
    <w:uiPriority w:val="0"/>
    <w:pPr>
      <w:spacing w:before="120" w:after="0"/>
      <w:ind w:firstLine="0"/>
      <w:jc w:val="center"/>
      <w:textAlignment w:val="baseline"/>
    </w:pPr>
    <w:rPr>
      <w:rFonts w:ascii="宋体"/>
      <w:kern w:val="28"/>
    </w:rPr>
  </w:style>
  <w:style w:type="paragraph" w:customStyle="1" w:styleId="73">
    <w:name w:val="1文章"/>
    <w:basedOn w:val="1"/>
    <w:qFormat/>
    <w:uiPriority w:val="0"/>
    <w:pPr>
      <w:ind w:firstLine="573"/>
    </w:pPr>
    <w:rPr>
      <w:rFonts w:eastAsia="楷体_GB2312"/>
      <w:sz w:val="28"/>
    </w:rPr>
  </w:style>
  <w:style w:type="paragraph" w:customStyle="1" w:styleId="74">
    <w:name w:val="Char Char Char Char"/>
    <w:basedOn w:val="1"/>
    <w:qFormat/>
    <w:uiPriority w:val="0"/>
  </w:style>
  <w:style w:type="paragraph" w:customStyle="1" w:styleId="75">
    <w:name w:val="_Style 12"/>
    <w:basedOn w:val="1"/>
    <w:next w:val="27"/>
    <w:qFormat/>
    <w:uiPriority w:val="0"/>
    <w:rPr>
      <w:rFonts w:eastAsia="黑体"/>
      <w:sz w:val="28"/>
    </w:rPr>
  </w:style>
  <w:style w:type="paragraph" w:customStyle="1" w:styleId="76">
    <w:name w:val="表格文字2"/>
    <w:basedOn w:val="77"/>
    <w:qFormat/>
    <w:uiPriority w:val="0"/>
    <w:pPr>
      <w:autoSpaceDE/>
      <w:autoSpaceDN/>
      <w:spacing w:after="0"/>
      <w:jc w:val="center"/>
      <w:textAlignment w:val="baseline"/>
    </w:pPr>
    <w:rPr>
      <w:rFonts w:ascii="宋体"/>
    </w:rPr>
  </w:style>
  <w:style w:type="paragraph" w:customStyle="1" w:styleId="77">
    <w:name w:val="表格文字"/>
    <w:basedOn w:val="1"/>
    <w:link w:val="132"/>
    <w:qFormat/>
    <w:uiPriority w:val="0"/>
    <w:pPr>
      <w:autoSpaceDE w:val="0"/>
      <w:autoSpaceDN w:val="0"/>
      <w:spacing w:before="60" w:after="60"/>
      <w:jc w:val="left"/>
      <w:textAlignment w:val="bottom"/>
    </w:pPr>
    <w:rPr>
      <w:kern w:val="0"/>
      <w:lang w:val="zh-CN" w:eastAsia="zh-CN"/>
    </w:rPr>
  </w:style>
  <w:style w:type="paragraph" w:customStyle="1" w:styleId="78">
    <w:name w:val="Char Char2"/>
    <w:basedOn w:val="1"/>
    <w:qFormat/>
    <w:uiPriority w:val="0"/>
  </w:style>
  <w:style w:type="paragraph" w:customStyle="1" w:styleId="79">
    <w:name w:val="默认段落字体 Para Char Char Char Char"/>
    <w:basedOn w:val="1"/>
    <w:qFormat/>
    <w:uiPriority w:val="0"/>
  </w:style>
  <w:style w:type="paragraph" w:customStyle="1" w:styleId="80">
    <w:name w:val="正文标准样式"/>
    <w:basedOn w:val="1"/>
    <w:qFormat/>
    <w:uiPriority w:val="0"/>
    <w:pPr>
      <w:spacing w:line="300" w:lineRule="auto"/>
      <w:ind w:firstLine="482"/>
      <w:textAlignment w:val="baseline"/>
    </w:pPr>
    <w:rPr>
      <w:kern w:val="0"/>
    </w:rPr>
  </w:style>
  <w:style w:type="paragraph" w:customStyle="1" w:styleId="81">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rPr>
  </w:style>
  <w:style w:type="paragraph" w:customStyle="1" w:styleId="82">
    <w:name w:val="样式1"/>
    <w:basedOn w:val="1"/>
    <w:qFormat/>
    <w:uiPriority w:val="0"/>
    <w:pPr>
      <w:ind w:firstLine="510"/>
    </w:pPr>
  </w:style>
  <w:style w:type="paragraph" w:customStyle="1" w:styleId="83">
    <w:name w:val="中文报告书样式"/>
    <w:basedOn w:val="1"/>
    <w:qFormat/>
    <w:uiPriority w:val="0"/>
    <w:pPr>
      <w:spacing w:line="480" w:lineRule="atLeast"/>
      <w:ind w:firstLine="482"/>
      <w:textAlignment w:val="baseline"/>
    </w:pPr>
    <w:rPr>
      <w:kern w:val="24"/>
    </w:rPr>
  </w:style>
  <w:style w:type="paragraph" w:customStyle="1" w:styleId="84">
    <w:name w:val="样式 样式4 + 首行缩进:  1.92 字符"/>
    <w:basedOn w:val="1"/>
    <w:qFormat/>
    <w:uiPriority w:val="0"/>
    <w:pPr>
      <w:spacing w:line="300" w:lineRule="auto"/>
      <w:ind w:firstLine="538" w:firstLineChars="192"/>
    </w:pPr>
    <w:rPr>
      <w:sz w:val="28"/>
    </w:rPr>
  </w:style>
  <w:style w:type="paragraph" w:customStyle="1" w:styleId="85">
    <w:name w:val="报告表格"/>
    <w:basedOn w:val="1"/>
    <w:link w:val="143"/>
    <w:qFormat/>
    <w:uiPriority w:val="0"/>
    <w:pPr>
      <w:autoSpaceDE w:val="0"/>
      <w:autoSpaceDN w:val="0"/>
      <w:spacing w:before="40" w:after="40"/>
      <w:jc w:val="center"/>
      <w:textAlignment w:val="bottom"/>
    </w:pPr>
    <w:rPr>
      <w:kern w:val="0"/>
    </w:rPr>
  </w:style>
  <w:style w:type="paragraph" w:customStyle="1" w:styleId="86">
    <w:name w:val="2"/>
    <w:basedOn w:val="1"/>
    <w:next w:val="18"/>
    <w:qFormat/>
    <w:uiPriority w:val="0"/>
    <w:pPr>
      <w:spacing w:after="120" w:line="480" w:lineRule="auto"/>
      <w:ind w:left="420" w:leftChars="200"/>
    </w:pPr>
    <w:rPr>
      <w:szCs w:val="24"/>
    </w:rPr>
  </w:style>
  <w:style w:type="paragraph" w:customStyle="1" w:styleId="87">
    <w:name w:val="默认段落字体 Para Char Char"/>
    <w:basedOn w:val="1"/>
    <w:qFormat/>
    <w:uiPriority w:val="0"/>
    <w:rPr>
      <w:rFonts w:ascii="仿宋_GB2312" w:hAnsi="宋体" w:eastAsia="仿宋_GB2312"/>
    </w:rPr>
  </w:style>
  <w:style w:type="character" w:customStyle="1" w:styleId="88">
    <w:name w:val="apple-style-span"/>
    <w:basedOn w:val="37"/>
    <w:qFormat/>
    <w:uiPriority w:val="0"/>
  </w:style>
  <w:style w:type="character" w:customStyle="1" w:styleId="89">
    <w:name w:val="纯文本 字符"/>
    <w:link w:val="16"/>
    <w:qFormat/>
    <w:locked/>
    <w:uiPriority w:val="0"/>
    <w:rPr>
      <w:rFonts w:ascii="宋体" w:hAnsi="Courier New" w:eastAsia="宋体"/>
      <w:kern w:val="2"/>
      <w:sz w:val="21"/>
      <w:lang w:val="en-US" w:eastAsia="zh-CN" w:bidi="ar-SA"/>
    </w:rPr>
  </w:style>
  <w:style w:type="paragraph" w:customStyle="1" w:styleId="90">
    <w:name w:val="样式 正文首行缩进:  2 字符 + 首行缩进:  2 字符"/>
    <w:basedOn w:val="1"/>
    <w:qFormat/>
    <w:uiPriority w:val="0"/>
    <w:pPr>
      <w:ind w:firstLine="480"/>
    </w:pPr>
    <w:rPr>
      <w:rFonts w:cs="宋体"/>
    </w:rPr>
  </w:style>
  <w:style w:type="paragraph" w:customStyle="1" w:styleId="91">
    <w:name w:val="表格"/>
    <w:basedOn w:val="1"/>
    <w:link w:val="92"/>
    <w:autoRedefine/>
    <w:qFormat/>
    <w:uiPriority w:val="0"/>
    <w:pPr>
      <w:spacing w:line="360" w:lineRule="exact"/>
      <w:ind w:firstLine="0" w:firstLineChars="0"/>
      <w:jc w:val="center"/>
    </w:pPr>
    <w:rPr>
      <w:snapToGrid w:val="0"/>
      <w:color w:val="000000"/>
      <w:kern w:val="21"/>
      <w:sz w:val="22"/>
      <w:szCs w:val="24"/>
    </w:rPr>
  </w:style>
  <w:style w:type="character" w:customStyle="1" w:styleId="92">
    <w:name w:val="表格 Char"/>
    <w:link w:val="91"/>
    <w:qFormat/>
    <w:uiPriority w:val="0"/>
    <w:rPr>
      <w:snapToGrid w:val="0"/>
      <w:color w:val="000000"/>
      <w:kern w:val="21"/>
      <w:sz w:val="22"/>
      <w:szCs w:val="24"/>
    </w:rPr>
  </w:style>
  <w:style w:type="character" w:customStyle="1" w:styleId="93">
    <w:name w:val="p141"/>
    <w:qFormat/>
    <w:uiPriority w:val="0"/>
    <w:rPr>
      <w:rFonts w:hint="eastAsia" w:ascii="宋体" w:hAnsi="宋体" w:eastAsia="宋体"/>
      <w:sz w:val="21"/>
      <w:szCs w:val="21"/>
    </w:rPr>
  </w:style>
  <w:style w:type="paragraph" w:customStyle="1" w:styleId="94">
    <w:name w:val="p16"/>
    <w:basedOn w:val="1"/>
    <w:qFormat/>
    <w:uiPriority w:val="0"/>
    <w:pPr>
      <w:widowControl/>
      <w:spacing w:before="60" w:after="60" w:line="300" w:lineRule="auto"/>
      <w:ind w:firstLine="420"/>
    </w:pPr>
    <w:rPr>
      <w:kern w:val="0"/>
      <w:szCs w:val="24"/>
    </w:rPr>
  </w:style>
  <w:style w:type="paragraph" w:customStyle="1" w:styleId="95">
    <w:name w:val="p0"/>
    <w:basedOn w:val="1"/>
    <w:qFormat/>
    <w:uiPriority w:val="0"/>
    <w:pPr>
      <w:widowControl/>
    </w:pPr>
    <w:rPr>
      <w:kern w:val="0"/>
      <w:szCs w:val="21"/>
    </w:rPr>
  </w:style>
  <w:style w:type="paragraph" w:customStyle="1" w:styleId="96">
    <w:name w:val="样式2"/>
    <w:basedOn w:val="1"/>
    <w:qFormat/>
    <w:uiPriority w:val="0"/>
    <w:pPr>
      <w:spacing w:line="288" w:lineRule="auto"/>
      <w:ind w:left="170"/>
      <w:jc w:val="left"/>
    </w:pPr>
    <w:rPr>
      <w:b/>
      <w:kern w:val="0"/>
    </w:rPr>
  </w:style>
  <w:style w:type="paragraph" w:customStyle="1" w:styleId="97">
    <w:name w:val="样式 报告表正文 + 首行缩进:  2 字符 行距: 1.5 倍行距"/>
    <w:basedOn w:val="1"/>
    <w:qFormat/>
    <w:uiPriority w:val="0"/>
    <w:pPr>
      <w:ind w:left="113" w:right="113" w:firstLine="480"/>
    </w:pPr>
    <w:rPr>
      <w:rFonts w:cs="宋体"/>
      <w:kern w:val="0"/>
      <w:szCs w:val="24"/>
    </w:rPr>
  </w:style>
  <w:style w:type="paragraph" w:customStyle="1" w:styleId="98">
    <w:name w:val="Char Char Char1 Char Char Char Char Char Char Char Char Char Char Char Char Char"/>
    <w:basedOn w:val="1"/>
    <w:qFormat/>
    <w:uiPriority w:val="0"/>
  </w:style>
  <w:style w:type="paragraph" w:customStyle="1" w:styleId="99">
    <w:name w:val="样式 宋体 小四 行距: 1.5 倍行距"/>
    <w:basedOn w:val="1"/>
    <w:link w:val="100"/>
    <w:qFormat/>
    <w:uiPriority w:val="0"/>
    <w:pPr>
      <w:ind w:firstLine="480"/>
    </w:pPr>
    <w:rPr>
      <w:rFonts w:cs="宋体"/>
    </w:rPr>
  </w:style>
  <w:style w:type="character" w:customStyle="1" w:styleId="100">
    <w:name w:val="样式 宋体 小四 行距: 1.5 倍行距 Char"/>
    <w:link w:val="99"/>
    <w:qFormat/>
    <w:uiPriority w:val="0"/>
    <w:rPr>
      <w:rFonts w:eastAsia="宋体" w:cs="宋体"/>
      <w:kern w:val="2"/>
      <w:sz w:val="24"/>
      <w:lang w:val="en-US" w:eastAsia="zh-CN" w:bidi="ar-SA"/>
    </w:rPr>
  </w:style>
  <w:style w:type="paragraph" w:customStyle="1" w:styleId="101">
    <w:name w:val="样式 标题 3小标题小节标题标题3H3h33rd level第二层条标题4标题 3 Char标题 3 Cha...1"/>
    <w:basedOn w:val="4"/>
    <w:link w:val="102"/>
    <w:qFormat/>
    <w:uiPriority w:val="0"/>
    <w:pPr>
      <w:spacing w:before="60" w:after="60"/>
    </w:pPr>
    <w:rPr>
      <w:bCs/>
      <w:shd w:val="clear" w:color="auto" w:fill="auto"/>
    </w:rPr>
  </w:style>
  <w:style w:type="character" w:customStyle="1" w:styleId="102">
    <w:name w:val="样式 标题 3小标题小节标题标题3H3h33rd level第二层条标题4标题 3 Char标题 3 Cha...1 Char"/>
    <w:link w:val="101"/>
    <w:qFormat/>
    <w:uiPriority w:val="0"/>
    <w:rPr>
      <w:rFonts w:eastAsia="宋体"/>
      <w:b/>
      <w:bCs/>
      <w:sz w:val="24"/>
      <w:lang w:val="en-US" w:eastAsia="zh-CN" w:bidi="ar-SA"/>
    </w:rPr>
  </w:style>
  <w:style w:type="paragraph" w:customStyle="1" w:styleId="103">
    <w:name w:val="样式 标题 2标题2节标题1.1H2h2第一层条4.1二级标题标题 lxb2二级标题 Char表标题单位..."/>
    <w:basedOn w:val="3"/>
    <w:link w:val="104"/>
    <w:qFormat/>
    <w:uiPriority w:val="0"/>
    <w:pPr>
      <w:keepLines/>
      <w:spacing w:before="260" w:after="260"/>
      <w:ind w:firstLine="200" w:firstLineChars="200"/>
      <w:textAlignment w:val="baseline"/>
    </w:pPr>
    <w:rPr>
      <w:rFonts w:cs="宋体"/>
      <w:b w:val="0"/>
      <w:bCs/>
      <w:spacing w:val="0"/>
      <w:kern w:val="0"/>
    </w:rPr>
  </w:style>
  <w:style w:type="character" w:customStyle="1" w:styleId="104">
    <w:name w:val="样式 标题 2标题2节标题1.1H2h2第一层条4.1二级标题标题 lxb2二级标题 Char表标题单位... Char"/>
    <w:link w:val="103"/>
    <w:qFormat/>
    <w:uiPriority w:val="0"/>
    <w:rPr>
      <w:rFonts w:eastAsia="宋体" w:cs="宋体"/>
      <w:b/>
      <w:bCs/>
      <w:sz w:val="28"/>
      <w:lang w:val="en-US" w:eastAsia="zh-CN" w:bidi="ar-SA"/>
    </w:rPr>
  </w:style>
  <w:style w:type="paragraph" w:customStyle="1" w:styleId="105">
    <w:name w:val="表格正文"/>
    <w:basedOn w:val="1"/>
    <w:qFormat/>
    <w:uiPriority w:val="0"/>
    <w:pPr>
      <w:spacing w:line="0" w:lineRule="atLeast"/>
      <w:textAlignment w:val="baseline"/>
    </w:pPr>
  </w:style>
  <w:style w:type="paragraph" w:customStyle="1" w:styleId="106">
    <w:name w:val="样式 样式 样式 首行缩进:  2 字符1 + 首行缩进:  2 字符 + 首行缩进:  2 字符"/>
    <w:basedOn w:val="1"/>
    <w:link w:val="107"/>
    <w:qFormat/>
    <w:uiPriority w:val="0"/>
    <w:pPr>
      <w:widowControl/>
      <w:ind w:firstLine="480"/>
    </w:pPr>
    <w:rPr>
      <w:rFonts w:cs="宋体"/>
      <w:kern w:val="0"/>
    </w:rPr>
  </w:style>
  <w:style w:type="character" w:customStyle="1" w:styleId="107">
    <w:name w:val="样式 样式 样式 首行缩进:  2 字符1 + 首行缩进:  2 字符 + 首行缩进:  2 字符 Char"/>
    <w:link w:val="106"/>
    <w:qFormat/>
    <w:uiPriority w:val="0"/>
    <w:rPr>
      <w:rFonts w:eastAsia="宋体" w:cs="宋体"/>
      <w:sz w:val="24"/>
      <w:lang w:val="en-US" w:eastAsia="zh-CN" w:bidi="ar-SA"/>
    </w:rPr>
  </w:style>
  <w:style w:type="paragraph" w:customStyle="1" w:styleId="108">
    <w:name w:val="Char Char Char"/>
    <w:basedOn w:val="1"/>
    <w:qFormat/>
    <w:uiPriority w:val="0"/>
    <w:rPr>
      <w:szCs w:val="24"/>
    </w:rPr>
  </w:style>
  <w:style w:type="paragraph" w:customStyle="1" w:styleId="109">
    <w:name w:val="表格文字1"/>
    <w:basedOn w:val="1"/>
    <w:link w:val="110"/>
    <w:autoRedefine/>
    <w:qFormat/>
    <w:uiPriority w:val="0"/>
    <w:pPr>
      <w:spacing w:line="400" w:lineRule="atLeast"/>
      <w:jc w:val="center"/>
    </w:pPr>
    <w:rPr>
      <w:lang w:val="zh-CN" w:eastAsia="zh-CN"/>
    </w:rPr>
  </w:style>
  <w:style w:type="character" w:customStyle="1" w:styleId="110">
    <w:name w:val="表格文字1 Char"/>
    <w:link w:val="109"/>
    <w:qFormat/>
    <w:uiPriority w:val="0"/>
    <w:rPr>
      <w:rFonts w:eastAsia="宋体"/>
      <w:kern w:val="2"/>
      <w:sz w:val="24"/>
      <w:lang w:val="zh-CN" w:eastAsia="zh-CN" w:bidi="ar-SA"/>
    </w:rPr>
  </w:style>
  <w:style w:type="character" w:customStyle="1" w:styleId="111">
    <w:name w:val="页脚 字符"/>
    <w:link w:val="20"/>
    <w:qFormat/>
    <w:uiPriority w:val="99"/>
    <w:rPr>
      <w:kern w:val="2"/>
      <w:sz w:val="18"/>
    </w:rPr>
  </w:style>
  <w:style w:type="paragraph" w:customStyle="1" w:styleId="112">
    <w:name w:val="01表格"/>
    <w:basedOn w:val="1"/>
    <w:next w:val="1"/>
    <w:qFormat/>
    <w:uiPriority w:val="0"/>
    <w:pPr>
      <w:overflowPunct w:val="0"/>
      <w:topLinePunct/>
      <w:jc w:val="center"/>
    </w:pPr>
    <w:rPr>
      <w:snapToGrid w:val="0"/>
      <w:kern w:val="0"/>
      <w:szCs w:val="21"/>
    </w:rPr>
  </w:style>
  <w:style w:type="paragraph" w:customStyle="1" w:styleId="113">
    <w:name w:val="正文(首缩进)"/>
    <w:basedOn w:val="1"/>
    <w:qFormat/>
    <w:uiPriority w:val="0"/>
    <w:rPr>
      <w:rFonts w:ascii="Arial" w:hAnsi="Arial" w:cs="Arial"/>
      <w:szCs w:val="28"/>
    </w:rPr>
  </w:style>
  <w:style w:type="paragraph" w:customStyle="1" w:styleId="114">
    <w:name w:val="01正文"/>
    <w:basedOn w:val="1"/>
    <w:qFormat/>
    <w:uiPriority w:val="0"/>
    <w:pPr>
      <w:spacing w:line="480" w:lineRule="exact"/>
    </w:pPr>
    <w:rPr>
      <w:color w:val="000000"/>
      <w:szCs w:val="21"/>
    </w:rPr>
  </w:style>
  <w:style w:type="character" w:customStyle="1" w:styleId="115">
    <w:name w:val="表格左齐 Char"/>
    <w:link w:val="116"/>
    <w:qFormat/>
    <w:uiPriority w:val="0"/>
    <w:rPr>
      <w:rFonts w:ascii="仿宋_GB2312" w:hAnsi="Arial" w:eastAsia="仿宋_GB2312" w:cs="Arial"/>
      <w:color w:val="000000"/>
      <w:kern w:val="2"/>
      <w:sz w:val="24"/>
      <w:szCs w:val="24"/>
    </w:rPr>
  </w:style>
  <w:style w:type="paragraph" w:customStyle="1" w:styleId="116">
    <w:name w:val="表格左齐"/>
    <w:basedOn w:val="1"/>
    <w:link w:val="115"/>
    <w:qFormat/>
    <w:uiPriority w:val="0"/>
    <w:pPr>
      <w:ind w:left="10" w:leftChars="10"/>
    </w:pPr>
    <w:rPr>
      <w:rFonts w:ascii="仿宋_GB2312" w:hAnsi="Arial" w:eastAsia="仿宋_GB2312"/>
      <w:color w:val="000000"/>
      <w:szCs w:val="24"/>
      <w:lang w:val="zh-CN" w:eastAsia="zh-CN"/>
    </w:rPr>
  </w:style>
  <w:style w:type="paragraph" w:customStyle="1" w:styleId="117">
    <w:name w:val="Char Char Char Char Char Char Char"/>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118">
    <w:name w:val="xl26"/>
    <w:basedOn w:val="1"/>
    <w:qFormat/>
    <w:uiPriority w:val="0"/>
    <w:pPr>
      <w:widowControl/>
      <w:spacing w:before="100" w:beforeAutospacing="1" w:after="100" w:afterAutospacing="1"/>
      <w:jc w:val="center"/>
    </w:pPr>
    <w:rPr>
      <w:rFonts w:ascii="Arial Unicode MS" w:hAnsi="Arial Unicode MS" w:eastAsia="Arial Unicode MS"/>
      <w:kern w:val="0"/>
      <w:szCs w:val="24"/>
    </w:rPr>
  </w:style>
  <w:style w:type="paragraph" w:customStyle="1" w:styleId="119">
    <w:name w:val="表格内部"/>
    <w:basedOn w:val="1"/>
    <w:qFormat/>
    <w:uiPriority w:val="0"/>
    <w:pPr>
      <w:spacing w:line="300" w:lineRule="auto"/>
      <w:jc w:val="center"/>
    </w:pPr>
    <w:rPr>
      <w:rFonts w:ascii="Arial" w:hAnsi="Arial" w:eastAsia="仿宋_GB2312"/>
      <w:szCs w:val="24"/>
    </w:rPr>
  </w:style>
  <w:style w:type="paragraph" w:customStyle="1" w:styleId="120">
    <w:name w:val="Char2"/>
    <w:basedOn w:val="1"/>
    <w:qFormat/>
    <w:uiPriority w:val="0"/>
    <w:rPr>
      <w:szCs w:val="24"/>
    </w:rPr>
  </w:style>
  <w:style w:type="character" w:customStyle="1" w:styleId="121">
    <w:name w:val="列表 字符"/>
    <w:link w:val="24"/>
    <w:qFormat/>
    <w:uiPriority w:val="0"/>
    <w:rPr>
      <w:kern w:val="2"/>
      <w:sz w:val="21"/>
    </w:rPr>
  </w:style>
  <w:style w:type="paragraph" w:customStyle="1" w:styleId="122">
    <w:name w:val="xl31"/>
    <w:basedOn w:val="1"/>
    <w:qFormat/>
    <w:uiPriority w:val="0"/>
    <w:pPr>
      <w:widowControl/>
      <w:spacing w:before="100" w:beforeAutospacing="1" w:after="100" w:afterAutospacing="1"/>
      <w:jc w:val="center"/>
      <w:textAlignment w:val="center"/>
    </w:pPr>
    <w:rPr>
      <w:rFonts w:ascii="Arial Unicode MS" w:hAnsi="Arial Unicode MS" w:eastAsia="Arial Unicode MS"/>
      <w:kern w:val="0"/>
      <w:szCs w:val="24"/>
    </w:rPr>
  </w:style>
  <w:style w:type="paragraph" w:customStyle="1" w:styleId="123">
    <w:name w:val="标题4"/>
    <w:basedOn w:val="1"/>
    <w:qFormat/>
    <w:uiPriority w:val="0"/>
    <w:pPr>
      <w:ind w:left="-7" w:leftChars="-3" w:firstLine="554" w:firstLineChars="230"/>
      <w:jc w:val="left"/>
    </w:pPr>
    <w:rPr>
      <w:b/>
      <w:bCs/>
      <w:szCs w:val="24"/>
    </w:rPr>
  </w:style>
  <w:style w:type="paragraph" w:customStyle="1" w:styleId="124">
    <w:name w:val="样式 小四 行距: 1.5 倍行距 首行缩进:  2 字符"/>
    <w:basedOn w:val="1"/>
    <w:qFormat/>
    <w:uiPriority w:val="0"/>
    <w:rPr>
      <w:rFonts w:cs="宋体"/>
    </w:rPr>
  </w:style>
  <w:style w:type="paragraph" w:customStyle="1" w:styleId="125">
    <w:name w:val="正文缩进2"/>
    <w:basedOn w:val="1"/>
    <w:qFormat/>
    <w:uiPriority w:val="0"/>
    <w:pPr>
      <w:ind w:firstLine="420"/>
    </w:pPr>
  </w:style>
  <w:style w:type="character" w:customStyle="1" w:styleId="126">
    <w:name w:val="正文缩进 字符"/>
    <w:link w:val="7"/>
    <w:qFormat/>
    <w:uiPriority w:val="0"/>
    <w:rPr>
      <w:kern w:val="2"/>
      <w:sz w:val="21"/>
    </w:rPr>
  </w:style>
  <w:style w:type="paragraph" w:customStyle="1" w:styleId="127">
    <w:name w:val="正文文本缩进1"/>
    <w:basedOn w:val="1"/>
    <w:qFormat/>
    <w:uiPriority w:val="0"/>
    <w:pPr>
      <w:spacing w:line="336" w:lineRule="auto"/>
      <w:ind w:firstLine="540"/>
    </w:pPr>
    <w:rPr>
      <w:spacing w:val="10"/>
    </w:rPr>
  </w:style>
  <w:style w:type="paragraph" w:customStyle="1" w:styleId="128">
    <w:name w:val="样式 规划正文 + 仿宋_GB2312 三号 首行缩进:  2 字符 行距: 单倍行距"/>
    <w:basedOn w:val="1"/>
    <w:qFormat/>
    <w:uiPriority w:val="0"/>
    <w:pPr>
      <w:ind w:firstLine="560"/>
    </w:pPr>
    <w:rPr>
      <w:rFonts w:hint="eastAsia" w:ascii="仿宋_GB2312" w:eastAsia="仿宋_GB2312" w:cs="宋体"/>
      <w:sz w:val="28"/>
      <w:szCs w:val="28"/>
    </w:rPr>
  </w:style>
  <w:style w:type="character" w:customStyle="1" w:styleId="129">
    <w:name w:val="正文01 Char"/>
    <w:link w:val="130"/>
    <w:qFormat/>
    <w:uiPriority w:val="0"/>
    <w:rPr>
      <w:sz w:val="24"/>
      <w:szCs w:val="24"/>
    </w:rPr>
  </w:style>
  <w:style w:type="paragraph" w:customStyle="1" w:styleId="130">
    <w:name w:val="正文01"/>
    <w:basedOn w:val="1"/>
    <w:link w:val="129"/>
    <w:qFormat/>
    <w:uiPriority w:val="0"/>
    <w:pPr>
      <w:widowControl/>
      <w:spacing w:line="460" w:lineRule="exact"/>
      <w:jc w:val="left"/>
    </w:pPr>
    <w:rPr>
      <w:kern w:val="0"/>
      <w:szCs w:val="24"/>
      <w:lang w:val="zh-CN" w:eastAsia="zh-CN"/>
    </w:rPr>
  </w:style>
  <w:style w:type="character" w:customStyle="1" w:styleId="131">
    <w:name w:val="bumpedfont15"/>
    <w:qFormat/>
    <w:uiPriority w:val="0"/>
  </w:style>
  <w:style w:type="character" w:customStyle="1" w:styleId="132">
    <w:name w:val="表格文字 Char Char"/>
    <w:link w:val="77"/>
    <w:qFormat/>
    <w:uiPriority w:val="0"/>
    <w:rPr>
      <w:sz w:val="21"/>
    </w:rPr>
  </w:style>
  <w:style w:type="character" w:customStyle="1" w:styleId="133">
    <w:name w:val="正文文本 字符"/>
    <w:link w:val="12"/>
    <w:qFormat/>
    <w:uiPriority w:val="0"/>
    <w:rPr>
      <w:kern w:val="2"/>
      <w:sz w:val="21"/>
    </w:rPr>
  </w:style>
  <w:style w:type="character" w:customStyle="1" w:styleId="134">
    <w:name w:val="表格内容 字符"/>
    <w:link w:val="135"/>
    <w:qFormat/>
    <w:uiPriority w:val="0"/>
    <w:rPr>
      <w:rFonts w:cs="宋体"/>
      <w:kern w:val="2"/>
      <w:sz w:val="18"/>
    </w:rPr>
  </w:style>
  <w:style w:type="paragraph" w:customStyle="1" w:styleId="135">
    <w:name w:val="表格内容"/>
    <w:link w:val="134"/>
    <w:qFormat/>
    <w:uiPriority w:val="0"/>
    <w:pPr>
      <w:widowControl w:val="0"/>
      <w:spacing w:line="360" w:lineRule="exact"/>
      <w:jc w:val="center"/>
    </w:pPr>
    <w:rPr>
      <w:rFonts w:ascii="Times New Roman" w:hAnsi="Times New Roman" w:eastAsia="宋体" w:cs="宋体"/>
      <w:kern w:val="2"/>
      <w:sz w:val="18"/>
      <w:lang w:val="en-US" w:eastAsia="zh-CN" w:bidi="ar-SA"/>
    </w:rPr>
  </w:style>
  <w:style w:type="character" w:customStyle="1" w:styleId="136">
    <w:name w:val="表题 Char"/>
    <w:link w:val="137"/>
    <w:qFormat/>
    <w:uiPriority w:val="0"/>
    <w:rPr>
      <w:rFonts w:hAnsi="宋体"/>
      <w:b/>
      <w:kern w:val="2"/>
      <w:sz w:val="21"/>
      <w:szCs w:val="24"/>
      <w:lang w:val="en-US" w:eastAsia="zh-CN" w:bidi="ar-SA"/>
    </w:rPr>
  </w:style>
  <w:style w:type="paragraph" w:customStyle="1" w:styleId="137">
    <w:name w:val="表题"/>
    <w:link w:val="136"/>
    <w:qFormat/>
    <w:uiPriority w:val="0"/>
    <w:pPr>
      <w:spacing w:line="480" w:lineRule="exact"/>
      <w:jc w:val="center"/>
    </w:pPr>
    <w:rPr>
      <w:rFonts w:ascii="Times New Roman" w:hAnsi="宋体" w:eastAsia="宋体" w:cs="Times New Roman"/>
      <w:b/>
      <w:kern w:val="2"/>
      <w:sz w:val="21"/>
      <w:szCs w:val="24"/>
      <w:lang w:val="en-US" w:eastAsia="zh-CN" w:bidi="ar-SA"/>
    </w:rPr>
  </w:style>
  <w:style w:type="character" w:customStyle="1" w:styleId="138">
    <w:name w:val="-表格 Char"/>
    <w:link w:val="139"/>
    <w:qFormat/>
    <w:uiPriority w:val="0"/>
    <w:rPr>
      <w:rFonts w:ascii="宋体" w:hAnsi="宋体" w:cs="宋体"/>
      <w:snapToGrid w:val="0"/>
      <w:kern w:val="2"/>
      <w:sz w:val="21"/>
    </w:rPr>
  </w:style>
  <w:style w:type="paragraph" w:customStyle="1" w:styleId="139">
    <w:name w:val="-表格"/>
    <w:basedOn w:val="91"/>
    <w:next w:val="1"/>
    <w:link w:val="138"/>
    <w:qFormat/>
    <w:uiPriority w:val="0"/>
    <w:pPr>
      <w:widowControl/>
      <w:tabs>
        <w:tab w:val="left" w:pos="3696"/>
      </w:tabs>
    </w:pPr>
    <w:rPr>
      <w:snapToGrid/>
      <w:szCs w:val="20"/>
      <w:lang w:val="zh-CN" w:eastAsia="zh-CN"/>
    </w:rPr>
  </w:style>
  <w:style w:type="paragraph" w:customStyle="1" w:styleId="140">
    <w:name w:val="标题-3"/>
    <w:basedOn w:val="1"/>
    <w:qFormat/>
    <w:uiPriority w:val="0"/>
    <w:pPr>
      <w:spacing w:line="480" w:lineRule="exact"/>
      <w:ind w:firstLine="482"/>
    </w:pPr>
    <w:rPr>
      <w:rFonts w:cs="宋体"/>
      <w:b/>
      <w:bCs/>
    </w:rPr>
  </w:style>
  <w:style w:type="paragraph" w:customStyle="1" w:styleId="141">
    <w:name w:val="Table Paragraph"/>
    <w:basedOn w:val="1"/>
    <w:qFormat/>
    <w:uiPriority w:val="1"/>
    <w:pPr>
      <w:jc w:val="left"/>
    </w:pPr>
    <w:rPr>
      <w:rFonts w:ascii="Calibri" w:hAnsi="Calibri"/>
      <w:kern w:val="0"/>
      <w:sz w:val="22"/>
      <w:szCs w:val="22"/>
      <w:lang w:eastAsia="en-US"/>
    </w:rPr>
  </w:style>
  <w:style w:type="character" w:customStyle="1" w:styleId="142">
    <w:name w:val="报告 Char"/>
    <w:link w:val="56"/>
    <w:qFormat/>
    <w:uiPriority w:val="0"/>
    <w:rPr>
      <w:rFonts w:ascii="TimesNewRoman" w:hAnsi="TimesNewRoman"/>
      <w:sz w:val="24"/>
    </w:rPr>
  </w:style>
  <w:style w:type="character" w:customStyle="1" w:styleId="143">
    <w:name w:val="报告表格 Char"/>
    <w:link w:val="85"/>
    <w:qFormat/>
    <w:uiPriority w:val="0"/>
    <w:rPr>
      <w:sz w:val="21"/>
    </w:rPr>
  </w:style>
  <w:style w:type="character" w:customStyle="1" w:styleId="144">
    <w:name w:val="纯文本 Char1"/>
    <w:qFormat/>
    <w:uiPriority w:val="0"/>
    <w:rPr>
      <w:rFonts w:ascii="宋体" w:hAnsi="Courier New" w:cs="Courier New"/>
      <w:kern w:val="2"/>
      <w:sz w:val="21"/>
      <w:szCs w:val="21"/>
    </w:rPr>
  </w:style>
  <w:style w:type="character" w:customStyle="1" w:styleId="145">
    <w:name w:val="正文(康健城) Char"/>
    <w:link w:val="146"/>
    <w:qFormat/>
    <w:uiPriority w:val="0"/>
    <w:rPr>
      <w:sz w:val="24"/>
      <w:szCs w:val="24"/>
    </w:rPr>
  </w:style>
  <w:style w:type="paragraph" w:customStyle="1" w:styleId="146">
    <w:name w:val="正文(康健城)"/>
    <w:basedOn w:val="1"/>
    <w:link w:val="145"/>
    <w:qFormat/>
    <w:uiPriority w:val="0"/>
    <w:pPr>
      <w:ind w:firstLine="480"/>
      <w:textAlignment w:val="baseline"/>
    </w:pPr>
    <w:rPr>
      <w:kern w:val="0"/>
      <w:szCs w:val="24"/>
    </w:rPr>
  </w:style>
  <w:style w:type="character" w:customStyle="1" w:styleId="147">
    <w:name w:val="15"/>
    <w:qFormat/>
    <w:uiPriority w:val="0"/>
    <w:rPr>
      <w:rFonts w:hint="default" w:ascii="Verdana" w:hAnsi="Verdana"/>
      <w:sz w:val="24"/>
      <w:szCs w:val="24"/>
    </w:rPr>
  </w:style>
  <w:style w:type="paragraph" w:customStyle="1" w:styleId="148">
    <w:name w:val="表格1"/>
    <w:basedOn w:val="1"/>
    <w:qFormat/>
    <w:uiPriority w:val="0"/>
    <w:pPr>
      <w:spacing w:line="20" w:lineRule="atLeast"/>
      <w:jc w:val="center"/>
      <w:textAlignment w:val="center"/>
    </w:pPr>
    <w:rPr>
      <w:kern w:val="0"/>
    </w:rPr>
  </w:style>
  <w:style w:type="character" w:customStyle="1" w:styleId="149">
    <w:name w:val="样式5 Char"/>
    <w:link w:val="150"/>
    <w:qFormat/>
    <w:uiPriority w:val="0"/>
    <w:rPr>
      <w:sz w:val="24"/>
    </w:rPr>
  </w:style>
  <w:style w:type="paragraph" w:customStyle="1" w:styleId="150">
    <w:name w:val="样式5"/>
    <w:basedOn w:val="1"/>
    <w:link w:val="149"/>
    <w:qFormat/>
    <w:uiPriority w:val="0"/>
    <w:pPr>
      <w:ind w:firstLine="1446"/>
    </w:pPr>
    <w:rPr>
      <w:kern w:val="0"/>
    </w:rPr>
  </w:style>
  <w:style w:type="character" w:customStyle="1" w:styleId="151">
    <w:name w:val="批注文字 字符"/>
    <w:link w:val="10"/>
    <w:qFormat/>
    <w:uiPriority w:val="99"/>
    <w:rPr>
      <w:kern w:val="2"/>
      <w:sz w:val="21"/>
    </w:rPr>
  </w:style>
  <w:style w:type="paragraph" w:customStyle="1" w:styleId="152">
    <w:name w:val="_Style 2"/>
    <w:basedOn w:val="1"/>
    <w:qFormat/>
    <w:uiPriority w:val="0"/>
    <w:pPr>
      <w:ind w:firstLine="420"/>
    </w:pPr>
    <w:rPr>
      <w:sz w:val="28"/>
      <w:szCs w:val="24"/>
    </w:rPr>
  </w:style>
  <w:style w:type="character" w:customStyle="1" w:styleId="153">
    <w:name w:val="p Char"/>
    <w:link w:val="154"/>
    <w:qFormat/>
    <w:uiPriority w:val="0"/>
  </w:style>
  <w:style w:type="paragraph" w:customStyle="1" w:styleId="154">
    <w:name w:val="p"/>
    <w:basedOn w:val="82"/>
    <w:link w:val="153"/>
    <w:qFormat/>
    <w:uiPriority w:val="0"/>
    <w:pPr>
      <w:ind w:firstLine="1446"/>
      <w:jc w:val="left"/>
    </w:pPr>
    <w:rPr>
      <w:kern w:val="0"/>
      <w:sz w:val="20"/>
    </w:rPr>
  </w:style>
  <w:style w:type="paragraph" w:customStyle="1" w:styleId="155">
    <w:name w:val="样式 正文"/>
    <w:basedOn w:val="1"/>
    <w:next w:val="1"/>
    <w:qFormat/>
    <w:uiPriority w:val="0"/>
    <w:rPr>
      <w:szCs w:val="32"/>
    </w:rPr>
  </w:style>
  <w:style w:type="paragraph" w:styleId="156">
    <w:name w:val="No Spacing"/>
    <w:link w:val="179"/>
    <w:qFormat/>
    <w:uiPriority w:val="0"/>
    <w:pPr>
      <w:widowControl w:val="0"/>
      <w:spacing w:line="360" w:lineRule="exact"/>
      <w:jc w:val="center"/>
    </w:pPr>
    <w:rPr>
      <w:rFonts w:ascii="Times New Roman" w:hAnsi="Times New Roman" w:eastAsia="黑体" w:cs="Times New Roman"/>
      <w:kern w:val="2"/>
      <w:sz w:val="21"/>
      <w:lang w:val="en-US" w:eastAsia="zh-CN" w:bidi="ar-SA"/>
    </w:rPr>
  </w:style>
  <w:style w:type="paragraph" w:customStyle="1" w:styleId="157">
    <w:name w:val="加粗"/>
    <w:basedOn w:val="1"/>
    <w:next w:val="1"/>
    <w:qFormat/>
    <w:uiPriority w:val="0"/>
    <w:pPr>
      <w:ind w:firstLine="0" w:firstLineChars="0"/>
      <w:jc w:val="left"/>
    </w:pPr>
    <w:rPr>
      <w:b/>
    </w:rPr>
  </w:style>
  <w:style w:type="paragraph" w:customStyle="1" w:styleId="158">
    <w:name w:val="表（或图）标题 样式 宋体 五号 居中 SL CON"/>
    <w:basedOn w:val="1"/>
    <w:qFormat/>
    <w:uiPriority w:val="0"/>
    <w:pPr>
      <w:widowControl/>
      <w:tabs>
        <w:tab w:val="left" w:pos="377"/>
      </w:tabs>
      <w:spacing w:line="240" w:lineRule="auto"/>
      <w:ind w:firstLine="0" w:firstLineChars="0"/>
      <w:jc w:val="center"/>
    </w:pPr>
    <w:rPr>
      <w:rFonts w:cs="宋体"/>
      <w:b/>
      <w:kern w:val="0"/>
    </w:rPr>
  </w:style>
  <w:style w:type="paragraph" w:customStyle="1" w:styleId="159">
    <w:name w:val="表内文字 样式 五号 居中 行距: 单倍行距 SL CON"/>
    <w:basedOn w:val="1"/>
    <w:link w:val="160"/>
    <w:qFormat/>
    <w:uiPriority w:val="0"/>
    <w:pPr>
      <w:widowControl/>
      <w:tabs>
        <w:tab w:val="left" w:pos="377"/>
      </w:tabs>
      <w:spacing w:line="240" w:lineRule="auto"/>
      <w:ind w:firstLine="0" w:firstLineChars="0"/>
      <w:jc w:val="center"/>
    </w:pPr>
    <w:rPr>
      <w:rFonts w:cs="宋体"/>
      <w:kern w:val="0"/>
      <w:szCs w:val="21"/>
    </w:rPr>
  </w:style>
  <w:style w:type="character" w:customStyle="1" w:styleId="160">
    <w:name w:val="表内文字 样式 五号 居中 行距: 单倍行距 SL CON Char"/>
    <w:link w:val="159"/>
    <w:qFormat/>
    <w:uiPriority w:val="0"/>
    <w:rPr>
      <w:rFonts w:cs="宋体"/>
      <w:sz w:val="21"/>
      <w:szCs w:val="21"/>
    </w:rPr>
  </w:style>
  <w:style w:type="paragraph" w:customStyle="1" w:styleId="161">
    <w:name w:val="样式 正文 首行缩进:  2 字符 SL CON + 首行缩进:  2 字符1"/>
    <w:basedOn w:val="1"/>
    <w:qFormat/>
    <w:uiPriority w:val="0"/>
    <w:pPr>
      <w:widowControl/>
      <w:tabs>
        <w:tab w:val="left" w:pos="377"/>
      </w:tabs>
      <w:ind w:firstLine="480"/>
    </w:pPr>
    <w:rPr>
      <w:rFonts w:ascii="宋体" w:cs="宋体"/>
      <w:kern w:val="0"/>
    </w:rPr>
  </w:style>
  <w:style w:type="paragraph" w:customStyle="1" w:styleId="16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63">
    <w:name w:val="【正文】 Char Char"/>
    <w:link w:val="164"/>
    <w:qFormat/>
    <w:uiPriority w:val="0"/>
    <w:rPr>
      <w:rFonts w:cs="宋体"/>
      <w:color w:val="000000"/>
      <w:sz w:val="24"/>
    </w:rPr>
  </w:style>
  <w:style w:type="paragraph" w:customStyle="1" w:styleId="164">
    <w:name w:val="【正文】"/>
    <w:link w:val="163"/>
    <w:qFormat/>
    <w:uiPriority w:val="0"/>
    <w:pPr>
      <w:ind w:firstLine="504" w:firstLineChars="200"/>
      <w:jc w:val="both"/>
    </w:pPr>
    <w:rPr>
      <w:rFonts w:ascii="Times New Roman" w:hAnsi="Times New Roman" w:eastAsia="宋体" w:cs="宋体"/>
      <w:color w:val="000000"/>
      <w:sz w:val="24"/>
      <w:lang w:val="en-US" w:eastAsia="zh-CN" w:bidi="ar-SA"/>
    </w:rPr>
  </w:style>
  <w:style w:type="paragraph" w:customStyle="1" w:styleId="165">
    <w:name w:val="-正文"/>
    <w:basedOn w:val="1"/>
    <w:link w:val="166"/>
    <w:qFormat/>
    <w:uiPriority w:val="0"/>
    <w:pPr>
      <w:spacing w:line="480" w:lineRule="exact"/>
    </w:pPr>
    <w:rPr>
      <w:rFonts w:cs="宋体"/>
    </w:rPr>
  </w:style>
  <w:style w:type="character" w:customStyle="1" w:styleId="166">
    <w:name w:val="-正文 Char"/>
    <w:link w:val="165"/>
    <w:qFormat/>
    <w:uiPriority w:val="0"/>
    <w:rPr>
      <w:rFonts w:cs="宋体"/>
      <w:kern w:val="2"/>
      <w:sz w:val="24"/>
    </w:rPr>
  </w:style>
  <w:style w:type="paragraph" w:styleId="167">
    <w:name w:val="List Paragraph"/>
    <w:basedOn w:val="1"/>
    <w:qFormat/>
    <w:uiPriority w:val="34"/>
    <w:pPr>
      <w:spacing w:line="560" w:lineRule="exact"/>
      <w:ind w:firstLine="420"/>
    </w:pPr>
    <w:rPr>
      <w:kern w:val="24"/>
      <w:szCs w:val="24"/>
    </w:rPr>
  </w:style>
  <w:style w:type="paragraph" w:customStyle="1" w:styleId="168">
    <w:name w:val="无间隔3"/>
    <w:qFormat/>
    <w:uiPriority w:val="0"/>
    <w:pPr>
      <w:widowControl w:val="0"/>
      <w:spacing w:line="280" w:lineRule="exact"/>
      <w:jc w:val="center"/>
    </w:pPr>
    <w:rPr>
      <w:rFonts w:ascii="Times New Roman" w:hAnsi="Times New Roman" w:eastAsia="宋体" w:cs="黑体"/>
      <w:kern w:val="2"/>
      <w:sz w:val="21"/>
      <w:szCs w:val="22"/>
      <w:lang w:val="en-US" w:eastAsia="zh-CN" w:bidi="ar-SA"/>
    </w:rPr>
  </w:style>
  <w:style w:type="character" w:customStyle="1" w:styleId="169">
    <w:name w:val="不明显强调1"/>
    <w:qFormat/>
    <w:uiPriority w:val="19"/>
    <w:rPr>
      <w:rFonts w:ascii="Times New Roman" w:hAnsi="Times New Roman" w:eastAsia="宋体"/>
      <w:i/>
      <w:iCs/>
      <w:color w:val="000000"/>
      <w:sz w:val="24"/>
    </w:rPr>
  </w:style>
  <w:style w:type="paragraph" w:customStyle="1" w:styleId="170">
    <w:name w:val="表内容"/>
    <w:basedOn w:val="1"/>
    <w:next w:val="1"/>
    <w:qFormat/>
    <w:uiPriority w:val="0"/>
    <w:pPr>
      <w:widowControl/>
      <w:spacing w:line="240" w:lineRule="auto"/>
      <w:ind w:firstLine="0" w:firstLineChars="0"/>
      <w:jc w:val="center"/>
    </w:pPr>
    <w:rPr>
      <w:kern w:val="0"/>
      <w:szCs w:val="21"/>
    </w:rPr>
  </w:style>
  <w:style w:type="character" w:styleId="171">
    <w:name w:val="Placeholder Text"/>
    <w:basedOn w:val="37"/>
    <w:semiHidden/>
    <w:qFormat/>
    <w:uiPriority w:val="99"/>
    <w:rPr>
      <w:color w:val="808080"/>
    </w:rPr>
  </w:style>
  <w:style w:type="paragraph" w:customStyle="1" w:styleId="172">
    <w:name w:val="样式 表内文字 样式 五号 居中 行距: 单倍行距 SL CON +"/>
    <w:basedOn w:val="159"/>
    <w:qFormat/>
    <w:uiPriority w:val="0"/>
    <w:rPr>
      <w:kern w:val="2"/>
    </w:rPr>
  </w:style>
  <w:style w:type="table" w:customStyle="1" w:styleId="173">
    <w:name w:val="Table"/>
    <w:semiHidden/>
    <w:unhideWhenUsed/>
    <w:qFormat/>
    <w:uiPriority w:val="0"/>
    <w:pPr>
      <w:spacing w:after="200"/>
    </w:pPr>
    <w:rPr>
      <w:rFonts w:asciiTheme="minorHAnsi" w:hAnsiTheme="minorHAnsi" w:eastAsiaTheme="minorEastAsia" w:cstheme="minorBidi"/>
      <w:sz w:val="24"/>
      <w:szCs w:val="24"/>
      <w:lang w:val="en" w:eastAsia="en-US"/>
    </w:rPr>
    <w:tblPr>
      <w:tblCellMar>
        <w:top w:w="0" w:type="dxa"/>
        <w:left w:w="108" w:type="dxa"/>
        <w:bottom w:w="0" w:type="dxa"/>
        <w:right w:w="108" w:type="dxa"/>
      </w:tblCellMar>
    </w:tblPr>
  </w:style>
  <w:style w:type="character" w:customStyle="1" w:styleId="174">
    <w:name w:val="style441"/>
    <w:qFormat/>
    <w:uiPriority w:val="0"/>
    <w:rPr>
      <w:rFonts w:eastAsia="宋体" w:cs="Times New Roman"/>
      <w:kern w:val="2"/>
      <w:sz w:val="18"/>
      <w:szCs w:val="18"/>
      <w:lang w:val="en-US" w:eastAsia="zh-CN" w:bidi="ar-SA"/>
    </w:rPr>
  </w:style>
  <w:style w:type="character" w:customStyle="1" w:styleId="175">
    <w:name w:val="报告 Char Char"/>
    <w:basedOn w:val="37"/>
    <w:qFormat/>
    <w:uiPriority w:val="0"/>
    <w:rPr>
      <w:rFonts w:eastAsia="宋体"/>
      <w:sz w:val="24"/>
    </w:rPr>
  </w:style>
  <w:style w:type="paragraph" w:customStyle="1" w:styleId="176">
    <w:name w:val="表中文字"/>
    <w:basedOn w:val="1"/>
    <w:qFormat/>
    <w:uiPriority w:val="0"/>
    <w:pPr>
      <w:spacing w:line="400" w:lineRule="exact"/>
      <w:ind w:firstLine="0" w:firstLineChars="0"/>
      <w:jc w:val="center"/>
    </w:pPr>
    <w:rPr>
      <w:szCs w:val="24"/>
    </w:rPr>
  </w:style>
  <w:style w:type="character" w:customStyle="1" w:styleId="177">
    <w:name w:val="普通(网站) 字符"/>
    <w:link w:val="29"/>
    <w:qFormat/>
    <w:locked/>
    <w:uiPriority w:val="0"/>
    <w:rPr>
      <w:rFonts w:ascii="宋体" w:hAnsi="宋体"/>
      <w:sz w:val="24"/>
    </w:rPr>
  </w:style>
  <w:style w:type="character" w:customStyle="1" w:styleId="178">
    <w:name w:val="页脚 字符1"/>
    <w:qFormat/>
    <w:locked/>
    <w:uiPriority w:val="99"/>
    <w:rPr>
      <w:sz w:val="18"/>
    </w:rPr>
  </w:style>
  <w:style w:type="character" w:customStyle="1" w:styleId="179">
    <w:name w:val="无间隔 字符"/>
    <w:basedOn w:val="37"/>
    <w:link w:val="156"/>
    <w:qFormat/>
    <w:uiPriority w:val="0"/>
    <w:rPr>
      <w:rFonts w:eastAsia="黑体"/>
      <w:kern w:val="2"/>
      <w:sz w:val="21"/>
    </w:rPr>
  </w:style>
  <w:style w:type="paragraph" w:customStyle="1" w:styleId="180">
    <w:name w:val="插图"/>
    <w:basedOn w:val="156"/>
    <w:next w:val="156"/>
    <w:link w:val="181"/>
    <w:qFormat/>
    <w:uiPriority w:val="0"/>
    <w:pPr>
      <w:spacing w:line="240" w:lineRule="auto"/>
    </w:pPr>
    <w:rPr>
      <w:rFonts w:cstheme="minorBidi"/>
      <w:szCs w:val="24"/>
      <w:lang w:val="de-DE"/>
    </w:rPr>
  </w:style>
  <w:style w:type="character" w:customStyle="1" w:styleId="181">
    <w:name w:val="插图 字符"/>
    <w:basedOn w:val="37"/>
    <w:link w:val="180"/>
    <w:qFormat/>
    <w:uiPriority w:val="0"/>
    <w:rPr>
      <w:rFonts w:eastAsia="黑体" w:cstheme="minorBidi"/>
      <w:kern w:val="2"/>
      <w:sz w:val="21"/>
      <w:szCs w:val="24"/>
      <w:lang w:val="de-DE"/>
    </w:rPr>
  </w:style>
  <w:style w:type="character" w:customStyle="1" w:styleId="182">
    <w:name w:val="标题 字符"/>
    <w:basedOn w:val="37"/>
    <w:link w:val="30"/>
    <w:qFormat/>
    <w:uiPriority w:val="10"/>
    <w:rPr>
      <w:rFonts w:eastAsia="黑体" w:cstheme="majorBidi"/>
      <w:kern w:val="2"/>
      <w:sz w:val="24"/>
      <w:szCs w:val="32"/>
    </w:rPr>
  </w:style>
  <w:style w:type="character" w:customStyle="1" w:styleId="183">
    <w:name w:val="标题 4 字符"/>
    <w:basedOn w:val="37"/>
    <w:link w:val="5"/>
    <w:semiHidden/>
    <w:qFormat/>
    <w:uiPriority w:val="0"/>
    <w:rPr>
      <w:rFonts w:asciiTheme="majorHAnsi" w:hAnsiTheme="majorHAnsi" w:eastAsiaTheme="majorEastAsia" w:cstheme="majorBidi"/>
      <w:b/>
      <w:bCs/>
      <w:kern w:val="2"/>
      <w:sz w:val="28"/>
      <w:szCs w:val="28"/>
    </w:rPr>
  </w:style>
  <w:style w:type="paragraph" w:customStyle="1" w:styleId="184">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185">
    <w:name w:val="aa院表格内容格式"/>
    <w:basedOn w:val="1"/>
    <w:qFormat/>
    <w:uiPriority w:val="0"/>
    <w:pPr>
      <w:spacing w:line="240" w:lineRule="auto"/>
      <w:ind w:firstLine="0" w:firstLineChars="0"/>
      <w:jc w:val="center"/>
    </w:pPr>
    <w:rPr>
      <w:szCs w:val="24"/>
    </w:rPr>
  </w:style>
  <w:style w:type="paragraph" w:customStyle="1" w:styleId="186">
    <w:name w:val="真·正文"/>
    <w:basedOn w:val="1"/>
    <w:next w:val="62"/>
    <w:qFormat/>
    <w:uiPriority w:val="0"/>
    <w:pPr>
      <w:ind w:firstLine="0" w:firstLineChars="0"/>
    </w:pPr>
    <w:rPr>
      <w:rFonts w:ascii="Calibri"/>
      <w:szCs w:val="24"/>
    </w:rPr>
  </w:style>
  <w:style w:type="paragraph" w:customStyle="1" w:styleId="187">
    <w:name w:val="fourth-title"/>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88">
    <w:name w:val="fourth-info"/>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189">
    <w:name w:val="inner2andpoint"/>
    <w:basedOn w:val="37"/>
    <w:qFormat/>
    <w:uiPriority w:val="0"/>
  </w:style>
  <w:style w:type="character" w:customStyle="1" w:styleId="190">
    <w:name w:val="批注文字 字符4"/>
    <w:qFormat/>
    <w:uiPriority w:val="99"/>
    <w:rPr>
      <w:sz w:val="24"/>
    </w:rPr>
  </w:style>
  <w:style w:type="paragraph" w:customStyle="1" w:styleId="191">
    <w:name w:val="S-表格文字"/>
    <w:basedOn w:val="1"/>
    <w:qFormat/>
    <w:uiPriority w:val="0"/>
    <w:pPr>
      <w:spacing w:line="240" w:lineRule="auto"/>
      <w:ind w:firstLine="0" w:firstLineChars="0"/>
      <w:jc w:val="center"/>
    </w:pPr>
    <w:rPr>
      <w:szCs w:val="24"/>
    </w:rPr>
  </w:style>
  <w:style w:type="paragraph" w:customStyle="1" w:styleId="192">
    <w:name w:val="修改"/>
    <w:basedOn w:val="1"/>
    <w:link w:val="193"/>
    <w:qFormat/>
    <w:uiPriority w:val="0"/>
    <w:pPr>
      <w:framePr w:hSpace="180" w:wrap="around" w:vAnchor="text" w:hAnchor="text" w:y="1"/>
      <w:suppressOverlap/>
      <w:ind w:firstLine="480"/>
    </w:pPr>
    <w:rPr>
      <w:color w:val="0000FF"/>
    </w:rPr>
  </w:style>
  <w:style w:type="character" w:customStyle="1" w:styleId="193">
    <w:name w:val="修改 字符"/>
    <w:basedOn w:val="37"/>
    <w:link w:val="192"/>
    <w:qFormat/>
    <w:uiPriority w:val="0"/>
    <w:rPr>
      <w:color w:val="0000FF"/>
      <w:kern w:val="2"/>
      <w:sz w:val="21"/>
    </w:rPr>
  </w:style>
  <w:style w:type="table" w:customStyle="1" w:styleId="194">
    <w:name w:val="CHl"/>
    <w:basedOn w:val="33"/>
    <w:qFormat/>
    <w:uiPriority w:val="99"/>
    <w:pPr>
      <w:widowControl w:val="0"/>
      <w:adjustRightInd w:val="0"/>
      <w:snapToGrid w:val="0"/>
      <w:spacing w:line="360" w:lineRule="exact"/>
      <w:jc w:val="center"/>
    </w:pPr>
    <w:rPr>
      <w:sz w:val="18"/>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character" w:customStyle="1" w:styleId="195">
    <w:name w:val="Unresolved Mention"/>
    <w:basedOn w:val="37"/>
    <w:semiHidden/>
    <w:unhideWhenUsed/>
    <w:qFormat/>
    <w:uiPriority w:val="99"/>
    <w:rPr>
      <w:color w:val="605E5C"/>
      <w:shd w:val="clear" w:color="auto" w:fill="E1DFDD"/>
    </w:rPr>
  </w:style>
  <w:style w:type="paragraph" w:customStyle="1" w:styleId="196">
    <w:name w:val="国寰表格"/>
    <w:basedOn w:val="1"/>
    <w:qFormat/>
    <w:uiPriority w:val="0"/>
    <w:pPr>
      <w:pBdr>
        <w:top w:val="none" w:color="auto" w:sz="0" w:space="1"/>
        <w:left w:val="none" w:color="auto" w:sz="0" w:space="4"/>
        <w:bottom w:val="none" w:color="auto" w:sz="0" w:space="1"/>
        <w:right w:val="none" w:color="auto" w:sz="0" w:space="4"/>
      </w:pBdr>
      <w:spacing w:line="280" w:lineRule="exact"/>
      <w:ind w:firstLine="0" w:firstLineChars="0"/>
      <w:jc w:val="center"/>
    </w:pPr>
    <w:rPr>
      <w:rFonts w:ascii="黑体" w:hAnsi="黑体" w:cs="黑体"/>
      <w:sz w:val="18"/>
      <w:szCs w:val="24"/>
    </w:rPr>
  </w:style>
  <w:style w:type="paragraph" w:customStyle="1" w:styleId="197">
    <w:name w:val="表格内容lh"/>
    <w:basedOn w:val="1"/>
    <w:link w:val="198"/>
    <w:autoRedefine/>
    <w:qFormat/>
    <w:uiPriority w:val="0"/>
    <w:pPr>
      <w:spacing w:line="240" w:lineRule="auto"/>
      <w:ind w:firstLine="0" w:firstLineChars="0"/>
    </w:pPr>
    <w:rPr>
      <w:bCs/>
      <w:szCs w:val="21"/>
    </w:rPr>
  </w:style>
  <w:style w:type="character" w:customStyle="1" w:styleId="198">
    <w:name w:val="表格内容lh 字符"/>
    <w:link w:val="197"/>
    <w:autoRedefine/>
    <w:qFormat/>
    <w:uiPriority w:val="0"/>
    <w:rPr>
      <w:bCs/>
      <w:kern w:val="2"/>
      <w:sz w:val="21"/>
      <w:szCs w:val="21"/>
    </w:rPr>
  </w:style>
  <w:style w:type="paragraph" w:customStyle="1" w:styleId="199">
    <w:name w:val="表格粗"/>
    <w:basedOn w:val="1"/>
    <w:link w:val="200"/>
    <w:autoRedefine/>
    <w:qFormat/>
    <w:uiPriority w:val="0"/>
    <w:pPr>
      <w:spacing w:line="240" w:lineRule="auto"/>
      <w:ind w:firstLine="0" w:firstLineChars="0"/>
      <w:jc w:val="center"/>
    </w:pPr>
    <w:rPr>
      <w:b/>
      <w:bCs/>
      <w:kern w:val="0"/>
      <w:szCs w:val="28"/>
    </w:rPr>
  </w:style>
  <w:style w:type="character" w:customStyle="1" w:styleId="200">
    <w:name w:val="表格粗 字符"/>
    <w:link w:val="199"/>
    <w:autoRedefine/>
    <w:qFormat/>
    <w:uiPriority w:val="0"/>
    <w:rPr>
      <w:b/>
      <w:bCs/>
      <w:sz w:val="21"/>
      <w:szCs w:val="28"/>
    </w:rPr>
  </w:style>
  <w:style w:type="paragraph" w:customStyle="1" w:styleId="201">
    <w:name w:val="正文lh"/>
    <w:basedOn w:val="1"/>
    <w:link w:val="202"/>
    <w:qFormat/>
    <w:uiPriority w:val="0"/>
    <w:pPr>
      <w:autoSpaceDE w:val="0"/>
      <w:autoSpaceDN w:val="0"/>
    </w:pPr>
    <w:rPr>
      <w:rFonts w:cs="宋体"/>
      <w:kern w:val="0"/>
      <w:szCs w:val="21"/>
    </w:rPr>
  </w:style>
  <w:style w:type="character" w:customStyle="1" w:styleId="202">
    <w:name w:val="正文lh 字符"/>
    <w:link w:val="201"/>
    <w:qFormat/>
    <w:uiPriority w:val="0"/>
    <w:rPr>
      <w:rFonts w:cs="宋体"/>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6.png"/><Relationship Id="rId21" Type="http://schemas.openxmlformats.org/officeDocument/2006/relationships/image" Target="media/image5.emf"/><Relationship Id="rId20" Type="http://schemas.openxmlformats.org/officeDocument/2006/relationships/package" Target="embeddings/Microsoft_Visio___2.vsdx"/><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package" Target="embeddings/Microsoft_Visio___1.vsdx"/><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DB7E46-CF8E-4302-8095-A87598DB73C9}">
  <ds:schemaRefs/>
</ds:datastoreItem>
</file>

<file path=docProps/app.xml><?xml version="1.0" encoding="utf-8"?>
<Properties xmlns="http://schemas.openxmlformats.org/officeDocument/2006/extended-properties" xmlns:vt="http://schemas.openxmlformats.org/officeDocument/2006/docPropsVTypes">
  <Template>Normal.dotm</Template>
  <Company>corp</Company>
  <Pages>64</Pages>
  <Words>44457</Words>
  <Characters>49703</Characters>
  <Lines>386</Lines>
  <Paragraphs>108</Paragraphs>
  <TotalTime>0</TotalTime>
  <ScaleCrop>false</ScaleCrop>
  <LinksUpToDate>false</LinksUpToDate>
  <CharactersWithSpaces>50074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2022-05-25T09:49:00Z</dcterms:created>
  <dc:creator>your name</dc:creator>
  <cp:lastModifiedBy>adinmstrator</cp:lastModifiedBy>
  <cp:lastPrinted>2024-07-15T06:52:00Z</cp:lastPrinted>
  <dcterms:modified xsi:type="dcterms:W3CDTF">2024-07-17T09:46:20Z</dcterms:modified>
  <dc:title>建设项目基本情况</dc:title>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F22CC9B8A60B43B3868B6C390FC8BD40_13</vt:lpwstr>
  </property>
</Properties>
</file>