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jc w:val="center"/>
        <w:rPr>
          <w:rFonts w:eastAsia="方正小标宋_GBK" w:cs="Times New Roman"/>
          <w:sz w:val="72"/>
          <w:szCs w:val="72"/>
        </w:rPr>
      </w:pPr>
      <w:r>
        <w:rPr>
          <w:rFonts w:eastAsia="方正小标宋_GBK" w:cs="Times New Roman"/>
          <w:sz w:val="72"/>
          <w:szCs w:val="72"/>
        </w:rPr>
        <w:t>建设项目环境影响报告表</w:t>
      </w:r>
    </w:p>
    <w:p>
      <w:pPr>
        <w:jc w:val="center"/>
        <w:rPr>
          <w:rFonts w:eastAsia="楷体" w:cs="Times New Roman"/>
          <w:sz w:val="48"/>
          <w:szCs w:val="48"/>
        </w:rPr>
      </w:pPr>
      <w:r>
        <w:rPr>
          <w:rFonts w:eastAsia="楷体" w:cs="Times New Roman"/>
          <w:sz w:val="48"/>
          <w:szCs w:val="48"/>
        </w:rPr>
        <w:t>（</w:t>
      </w:r>
      <w:r>
        <w:rPr>
          <w:rFonts w:hint="eastAsia" w:eastAsia="楷体" w:cs="Times New Roman"/>
          <w:sz w:val="48"/>
          <w:szCs w:val="48"/>
        </w:rPr>
        <w:t>污染影响类</w:t>
      </w:r>
      <w:r>
        <w:rPr>
          <w:rFonts w:eastAsia="楷体" w:cs="Times New Roman"/>
          <w:sz w:val="48"/>
          <w:szCs w:val="48"/>
        </w:rPr>
        <w:t>）</w:t>
      </w:r>
    </w:p>
    <w:p>
      <w:pPr>
        <w:jc w:val="center"/>
        <w:rPr>
          <w:rFonts w:eastAsia="楷体" w:cs="Times New Roman"/>
          <w:sz w:val="44"/>
          <w:szCs w:val="44"/>
        </w:rPr>
      </w:pPr>
      <w:r>
        <w:rPr>
          <w:rFonts w:hint="eastAsia" w:eastAsia="楷体" w:cs="Times New Roman"/>
          <w:sz w:val="44"/>
          <w:szCs w:val="44"/>
        </w:rPr>
        <w:t>（送审本）</w:t>
      </w: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ind w:firstLine="360" w:firstLineChars="100"/>
        <w:rPr>
          <w:rFonts w:eastAsia="仿宋" w:cs="Times New Roman"/>
          <w:sz w:val="36"/>
          <w:szCs w:val="36"/>
          <w:u w:val="single"/>
        </w:rPr>
      </w:pPr>
      <w:r>
        <w:rPr>
          <w:rFonts w:eastAsia="仿宋" w:cs="Times New Roman"/>
          <w:sz w:val="36"/>
          <w:szCs w:val="36"/>
        </w:rPr>
        <w:t>项目名称：</w:t>
      </w:r>
      <w:r>
        <w:rPr>
          <w:rFonts w:hint="eastAsia" w:eastAsia="仿宋" w:cs="Times New Roman"/>
          <w:sz w:val="36"/>
          <w:szCs w:val="36"/>
          <w:u w:val="single"/>
        </w:rPr>
        <w:t xml:space="preserve"> </w:t>
      </w:r>
      <w:r>
        <w:rPr>
          <w:rFonts w:eastAsia="仿宋" w:cs="Times New Roman"/>
          <w:sz w:val="36"/>
          <w:szCs w:val="36"/>
          <w:u w:val="single"/>
        </w:rPr>
        <w:t xml:space="preserve">     </w:t>
      </w:r>
      <w:r>
        <w:rPr>
          <w:rFonts w:hint="eastAsia" w:eastAsia="仿宋" w:cs="Times New Roman"/>
          <w:sz w:val="36"/>
          <w:szCs w:val="36"/>
          <w:u w:val="single"/>
          <w:lang w:eastAsia="zh-CN"/>
        </w:rPr>
        <w:t>纳米涂膜玻璃生产项目</w:t>
      </w:r>
      <w:r>
        <w:rPr>
          <w:rFonts w:hint="eastAsia" w:eastAsia="仿宋" w:cs="Times New Roman"/>
          <w:sz w:val="36"/>
          <w:szCs w:val="36"/>
          <w:u w:val="single"/>
        </w:rPr>
        <w:t xml:space="preserve">  </w:t>
      </w:r>
      <w:r>
        <w:rPr>
          <w:rFonts w:eastAsia="仿宋" w:cs="Times New Roman"/>
          <w:sz w:val="36"/>
          <w:szCs w:val="36"/>
          <w:u w:val="single"/>
        </w:rPr>
        <w:t xml:space="preserve"> </w:t>
      </w:r>
      <w:r>
        <w:rPr>
          <w:rFonts w:hint="eastAsia" w:eastAsia="仿宋" w:cs="Times New Roman"/>
          <w:sz w:val="36"/>
          <w:szCs w:val="36"/>
          <w:u w:val="single"/>
          <w:lang w:val="en-US" w:eastAsia="zh-CN"/>
        </w:rPr>
        <w:t xml:space="preserve">    </w:t>
      </w:r>
      <w:r>
        <w:rPr>
          <w:rFonts w:eastAsia="仿宋" w:cs="Times New Roman"/>
          <w:sz w:val="36"/>
          <w:szCs w:val="36"/>
          <w:u w:val="single"/>
        </w:rPr>
        <w:t xml:space="preserve">  </w:t>
      </w:r>
    </w:p>
    <w:p>
      <w:pPr>
        <w:spacing w:line="360" w:lineRule="auto"/>
        <w:ind w:firstLine="360" w:firstLineChars="100"/>
        <w:rPr>
          <w:rFonts w:hint="eastAsia" w:eastAsia="仿宋" w:cs="Times New Roman"/>
          <w:sz w:val="36"/>
          <w:szCs w:val="36"/>
          <w:u w:val="single"/>
          <w:lang w:val="en-US" w:eastAsia="zh-CN"/>
        </w:rPr>
      </w:pPr>
      <w:r>
        <w:rPr>
          <w:rFonts w:eastAsia="仿宋" w:cs="Times New Roman"/>
          <w:sz w:val="36"/>
          <w:szCs w:val="36"/>
        </w:rPr>
        <w:t>建设单位（盖章）：</w:t>
      </w:r>
      <w:r>
        <w:rPr>
          <w:rFonts w:hint="eastAsia" w:eastAsia="仿宋" w:cs="Times New Roman"/>
          <w:sz w:val="36"/>
          <w:szCs w:val="36"/>
          <w:u w:val="single"/>
        </w:rPr>
        <w:t xml:space="preserve"> </w:t>
      </w:r>
      <w:r>
        <w:rPr>
          <w:rFonts w:eastAsia="仿宋" w:cs="Times New Roman"/>
          <w:sz w:val="36"/>
          <w:szCs w:val="36"/>
          <w:u w:val="single"/>
        </w:rPr>
        <w:t xml:space="preserve"> </w:t>
      </w:r>
      <w:r>
        <w:rPr>
          <w:rFonts w:hint="eastAsia" w:eastAsia="仿宋" w:cs="Times New Roman"/>
          <w:sz w:val="36"/>
          <w:szCs w:val="36"/>
          <w:u w:val="single"/>
        </w:rPr>
        <w:t>四川宇光光学玻璃有限公司</w:t>
      </w:r>
      <w:r>
        <w:rPr>
          <w:rFonts w:hint="eastAsia" w:eastAsia="仿宋" w:cs="Times New Roman"/>
          <w:sz w:val="36"/>
          <w:szCs w:val="36"/>
          <w:u w:val="single"/>
          <w:lang w:val="en-US" w:eastAsia="zh-CN"/>
        </w:rPr>
        <w:t xml:space="preserve"> </w:t>
      </w:r>
    </w:p>
    <w:p>
      <w:pPr>
        <w:spacing w:line="360" w:lineRule="auto"/>
        <w:ind w:firstLine="360" w:firstLineChars="100"/>
        <w:rPr>
          <w:rFonts w:eastAsia="仿宋" w:cs="Times New Roman"/>
          <w:sz w:val="36"/>
          <w:szCs w:val="36"/>
        </w:rPr>
      </w:pPr>
      <w:r>
        <w:rPr>
          <w:rFonts w:eastAsia="仿宋" w:cs="Times New Roman"/>
          <w:sz w:val="36"/>
          <w:szCs w:val="36"/>
        </w:rPr>
        <w:t>编制日期：</w:t>
      </w:r>
      <w:r>
        <w:rPr>
          <w:rFonts w:eastAsia="仿宋" w:cs="Times New Roman"/>
          <w:sz w:val="36"/>
          <w:szCs w:val="36"/>
          <w:u w:val="single"/>
        </w:rPr>
        <w:t xml:space="preserve">             202</w:t>
      </w:r>
      <w:r>
        <w:rPr>
          <w:rFonts w:hint="eastAsia" w:eastAsia="仿宋" w:cs="Times New Roman"/>
          <w:sz w:val="36"/>
          <w:szCs w:val="36"/>
          <w:u w:val="single"/>
          <w:lang w:val="en-US" w:eastAsia="zh-CN"/>
        </w:rPr>
        <w:t>4</w:t>
      </w:r>
      <w:r>
        <w:rPr>
          <w:rFonts w:eastAsia="仿宋" w:cs="Times New Roman"/>
          <w:sz w:val="36"/>
          <w:szCs w:val="36"/>
          <w:u w:val="single"/>
        </w:rPr>
        <w:t>年</w:t>
      </w:r>
      <w:r>
        <w:rPr>
          <w:rFonts w:hint="eastAsia" w:eastAsia="仿宋" w:cs="Times New Roman"/>
          <w:sz w:val="36"/>
          <w:szCs w:val="36"/>
          <w:u w:val="single"/>
          <w:lang w:val="en-US" w:eastAsia="zh-CN"/>
        </w:rPr>
        <w:t>1</w:t>
      </w:r>
      <w:r>
        <w:rPr>
          <w:rFonts w:eastAsia="仿宋" w:cs="Times New Roman"/>
          <w:sz w:val="36"/>
          <w:szCs w:val="36"/>
          <w:u w:val="single"/>
        </w:rPr>
        <w:t xml:space="preserve">月      </w:t>
      </w:r>
      <w:r>
        <w:rPr>
          <w:rFonts w:hint="eastAsia" w:eastAsia="仿宋" w:cs="Times New Roman"/>
          <w:sz w:val="36"/>
          <w:szCs w:val="36"/>
          <w:u w:val="single"/>
          <w:lang w:val="en-US" w:eastAsia="zh-CN"/>
        </w:rPr>
        <w:t xml:space="preserve"> </w:t>
      </w:r>
      <w:r>
        <w:rPr>
          <w:rFonts w:eastAsia="仿宋" w:cs="Times New Roman"/>
          <w:sz w:val="36"/>
          <w:szCs w:val="36"/>
          <w:u w:val="single"/>
        </w:rPr>
        <w:t xml:space="preserve">    </w:t>
      </w: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jc w:val="center"/>
        <w:rPr>
          <w:rFonts w:ascii="楷体" w:hAnsi="楷体" w:eastAsia="楷体"/>
          <w:sz w:val="36"/>
          <w:szCs w:val="36"/>
        </w:rPr>
      </w:pPr>
      <w:r>
        <w:rPr>
          <w:rFonts w:hint="eastAsia" w:ascii="楷体" w:hAnsi="楷体" w:eastAsia="楷体" w:cs="Times New Roman"/>
          <w:sz w:val="36"/>
          <w:szCs w:val="36"/>
        </w:rPr>
        <w:t>中华人民共和国生态环境部制</w:t>
      </w:r>
    </w:p>
    <w:p>
      <w:pPr>
        <w:spacing w:line="360" w:lineRule="auto"/>
        <w:rPr>
          <w:rFonts w:cs="Times New Roman"/>
          <w:sz w:val="28"/>
          <w:szCs w:val="28"/>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0"/>
        <w:jc w:val="center"/>
        <w:rPr>
          <w:szCs w:val="24"/>
        </w:rPr>
      </w:pPr>
      <w:bookmarkStart w:id="0" w:name="_Toc127864086"/>
      <w:r>
        <w:rPr>
          <w:rFonts w:ascii="黑体" w:hAnsi="黑体" w:eastAsia="黑体"/>
          <w:b w:val="0"/>
          <w:sz w:val="30"/>
          <w:szCs w:val="30"/>
        </w:rPr>
        <w:t>一</w:t>
      </w:r>
      <w:r>
        <w:rPr>
          <w:rFonts w:hint="eastAsia" w:ascii="黑体" w:hAnsi="黑体" w:eastAsia="黑体"/>
          <w:b w:val="0"/>
          <w:sz w:val="30"/>
          <w:szCs w:val="30"/>
        </w:rPr>
        <w:t>、</w:t>
      </w:r>
      <w:r>
        <w:rPr>
          <w:rFonts w:ascii="黑体" w:hAnsi="黑体" w:eastAsia="黑体"/>
          <w:b w:val="0"/>
          <w:sz w:val="30"/>
          <w:szCs w:val="30"/>
        </w:rPr>
        <w:t>建设项目基本情况</w:t>
      </w:r>
      <w:bookmarkEnd w:id="0"/>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870"/>
        <w:gridCol w:w="2182"/>
        <w:gridCol w:w="1544"/>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gridSpan w:val="2"/>
            <w:vAlign w:val="center"/>
          </w:tcPr>
          <w:p>
            <w:pPr>
              <w:spacing w:line="360" w:lineRule="auto"/>
              <w:jc w:val="center"/>
              <w:rPr>
                <w:rFonts w:cs="Times New Roman"/>
                <w:sz w:val="24"/>
                <w:szCs w:val="24"/>
              </w:rPr>
            </w:pPr>
            <w:r>
              <w:rPr>
                <w:rFonts w:cs="Times New Roman"/>
                <w:sz w:val="24"/>
                <w:szCs w:val="24"/>
              </w:rPr>
              <w:t>建设项目名称</w:t>
            </w:r>
          </w:p>
        </w:tc>
        <w:tc>
          <w:tcPr>
            <w:tcW w:w="3894" w:type="pct"/>
            <w:gridSpan w:val="3"/>
            <w:vAlign w:val="center"/>
          </w:tcPr>
          <w:p>
            <w:pPr>
              <w:spacing w:line="360" w:lineRule="auto"/>
              <w:jc w:val="center"/>
              <w:rPr>
                <w:rFonts w:hint="eastAsia" w:eastAsia="宋体" w:cs="Times New Roman"/>
                <w:sz w:val="24"/>
                <w:szCs w:val="24"/>
                <w:lang w:eastAsia="zh-CN"/>
              </w:rPr>
            </w:pPr>
            <w:r>
              <w:rPr>
                <w:rFonts w:hint="eastAsia" w:cs="Times New Roman"/>
                <w:sz w:val="24"/>
                <w:szCs w:val="24"/>
                <w:lang w:eastAsia="zh-CN"/>
              </w:rPr>
              <w:t>纳米涂膜玻璃生产项目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gridSpan w:val="2"/>
            <w:vAlign w:val="center"/>
          </w:tcPr>
          <w:p>
            <w:pPr>
              <w:spacing w:line="360" w:lineRule="auto"/>
              <w:jc w:val="center"/>
              <w:rPr>
                <w:rFonts w:cs="Times New Roman"/>
                <w:sz w:val="24"/>
                <w:szCs w:val="24"/>
              </w:rPr>
            </w:pPr>
            <w:r>
              <w:rPr>
                <w:rFonts w:cs="Times New Roman"/>
                <w:sz w:val="24"/>
                <w:szCs w:val="24"/>
              </w:rPr>
              <w:t>项目代码</w:t>
            </w:r>
          </w:p>
        </w:tc>
        <w:tc>
          <w:tcPr>
            <w:tcW w:w="3894" w:type="pct"/>
            <w:gridSpan w:val="3"/>
            <w:vAlign w:val="center"/>
          </w:tcPr>
          <w:p>
            <w:pPr>
              <w:spacing w:line="360" w:lineRule="auto"/>
              <w:jc w:val="center"/>
              <w:rPr>
                <w:rFonts w:cs="Times New Roman"/>
                <w:sz w:val="24"/>
                <w:szCs w:val="24"/>
              </w:rPr>
            </w:pPr>
            <w:r>
              <w:rPr>
                <w:rFonts w:cs="Times New Roman"/>
                <w:sz w:val="24"/>
                <w:szCs w:val="24"/>
              </w:rPr>
              <w:t>2303-511924-04-01-902374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gridSpan w:val="2"/>
            <w:vAlign w:val="center"/>
          </w:tcPr>
          <w:p>
            <w:pPr>
              <w:spacing w:line="360" w:lineRule="auto"/>
              <w:jc w:val="center"/>
              <w:rPr>
                <w:rFonts w:cs="Times New Roman"/>
                <w:sz w:val="24"/>
                <w:szCs w:val="24"/>
              </w:rPr>
            </w:pPr>
            <w:r>
              <w:rPr>
                <w:rFonts w:cs="Times New Roman"/>
                <w:sz w:val="24"/>
                <w:szCs w:val="24"/>
              </w:rPr>
              <w:t>建设单位联系人</w:t>
            </w:r>
          </w:p>
        </w:tc>
        <w:tc>
          <w:tcPr>
            <w:tcW w:w="1204" w:type="pct"/>
            <w:vAlign w:val="center"/>
          </w:tcPr>
          <w:p>
            <w:pPr>
              <w:spacing w:line="360" w:lineRule="auto"/>
              <w:jc w:val="center"/>
              <w:rPr>
                <w:rFonts w:cs="Times New Roman"/>
                <w:sz w:val="24"/>
                <w:szCs w:val="24"/>
              </w:rPr>
            </w:pPr>
            <w:r>
              <w:rPr>
                <w:rFonts w:hint="eastAsia" w:cs="Times New Roman"/>
                <w:sz w:val="24"/>
                <w:szCs w:val="24"/>
              </w:rPr>
              <w:t>李松</w:t>
            </w:r>
          </w:p>
        </w:tc>
        <w:tc>
          <w:tcPr>
            <w:tcW w:w="852" w:type="pct"/>
            <w:vAlign w:val="center"/>
          </w:tcPr>
          <w:p>
            <w:pPr>
              <w:spacing w:line="360" w:lineRule="auto"/>
              <w:jc w:val="center"/>
              <w:rPr>
                <w:rFonts w:cs="Times New Roman"/>
                <w:sz w:val="24"/>
                <w:szCs w:val="24"/>
              </w:rPr>
            </w:pPr>
            <w:r>
              <w:rPr>
                <w:rFonts w:cs="Times New Roman"/>
                <w:sz w:val="24"/>
                <w:szCs w:val="24"/>
              </w:rPr>
              <w:t>联系方式</w:t>
            </w:r>
          </w:p>
        </w:tc>
        <w:tc>
          <w:tcPr>
            <w:tcW w:w="1837" w:type="pct"/>
            <w:vAlign w:val="center"/>
          </w:tcPr>
          <w:p>
            <w:pPr>
              <w:spacing w:line="360" w:lineRule="auto"/>
              <w:jc w:val="center"/>
              <w:rPr>
                <w:rFonts w:cs="Times New Roman"/>
                <w:sz w:val="24"/>
                <w:szCs w:val="24"/>
              </w:rPr>
            </w:pPr>
            <w:r>
              <w:rPr>
                <w:rFonts w:cs="Times New Roman"/>
                <w:sz w:val="24"/>
                <w:szCs w:val="24"/>
              </w:rPr>
              <w:t>18508084777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gridSpan w:val="2"/>
            <w:vAlign w:val="center"/>
          </w:tcPr>
          <w:p>
            <w:pPr>
              <w:spacing w:line="360" w:lineRule="auto"/>
              <w:jc w:val="center"/>
              <w:rPr>
                <w:rFonts w:cs="Times New Roman"/>
                <w:sz w:val="24"/>
                <w:szCs w:val="24"/>
              </w:rPr>
            </w:pPr>
            <w:r>
              <w:rPr>
                <w:rFonts w:cs="Times New Roman"/>
                <w:sz w:val="24"/>
                <w:szCs w:val="24"/>
              </w:rPr>
              <w:t>建设地点</w:t>
            </w:r>
          </w:p>
        </w:tc>
        <w:tc>
          <w:tcPr>
            <w:tcW w:w="3894" w:type="pct"/>
            <w:gridSpan w:val="3"/>
            <w:vAlign w:val="center"/>
          </w:tcPr>
          <w:p>
            <w:pPr>
              <w:spacing w:line="360" w:lineRule="auto"/>
              <w:jc w:val="center"/>
              <w:rPr>
                <w:rFonts w:cs="Times New Roman"/>
                <w:sz w:val="24"/>
                <w:szCs w:val="24"/>
              </w:rPr>
            </w:pPr>
            <w:r>
              <w:rPr>
                <w:rFonts w:hint="eastAsia" w:cs="Times New Roman"/>
                <w:sz w:val="24"/>
                <w:szCs w:val="24"/>
                <w:lang w:eastAsia="zh-CN"/>
              </w:rPr>
              <w:t>巴中经济开发区</w:t>
            </w:r>
            <w:r>
              <w:rPr>
                <w:rFonts w:hint="eastAsia" w:cs="Times New Roman"/>
                <w:sz w:val="24"/>
                <w:szCs w:val="24"/>
              </w:rPr>
              <w:t>中山北路17号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gridSpan w:val="2"/>
            <w:vAlign w:val="center"/>
          </w:tcPr>
          <w:p>
            <w:pPr>
              <w:spacing w:line="360" w:lineRule="auto"/>
              <w:jc w:val="center"/>
              <w:rPr>
                <w:rFonts w:cs="Times New Roman"/>
                <w:sz w:val="24"/>
                <w:szCs w:val="24"/>
              </w:rPr>
            </w:pPr>
            <w:r>
              <w:rPr>
                <w:rFonts w:cs="Times New Roman"/>
                <w:sz w:val="24"/>
                <w:szCs w:val="24"/>
              </w:rPr>
              <w:t>地理坐标</w:t>
            </w:r>
          </w:p>
        </w:tc>
        <w:tc>
          <w:tcPr>
            <w:tcW w:w="3894" w:type="pct"/>
            <w:gridSpan w:val="3"/>
            <w:vAlign w:val="center"/>
          </w:tcPr>
          <w:p>
            <w:pPr>
              <w:spacing w:line="360" w:lineRule="auto"/>
              <w:jc w:val="center"/>
              <w:rPr>
                <w:rFonts w:cs="Times New Roman"/>
                <w:sz w:val="24"/>
                <w:szCs w:val="24"/>
              </w:rPr>
            </w:pPr>
            <w:r>
              <w:rPr>
                <w:rFonts w:cs="Times New Roman"/>
                <w:sz w:val="24"/>
                <w:szCs w:val="24"/>
              </w:rPr>
              <w:t>东经</w:t>
            </w:r>
            <w:r>
              <w:rPr>
                <w:rFonts w:hint="eastAsia" w:cs="Times New Roman"/>
                <w:sz w:val="24"/>
                <w:szCs w:val="24"/>
              </w:rPr>
              <w:t>106°53′14.028″</w:t>
            </w:r>
            <w:r>
              <w:rPr>
                <w:rFonts w:cs="Times New Roman"/>
                <w:sz w:val="24"/>
                <w:szCs w:val="24"/>
              </w:rPr>
              <w:t>，北纬</w:t>
            </w:r>
            <w:r>
              <w:rPr>
                <w:rFonts w:hint="eastAsia" w:cs="Times New Roman"/>
                <w:sz w:val="24"/>
                <w:szCs w:val="24"/>
              </w:rPr>
              <w:t>31°51′37.080″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5" w:type="pct"/>
            <w:gridSpan w:val="2"/>
            <w:vAlign w:val="center"/>
          </w:tcPr>
          <w:p>
            <w:pPr>
              <w:jc w:val="center"/>
              <w:rPr>
                <w:rFonts w:cs="Times New Roman"/>
                <w:sz w:val="24"/>
                <w:szCs w:val="24"/>
              </w:rPr>
            </w:pPr>
            <w:r>
              <w:rPr>
                <w:rFonts w:hint="eastAsia" w:cs="Times New Roman"/>
                <w:sz w:val="24"/>
                <w:szCs w:val="24"/>
              </w:rPr>
              <w:t>国民经济</w:t>
            </w:r>
          </w:p>
          <w:p>
            <w:pPr>
              <w:jc w:val="center"/>
              <w:rPr>
                <w:rFonts w:cs="Times New Roman"/>
                <w:sz w:val="24"/>
                <w:szCs w:val="24"/>
              </w:rPr>
            </w:pPr>
            <w:r>
              <w:rPr>
                <w:rFonts w:hint="eastAsia" w:cs="Times New Roman"/>
                <w:sz w:val="24"/>
                <w:szCs w:val="24"/>
              </w:rPr>
              <w:t>行业类别</w:t>
            </w:r>
          </w:p>
        </w:tc>
        <w:tc>
          <w:tcPr>
            <w:tcW w:w="1204" w:type="pct"/>
            <w:vAlign w:val="center"/>
          </w:tcPr>
          <w:p>
            <w:pPr>
              <w:jc w:val="center"/>
              <w:rPr>
                <w:rFonts w:cs="Times New Roman"/>
                <w:sz w:val="24"/>
                <w:szCs w:val="24"/>
              </w:rPr>
            </w:pPr>
            <w:r>
              <w:rPr>
                <w:rFonts w:hint="eastAsia" w:cs="Times New Roman"/>
                <w:sz w:val="24"/>
                <w:szCs w:val="24"/>
              </w:rPr>
              <w:t>C3042 特种玻璃制造</w:t>
            </w:r>
          </w:p>
        </w:tc>
        <w:tc>
          <w:tcPr>
            <w:tcW w:w="852" w:type="pct"/>
            <w:vAlign w:val="center"/>
          </w:tcPr>
          <w:p>
            <w:pPr>
              <w:jc w:val="center"/>
              <w:rPr>
                <w:rFonts w:cs="Times New Roman"/>
                <w:sz w:val="24"/>
                <w:szCs w:val="24"/>
              </w:rPr>
            </w:pPr>
            <w:r>
              <w:rPr>
                <w:rFonts w:hint="eastAsia" w:cs="Times New Roman"/>
                <w:sz w:val="24"/>
                <w:szCs w:val="24"/>
              </w:rPr>
              <w:t>建设项目</w:t>
            </w:r>
          </w:p>
          <w:p>
            <w:pPr>
              <w:jc w:val="center"/>
              <w:rPr>
                <w:rFonts w:cs="Times New Roman"/>
                <w:sz w:val="24"/>
                <w:szCs w:val="24"/>
              </w:rPr>
            </w:pPr>
            <w:r>
              <w:rPr>
                <w:rFonts w:hint="eastAsia" w:cs="Times New Roman"/>
                <w:sz w:val="24"/>
                <w:szCs w:val="24"/>
              </w:rPr>
              <w:t>行业类别</w:t>
            </w:r>
          </w:p>
        </w:tc>
        <w:tc>
          <w:tcPr>
            <w:tcW w:w="1837" w:type="pct"/>
            <w:vAlign w:val="center"/>
          </w:tcPr>
          <w:p>
            <w:pPr>
              <w:rPr>
                <w:rFonts w:cs="Times New Roman"/>
                <w:sz w:val="24"/>
                <w:szCs w:val="24"/>
              </w:rPr>
            </w:pPr>
            <w:r>
              <w:rPr>
                <w:rFonts w:hint="eastAsia" w:cs="Times New Roman"/>
                <w:sz w:val="24"/>
                <w:szCs w:val="24"/>
              </w:rPr>
              <w:t>二十七、非金属矿物制品业30.57.玻璃制造304；玻璃制品制造305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1105" w:type="pct"/>
            <w:gridSpan w:val="2"/>
            <w:vAlign w:val="center"/>
          </w:tcPr>
          <w:p>
            <w:pPr>
              <w:spacing w:line="360" w:lineRule="auto"/>
              <w:jc w:val="center"/>
              <w:rPr>
                <w:rFonts w:cs="Times New Roman"/>
                <w:sz w:val="24"/>
                <w:szCs w:val="24"/>
              </w:rPr>
            </w:pPr>
            <w:r>
              <w:rPr>
                <w:rFonts w:cs="Times New Roman"/>
                <w:sz w:val="24"/>
                <w:szCs w:val="24"/>
              </w:rPr>
              <w:t>建设性质</w:t>
            </w:r>
          </w:p>
        </w:tc>
        <w:tc>
          <w:tcPr>
            <w:tcW w:w="1204" w:type="pct"/>
            <w:vAlign w:val="center"/>
          </w:tcPr>
          <w:p>
            <w:pPr>
              <w:rPr>
                <w:rFonts w:cs="Times New Roman"/>
                <w:sz w:val="24"/>
                <w:szCs w:val="24"/>
              </w:rPr>
            </w:pPr>
            <w:r>
              <w:rPr>
                <w:rFonts w:cs="Times New Roman" w:asciiTheme="minorEastAsia" w:hAnsiTheme="minorEastAsia" w:eastAsiaTheme="minorEastAsia"/>
                <w:sz w:val="24"/>
                <w:szCs w:val="24"/>
              </w:rPr>
              <w:t>□</w:t>
            </w:r>
            <w:r>
              <w:rPr>
                <w:rFonts w:cs="Times New Roman"/>
                <w:sz w:val="24"/>
                <w:szCs w:val="24"/>
              </w:rPr>
              <w:t>新建（迁建）</w:t>
            </w:r>
          </w:p>
          <w:p>
            <w:pP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□改建</w:t>
            </w:r>
          </w:p>
          <w:p>
            <w:pPr>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lang w:eastAsia="zh-CN"/>
              </w:rPr>
              <w:t>☑</w:t>
            </w:r>
            <w:r>
              <w:rPr>
                <w:rFonts w:cs="Times New Roman" w:asciiTheme="minorEastAsia" w:hAnsiTheme="minorEastAsia" w:eastAsiaTheme="minorEastAsia"/>
                <w:sz w:val="24"/>
                <w:szCs w:val="24"/>
              </w:rPr>
              <w:t>扩建</w:t>
            </w:r>
          </w:p>
          <w:p>
            <w:pPr>
              <w:rPr>
                <w:rFonts w:cs="Times New Roman"/>
                <w:sz w:val="24"/>
                <w:szCs w:val="24"/>
              </w:rPr>
            </w:pPr>
            <w:r>
              <w:rPr>
                <w:rFonts w:cs="Times New Roman" w:asciiTheme="minorEastAsia" w:hAnsiTheme="minorEastAsia" w:eastAsiaTheme="minorEastAsia"/>
                <w:sz w:val="24"/>
                <w:szCs w:val="24"/>
              </w:rPr>
              <w:t>□技术改造</w:t>
            </w:r>
          </w:p>
        </w:tc>
        <w:tc>
          <w:tcPr>
            <w:tcW w:w="852" w:type="pct"/>
            <w:vAlign w:val="center"/>
          </w:tcPr>
          <w:p>
            <w:pPr>
              <w:jc w:val="center"/>
              <w:rPr>
                <w:rFonts w:cs="Times New Roman"/>
                <w:sz w:val="24"/>
                <w:szCs w:val="24"/>
              </w:rPr>
            </w:pPr>
            <w:r>
              <w:rPr>
                <w:rFonts w:cs="Times New Roman"/>
                <w:sz w:val="24"/>
                <w:szCs w:val="24"/>
              </w:rPr>
              <w:t>建设项目</w:t>
            </w:r>
          </w:p>
          <w:p>
            <w:pPr>
              <w:jc w:val="center"/>
              <w:rPr>
                <w:rFonts w:cs="Times New Roman"/>
                <w:sz w:val="24"/>
                <w:szCs w:val="24"/>
              </w:rPr>
            </w:pPr>
            <w:r>
              <w:rPr>
                <w:rFonts w:cs="Times New Roman"/>
                <w:sz w:val="24"/>
                <w:szCs w:val="24"/>
              </w:rPr>
              <w:t>申报情形</w:t>
            </w:r>
          </w:p>
        </w:tc>
        <w:tc>
          <w:tcPr>
            <w:tcW w:w="1837" w:type="pct"/>
            <w:vAlign w:val="center"/>
          </w:tcPr>
          <w:p>
            <w:pPr>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lang w:eastAsia="zh-CN"/>
              </w:rPr>
              <w:t>☑</w:t>
            </w:r>
            <w:r>
              <w:rPr>
                <w:rFonts w:cs="Times New Roman" w:asciiTheme="minorEastAsia" w:hAnsiTheme="minorEastAsia" w:eastAsiaTheme="minorEastAsia"/>
                <w:sz w:val="24"/>
                <w:szCs w:val="24"/>
              </w:rPr>
              <w:t>首次申报项目</w:t>
            </w:r>
          </w:p>
          <w:p>
            <w:pPr>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lang w:eastAsia="zh-CN"/>
              </w:rPr>
              <w:t>□</w:t>
            </w:r>
            <w:r>
              <w:rPr>
                <w:rFonts w:cs="Times New Roman" w:asciiTheme="minorEastAsia" w:hAnsiTheme="minorEastAsia" w:eastAsiaTheme="minorEastAsia"/>
                <w:sz w:val="24"/>
                <w:szCs w:val="24"/>
              </w:rPr>
              <w:t>不予批准后再次申报项目</w:t>
            </w:r>
          </w:p>
          <w:p>
            <w:pP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□超五年重新审核项目</w:t>
            </w:r>
          </w:p>
          <w:p>
            <w:pPr>
              <w:rPr>
                <w:rFonts w:cs="Times New Roman"/>
                <w:sz w:val="24"/>
                <w:szCs w:val="24"/>
              </w:rPr>
            </w:pPr>
            <w:r>
              <w:rPr>
                <w:rFonts w:cs="Times New Roman" w:asciiTheme="minorEastAsia" w:hAnsiTheme="minorEastAsia" w:eastAsiaTheme="minorEastAsia"/>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105" w:type="pct"/>
            <w:gridSpan w:val="2"/>
            <w:vAlign w:val="center"/>
          </w:tcPr>
          <w:p>
            <w:pPr>
              <w:jc w:val="center"/>
              <w:rPr>
                <w:rFonts w:cs="Times New Roman"/>
                <w:sz w:val="24"/>
                <w:szCs w:val="24"/>
              </w:rPr>
            </w:pPr>
            <w:r>
              <w:rPr>
                <w:rFonts w:hint="eastAsia" w:cs="Times New Roman"/>
                <w:sz w:val="24"/>
                <w:szCs w:val="24"/>
              </w:rPr>
              <w:t>项目审批（核准/备案）部门（选填）</w:t>
            </w:r>
          </w:p>
        </w:tc>
        <w:tc>
          <w:tcPr>
            <w:tcW w:w="1204" w:type="pct"/>
            <w:vAlign w:val="center"/>
          </w:tcPr>
          <w:p>
            <w:pPr>
              <w:jc w:val="center"/>
              <w:rPr>
                <w:rFonts w:cs="Times New Roman"/>
                <w:sz w:val="24"/>
                <w:szCs w:val="24"/>
              </w:rPr>
            </w:pPr>
            <w:r>
              <w:rPr>
                <w:rFonts w:hint="eastAsia" w:cs="Times New Roman"/>
                <w:sz w:val="24"/>
                <w:szCs w:val="24"/>
              </w:rPr>
              <w:t>四川巴中经济开发区科技创新和经济发展局</w:t>
            </w:r>
          </w:p>
        </w:tc>
        <w:tc>
          <w:tcPr>
            <w:tcW w:w="852" w:type="pct"/>
            <w:vAlign w:val="center"/>
          </w:tcPr>
          <w:p>
            <w:pPr>
              <w:jc w:val="center"/>
              <w:rPr>
                <w:rFonts w:cs="Times New Roman"/>
                <w:sz w:val="24"/>
                <w:szCs w:val="24"/>
              </w:rPr>
            </w:pPr>
            <w:r>
              <w:rPr>
                <w:rFonts w:hint="eastAsia" w:cs="Times New Roman"/>
                <w:sz w:val="24"/>
                <w:szCs w:val="24"/>
              </w:rPr>
              <w:t>项目审批（核准/备案）文号（选填）</w:t>
            </w:r>
          </w:p>
        </w:tc>
        <w:tc>
          <w:tcPr>
            <w:tcW w:w="1837" w:type="pct"/>
            <w:vAlign w:val="center"/>
          </w:tcPr>
          <w:p>
            <w:pPr>
              <w:jc w:val="center"/>
              <w:rPr>
                <w:rFonts w:cs="Times New Roman"/>
                <w:sz w:val="24"/>
                <w:szCs w:val="24"/>
              </w:rPr>
            </w:pPr>
            <w:r>
              <w:rPr>
                <w:rFonts w:hint="eastAsia" w:cs="Times New Roman"/>
                <w:sz w:val="24"/>
                <w:szCs w:val="24"/>
              </w:rPr>
              <w:t>川投资备【2303-511924-04-01-902374】FGQB-0005号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5" w:type="pct"/>
            <w:gridSpan w:val="2"/>
            <w:vAlign w:val="center"/>
          </w:tcPr>
          <w:p>
            <w:pPr>
              <w:jc w:val="center"/>
              <w:rPr>
                <w:rFonts w:cs="Times New Roman"/>
                <w:sz w:val="24"/>
                <w:szCs w:val="24"/>
              </w:rPr>
            </w:pPr>
            <w:r>
              <w:rPr>
                <w:rFonts w:hint="eastAsia" w:cs="Times New Roman"/>
                <w:sz w:val="24"/>
                <w:szCs w:val="24"/>
              </w:rPr>
              <w:t>总投资（万元）</w:t>
            </w:r>
          </w:p>
        </w:tc>
        <w:tc>
          <w:tcPr>
            <w:tcW w:w="1204" w:type="pct"/>
            <w:vAlign w:val="center"/>
          </w:tcPr>
          <w:p>
            <w:pPr>
              <w:jc w:val="center"/>
              <w:rPr>
                <w:rFonts w:cs="Times New Roman"/>
                <w:sz w:val="24"/>
                <w:szCs w:val="24"/>
              </w:rPr>
            </w:pPr>
            <w:r>
              <w:rPr>
                <w:rFonts w:hint="eastAsia" w:cs="Times New Roman"/>
                <w:sz w:val="24"/>
                <w:szCs w:val="24"/>
              </w:rPr>
              <w:t>2800</w:t>
            </w:r>
          </w:p>
        </w:tc>
        <w:tc>
          <w:tcPr>
            <w:tcW w:w="852" w:type="pct"/>
            <w:vAlign w:val="center"/>
          </w:tcPr>
          <w:p>
            <w:pPr>
              <w:jc w:val="center"/>
              <w:rPr>
                <w:rFonts w:cs="Times New Roman"/>
                <w:sz w:val="24"/>
                <w:szCs w:val="24"/>
                <w:highlight w:val="none"/>
              </w:rPr>
            </w:pPr>
            <w:r>
              <w:rPr>
                <w:rFonts w:hint="eastAsia" w:cs="Times New Roman"/>
                <w:sz w:val="24"/>
                <w:szCs w:val="24"/>
                <w:highlight w:val="none"/>
              </w:rPr>
              <w:t>环保投资</w:t>
            </w:r>
          </w:p>
          <w:p>
            <w:pPr>
              <w:jc w:val="center"/>
              <w:rPr>
                <w:rFonts w:cs="Times New Roman"/>
                <w:sz w:val="24"/>
                <w:szCs w:val="24"/>
              </w:rPr>
            </w:pPr>
            <w:r>
              <w:rPr>
                <w:rFonts w:hint="eastAsia" w:cs="Times New Roman"/>
                <w:sz w:val="24"/>
                <w:szCs w:val="24"/>
                <w:highlight w:val="none"/>
              </w:rPr>
              <w:t>（万元）</w:t>
            </w:r>
          </w:p>
        </w:tc>
        <w:tc>
          <w:tcPr>
            <w:tcW w:w="1837" w:type="pct"/>
            <w:vAlign w:val="center"/>
          </w:tcPr>
          <w:p>
            <w:pPr>
              <w:jc w:val="center"/>
              <w:rPr>
                <w:rFonts w:hint="default" w:eastAsia="宋体" w:cs="Times New Roman"/>
                <w:sz w:val="24"/>
                <w:szCs w:val="24"/>
                <w:lang w:val="en-US" w:eastAsia="zh-CN"/>
              </w:rPr>
            </w:pPr>
            <w:r>
              <w:rPr>
                <w:rFonts w:hint="eastAsia" w:cs="Times New Roman"/>
                <w:sz w:val="24"/>
                <w:szCs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5" w:type="pct"/>
            <w:gridSpan w:val="2"/>
            <w:vAlign w:val="center"/>
          </w:tcPr>
          <w:p>
            <w:pPr>
              <w:spacing w:line="360" w:lineRule="auto"/>
              <w:jc w:val="center"/>
              <w:rPr>
                <w:rFonts w:cs="Times New Roman"/>
                <w:sz w:val="24"/>
                <w:szCs w:val="24"/>
              </w:rPr>
            </w:pPr>
            <w:r>
              <w:rPr>
                <w:rFonts w:hint="eastAsia" w:cs="Times New Roman"/>
                <w:sz w:val="24"/>
                <w:szCs w:val="24"/>
                <w:highlight w:val="none"/>
              </w:rPr>
              <w:t>环保投资占比</w:t>
            </w:r>
          </w:p>
        </w:tc>
        <w:tc>
          <w:tcPr>
            <w:tcW w:w="1204" w:type="pct"/>
            <w:vAlign w:val="center"/>
          </w:tcPr>
          <w:p>
            <w:pPr>
              <w:spacing w:line="360" w:lineRule="auto"/>
              <w:jc w:val="center"/>
              <w:rPr>
                <w:rFonts w:hint="default" w:eastAsia="宋体" w:cs="Times New Roman"/>
                <w:sz w:val="24"/>
                <w:szCs w:val="24"/>
                <w:lang w:val="en-US" w:eastAsia="zh-CN"/>
              </w:rPr>
            </w:pPr>
            <w:r>
              <w:rPr>
                <w:rFonts w:hint="eastAsia" w:cs="Times New Roman"/>
                <w:sz w:val="24"/>
                <w:szCs w:val="24"/>
                <w:lang w:val="en-US" w:eastAsia="zh-CN"/>
              </w:rPr>
              <w:t>1.04</w:t>
            </w:r>
            <w:r>
              <w:rPr>
                <w:rFonts w:hint="eastAsia" w:cs="Times New Roman"/>
                <w:sz w:val="24"/>
                <w:szCs w:val="24"/>
                <w:highlight w:val="none"/>
              </w:rPr>
              <w:t>%</w:t>
            </w:r>
          </w:p>
        </w:tc>
        <w:tc>
          <w:tcPr>
            <w:tcW w:w="852" w:type="pct"/>
            <w:vAlign w:val="center"/>
          </w:tcPr>
          <w:p>
            <w:pPr>
              <w:spacing w:line="360" w:lineRule="auto"/>
              <w:jc w:val="center"/>
              <w:rPr>
                <w:rFonts w:cs="Times New Roman"/>
                <w:sz w:val="24"/>
                <w:szCs w:val="24"/>
              </w:rPr>
            </w:pPr>
            <w:r>
              <w:rPr>
                <w:rFonts w:hint="eastAsia" w:cs="Times New Roman"/>
                <w:sz w:val="24"/>
                <w:szCs w:val="24"/>
              </w:rPr>
              <w:t>施工工期</w:t>
            </w:r>
          </w:p>
        </w:tc>
        <w:tc>
          <w:tcPr>
            <w:tcW w:w="1837" w:type="pct"/>
            <w:vAlign w:val="center"/>
          </w:tcPr>
          <w:p>
            <w:pPr>
              <w:spacing w:line="360" w:lineRule="auto"/>
              <w:jc w:val="center"/>
              <w:rPr>
                <w:rFonts w:cs="Times New Roman"/>
                <w:sz w:val="24"/>
                <w:szCs w:val="24"/>
              </w:rPr>
            </w:pPr>
            <w:r>
              <w:rPr>
                <w:rFonts w:hint="eastAsia" w:cs="Times New Roman"/>
                <w:sz w:val="24"/>
                <w:szCs w:val="24"/>
                <w:lang w:val="en-US" w:eastAsia="zh-CN"/>
              </w:rPr>
              <w:t>4</w:t>
            </w:r>
            <w:r>
              <w:rPr>
                <w:rFonts w:hint="eastAsia" w:cs="Times New Roman"/>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05" w:type="pct"/>
            <w:gridSpan w:val="2"/>
            <w:vAlign w:val="center"/>
          </w:tcPr>
          <w:p>
            <w:pPr>
              <w:spacing w:line="360" w:lineRule="auto"/>
              <w:jc w:val="center"/>
              <w:rPr>
                <w:rFonts w:cs="Times New Roman"/>
                <w:sz w:val="24"/>
                <w:szCs w:val="24"/>
              </w:rPr>
            </w:pPr>
            <w:r>
              <w:rPr>
                <w:rFonts w:hint="eastAsia" w:cs="Times New Roman"/>
                <w:sz w:val="24"/>
                <w:szCs w:val="24"/>
              </w:rPr>
              <w:t>是否开工建设</w:t>
            </w:r>
          </w:p>
        </w:tc>
        <w:tc>
          <w:tcPr>
            <w:tcW w:w="1204" w:type="pct"/>
            <w:vAlign w:val="center"/>
          </w:tcPr>
          <w:p>
            <w:pPr>
              <w:spacing w:line="360" w:lineRule="auto"/>
              <w:rPr>
                <w:rFonts w:cs="Times New Roman"/>
                <w:sz w:val="24"/>
                <w:szCs w:val="24"/>
              </w:rPr>
            </w:pPr>
            <w:r>
              <w:rPr>
                <w:rFonts w:hint="eastAsia" w:cs="Times New Roman" w:asciiTheme="minorEastAsia" w:hAnsiTheme="minorEastAsia" w:eastAsiaTheme="minorEastAsia"/>
                <w:sz w:val="24"/>
                <w:szCs w:val="24"/>
                <w:lang w:eastAsia="zh-CN"/>
              </w:rPr>
              <w:t>☑</w:t>
            </w:r>
            <w:r>
              <w:rPr>
                <w:rFonts w:hint="eastAsia" w:cs="Times New Roman"/>
                <w:sz w:val="24"/>
                <w:szCs w:val="24"/>
              </w:rPr>
              <w:t>否</w:t>
            </w:r>
          </w:p>
          <w:p>
            <w:pPr>
              <w:spacing w:line="360" w:lineRule="auto"/>
              <w:rPr>
                <w:rFonts w:cs="Times New Roman"/>
                <w:sz w:val="24"/>
                <w:szCs w:val="24"/>
                <w:u w:val="single"/>
              </w:rPr>
            </w:pPr>
            <w:r>
              <w:rPr>
                <w:rFonts w:hint="eastAsia" w:cs="Times New Roman" w:asciiTheme="minorEastAsia" w:hAnsiTheme="minorEastAsia" w:eastAsiaTheme="minorEastAsia"/>
                <w:sz w:val="24"/>
                <w:szCs w:val="24"/>
                <w:lang w:eastAsia="zh-CN"/>
              </w:rPr>
              <w:t>□</w:t>
            </w:r>
            <w:r>
              <w:rPr>
                <w:rFonts w:hint="eastAsia" w:cs="Times New Roman"/>
                <w:sz w:val="24"/>
                <w:szCs w:val="24"/>
              </w:rPr>
              <w:t>是：</w:t>
            </w:r>
            <w:r>
              <w:rPr>
                <w:rFonts w:hint="eastAsia" w:cs="Times New Roman"/>
                <w:sz w:val="24"/>
                <w:szCs w:val="24"/>
                <w:u w:val="single"/>
              </w:rPr>
              <w:t xml:space="preserve"> </w:t>
            </w:r>
            <w:r>
              <w:rPr>
                <w:rFonts w:cs="Times New Roman"/>
                <w:sz w:val="24"/>
                <w:szCs w:val="24"/>
                <w:u w:val="single"/>
              </w:rPr>
              <w:t xml:space="preserve">            </w:t>
            </w:r>
            <w:r>
              <w:rPr>
                <w:rFonts w:hint="eastAsia" w:cs="Times New Roman"/>
                <w:sz w:val="24"/>
                <w:szCs w:val="24"/>
                <w:u w:val="single"/>
              </w:rPr>
              <w:t xml:space="preserve"> </w:t>
            </w:r>
          </w:p>
        </w:tc>
        <w:tc>
          <w:tcPr>
            <w:tcW w:w="852" w:type="pct"/>
            <w:vAlign w:val="center"/>
          </w:tcPr>
          <w:p>
            <w:pPr>
              <w:spacing w:line="360" w:lineRule="auto"/>
              <w:rPr>
                <w:rFonts w:cs="Times New Roman"/>
                <w:sz w:val="24"/>
                <w:szCs w:val="24"/>
              </w:rPr>
            </w:pPr>
            <w:r>
              <w:rPr>
                <w:rFonts w:hint="eastAsia" w:cs="Times New Roman"/>
                <w:sz w:val="24"/>
                <w:szCs w:val="24"/>
              </w:rPr>
              <w:t>用地（用海）面积（m</w:t>
            </w:r>
            <w:r>
              <w:rPr>
                <w:rFonts w:hint="eastAsia" w:cs="Times New Roman"/>
                <w:sz w:val="24"/>
                <w:szCs w:val="24"/>
                <w:vertAlign w:val="superscript"/>
              </w:rPr>
              <w:t>2</w:t>
            </w:r>
            <w:r>
              <w:rPr>
                <w:rFonts w:hint="eastAsia" w:cs="Times New Roman"/>
                <w:sz w:val="24"/>
                <w:szCs w:val="24"/>
              </w:rPr>
              <w:t>）</w:t>
            </w:r>
          </w:p>
        </w:tc>
        <w:tc>
          <w:tcPr>
            <w:tcW w:w="1837" w:type="pct"/>
            <w:vAlign w:val="center"/>
          </w:tcPr>
          <w:p>
            <w:pPr>
              <w:spacing w:line="360" w:lineRule="auto"/>
              <w:jc w:val="center"/>
              <w:rPr>
                <w:rFonts w:cs="Times New Roman"/>
                <w:sz w:val="24"/>
                <w:szCs w:val="24"/>
              </w:rPr>
            </w:pPr>
            <w:r>
              <w:rPr>
                <w:rFonts w:hint="eastAsia" w:cs="Times New Roman"/>
                <w:sz w:val="24"/>
                <w:szCs w:val="24"/>
                <w:lang w:val="en-US" w:eastAsia="zh-CN"/>
              </w:rPr>
              <w:t>8</w:t>
            </w:r>
            <w:r>
              <w:rPr>
                <w:rFonts w:hint="eastAsia" w:cs="Times New Roman"/>
                <w:sz w:val="24"/>
                <w:szCs w:val="24"/>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05" w:type="pct"/>
            <w:gridSpan w:val="2"/>
            <w:vAlign w:val="center"/>
          </w:tcPr>
          <w:p>
            <w:pPr>
              <w:spacing w:line="360" w:lineRule="auto"/>
              <w:jc w:val="center"/>
              <w:rPr>
                <w:rFonts w:cs="Times New Roman"/>
                <w:sz w:val="24"/>
                <w:szCs w:val="24"/>
              </w:rPr>
            </w:pPr>
            <w:r>
              <w:rPr>
                <w:rFonts w:hint="eastAsia" w:cs="Times New Roman"/>
                <w:sz w:val="24"/>
                <w:szCs w:val="24"/>
              </w:rPr>
              <w:t>专项评价设置情况</w:t>
            </w:r>
          </w:p>
        </w:tc>
        <w:tc>
          <w:tcPr>
            <w:tcW w:w="3894" w:type="pct"/>
            <w:gridSpan w:val="3"/>
            <w:vAlign w:val="center"/>
          </w:tcPr>
          <w:p>
            <w:pPr>
              <w:spacing w:line="360" w:lineRule="auto"/>
              <w:ind w:firstLine="480" w:firstLineChars="200"/>
              <w:rPr>
                <w:rFonts w:cs="Times New Roman"/>
                <w:sz w:val="24"/>
                <w:szCs w:val="24"/>
              </w:rPr>
            </w:pPr>
            <w:r>
              <w:rPr>
                <w:rFonts w:cs="Times New Roman"/>
                <w:sz w:val="24"/>
                <w:szCs w:val="24"/>
              </w:rPr>
              <w:t>根据《建设项目环境影响报告表编制技术指南（污染影响类）（试行）》，</w:t>
            </w:r>
            <w:r>
              <w:rPr>
                <w:rFonts w:hint="eastAsia" w:cs="Times New Roman"/>
                <w:sz w:val="24"/>
                <w:szCs w:val="24"/>
              </w:rPr>
              <w:t>本项目专项评价设置情况见下表</w:t>
            </w:r>
            <w:r>
              <w:rPr>
                <w:rFonts w:cs="Times New Roman"/>
                <w:sz w:val="24"/>
                <w:szCs w:val="24"/>
              </w:rPr>
              <w:t>：</w:t>
            </w:r>
          </w:p>
          <w:p>
            <w:pPr>
              <w:pStyle w:val="53"/>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pPr>
            <w:r>
              <w:t>项评价设置表</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0"/>
              <w:gridCol w:w="3037"/>
              <w:gridCol w:w="2295"/>
              <w:gridCol w:w="6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14" w:type="pct"/>
                  <w:tcBorders>
                    <w:tl2br w:val="nil"/>
                    <w:tr2bl w:val="nil"/>
                  </w:tcBorders>
                  <w:shd w:val="clear" w:color="auto" w:fill="auto"/>
                  <w:vAlign w:val="center"/>
                </w:tcPr>
                <w:p>
                  <w:pPr>
                    <w:pStyle w:val="43"/>
                  </w:pPr>
                  <w:r>
                    <w:t>专项评价类别</w:t>
                  </w:r>
                </w:p>
              </w:tc>
              <w:tc>
                <w:tcPr>
                  <w:tcW w:w="2219" w:type="pct"/>
                  <w:tcBorders>
                    <w:tl2br w:val="nil"/>
                    <w:tr2bl w:val="nil"/>
                  </w:tcBorders>
                  <w:vAlign w:val="center"/>
                </w:tcPr>
                <w:p>
                  <w:pPr>
                    <w:pStyle w:val="43"/>
                  </w:pPr>
                  <w:r>
                    <w:t>设置原则</w:t>
                  </w:r>
                </w:p>
              </w:tc>
              <w:tc>
                <w:tcPr>
                  <w:tcW w:w="1677" w:type="pct"/>
                  <w:tcBorders>
                    <w:tl2br w:val="nil"/>
                    <w:tr2bl w:val="nil"/>
                  </w:tcBorders>
                  <w:vAlign w:val="center"/>
                </w:tcPr>
                <w:p>
                  <w:pPr>
                    <w:pStyle w:val="43"/>
                  </w:pPr>
                  <w:r>
                    <w:t>本项目情况</w:t>
                  </w:r>
                </w:p>
              </w:tc>
              <w:tc>
                <w:tcPr>
                  <w:tcW w:w="488" w:type="pct"/>
                  <w:tcBorders>
                    <w:tl2br w:val="nil"/>
                    <w:tr2bl w:val="nil"/>
                  </w:tcBorders>
                  <w:vAlign w:val="center"/>
                </w:tcPr>
                <w:p>
                  <w:pPr>
                    <w:pStyle w:val="43"/>
                  </w:pPr>
                  <w:r>
                    <w:t>是否专项评价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14" w:type="pct"/>
                  <w:tcBorders>
                    <w:tl2br w:val="nil"/>
                    <w:tr2bl w:val="nil"/>
                  </w:tcBorders>
                  <w:shd w:val="clear" w:color="auto" w:fill="auto"/>
                  <w:vAlign w:val="center"/>
                </w:tcPr>
                <w:p>
                  <w:pPr>
                    <w:jc w:val="center"/>
                    <w:rPr>
                      <w:rFonts w:cs="Times New Roman"/>
                      <w:szCs w:val="21"/>
                    </w:rPr>
                  </w:pPr>
                  <w:r>
                    <w:rPr>
                      <w:rFonts w:cs="Times New Roman"/>
                      <w:szCs w:val="21"/>
                    </w:rPr>
                    <w:t>大气</w:t>
                  </w:r>
                </w:p>
              </w:tc>
              <w:tc>
                <w:tcPr>
                  <w:tcW w:w="2219" w:type="pct"/>
                  <w:tcBorders>
                    <w:tl2br w:val="nil"/>
                    <w:tr2bl w:val="nil"/>
                  </w:tcBorders>
                  <w:vAlign w:val="center"/>
                </w:tcPr>
                <w:p>
                  <w:pPr>
                    <w:rPr>
                      <w:rFonts w:cs="Times New Roman"/>
                      <w:szCs w:val="21"/>
                    </w:rPr>
                  </w:pPr>
                  <w:r>
                    <w:rPr>
                      <w:rFonts w:cs="Times New Roman"/>
                      <w:szCs w:val="21"/>
                    </w:rPr>
                    <w:t>排放废气含有有毒有害物、二噁英、苯并[a]芘、氰化物、氯气且厂界外500米范围内有环境空气保护目标的建设项目</w:t>
                  </w:r>
                </w:p>
              </w:tc>
              <w:tc>
                <w:tcPr>
                  <w:tcW w:w="1677" w:type="pct"/>
                  <w:tcBorders>
                    <w:tl2br w:val="nil"/>
                    <w:tr2bl w:val="nil"/>
                  </w:tcBorders>
                  <w:vAlign w:val="center"/>
                </w:tcPr>
                <w:p>
                  <w:pPr>
                    <w:jc w:val="center"/>
                    <w:rPr>
                      <w:rFonts w:hint="eastAsia" w:eastAsia="宋体" w:cs="Times New Roman"/>
                      <w:szCs w:val="21"/>
                      <w:lang w:val="en-US" w:eastAsia="zh-CN"/>
                    </w:rPr>
                  </w:pPr>
                  <w:r>
                    <w:rPr>
                      <w:rFonts w:hint="eastAsia" w:cs="Times New Roman"/>
                      <w:szCs w:val="21"/>
                      <w:lang w:val="en-US" w:eastAsia="zh-CN"/>
                    </w:rPr>
                    <w:t>本项目排放的废气不含有毒</w:t>
                  </w:r>
                  <w:r>
                    <w:rPr>
                      <w:rFonts w:cs="Times New Roman"/>
                      <w:szCs w:val="21"/>
                    </w:rPr>
                    <w:t>有害物、二噁英、苯并[a]芘、氰化物、氯气</w:t>
                  </w:r>
                </w:p>
              </w:tc>
              <w:tc>
                <w:tcPr>
                  <w:tcW w:w="488" w:type="pct"/>
                  <w:tcBorders>
                    <w:tl2br w:val="nil"/>
                    <w:tr2bl w:val="nil"/>
                  </w:tcBorders>
                  <w:vAlign w:val="center"/>
                </w:tcPr>
                <w:p>
                  <w:pPr>
                    <w:jc w:val="center"/>
                    <w:rPr>
                      <w:rFonts w:cs="Times New Roman"/>
                      <w:szCs w:val="21"/>
                    </w:rPr>
                  </w:pPr>
                  <w:r>
                    <w:rPr>
                      <w:rFonts w:cs="Times New Roman"/>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14" w:type="pct"/>
                  <w:tcBorders>
                    <w:tl2br w:val="nil"/>
                    <w:tr2bl w:val="nil"/>
                  </w:tcBorders>
                  <w:shd w:val="clear" w:color="auto" w:fill="auto"/>
                  <w:vAlign w:val="center"/>
                </w:tcPr>
                <w:p>
                  <w:pPr>
                    <w:jc w:val="center"/>
                    <w:rPr>
                      <w:rFonts w:cs="Times New Roman"/>
                      <w:szCs w:val="21"/>
                    </w:rPr>
                  </w:pPr>
                  <w:r>
                    <w:rPr>
                      <w:rFonts w:cs="Times New Roman"/>
                      <w:szCs w:val="21"/>
                    </w:rPr>
                    <w:t>地表水</w:t>
                  </w:r>
                </w:p>
              </w:tc>
              <w:tc>
                <w:tcPr>
                  <w:tcW w:w="2219" w:type="pct"/>
                  <w:tcBorders>
                    <w:tl2br w:val="nil"/>
                    <w:tr2bl w:val="nil"/>
                  </w:tcBorders>
                  <w:vAlign w:val="center"/>
                </w:tcPr>
                <w:p>
                  <w:pPr>
                    <w:rPr>
                      <w:rFonts w:cs="Times New Roman"/>
                      <w:szCs w:val="21"/>
                    </w:rPr>
                  </w:pPr>
                  <w:r>
                    <w:rPr>
                      <w:rFonts w:cs="Times New Roman"/>
                      <w:szCs w:val="21"/>
                    </w:rPr>
                    <w:t>新增工业废水直排建设项目（槽罐车外送污水处理厂的除外）</w:t>
                  </w:r>
                  <w:r>
                    <w:rPr>
                      <w:rFonts w:hint="eastAsia" w:cs="Times New Roman"/>
                      <w:szCs w:val="21"/>
                    </w:rPr>
                    <w:t>；</w:t>
                  </w:r>
                  <w:r>
                    <w:rPr>
                      <w:rFonts w:cs="Times New Roman"/>
                      <w:szCs w:val="21"/>
                    </w:rPr>
                    <w:t>新增废水直接排放的污水集中处理厂</w:t>
                  </w:r>
                </w:p>
              </w:tc>
              <w:tc>
                <w:tcPr>
                  <w:tcW w:w="1677" w:type="pct"/>
                  <w:tcBorders>
                    <w:tl2br w:val="nil"/>
                    <w:tr2bl w:val="nil"/>
                  </w:tcBorders>
                  <w:vAlign w:val="center"/>
                </w:tcPr>
                <w:p>
                  <w:pPr>
                    <w:jc w:val="center"/>
                    <w:rPr>
                      <w:rFonts w:hint="eastAsia" w:eastAsia="宋体" w:cs="Times New Roman"/>
                      <w:szCs w:val="21"/>
                      <w:lang w:val="en-US" w:eastAsia="zh-CN"/>
                    </w:rPr>
                  </w:pPr>
                  <w:r>
                    <w:rPr>
                      <w:rFonts w:hint="eastAsia" w:cs="Times New Roman"/>
                      <w:szCs w:val="21"/>
                      <w:lang w:val="en-US" w:eastAsia="zh-CN"/>
                    </w:rPr>
                    <w:t>本项目纯水制备排污水经预处理池处理后与生活污水一起排入园区污水处理厂</w:t>
                  </w:r>
                </w:p>
              </w:tc>
              <w:tc>
                <w:tcPr>
                  <w:tcW w:w="488" w:type="pct"/>
                  <w:tcBorders>
                    <w:tl2br w:val="nil"/>
                    <w:tr2bl w:val="nil"/>
                  </w:tcBorders>
                  <w:vAlign w:val="center"/>
                </w:tcPr>
                <w:p>
                  <w:pPr>
                    <w:jc w:val="center"/>
                    <w:rPr>
                      <w:rFonts w:cs="Times New Roman"/>
                      <w:szCs w:val="21"/>
                    </w:rPr>
                  </w:pPr>
                  <w:r>
                    <w:rPr>
                      <w:rFonts w:cs="Times New Roman"/>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14" w:type="pct"/>
                  <w:tcBorders>
                    <w:tl2br w:val="nil"/>
                    <w:tr2bl w:val="nil"/>
                  </w:tcBorders>
                  <w:shd w:val="clear" w:color="auto" w:fill="auto"/>
                  <w:vAlign w:val="center"/>
                </w:tcPr>
                <w:p>
                  <w:pPr>
                    <w:jc w:val="center"/>
                    <w:rPr>
                      <w:rFonts w:cs="Times New Roman"/>
                      <w:szCs w:val="21"/>
                    </w:rPr>
                  </w:pPr>
                  <w:r>
                    <w:rPr>
                      <w:rFonts w:cs="Times New Roman"/>
                      <w:szCs w:val="21"/>
                    </w:rPr>
                    <w:t>环境风险</w:t>
                  </w:r>
                </w:p>
              </w:tc>
              <w:tc>
                <w:tcPr>
                  <w:tcW w:w="2219" w:type="pct"/>
                  <w:tcBorders>
                    <w:tl2br w:val="nil"/>
                    <w:tr2bl w:val="nil"/>
                  </w:tcBorders>
                  <w:vAlign w:val="center"/>
                </w:tcPr>
                <w:p>
                  <w:pPr>
                    <w:rPr>
                      <w:rFonts w:cs="Times New Roman"/>
                      <w:szCs w:val="21"/>
                    </w:rPr>
                  </w:pPr>
                  <w:r>
                    <w:rPr>
                      <w:rFonts w:cs="Times New Roman"/>
                      <w:szCs w:val="21"/>
                    </w:rPr>
                    <w:t>有毒有害和易燃易爆危险物质存储量超过临界量的建设项目</w:t>
                  </w:r>
                </w:p>
              </w:tc>
              <w:tc>
                <w:tcPr>
                  <w:tcW w:w="1677"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eastAsia="zh-CN"/>
                    </w:rPr>
                    <w:t>项目</w:t>
                  </w:r>
                  <w:r>
                    <w:rPr>
                      <w:rFonts w:hint="eastAsia" w:cs="Times New Roman"/>
                      <w:szCs w:val="21"/>
                      <w:lang w:val="en-US" w:eastAsia="zh-CN"/>
                    </w:rPr>
                    <w:t>Q＜1</w:t>
                  </w:r>
                </w:p>
              </w:tc>
              <w:tc>
                <w:tcPr>
                  <w:tcW w:w="488" w:type="pct"/>
                  <w:tcBorders>
                    <w:tl2br w:val="nil"/>
                    <w:tr2bl w:val="nil"/>
                  </w:tcBorders>
                  <w:vAlign w:val="center"/>
                </w:tcPr>
                <w:p>
                  <w:pPr>
                    <w:jc w:val="center"/>
                    <w:rPr>
                      <w:rFonts w:cs="Times New Roman"/>
                      <w:szCs w:val="21"/>
                    </w:rPr>
                  </w:pPr>
                  <w:r>
                    <w:rPr>
                      <w:rFonts w:hint="eastAsia" w:cs="Times New Roman"/>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14" w:type="pct"/>
                  <w:tcBorders>
                    <w:tl2br w:val="nil"/>
                    <w:tr2bl w:val="nil"/>
                  </w:tcBorders>
                  <w:shd w:val="clear" w:color="auto" w:fill="auto"/>
                  <w:vAlign w:val="center"/>
                </w:tcPr>
                <w:p>
                  <w:pPr>
                    <w:jc w:val="center"/>
                    <w:rPr>
                      <w:rFonts w:cs="Times New Roman"/>
                      <w:szCs w:val="21"/>
                    </w:rPr>
                  </w:pPr>
                  <w:r>
                    <w:rPr>
                      <w:rFonts w:cs="Times New Roman"/>
                      <w:szCs w:val="21"/>
                    </w:rPr>
                    <w:t>生态</w:t>
                  </w:r>
                </w:p>
              </w:tc>
              <w:tc>
                <w:tcPr>
                  <w:tcW w:w="2219" w:type="pct"/>
                  <w:tcBorders>
                    <w:tl2br w:val="nil"/>
                    <w:tr2bl w:val="nil"/>
                  </w:tcBorders>
                  <w:vAlign w:val="center"/>
                </w:tcPr>
                <w:p>
                  <w:pPr>
                    <w:rPr>
                      <w:rFonts w:cs="Times New Roman"/>
                      <w:szCs w:val="21"/>
                    </w:rPr>
                  </w:pPr>
                  <w:r>
                    <w:rPr>
                      <w:rFonts w:cs="Times New Roman"/>
                      <w:szCs w:val="21"/>
                    </w:rPr>
                    <w:t>取水口下游500米范围内有重要水生生物的自然产卵场、索饵场、越冬场和洄游通道的新增河道取水的污染类建设项目</w:t>
                  </w:r>
                </w:p>
              </w:tc>
              <w:tc>
                <w:tcPr>
                  <w:tcW w:w="1677" w:type="pct"/>
                  <w:tcBorders>
                    <w:tl2br w:val="nil"/>
                    <w:tr2bl w:val="nil"/>
                  </w:tcBorders>
                  <w:vAlign w:val="center"/>
                </w:tcPr>
                <w:p>
                  <w:pPr>
                    <w:jc w:val="center"/>
                    <w:rPr>
                      <w:rFonts w:cs="Times New Roman"/>
                      <w:szCs w:val="21"/>
                    </w:rPr>
                  </w:pPr>
                  <w:r>
                    <w:rPr>
                      <w:rFonts w:cs="Times New Roman"/>
                      <w:szCs w:val="21"/>
                    </w:rPr>
                    <w:t>不涉及</w:t>
                  </w:r>
                </w:p>
              </w:tc>
              <w:tc>
                <w:tcPr>
                  <w:tcW w:w="488" w:type="pct"/>
                  <w:tcBorders>
                    <w:tl2br w:val="nil"/>
                    <w:tr2bl w:val="nil"/>
                  </w:tcBorders>
                  <w:vAlign w:val="center"/>
                </w:tcPr>
                <w:p>
                  <w:pPr>
                    <w:jc w:val="center"/>
                    <w:rPr>
                      <w:rFonts w:cs="Times New Roman"/>
                      <w:szCs w:val="21"/>
                    </w:rPr>
                  </w:pPr>
                  <w:r>
                    <w:rPr>
                      <w:rFonts w:cs="Times New Roman"/>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14" w:type="pct"/>
                  <w:tcBorders>
                    <w:tl2br w:val="nil"/>
                    <w:tr2bl w:val="nil"/>
                  </w:tcBorders>
                  <w:shd w:val="clear" w:color="auto" w:fill="auto"/>
                  <w:vAlign w:val="center"/>
                </w:tcPr>
                <w:p>
                  <w:pPr>
                    <w:jc w:val="center"/>
                    <w:rPr>
                      <w:rFonts w:cs="Times New Roman"/>
                      <w:szCs w:val="21"/>
                    </w:rPr>
                  </w:pPr>
                  <w:r>
                    <w:rPr>
                      <w:rFonts w:cs="Times New Roman"/>
                      <w:szCs w:val="21"/>
                    </w:rPr>
                    <w:t>海洋</w:t>
                  </w:r>
                </w:p>
              </w:tc>
              <w:tc>
                <w:tcPr>
                  <w:tcW w:w="2219" w:type="pct"/>
                  <w:tcBorders>
                    <w:tl2br w:val="nil"/>
                    <w:tr2bl w:val="nil"/>
                  </w:tcBorders>
                  <w:vAlign w:val="center"/>
                </w:tcPr>
                <w:p>
                  <w:pPr>
                    <w:rPr>
                      <w:rFonts w:cs="Times New Roman"/>
                      <w:szCs w:val="21"/>
                    </w:rPr>
                  </w:pPr>
                  <w:r>
                    <w:rPr>
                      <w:rFonts w:cs="Times New Roman"/>
                      <w:szCs w:val="21"/>
                    </w:rPr>
                    <w:t>直接向海排放污染物的海洋工程建设项目</w:t>
                  </w:r>
                </w:p>
              </w:tc>
              <w:tc>
                <w:tcPr>
                  <w:tcW w:w="1677" w:type="pct"/>
                  <w:tcBorders>
                    <w:tl2br w:val="nil"/>
                    <w:tr2bl w:val="nil"/>
                  </w:tcBorders>
                  <w:vAlign w:val="center"/>
                </w:tcPr>
                <w:p>
                  <w:pPr>
                    <w:jc w:val="center"/>
                    <w:rPr>
                      <w:rFonts w:cs="Times New Roman"/>
                      <w:szCs w:val="21"/>
                    </w:rPr>
                  </w:pPr>
                  <w:r>
                    <w:rPr>
                      <w:rFonts w:cs="Times New Roman"/>
                      <w:szCs w:val="21"/>
                    </w:rPr>
                    <w:t>不涉及</w:t>
                  </w:r>
                </w:p>
              </w:tc>
              <w:tc>
                <w:tcPr>
                  <w:tcW w:w="488" w:type="pct"/>
                  <w:tcBorders>
                    <w:tl2br w:val="nil"/>
                    <w:tr2bl w:val="nil"/>
                  </w:tcBorders>
                  <w:vAlign w:val="center"/>
                </w:tcPr>
                <w:p>
                  <w:pPr>
                    <w:jc w:val="center"/>
                    <w:rPr>
                      <w:rFonts w:cs="Times New Roman"/>
                      <w:szCs w:val="21"/>
                    </w:rPr>
                  </w:pPr>
                  <w:r>
                    <w:rPr>
                      <w:rFonts w:cs="Times New Roman"/>
                      <w:szCs w:val="21"/>
                    </w:rPr>
                    <w:t>否</w:t>
                  </w:r>
                </w:p>
              </w:tc>
            </w:tr>
          </w:tbl>
          <w:p>
            <w:pPr>
              <w:spacing w:line="360" w:lineRule="auto"/>
              <w:ind w:firstLine="480" w:firstLineChars="200"/>
              <w:rPr>
                <w:rFonts w:cs="Times New Roman"/>
                <w:sz w:val="24"/>
                <w:szCs w:val="24"/>
              </w:rPr>
            </w:pPr>
            <w:r>
              <w:rPr>
                <w:rFonts w:cs="Times New Roman"/>
                <w:sz w:val="24"/>
                <w:szCs w:val="24"/>
              </w:rPr>
              <w:t>因此，本项目</w:t>
            </w:r>
            <w:r>
              <w:rPr>
                <w:rFonts w:hint="eastAsia" w:cs="Times New Roman"/>
                <w:sz w:val="24"/>
                <w:szCs w:val="24"/>
              </w:rPr>
              <w:t>不</w:t>
            </w:r>
            <w:r>
              <w:rPr>
                <w:rFonts w:cs="Times New Roman"/>
                <w:sz w:val="24"/>
                <w:szCs w:val="24"/>
              </w:rPr>
              <w:t>需开展专项评价工作。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5" w:type="pct"/>
            <w:gridSpan w:val="2"/>
            <w:vAlign w:val="center"/>
          </w:tcPr>
          <w:p>
            <w:pPr>
              <w:spacing w:line="360" w:lineRule="auto"/>
              <w:jc w:val="center"/>
              <w:rPr>
                <w:rFonts w:cs="Times New Roman"/>
                <w:sz w:val="24"/>
                <w:szCs w:val="24"/>
              </w:rPr>
            </w:pPr>
            <w:r>
              <w:rPr>
                <w:rFonts w:hint="eastAsia" w:cs="Times New Roman"/>
                <w:sz w:val="24"/>
                <w:szCs w:val="24"/>
              </w:rPr>
              <w:t>规划情况</w:t>
            </w:r>
          </w:p>
        </w:tc>
        <w:tc>
          <w:tcPr>
            <w:tcW w:w="3894" w:type="pct"/>
            <w:gridSpan w:val="3"/>
            <w:vAlign w:val="center"/>
          </w:tcPr>
          <w:p>
            <w:pPr>
              <w:spacing w:line="360" w:lineRule="auto"/>
              <w:ind w:firstLine="480" w:firstLineChars="200"/>
              <w:rPr>
                <w:rFonts w:cs="Times New Roman"/>
                <w:sz w:val="24"/>
                <w:szCs w:val="24"/>
              </w:rPr>
            </w:pPr>
            <w:r>
              <w:rPr>
                <w:rFonts w:hint="eastAsia" w:cs="Times New Roman"/>
                <w:sz w:val="24"/>
                <w:szCs w:val="24"/>
              </w:rPr>
              <w:t>《四川巴中经济开发区控制性详细规划（修编）》，巴中市人民政府，《巴中市城乡规划和土地利用管理委员会2</w:t>
            </w:r>
            <w:r>
              <w:rPr>
                <w:rFonts w:cs="Times New Roman"/>
                <w:sz w:val="24"/>
                <w:szCs w:val="24"/>
              </w:rPr>
              <w:t>018</w:t>
            </w:r>
            <w:r>
              <w:rPr>
                <w:rFonts w:hint="eastAsia" w:cs="Times New Roman"/>
                <w:sz w:val="24"/>
                <w:szCs w:val="24"/>
              </w:rPr>
              <w:t>年第二次会议纪要》（巴府阅〔2</w:t>
            </w:r>
            <w:r>
              <w:rPr>
                <w:rFonts w:cs="Times New Roman"/>
                <w:sz w:val="24"/>
                <w:szCs w:val="24"/>
              </w:rPr>
              <w:t>018</w:t>
            </w:r>
            <w:r>
              <w:rPr>
                <w:rFonts w:hint="eastAsia" w:cs="Times New Roman"/>
                <w:sz w:val="24"/>
                <w:szCs w:val="24"/>
              </w:rPr>
              <w:t>〕6号）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5" w:type="pct"/>
            <w:gridSpan w:val="2"/>
            <w:vAlign w:val="center"/>
          </w:tcPr>
          <w:p>
            <w:pPr>
              <w:spacing w:line="360" w:lineRule="auto"/>
              <w:jc w:val="center"/>
              <w:rPr>
                <w:rFonts w:cs="Times New Roman"/>
                <w:sz w:val="24"/>
                <w:szCs w:val="24"/>
                <w:highlight w:val="yellow"/>
              </w:rPr>
            </w:pPr>
            <w:r>
              <w:rPr>
                <w:rFonts w:hint="eastAsia" w:cs="Times New Roman"/>
                <w:sz w:val="24"/>
                <w:szCs w:val="24"/>
              </w:rPr>
              <w:t>规划环境影响评价情况</w:t>
            </w:r>
          </w:p>
        </w:tc>
        <w:tc>
          <w:tcPr>
            <w:tcW w:w="3894" w:type="pct"/>
            <w:gridSpan w:val="3"/>
            <w:vAlign w:val="center"/>
          </w:tcPr>
          <w:p>
            <w:pPr>
              <w:spacing w:line="360" w:lineRule="auto"/>
              <w:ind w:firstLine="480" w:firstLineChars="200"/>
              <w:rPr>
                <w:rFonts w:hint="eastAsia" w:cs="Times New Roman"/>
                <w:sz w:val="24"/>
                <w:szCs w:val="24"/>
              </w:rPr>
            </w:pPr>
            <w:r>
              <w:rPr>
                <w:rFonts w:hint="eastAsia" w:cs="Times New Roman"/>
                <w:sz w:val="24"/>
                <w:szCs w:val="24"/>
              </w:rPr>
              <w:t>规划环境影响评价文件名称：《四川巴中经济开发区规划修编环境影响报告书》</w:t>
            </w:r>
          </w:p>
          <w:p>
            <w:pPr>
              <w:spacing w:line="360" w:lineRule="auto"/>
              <w:ind w:firstLine="480" w:firstLineChars="200"/>
              <w:rPr>
                <w:rFonts w:hint="eastAsia" w:cs="Times New Roman"/>
                <w:sz w:val="24"/>
                <w:szCs w:val="24"/>
              </w:rPr>
            </w:pPr>
            <w:r>
              <w:rPr>
                <w:rFonts w:hint="eastAsia" w:cs="Times New Roman"/>
                <w:sz w:val="24"/>
                <w:szCs w:val="24"/>
              </w:rPr>
              <w:t>审批机关：四川省生态环境厅</w:t>
            </w:r>
          </w:p>
          <w:p>
            <w:pPr>
              <w:spacing w:line="360" w:lineRule="auto"/>
              <w:ind w:firstLine="480" w:firstLineChars="200"/>
              <w:rPr>
                <w:rFonts w:cs="Times New Roman"/>
                <w:sz w:val="24"/>
                <w:szCs w:val="24"/>
              </w:rPr>
            </w:pPr>
            <w:r>
              <w:rPr>
                <w:rFonts w:hint="eastAsia" w:cs="Times New Roman"/>
                <w:sz w:val="24"/>
                <w:szCs w:val="24"/>
              </w:rPr>
              <w:t>审批文件名称及文号：《关于印发&lt;四川巴中经济开发区规划修编环境影响报告书&gt;审查意见的函》(川环建函[2023]29号)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5" w:type="pct"/>
            <w:vAlign w:val="center"/>
          </w:tcPr>
          <w:p>
            <w:pPr>
              <w:spacing w:line="360" w:lineRule="auto"/>
              <w:jc w:val="center"/>
              <w:rPr>
                <w:rFonts w:cs="Times New Roman"/>
                <w:sz w:val="24"/>
                <w:szCs w:val="24"/>
              </w:rPr>
            </w:pPr>
            <w:r>
              <w:rPr>
                <w:rFonts w:hint="eastAsia" w:cs="Times New Roman"/>
                <w:sz w:val="24"/>
                <w:szCs w:val="24"/>
              </w:rPr>
              <w:t>规划及规划环境影响评价符合性分析</w:t>
            </w:r>
          </w:p>
        </w:tc>
        <w:tc>
          <w:tcPr>
            <w:tcW w:w="4374" w:type="pct"/>
            <w:gridSpan w:val="4"/>
            <w:vAlign w:val="center"/>
          </w:tcPr>
          <w:p>
            <w:pPr>
              <w:spacing w:line="360" w:lineRule="auto"/>
              <w:ind w:firstLine="482" w:firstLineChars="200"/>
              <w:rPr>
                <w:rFonts w:cs="Times New Roman"/>
                <w:b/>
                <w:sz w:val="24"/>
                <w:szCs w:val="24"/>
              </w:rPr>
            </w:pPr>
            <w:r>
              <w:rPr>
                <w:rFonts w:hint="eastAsia" w:cs="Times New Roman"/>
                <w:b/>
                <w:sz w:val="24"/>
                <w:szCs w:val="24"/>
              </w:rPr>
              <w:t>1、与四川巴中经济开发区控制性详细规划（修编）符合性</w:t>
            </w:r>
          </w:p>
          <w:p>
            <w:pPr>
              <w:spacing w:line="360" w:lineRule="auto"/>
              <w:ind w:firstLine="480" w:firstLineChars="200"/>
              <w:rPr>
                <w:sz w:val="24"/>
                <w:szCs w:val="24"/>
              </w:rPr>
            </w:pPr>
            <w:r>
              <w:rPr>
                <w:sz w:val="24"/>
                <w:szCs w:val="24"/>
              </w:rPr>
              <w:t>本项目位于</w:t>
            </w:r>
            <w:r>
              <w:rPr>
                <w:rFonts w:hint="eastAsia" w:cs="Times New Roman"/>
                <w:sz w:val="24"/>
                <w:szCs w:val="24"/>
              </w:rPr>
              <w:t>巴中经济开发区中山北路17号</w:t>
            </w:r>
            <w:r>
              <w:rPr>
                <w:sz w:val="24"/>
                <w:szCs w:val="24"/>
              </w:rPr>
              <w:t>，</w:t>
            </w:r>
            <w:r>
              <w:rPr>
                <w:rFonts w:hint="eastAsia"/>
                <w:sz w:val="24"/>
                <w:szCs w:val="24"/>
              </w:rPr>
              <w:t>根据《国有建设用地使用权出让合同》、巴中市自然资源和规划局颁发的《建设用地规划许可证》（地字第5</w:t>
            </w:r>
            <w:r>
              <w:rPr>
                <w:sz w:val="24"/>
                <w:szCs w:val="24"/>
              </w:rPr>
              <w:t>1192420</w:t>
            </w:r>
            <w:r>
              <w:rPr>
                <w:rFonts w:hint="eastAsia"/>
                <w:sz w:val="24"/>
                <w:szCs w:val="24"/>
              </w:rPr>
              <w:t>1703210001</w:t>
            </w:r>
            <w:r>
              <w:rPr>
                <w:sz w:val="24"/>
                <w:szCs w:val="24"/>
              </w:rPr>
              <w:t>号</w:t>
            </w:r>
            <w:r>
              <w:rPr>
                <w:rFonts w:hint="eastAsia"/>
                <w:sz w:val="24"/>
                <w:szCs w:val="24"/>
              </w:rPr>
              <w:t>）</w:t>
            </w:r>
            <w:r>
              <w:rPr>
                <w:rFonts w:hint="eastAsia"/>
                <w:sz w:val="24"/>
                <w:szCs w:val="24"/>
                <w:lang w:eastAsia="zh-CN"/>
              </w:rPr>
              <w:t>、《四川巴中经济开发区土地利用规划图》（附图</w:t>
            </w:r>
            <w:r>
              <w:rPr>
                <w:rFonts w:hint="eastAsia"/>
                <w:sz w:val="24"/>
                <w:szCs w:val="24"/>
                <w:lang w:val="en-US" w:eastAsia="zh-CN"/>
              </w:rPr>
              <w:t>6</w:t>
            </w:r>
            <w:r>
              <w:rPr>
                <w:rFonts w:hint="eastAsia"/>
                <w:sz w:val="24"/>
                <w:szCs w:val="24"/>
                <w:lang w:eastAsia="zh-CN"/>
              </w:rPr>
              <w:t>）</w:t>
            </w:r>
            <w:r>
              <w:rPr>
                <w:rFonts w:hint="eastAsia"/>
                <w:sz w:val="24"/>
                <w:szCs w:val="24"/>
              </w:rPr>
              <w:t>可知，项目用地类型为工业用地，符合国土空间规划和用途管制要求。</w:t>
            </w:r>
          </w:p>
          <w:p>
            <w:pPr>
              <w:spacing w:line="360" w:lineRule="auto"/>
              <w:ind w:firstLine="480" w:firstLineChars="200"/>
              <w:rPr>
                <w:sz w:val="24"/>
                <w:szCs w:val="24"/>
              </w:rPr>
            </w:pPr>
            <w:r>
              <w:rPr>
                <w:rFonts w:hint="eastAsia"/>
                <w:sz w:val="24"/>
                <w:szCs w:val="24"/>
              </w:rPr>
              <w:t>因此，本项目符合四川巴中经济开发区控制性详细规划（修编）。</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、与《</w:t>
            </w:r>
            <w:r>
              <w:rPr>
                <w:rFonts w:hint="eastAsia" w:cs="Times New Roman"/>
                <w:b/>
                <w:sz w:val="24"/>
                <w:szCs w:val="24"/>
                <w:lang w:eastAsia="zh-CN"/>
              </w:rPr>
              <w:t>四川巴中经济开发区规划修编环境影响报告书</w:t>
            </w:r>
            <w:r>
              <w:rPr>
                <w:rFonts w:hint="eastAsia" w:cs="Times New Roman"/>
                <w:b/>
                <w:sz w:val="24"/>
                <w:szCs w:val="24"/>
              </w:rPr>
              <w:t>》及审查意见的符合性</w:t>
            </w:r>
          </w:p>
          <w:p>
            <w:pPr>
              <w:spacing w:line="360" w:lineRule="auto"/>
              <w:ind w:firstLine="480" w:firstLineChars="200"/>
              <w:rPr>
                <w:rFonts w:hint="eastAsia" w:cs="Times New Roman"/>
                <w:sz w:val="24"/>
                <w:szCs w:val="24"/>
              </w:rPr>
            </w:pPr>
            <w:r>
              <w:rPr>
                <w:rFonts w:hint="eastAsia" w:cs="Times New Roman"/>
                <w:sz w:val="24"/>
                <w:szCs w:val="24"/>
              </w:rPr>
              <w:t>四川巴中经济开发区（以下简称“经开区”）前身为巴中市经济技术开发区。2003年6月，原四川省发展计划委员会同意经开区为省级开发区，并更名为巴中经济技术开发区。2012年，经开区进行区位调整，调整后的规划面积为9.7624km2，主导产业为电子机械、服装纺织、食品医药。2013年10月，《四川巴中经济开发区区位调整规划环境影响报告书》取得原四川省环境保护厅审查意见（川环建函〔2013〕272号）。2015年4月，经开区扩区调位取得省人民政府批复（川府函〔2015〕71号)。2020年11月《四川巴中经济开发区控制性详细规划修编 规划环境影响报告书》取得四川省生态环境厅审查意见（川环建函〔2020〕79号）。</w:t>
            </w:r>
          </w:p>
          <w:p>
            <w:pPr>
              <w:spacing w:line="360" w:lineRule="auto"/>
              <w:ind w:firstLine="480" w:firstLineChars="200"/>
              <w:rPr>
                <w:rFonts w:hint="eastAsia" w:cs="Times New Roman"/>
                <w:sz w:val="24"/>
                <w:szCs w:val="24"/>
              </w:rPr>
            </w:pPr>
            <w:r>
              <w:rPr>
                <w:rFonts w:hint="eastAsia" w:cs="Times New Roman"/>
                <w:sz w:val="24"/>
                <w:szCs w:val="24"/>
              </w:rPr>
              <w:t>2022年四川巴中经济开发区管理委员会组织编制了《四川巴中经济开发区规划修编》，规划面积16.77平方公里，包括位于巴州区的核心区、曾口区块和位于通江县的金堂区块，规划年限近期至2025年，远期至2035年。核心区重点发展机械、电子、服装，辅助发展</w:t>
            </w:r>
            <w:r>
              <w:rPr>
                <w:rFonts w:hint="eastAsia" w:cs="Times New Roman"/>
                <w:sz w:val="24"/>
                <w:szCs w:val="24"/>
                <w:lang w:eastAsia="zh-CN"/>
              </w:rPr>
              <w:t>、</w:t>
            </w:r>
            <w:r>
              <w:rPr>
                <w:rFonts w:hint="eastAsia" w:cs="Times New Roman"/>
                <w:sz w:val="24"/>
                <w:szCs w:val="24"/>
              </w:rPr>
              <w:t>生物医药、新能源新材料；曾口区块重点发展天然气化工、新能源新材料；金堂区块重点发展天然气化工。2023年11月《四川巴中经济开发区规划修编环境影响报告书》取得四川省生态环境厅审查意见（川环建函〔2023〕29号）。</w:t>
            </w:r>
          </w:p>
          <w:p>
            <w:pPr>
              <w:spacing w:line="360" w:lineRule="auto"/>
              <w:ind w:firstLine="480" w:firstLineChars="200"/>
              <w:rPr>
                <w:rFonts w:hint="eastAsia" w:cs="Times New Roman"/>
                <w:sz w:val="24"/>
                <w:szCs w:val="24"/>
              </w:rPr>
            </w:pPr>
            <w:r>
              <w:rPr>
                <w:rFonts w:hint="eastAsia" w:cs="Times New Roman"/>
                <w:sz w:val="24"/>
                <w:szCs w:val="24"/>
              </w:rPr>
              <w:t>本项目位于核心区，本项目属于特种玻璃制造，主要为钢化后的玻璃进行涂膜加工，不涉及焙烧和煅烧工序，不属于高污染行业</w:t>
            </w:r>
            <w:r>
              <w:rPr>
                <w:rFonts w:hint="eastAsia" w:cs="Times New Roman"/>
                <w:sz w:val="24"/>
                <w:szCs w:val="24"/>
                <w:lang w:eastAsia="zh-CN"/>
              </w:rPr>
              <w:t>，，与园区主导产业不冲突</w:t>
            </w:r>
            <w:r>
              <w:rPr>
                <w:rFonts w:hint="eastAsia" w:cs="Times New Roman"/>
                <w:sz w:val="24"/>
                <w:szCs w:val="24"/>
              </w:rPr>
              <w:t>。</w:t>
            </w:r>
          </w:p>
          <w:p>
            <w:pPr>
              <w:spacing w:line="360" w:lineRule="auto"/>
              <w:ind w:firstLine="480" w:firstLineChars="200"/>
              <w:rPr>
                <w:rFonts w:hint="eastAsia" w:cs="Times New Roman"/>
                <w:sz w:val="24"/>
                <w:szCs w:val="24"/>
              </w:rPr>
            </w:pPr>
            <w:r>
              <w:rPr>
                <w:rFonts w:hint="eastAsia" w:cs="Times New Roman"/>
                <w:sz w:val="24"/>
                <w:szCs w:val="24"/>
              </w:rPr>
              <w:t>规划环评提出的生态环境准入清单按照规划环评提出的生态环境准入门槛及负面清单执行。严格按照《中华人民共和国长江保护法》、《四川省长江经济带发展负面清单实施细则（试行）》、《巴中市人民政府关于实施“三线一单”生态环境分区管控的通知》（巴府发〔2021〕5号）等要求引入项目。结合园区环评报告和审查意见，本项目与园区规划及其规划环评符合性分析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cs="Times New Roman"/>
                <w:sz w:val="24"/>
                <w:szCs w:val="24"/>
              </w:rPr>
            </w:pPr>
            <w:r>
              <w:rPr>
                <w:rFonts w:hint="default" w:ascii="Times New Roman" w:hAnsi="Times New Roman" w:eastAsia="宋体" w:cs="宋体"/>
                <w:b/>
                <w:bCs/>
                <w:i w:val="0"/>
                <w:kern w:val="2"/>
                <w:sz w:val="21"/>
                <w:szCs w:val="21"/>
                <w:vertAlign w:val="baseline"/>
                <w:lang w:val="en-US" w:eastAsia="zh-CN" w:bidi="ar-SA"/>
              </w:rPr>
              <w:t xml:space="preserve">表1-2   </w:t>
            </w:r>
            <w:r>
              <w:rPr>
                <w:rFonts w:ascii="Times New Roman" w:hAnsi="Times New Roman"/>
                <w:b/>
                <w:sz w:val="21"/>
              </w:rPr>
              <w:t>项目与</w:t>
            </w:r>
            <w:r>
              <w:rPr>
                <w:rFonts w:hint="eastAsia" w:ascii="Times New Roman" w:hAnsi="Times New Roman"/>
                <w:b/>
                <w:sz w:val="21"/>
              </w:rPr>
              <w:t>园区规划修编环境影响报告书及审查意见</w:t>
            </w:r>
            <w:r>
              <w:rPr>
                <w:rFonts w:ascii="Times New Roman" w:hAnsi="Times New Roman"/>
                <w:b/>
                <w:sz w:val="21"/>
              </w:rPr>
              <w:t>符合性</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924"/>
              <w:gridCol w:w="2646"/>
              <w:gridCol w:w="2073"/>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58"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w:t>
                  </w:r>
                </w:p>
              </w:tc>
              <w:tc>
                <w:tcPr>
                  <w:tcW w:w="2315" w:type="pct"/>
                  <w:gridSpan w:val="2"/>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园区规划、</w:t>
                  </w:r>
                  <w:r>
                    <w:rPr>
                      <w:rFonts w:hint="default" w:ascii="Times New Roman" w:hAnsi="Times New Roman" w:eastAsia="宋体" w:cs="Times New Roman"/>
                      <w:b/>
                      <w:bCs/>
                      <w:color w:val="auto"/>
                      <w:sz w:val="21"/>
                      <w:szCs w:val="21"/>
                      <w:vertAlign w:val="baseline"/>
                      <w:lang w:val="en-US" w:eastAsia="zh-CN"/>
                    </w:rPr>
                    <w:t>规划环评及审查意见</w:t>
                  </w:r>
                </w:p>
              </w:tc>
              <w:tc>
                <w:tcPr>
                  <w:tcW w:w="1344"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本项目况</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w:t>
                  </w:r>
                  <w:r>
                    <w:rPr>
                      <w:rFonts w:hint="default" w:ascii="Times New Roman" w:hAnsi="Times New Roman" w:cs="Times New Roman"/>
                      <w:b/>
                      <w:bCs/>
                      <w:color w:val="auto"/>
                      <w:sz w:val="21"/>
                      <w:szCs w:val="21"/>
                      <w:vertAlign w:val="baseline"/>
                      <w:lang w:val="en-US" w:eastAsia="zh-CN"/>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pct"/>
                  <w:vMerge w:val="restar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规划范围</w:t>
                  </w:r>
                </w:p>
              </w:tc>
              <w:tc>
                <w:tcPr>
                  <w:tcW w:w="2315" w:type="pct"/>
                  <w:gridSpan w:val="2"/>
                  <w:tcBorders>
                    <w:tl2br w:val="nil"/>
                    <w:tr2bl w:val="nil"/>
                  </w:tcBorders>
                  <w:vAlign w:val="center"/>
                </w:tcPr>
                <w:p>
                  <w:pPr>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核心区：规划面积约 </w:t>
                  </w:r>
                  <w:r>
                    <w:rPr>
                      <w:rFonts w:hint="default" w:ascii="Times New Roman" w:hAnsi="Times New Roman" w:eastAsia="宋体" w:cs="Times New Roman"/>
                      <w:color w:val="auto"/>
                      <w:sz w:val="21"/>
                      <w:szCs w:val="21"/>
                      <w:lang w:val="en-US" w:eastAsia="zh-CN"/>
                    </w:rPr>
                    <w:t>1389.9942 hm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 xml:space="preserve">，四至范围：北至北至唐家庙，南至铁 匠咀，东至巴中高速出入口，西以国道 </w:t>
                  </w:r>
                  <w:r>
                    <w:rPr>
                      <w:rFonts w:hint="default" w:ascii="Times New Roman" w:hAnsi="Times New Roman" w:eastAsia="宋体" w:cs="Times New Roman"/>
                      <w:color w:val="auto"/>
                      <w:sz w:val="21"/>
                      <w:szCs w:val="21"/>
                      <w:lang w:val="en-US" w:eastAsia="zh-CN"/>
                    </w:rPr>
                    <w:t>G347</w:t>
                  </w:r>
                  <w:r>
                    <w:rPr>
                      <w:rFonts w:hint="eastAsia" w:ascii="Times New Roman" w:hAnsi="Times New Roman" w:eastAsia="宋体" w:cs="Times New Roman"/>
                      <w:color w:val="auto"/>
                      <w:sz w:val="21"/>
                      <w:szCs w:val="21"/>
                      <w:lang w:val="en-US" w:eastAsia="zh-CN"/>
                    </w:rPr>
                    <w:t>、棠湖街等为界。</w:t>
                  </w:r>
                </w:p>
              </w:tc>
              <w:tc>
                <w:tcPr>
                  <w:tcW w:w="1344" w:type="pct"/>
                  <w:tcBorders>
                    <w:tl2br w:val="nil"/>
                    <w:tr2bl w:val="nil"/>
                  </w:tcBorders>
                  <w:vAlign w:val="center"/>
                </w:tcPr>
                <w:p>
                  <w:pPr>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本项目位于巴中经济开发区</w:t>
                  </w:r>
                  <w:r>
                    <w:rPr>
                      <w:rFonts w:hint="eastAsia" w:ascii="Times New Roman" w:hAnsi="Times New Roman" w:eastAsia="宋体" w:cs="Times New Roman"/>
                      <w:color w:val="auto"/>
                      <w:sz w:val="21"/>
                      <w:szCs w:val="21"/>
                      <w:lang w:val="en-US" w:eastAsia="zh-CN"/>
                    </w:rPr>
                    <w:t>核心区。</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pct"/>
                  <w:vMerge w:val="continue"/>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2315" w:type="pct"/>
                  <w:gridSpan w:val="2"/>
                  <w:tcBorders>
                    <w:tl2br w:val="nil"/>
                    <w:tr2bl w:val="nil"/>
                  </w:tcBorders>
                  <w:vAlign w:val="center"/>
                </w:tcPr>
                <w:p>
                  <w:pPr>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曾口区块：规划面积约 </w:t>
                  </w:r>
                  <w:r>
                    <w:rPr>
                      <w:rFonts w:hint="default" w:ascii="Times New Roman" w:hAnsi="Times New Roman" w:eastAsia="宋体" w:cs="Times New Roman"/>
                      <w:color w:val="auto"/>
                      <w:sz w:val="21"/>
                      <w:szCs w:val="21"/>
                      <w:lang w:val="en-US" w:eastAsia="zh-CN"/>
                    </w:rPr>
                    <w:t>191.8105 hm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，四至范围：东至寿星村团包梁，南至寿星村磨盘寨，西至寿星村双堰塘，北至寿星村周家湾。</w:t>
                  </w:r>
                </w:p>
              </w:tc>
              <w:tc>
                <w:tcPr>
                  <w:tcW w:w="1344"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pct"/>
                  <w:vMerge w:val="continue"/>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2315" w:type="pct"/>
                  <w:gridSpan w:val="2"/>
                  <w:tcBorders>
                    <w:tl2br w:val="nil"/>
                    <w:tr2bl w:val="nil"/>
                  </w:tcBorders>
                  <w:vAlign w:val="center"/>
                </w:tcPr>
                <w:p>
                  <w:pPr>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金堂区块</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规划面积约 </w:t>
                  </w:r>
                  <w:r>
                    <w:rPr>
                      <w:rFonts w:hint="default" w:ascii="Times New Roman" w:hAnsi="Times New Roman" w:eastAsia="宋体" w:cs="Times New Roman"/>
                      <w:color w:val="auto"/>
                      <w:sz w:val="21"/>
                      <w:szCs w:val="21"/>
                      <w:lang w:val="en-US" w:eastAsia="zh-CN"/>
                    </w:rPr>
                    <w:t>95.5466 hm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 xml:space="preserve">，四至范围：东至诺江镇秋锦山村青山湾， </w:t>
                  </w:r>
                </w:p>
                <w:p>
                  <w:pPr>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南至广纳镇金堂村大弯梁，西至诺江镇亮垭村曹家沟，北至诺江镇秋锦山村佛儿岩。</w:t>
                  </w:r>
                </w:p>
              </w:tc>
              <w:tc>
                <w:tcPr>
                  <w:tcW w:w="1344"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主导产业</w:t>
                  </w:r>
                </w:p>
              </w:tc>
              <w:tc>
                <w:tcPr>
                  <w:tcW w:w="2315" w:type="pct"/>
                  <w:gridSpan w:val="2"/>
                  <w:tcBorders>
                    <w:tl2br w:val="nil"/>
                    <w:tr2bl w:val="nil"/>
                  </w:tcBorders>
                  <w:vAlign w:val="center"/>
                </w:tcPr>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以机械、电子、服装为主导，辅助发展新能源新材料、生物医药</w:t>
                  </w:r>
                </w:p>
              </w:tc>
              <w:tc>
                <w:tcPr>
                  <w:tcW w:w="1344" w:type="pct"/>
                  <w:tcBorders>
                    <w:tl2br w:val="nil"/>
                    <w:tr2bl w:val="nil"/>
                  </w:tcBorders>
                  <w:vAlign w:val="center"/>
                </w:tcPr>
                <w:p>
                  <w:pPr>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本项目属于特种玻璃制造，主要为钢化后的玻璃进行涂膜加工，不涉及焙烧和煅烧工序，不属于高污染行业</w:t>
                  </w:r>
                  <w:r>
                    <w:rPr>
                      <w:rFonts w:hint="eastAsia" w:ascii="Times New Roman" w:hAnsi="Times New Roman" w:eastAsia="宋体" w:cs="Times New Roman"/>
                      <w:color w:val="auto"/>
                      <w:sz w:val="21"/>
                      <w:szCs w:val="21"/>
                      <w:lang w:val="en-US" w:eastAsia="zh-CN"/>
                    </w:rPr>
                    <w:t>，与园区主导产业不冲突。</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不冲突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8"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总体要求</w:t>
                  </w:r>
                </w:p>
              </w:tc>
              <w:tc>
                <w:tcPr>
                  <w:tcW w:w="2315" w:type="pct"/>
                  <w:gridSpan w:val="2"/>
                  <w:tcBorders>
                    <w:tl2br w:val="nil"/>
                    <w:tr2bl w:val="nil"/>
                  </w:tcBorders>
                  <w:vAlign w:val="center"/>
                </w:tcPr>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）禁止新建、扩建法律法规和相关政策明令禁止的落后产能项目。禁止新建《产业结构调整指导目录》中淘汰、限制类项目，对属于限制类的现有生产能 力允许企业在一定期限内采取措施改造升级。 </w:t>
                  </w:r>
                </w:p>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 xml:space="preserve">）禁止新建、扩建不符合国家产能置换要求的严重过剩产能行业的项目，禁止新建、扩建不符合要求的高耗能高排放项目。 </w:t>
                  </w:r>
                </w:p>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 xml:space="preserve">）禁止引入不符合国家、地方重金属污染防治规范的项目。 </w:t>
                  </w:r>
                </w:p>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 xml:space="preserve">）禁止引入清洁生产水平不能达二级或国内先进水平的项目。 </w:t>
                  </w:r>
                </w:p>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 xml:space="preserve">）禁止新建制浆造纸（含废纸制浆）、印染染整、制革、水泥、冶炼及与主导产业不相容的项目。 </w:t>
                  </w:r>
                </w:p>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）禁止高污染燃料。</w:t>
                  </w:r>
                </w:p>
              </w:tc>
              <w:tc>
                <w:tcPr>
                  <w:tcW w:w="1344" w:type="pct"/>
                  <w:tcBorders>
                    <w:tl2br w:val="nil"/>
                    <w:tr2bl w:val="nil"/>
                  </w:tcBorders>
                  <w:vAlign w:val="center"/>
                </w:tcPr>
                <w:p>
                  <w:pPr>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本项目属于特种玻璃制造，不属于《产业结构调整指导目录（2019年本）》中鼓励类、限制类和淘汰类，根据国务院《促进产业结构调整暂行规定》（国发〔2005〕40号），本项目为允许类</w:t>
                  </w:r>
                  <w:r>
                    <w:rPr>
                      <w:rFonts w:hint="eastAsia" w:ascii="Times New Roman" w:hAnsi="Times New Roman" w:eastAsia="宋体" w:cs="Times New Roman"/>
                      <w:color w:val="auto"/>
                      <w:sz w:val="21"/>
                      <w:szCs w:val="21"/>
                      <w:vertAlign w:val="baseline"/>
                      <w:lang w:val="en-US" w:eastAsia="zh-CN"/>
                    </w:rPr>
                    <w:t>项目</w:t>
                  </w:r>
                  <w:r>
                    <w:rPr>
                      <w:rFonts w:hint="default" w:ascii="Times New Roman" w:hAnsi="Times New Roman" w:eastAsia="宋体" w:cs="Times New Roman"/>
                      <w:color w:val="auto"/>
                      <w:sz w:val="21"/>
                      <w:szCs w:val="21"/>
                      <w:vertAlign w:val="baseline"/>
                      <w:lang w:val="en-US" w:eastAsia="zh-CN"/>
                    </w:rPr>
                    <w:t>。</w:t>
                  </w:r>
                </w:p>
                <w:p>
                  <w:pPr>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项目不属于过生产能行业、</w:t>
                  </w:r>
                  <w:r>
                    <w:rPr>
                      <w:rFonts w:hint="eastAsia" w:ascii="Times New Roman" w:hAnsi="Times New Roman" w:cs="Times New Roman"/>
                      <w:color w:val="auto"/>
                      <w:sz w:val="21"/>
                      <w:szCs w:val="21"/>
                      <w:lang w:val="en-US" w:eastAsia="zh-CN"/>
                    </w:rPr>
                    <w:t>高耗能高排放</w:t>
                  </w:r>
                  <w:r>
                    <w:rPr>
                      <w:rFonts w:hint="eastAsia" w:cs="Times New Roman"/>
                      <w:color w:val="auto"/>
                      <w:sz w:val="21"/>
                      <w:szCs w:val="21"/>
                      <w:lang w:val="en-US" w:eastAsia="zh-CN"/>
                    </w:rPr>
                    <w:t>项目。</w:t>
                  </w:r>
                </w:p>
                <w:p>
                  <w:pPr>
                    <w:ind w:left="0" w:leftChars="0" w:right="0" w:rightChars="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w:t>
                  </w:r>
                  <w:r>
                    <w:rPr>
                      <w:rFonts w:hint="default" w:ascii="Times New Roman" w:hAnsi="Times New Roman" w:eastAsia="宋体" w:cs="Times New Roman"/>
                      <w:color w:val="auto"/>
                      <w:sz w:val="21"/>
                      <w:szCs w:val="21"/>
                      <w:vertAlign w:val="baseline"/>
                      <w:lang w:val="en-US" w:eastAsia="zh-CN"/>
                    </w:rPr>
                    <w:t>清洁生产水平满足行业</w:t>
                  </w:r>
                  <w:r>
                    <w:rPr>
                      <w:rFonts w:hint="default" w:ascii="Times New Roman" w:hAnsi="Times New Roman" w:cs="Times New Roman"/>
                      <w:color w:val="auto"/>
                      <w:sz w:val="21"/>
                      <w:szCs w:val="21"/>
                      <w:vertAlign w:val="baseline"/>
                      <w:lang w:val="en-US" w:eastAsia="zh-CN"/>
                    </w:rPr>
                    <w:t>清洁生产标准二级。</w:t>
                  </w:r>
                </w:p>
                <w:p>
                  <w:pPr>
                    <w:ind w:left="0" w:leftChars="0" w:right="0" w:rightChars="0" w:firstLine="0" w:firstLineChars="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项目不使用</w:t>
                  </w:r>
                  <w:r>
                    <w:rPr>
                      <w:rFonts w:hint="eastAsia" w:ascii="Times New Roman" w:hAnsi="Times New Roman" w:cs="Times New Roman"/>
                      <w:color w:val="auto"/>
                      <w:sz w:val="21"/>
                      <w:szCs w:val="21"/>
                      <w:lang w:val="en-US" w:eastAsia="zh-CN"/>
                    </w:rPr>
                    <w:t>高污染燃料</w:t>
                  </w:r>
                  <w:r>
                    <w:rPr>
                      <w:rFonts w:hint="eastAsia" w:cs="Times New Roman"/>
                      <w:color w:val="auto"/>
                      <w:sz w:val="21"/>
                      <w:szCs w:val="21"/>
                      <w:lang w:val="en-US" w:eastAsia="zh-CN"/>
                    </w:rPr>
                    <w:t>。</w:t>
                  </w:r>
                </w:p>
                <w:p>
                  <w:pPr>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项目符合园区</w:t>
                  </w:r>
                  <w:r>
                    <w:rPr>
                      <w:rFonts w:hint="eastAsia" w:cs="Times New Roman"/>
                      <w:color w:val="auto"/>
                      <w:sz w:val="21"/>
                      <w:szCs w:val="21"/>
                      <w:vertAlign w:val="baseline"/>
                      <w:lang w:val="en-US" w:eastAsia="zh-CN"/>
                    </w:rPr>
                    <w:t>总体要求</w:t>
                  </w:r>
                  <w:r>
                    <w:rPr>
                      <w:rFonts w:hint="default" w:ascii="Times New Roman" w:hAnsi="Times New Roman" w:eastAsia="宋体" w:cs="Times New Roman"/>
                      <w:color w:val="auto"/>
                      <w:sz w:val="21"/>
                      <w:szCs w:val="21"/>
                      <w:vertAlign w:val="baseline"/>
                      <w:lang w:val="en-US" w:eastAsia="zh-CN"/>
                    </w:rPr>
                    <w:t>。</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858"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分区管控要求</w:t>
                  </w:r>
                </w:p>
              </w:tc>
              <w:tc>
                <w:tcPr>
                  <w:tcW w:w="599" w:type="pct"/>
                  <w:tcBorders>
                    <w:tl2br w:val="nil"/>
                    <w:tr2bl w:val="nil"/>
                  </w:tcBorders>
                  <w:vAlign w:val="center"/>
                </w:tcPr>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空间布局约束</w:t>
                  </w:r>
                </w:p>
              </w:tc>
              <w:tc>
                <w:tcPr>
                  <w:tcW w:w="1715" w:type="pct"/>
                  <w:tcBorders>
                    <w:tl2br w:val="nil"/>
                    <w:tr2bl w:val="nil"/>
                  </w:tcBorders>
                  <w:vAlign w:val="center"/>
                </w:tcPr>
                <w:p>
                  <w:pPr>
                    <w:ind w:left="0" w:leftChars="0" w:right="0" w:rightChars="0"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阳台河岸线</w:t>
                  </w:r>
                  <w:r>
                    <w:rPr>
                      <w:rFonts w:hint="default" w:ascii="Times New Roman" w:hAnsi="Times New Roman" w:cs="Times New Roman"/>
                      <w:color w:val="auto"/>
                      <w:sz w:val="21"/>
                      <w:szCs w:val="21"/>
                      <w:lang w:val="en-US" w:eastAsia="zh-CN"/>
                    </w:rPr>
                    <w:t>1km</w:t>
                  </w:r>
                  <w:r>
                    <w:rPr>
                      <w:rFonts w:hint="eastAsia" w:ascii="Times New Roman" w:hAnsi="Times New Roman" w:cs="Times New Roman"/>
                      <w:color w:val="auto"/>
                      <w:sz w:val="21"/>
                      <w:szCs w:val="21"/>
                      <w:lang w:val="en-US" w:eastAsia="zh-CN"/>
                    </w:rPr>
                    <w:t xml:space="preserve">范围内禁止新建、改扩建化工项目（节能、安全环保改造除外）； </w:t>
                  </w:r>
                </w:p>
                <w:p>
                  <w:pPr>
                    <w:ind w:left="0" w:leftChars="0" w:right="0" w:rightChars="0"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 xml:space="preserve">禁止引入化学原料药、发酵类抗生素项目； </w:t>
                  </w:r>
                </w:p>
                <w:p>
                  <w:pPr>
                    <w:ind w:left="0" w:leftChars="0" w:right="0" w:rightChars="0"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 xml:space="preserve">禁止引入专业电镀，排放含铅、汞、镉、铬、砷废水的项目； </w:t>
                  </w:r>
                </w:p>
                <w:p>
                  <w:pPr>
                    <w:ind w:left="0" w:leftChars="0" w:right="0" w:rightChars="0"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禁止引入危化品仓储项目。</w:t>
                  </w:r>
                </w:p>
                <w:p>
                  <w:pPr>
                    <w:ind w:left="0" w:leftChars="0" w:right="0" w:rightChars="0"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限制污染转移项目。</w:t>
                  </w:r>
                </w:p>
                <w:p>
                  <w:pPr>
                    <w:ind w:left="0" w:leftChars="0" w:right="0" w:rightChars="0" w:firstLine="0" w:firstLine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原则上限制发展，污染物排放只降不增，允许以提升安全、生态环境保护水平为目的的改建，引导企业结合产业升级等适时搬迁。</w:t>
                  </w:r>
                </w:p>
              </w:tc>
              <w:tc>
                <w:tcPr>
                  <w:tcW w:w="1344" w:type="pct"/>
                  <w:tcBorders>
                    <w:tl2br w:val="nil"/>
                    <w:tr2bl w:val="nil"/>
                  </w:tcBorders>
                  <w:vAlign w:val="center"/>
                </w:tcPr>
                <w:p>
                  <w:pPr>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szCs w:val="21"/>
                    </w:rPr>
                    <w:t>本项目属于</w:t>
                  </w:r>
                  <w:r>
                    <w:rPr>
                      <w:rFonts w:hint="eastAsia"/>
                      <w:szCs w:val="21"/>
                      <w:lang w:eastAsia="zh-CN"/>
                    </w:rPr>
                    <w:t>特种玻璃</w:t>
                  </w:r>
                  <w:r>
                    <w:rPr>
                      <w:rFonts w:hint="eastAsia"/>
                      <w:szCs w:val="21"/>
                    </w:rPr>
                    <w:t>制造，</w:t>
                  </w:r>
                  <w:r>
                    <w:rPr>
                      <w:rFonts w:hint="eastAsia"/>
                      <w:szCs w:val="21"/>
                      <w:lang w:eastAsia="zh-CN"/>
                    </w:rPr>
                    <w:t>主要为</w:t>
                  </w:r>
                  <w:r>
                    <w:rPr>
                      <w:rFonts w:hint="eastAsia"/>
                      <w:szCs w:val="21"/>
                    </w:rPr>
                    <w:t>钢化</w:t>
                  </w:r>
                  <w:r>
                    <w:rPr>
                      <w:rFonts w:hint="eastAsia"/>
                      <w:szCs w:val="21"/>
                      <w:lang w:eastAsia="zh-CN"/>
                    </w:rPr>
                    <w:t>后的</w:t>
                  </w:r>
                  <w:r>
                    <w:rPr>
                      <w:rFonts w:hint="eastAsia"/>
                      <w:szCs w:val="21"/>
                    </w:rPr>
                    <w:t>玻璃</w:t>
                  </w:r>
                  <w:r>
                    <w:rPr>
                      <w:rFonts w:hint="eastAsia"/>
                      <w:szCs w:val="21"/>
                      <w:lang w:eastAsia="zh-CN"/>
                    </w:rPr>
                    <w:t>进行</w:t>
                  </w:r>
                  <w:r>
                    <w:rPr>
                      <w:rFonts w:hint="eastAsia"/>
                      <w:szCs w:val="21"/>
                    </w:rPr>
                    <w:t>涂膜加工，不涉及焙烧和煅烧工序，不属于</w:t>
                  </w:r>
                  <w:r>
                    <w:rPr>
                      <w:rFonts w:hint="eastAsia"/>
                      <w:szCs w:val="21"/>
                      <w:lang w:eastAsia="zh-CN"/>
                    </w:rPr>
                    <w:t>化工、</w:t>
                  </w:r>
                  <w:r>
                    <w:rPr>
                      <w:rFonts w:hint="default" w:ascii="Times New Roman" w:hAnsi="Times New Roman" w:cs="Times New Roman"/>
                      <w:color w:val="auto"/>
                      <w:sz w:val="21"/>
                      <w:szCs w:val="21"/>
                      <w:vertAlign w:val="baseline"/>
                      <w:lang w:val="en-US" w:eastAsia="zh-CN"/>
                    </w:rPr>
                    <w:t>电镀</w:t>
                  </w:r>
                  <w:r>
                    <w:rPr>
                      <w:rFonts w:hint="eastAsia" w:ascii="Times New Roman" w:hAnsi="Times New Roman" w:cs="Times New Roman"/>
                      <w:color w:val="auto"/>
                      <w:sz w:val="21"/>
                      <w:szCs w:val="21"/>
                      <w:vertAlign w:val="baseline"/>
                      <w:lang w:val="en-US" w:eastAsia="zh-CN"/>
                    </w:rPr>
                    <w:t>等行业</w:t>
                  </w:r>
                  <w:r>
                    <w:rPr>
                      <w:rFonts w:hint="default" w:ascii="Times New Roman" w:hAnsi="Times New Roman" w:cs="Times New Roman"/>
                      <w:color w:val="auto"/>
                      <w:sz w:val="21"/>
                      <w:szCs w:val="21"/>
                      <w:vertAlign w:val="baseline"/>
                      <w:lang w:val="en-US" w:eastAsia="zh-CN"/>
                    </w:rPr>
                    <w:t>，项目排放废水不含</w:t>
                  </w:r>
                  <w:r>
                    <w:rPr>
                      <w:rFonts w:hint="default" w:ascii="Times New Roman" w:hAnsi="Times New Roman" w:eastAsia="宋体" w:cs="Times New Roman"/>
                      <w:color w:val="auto"/>
                      <w:sz w:val="21"/>
                      <w:szCs w:val="21"/>
                      <w:lang w:val="en-US" w:eastAsia="zh-CN"/>
                    </w:rPr>
                    <w:t>铅、汞、镉、铬、砷</w:t>
                  </w:r>
                  <w:r>
                    <w:rPr>
                      <w:rFonts w:hint="default" w:ascii="Times New Roman" w:hAnsi="Times New Roman" w:cs="Times New Roman"/>
                      <w:color w:val="auto"/>
                      <w:sz w:val="21"/>
                      <w:szCs w:val="21"/>
                      <w:lang w:val="en-US" w:eastAsia="zh-CN"/>
                    </w:rPr>
                    <w:t>5类重金属。</w:t>
                  </w:r>
                </w:p>
                <w:p>
                  <w:pPr>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项目不属于危化品仓储项目、不属于污染转移项目。</w:t>
                  </w:r>
                </w:p>
                <w:p>
                  <w:pPr>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项目位于北片区，</w:t>
                  </w:r>
                  <w:r>
                    <w:rPr>
                      <w:rFonts w:hint="default" w:ascii="Times New Roman" w:hAnsi="Times New Roman" w:eastAsia="宋体" w:cs="Times New Roman"/>
                      <w:color w:val="auto"/>
                      <w:sz w:val="21"/>
                      <w:szCs w:val="21"/>
                      <w:vertAlign w:val="baseline"/>
                      <w:lang w:val="en-US" w:eastAsia="zh-CN"/>
                    </w:rPr>
                    <w:t>项目地块未与城区接壤，且风险潜势为I。</w:t>
                  </w:r>
                </w:p>
              </w:tc>
              <w:tc>
                <w:tcPr>
                  <w:tcW w:w="481" w:type="pct"/>
                  <w:tcBorders>
                    <w:tl2br w:val="nil"/>
                    <w:tr2bl w:val="nil"/>
                  </w:tcBorders>
                  <w:vAlign w:val="center"/>
                </w:tcPr>
                <w:p>
                  <w:pPr>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bl>
          <w:p>
            <w:pPr>
              <w:spacing w:line="360" w:lineRule="auto"/>
              <w:ind w:firstLine="480" w:firstLineChars="200"/>
              <w:rPr>
                <w:sz w:val="24"/>
                <w:szCs w:val="24"/>
              </w:rPr>
            </w:pPr>
            <w:r>
              <w:rPr>
                <w:rFonts w:hint="eastAsia"/>
                <w:sz w:val="24"/>
                <w:szCs w:val="24"/>
              </w:rPr>
              <w:t>由上表分析可知，本项目属于</w:t>
            </w:r>
            <w:r>
              <w:rPr>
                <w:rFonts w:hint="eastAsia"/>
                <w:sz w:val="24"/>
                <w:szCs w:val="24"/>
                <w:lang w:eastAsia="zh-CN"/>
              </w:rPr>
              <w:t>特种玻璃</w:t>
            </w:r>
            <w:r>
              <w:rPr>
                <w:rFonts w:hint="eastAsia"/>
                <w:sz w:val="24"/>
                <w:szCs w:val="24"/>
              </w:rPr>
              <w:t>制造，主要为钢化后的玻璃进行涂膜加工，不涉及焙烧和煅烧工序，不属于高污染行业</w:t>
            </w:r>
            <w:r>
              <w:rPr>
                <w:rFonts w:hint="eastAsia"/>
                <w:sz w:val="24"/>
                <w:szCs w:val="24"/>
                <w:lang w:eastAsia="zh-CN"/>
              </w:rPr>
              <w:t>；</w:t>
            </w:r>
            <w:r>
              <w:rPr>
                <w:rFonts w:hint="eastAsia"/>
                <w:sz w:val="24"/>
                <w:szCs w:val="24"/>
              </w:rPr>
              <w:t>本项目未列入巴中经开区主导产业，不属于</w:t>
            </w:r>
            <w:r>
              <w:rPr>
                <w:rFonts w:hint="eastAsia" w:cs="Times New Roman"/>
                <w:sz w:val="24"/>
                <w:szCs w:val="24"/>
              </w:rPr>
              <w:t>生态环境准入清单中禁止引入的项目</w:t>
            </w:r>
            <w:r>
              <w:rPr>
                <w:rFonts w:hint="eastAsia"/>
                <w:sz w:val="24"/>
                <w:szCs w:val="24"/>
              </w:rPr>
              <w:t>。因此，项目符合</w:t>
            </w:r>
            <w:r>
              <w:rPr>
                <w:rFonts w:hint="eastAsia" w:cs="Times New Roman"/>
                <w:sz w:val="24"/>
                <w:szCs w:val="24"/>
              </w:rPr>
              <w:t>《</w:t>
            </w:r>
            <w:r>
              <w:rPr>
                <w:rFonts w:hint="eastAsia" w:cs="Times New Roman"/>
                <w:sz w:val="24"/>
                <w:szCs w:val="24"/>
                <w:lang w:eastAsia="zh-CN"/>
              </w:rPr>
              <w:t>四川巴中经济开发区规划修编环境影响报告书</w:t>
            </w:r>
            <w:r>
              <w:rPr>
                <w:rFonts w:hint="eastAsia" w:cs="Times New Roman"/>
                <w:sz w:val="24"/>
                <w:szCs w:val="24"/>
              </w:rPr>
              <w:t>》及审查意见</w:t>
            </w:r>
            <w:r>
              <w:rPr>
                <w:rFonts w:hint="eastAsia"/>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vAlign w:val="center"/>
          </w:tcPr>
          <w:p>
            <w:pPr>
              <w:spacing w:line="360" w:lineRule="auto"/>
              <w:jc w:val="center"/>
              <w:rPr>
                <w:rFonts w:cs="Times New Roman"/>
                <w:sz w:val="24"/>
                <w:szCs w:val="24"/>
              </w:rPr>
            </w:pPr>
            <w:r>
              <w:rPr>
                <w:rFonts w:hint="eastAsia" w:cs="Times New Roman"/>
                <w:sz w:val="24"/>
                <w:szCs w:val="24"/>
              </w:rPr>
              <w:t>其他符合性分析</w:t>
            </w:r>
          </w:p>
        </w:tc>
        <w:tc>
          <w:tcPr>
            <w:tcW w:w="4374" w:type="pct"/>
            <w:gridSpan w:val="4"/>
            <w:vAlign w:val="center"/>
          </w:tcPr>
          <w:p>
            <w:pPr>
              <w:spacing w:line="360" w:lineRule="auto"/>
              <w:ind w:firstLine="482" w:firstLineChars="200"/>
              <w:rPr>
                <w:rFonts w:cs="Times New Roman"/>
                <w:b/>
                <w:sz w:val="24"/>
                <w:szCs w:val="24"/>
              </w:rPr>
            </w:pPr>
            <w:r>
              <w:rPr>
                <w:rFonts w:hint="eastAsia" w:cs="Times New Roman"/>
                <w:b/>
                <w:sz w:val="24"/>
                <w:szCs w:val="24"/>
              </w:rPr>
              <w:t>1、产业政策符合性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heme="minorHAnsi"/>
                <w:sz w:val="24"/>
                <w:szCs w:val="24"/>
              </w:rPr>
            </w:pPr>
            <w:r>
              <w:rPr>
                <w:rFonts w:hint="eastAsia"/>
                <w:bCs/>
                <w:sz w:val="24"/>
              </w:rPr>
              <w:t>根据《国民经济行业分类》（GB/T4754-2017），本项目属于</w:t>
            </w:r>
            <w:r>
              <w:rPr>
                <w:rFonts w:hint="eastAsia"/>
                <w:bCs/>
                <w:sz w:val="24"/>
                <w:lang w:eastAsia="zh-CN"/>
              </w:rPr>
              <w:t>特种玻璃</w:t>
            </w:r>
            <w:r>
              <w:rPr>
                <w:rFonts w:hint="eastAsia"/>
                <w:bCs/>
                <w:sz w:val="24"/>
              </w:rPr>
              <w:t>制造，</w:t>
            </w:r>
            <w:r>
              <w:rPr>
                <w:sz w:val="24"/>
              </w:rPr>
              <w:t>不属于</w:t>
            </w:r>
            <w:r>
              <w:rPr>
                <w:rFonts w:hint="eastAsia" w:cs="Times New Roman"/>
                <w:sz w:val="24"/>
                <w:szCs w:val="24"/>
              </w:rPr>
              <w:t>《产业结构调整指导目录（201</w:t>
            </w:r>
            <w:r>
              <w:rPr>
                <w:rFonts w:cs="Times New Roman"/>
                <w:sz w:val="24"/>
                <w:szCs w:val="24"/>
              </w:rPr>
              <w:t>9</w:t>
            </w:r>
            <w:r>
              <w:rPr>
                <w:rFonts w:hint="eastAsia" w:cs="Times New Roman"/>
                <w:sz w:val="24"/>
                <w:szCs w:val="24"/>
              </w:rPr>
              <w:t>年本）》中鼓励类、限制类和淘汰类，</w:t>
            </w:r>
            <w:r>
              <w:rPr>
                <w:rFonts w:hint="default" w:ascii="Times New Roman" w:hAnsi="Times New Roman" w:cs="Times New Roman"/>
                <w:bCs/>
                <w:color w:val="000000"/>
                <w:sz w:val="24"/>
                <w:szCs w:val="28"/>
              </w:rPr>
              <w:t>根据国务院《促进产业结构调整暂行规定》（国发</w:t>
            </w:r>
            <w:r>
              <w:rPr>
                <w:rFonts w:hint="default" w:ascii="Times New Roman" w:hAnsi="Times New Roman" w:cs="Times New Roman"/>
                <w:snapToGrid w:val="0"/>
                <w:color w:val="000000"/>
                <w:sz w:val="24"/>
                <w:szCs w:val="28"/>
              </w:rPr>
              <w:t>〔2005〕</w:t>
            </w:r>
            <w:r>
              <w:rPr>
                <w:rFonts w:hint="default" w:ascii="Times New Roman" w:hAnsi="Times New Roman" w:cs="Times New Roman"/>
                <w:bCs/>
                <w:color w:val="000000"/>
                <w:sz w:val="24"/>
                <w:szCs w:val="28"/>
              </w:rPr>
              <w:t>40号），第十三条“不属于鼓励类、限制类和淘汰类，且符合国家有关法律、法规和政策规定，视为允许类”，因此，本项目为允许类</w:t>
            </w:r>
            <w:r>
              <w:rPr>
                <w:rFonts w:cstheme="minorHAnsi"/>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heme="minorHAnsi"/>
                <w:sz w:val="24"/>
                <w:szCs w:val="24"/>
                <w:lang w:val="en-US" w:eastAsia="zh-CN"/>
              </w:rPr>
            </w:pPr>
            <w:r>
              <w:rPr>
                <w:rFonts w:hint="eastAsia" w:cstheme="minorHAnsi"/>
                <w:sz w:val="24"/>
                <w:szCs w:val="24"/>
                <w:lang w:eastAsia="zh-CN"/>
              </w:rPr>
              <w:t>本项目于</w:t>
            </w:r>
            <w:r>
              <w:rPr>
                <w:rFonts w:hint="eastAsia" w:cstheme="minorHAnsi"/>
                <w:sz w:val="24"/>
                <w:szCs w:val="24"/>
                <w:lang w:val="en-US" w:eastAsia="zh-CN"/>
              </w:rPr>
              <w:t>2023年3月13日取得四川巴中经济开发区科技创新和经济发展局关于本项目的备案表，备案号为川投资备【2303-511924-04-01-902374】FGQB-0005号。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heme="minorHAnsi"/>
                <w:sz w:val="24"/>
                <w:szCs w:val="24"/>
              </w:rPr>
            </w:pPr>
            <w:r>
              <w:rPr>
                <w:rFonts w:cstheme="minorHAnsi"/>
                <w:sz w:val="24"/>
                <w:szCs w:val="24"/>
              </w:rPr>
              <w:t>因此，本项目符合国家现行产业政策。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sz w:val="24"/>
                <w:szCs w:val="24"/>
              </w:rPr>
            </w:pPr>
            <w:r>
              <w:rPr>
                <w:rFonts w:hint="eastAsia" w:cs="Times New Roman"/>
                <w:b/>
                <w:sz w:val="24"/>
                <w:szCs w:val="24"/>
              </w:rPr>
              <w:t>2、项目用地规划符合性分析</w:t>
            </w:r>
          </w:p>
          <w:p>
            <w:pPr>
              <w:pStyle w:val="81"/>
              <w:keepNext w:val="0"/>
              <w:keepLines w:val="0"/>
              <w:pageBreakBefore w:val="0"/>
              <w:widowControl w:val="0"/>
              <w:kinsoku/>
              <w:wordWrap/>
              <w:overflowPunct/>
              <w:topLinePunct w:val="0"/>
              <w:autoSpaceDE/>
              <w:autoSpaceDN/>
              <w:bidi w:val="0"/>
              <w:adjustRightInd/>
              <w:snapToGrid/>
              <w:ind w:firstLine="480"/>
              <w:textAlignment w:val="auto"/>
              <w:rPr>
                <w:rFonts w:cs="黑体"/>
                <w:snapToGrid/>
                <w:szCs w:val="22"/>
              </w:rPr>
            </w:pPr>
            <w:r>
              <w:rPr>
                <w:rFonts w:hint="eastAsia" w:cs="黑体"/>
                <w:snapToGrid/>
                <w:szCs w:val="22"/>
              </w:rPr>
              <w:t>项目选址于四川巴中经济开发区中山北路17号，根据园区用地规划图，明确本项目用地性质为工业用地，同时，根据建设用地规划许可证【地字第511924201703210001号】（见附件3），本项目用地属于工业用地，其选址符合相关规划选址要求。</w:t>
            </w:r>
          </w:p>
          <w:p>
            <w:pPr>
              <w:pStyle w:val="81"/>
              <w:keepNext w:val="0"/>
              <w:keepLines w:val="0"/>
              <w:pageBreakBefore w:val="0"/>
              <w:widowControl w:val="0"/>
              <w:kinsoku/>
              <w:wordWrap/>
              <w:overflowPunct/>
              <w:topLinePunct w:val="0"/>
              <w:autoSpaceDE/>
              <w:autoSpaceDN/>
              <w:bidi w:val="0"/>
              <w:adjustRightInd/>
              <w:snapToGrid/>
              <w:ind w:firstLine="480"/>
              <w:textAlignment w:val="auto"/>
              <w:rPr>
                <w:rFonts w:cs="黑体"/>
                <w:snapToGrid/>
                <w:szCs w:val="22"/>
              </w:rPr>
            </w:pPr>
            <w:r>
              <w:rPr>
                <w:rFonts w:hint="eastAsia" w:cs="黑体"/>
                <w:snapToGrid/>
                <w:szCs w:val="22"/>
              </w:rPr>
              <w:t>因此，项目选址符合巴中市土地利用</w:t>
            </w:r>
            <w:r>
              <w:rPr>
                <w:rFonts w:hint="eastAsia" w:cs="黑体"/>
                <w:snapToGrid/>
                <w:szCs w:val="22"/>
                <w:lang w:eastAsia="zh-CN"/>
              </w:rPr>
              <w:t>规划</w:t>
            </w:r>
            <w:r>
              <w:rPr>
                <w:rFonts w:hint="eastAsia" w:cs="黑体"/>
                <w:snapToGrid/>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heme="minorHAnsi"/>
                <w:sz w:val="24"/>
                <w:szCs w:val="24"/>
              </w:rPr>
            </w:pPr>
            <w:r>
              <w:rPr>
                <w:rFonts w:hint="eastAsia" w:cs="Times New Roman"/>
                <w:b/>
                <w:sz w:val="24"/>
                <w:szCs w:val="24"/>
              </w:rPr>
              <w:t>3、与“三线一单”符合性</w:t>
            </w:r>
          </w:p>
          <w:p>
            <w:pPr>
              <w:pStyle w:val="100"/>
              <w:spacing w:before="0" w:beforeLines="0"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四川省生态环境厅办公室关于印发〈产业园区规划环评“三线一单”符合性分析技术要点（试行）〉和〈项目环评“三线一单”符合性分析技术要点（试行）〉的通知》（川环办函〔2021〕469号）可知，若建设项目位于产业园区内，且产业园区规划环境影响评价中已经开展了园区与“三线一单”符合性分析，则项目环评只需分析与产业园区规划环评生态环境准入要求的符合性。本项目位于巴中经济开发区内，园区规划环评开展与巴中市“三线一单”的符合性分析，</w:t>
            </w:r>
            <w:r>
              <w:rPr>
                <w:rFonts w:hint="eastAsia" w:ascii="Times New Roman" w:hAnsi="Times New Roman" w:eastAsia="宋体" w:cs="Times New Roman"/>
                <w:b w:val="0"/>
                <w:bCs w:val="0"/>
                <w:color w:val="auto"/>
                <w:sz w:val="24"/>
                <w:szCs w:val="24"/>
                <w:lang w:val="en-US" w:eastAsia="zh-CN"/>
              </w:rPr>
              <w:t>因此</w:t>
            </w:r>
            <w:r>
              <w:rPr>
                <w:rFonts w:hint="default" w:ascii="Times New Roman" w:hAnsi="Times New Roman" w:eastAsia="宋体" w:cs="Times New Roman"/>
                <w:b w:val="0"/>
                <w:bCs w:val="0"/>
                <w:color w:val="auto"/>
                <w:sz w:val="24"/>
                <w:szCs w:val="24"/>
                <w:lang w:val="en-US" w:eastAsia="zh-CN"/>
              </w:rPr>
              <w:t>，本项目与“生态环境准入清单”符合性分析将从空间符合性以及与产业园区规划环评生态环境准入要求的符合性进行分析。</w:t>
            </w:r>
          </w:p>
          <w:p>
            <w:pPr>
              <w:pStyle w:val="100"/>
              <w:spacing w:before="0" w:beforeLines="0" w:line="360" w:lineRule="auto"/>
              <w:ind w:firstLine="482" w:firstLineChars="200"/>
              <w:jc w:val="both"/>
              <w:rPr>
                <w:rFonts w:hint="default" w:ascii="Times New Roman" w:hAnsi="Times New Roman" w:eastAsia="宋体" w:cs="Times New Roman"/>
                <w:b/>
                <w:bCs/>
                <w:color w:val="000000"/>
                <w:sz w:val="24"/>
                <w:szCs w:val="24"/>
                <w:lang w:val="en-US" w:eastAsia="zh-CN"/>
              </w:rPr>
            </w:pPr>
            <w:r>
              <w:rPr>
                <w:rFonts w:hint="eastAsia"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lang w:val="en-US" w:eastAsia="zh-CN"/>
              </w:rPr>
              <w:t>1</w:t>
            </w:r>
            <w:r>
              <w:rPr>
                <w:rFonts w:hint="eastAsia"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lang w:val="en-US" w:eastAsia="zh-CN"/>
              </w:rPr>
              <w:t>生态保护红线</w:t>
            </w:r>
          </w:p>
          <w:p>
            <w:pPr>
              <w:pStyle w:val="100"/>
              <w:keepNext w:val="0"/>
              <w:keepLines w:val="0"/>
              <w:pageBreakBefore w:val="0"/>
              <w:widowControl/>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cs="Times New Roman"/>
                <w:color w:val="000000"/>
              </w:rPr>
              <mc:AlternateContent>
                <mc:Choice Requires="wps">
                  <w:drawing>
                    <wp:anchor distT="0" distB="0" distL="114300" distR="114300" simplePos="0" relativeHeight="251667456" behindDoc="0" locked="0" layoutInCell="1" allowOverlap="1">
                      <wp:simplePos x="0" y="0"/>
                      <wp:positionH relativeFrom="column">
                        <wp:posOffset>127000</wp:posOffset>
                      </wp:positionH>
                      <wp:positionV relativeFrom="paragraph">
                        <wp:posOffset>978535</wp:posOffset>
                      </wp:positionV>
                      <wp:extent cx="1014095" cy="303530"/>
                      <wp:effectExtent l="4445" t="4445" r="410210" b="663575"/>
                      <wp:wrapNone/>
                      <wp:docPr id="140" name="矩形标注 140"/>
                      <wp:cNvGraphicFramePr/>
                      <a:graphic xmlns:a="http://schemas.openxmlformats.org/drawingml/2006/main">
                        <a:graphicData uri="http://schemas.microsoft.com/office/word/2010/wordprocessingShape">
                          <wps:wsp>
                            <wps:cNvSpPr/>
                            <wps:spPr>
                              <a:xfrm>
                                <a:off x="0" y="0"/>
                                <a:ext cx="1014095" cy="303530"/>
                              </a:xfrm>
                              <a:prstGeom prst="wedgeRectCallout">
                                <a:avLst>
                                  <a:gd name="adj1" fmla="val 87194"/>
                                  <a:gd name="adj2" fmla="val 254393"/>
                                </a:avLst>
                              </a:prstGeom>
                              <a:solidFill>
                                <a:srgbClr val="FFFFFF"/>
                              </a:solidFill>
                              <a:ln w="9525" cap="flat" cmpd="sng">
                                <a:solidFill>
                                  <a:srgbClr val="0000FF"/>
                                </a:solidFill>
                                <a:prstDash val="solid"/>
                                <a:miter/>
                                <a:headEnd type="none" w="med" len="med"/>
                                <a:tailEnd type="none" w="med" len="med"/>
                              </a:ln>
                            </wps:spPr>
                            <wps:txbx>
                              <w:txbxContent>
                                <w:p>
                                  <w:pPr>
                                    <w:rPr>
                                      <w:b/>
                                      <w:bCs/>
                                    </w:rPr>
                                  </w:pPr>
                                  <w:r>
                                    <w:rPr>
                                      <w:rFonts w:hint="eastAsia"/>
                                      <w:b/>
                                      <w:bCs/>
                                    </w:rPr>
                                    <w:t>本项目位置</w:t>
                                  </w:r>
                                </w:p>
                              </w:txbxContent>
                            </wps:txbx>
                            <wps:bodyPr upright="1"/>
                          </wps:wsp>
                        </a:graphicData>
                      </a:graphic>
                    </wp:anchor>
                  </w:drawing>
                </mc:Choice>
                <mc:Fallback>
                  <w:pict>
                    <v:shape id="_x0000_s1026" o:spid="_x0000_s1026" o:spt="61" type="#_x0000_t61" style="position:absolute;left:0pt;margin-left:10pt;margin-top:77.05pt;height:23.9pt;width:79.85pt;z-index:251667456;mso-width-relative:page;mso-height-relative:page;" fillcolor="#FFFFFF" filled="t" stroked="t" coordsize="21600,21600" o:gfxdata="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z8NJ1wAAAAoBAAAPAAAAAAAAAAEAIAAAACIAAABkcnMvZG93&#10;bnJldi54bWxQSwECFAAUAAAACACHTuJA/T7lGToCAACRBAAADgAAAAAAAAABACAAAAAmAQAAZHJz&#10;L2Uyb0RvYy54bWxQSwUGAAAAAAYABgBZAQAA0gUAAAAA&#10;" adj="29634,65749">
                      <v:fill on="t" focussize="0,0"/>
                      <v:stroke color="#0000FF" joinstyle="miter"/>
                      <v:imagedata o:title=""/>
                      <o:lock v:ext="edit" aspectratio="f"/>
                      <v:textbox>
                        <w:txbxContent>
                          <w:p>
                            <w:pPr>
                              <w:rPr>
                                <w:b/>
                                <w:bCs/>
                              </w:rPr>
                            </w:pPr>
                            <w:r>
                              <w:rPr>
                                <w:rFonts w:hint="eastAsia"/>
                                <w:b/>
                                <w:bCs/>
                              </w:rPr>
                              <w:t>本项目位置</w:t>
                            </w:r>
                          </w:p>
                        </w:txbxContent>
                      </v:textbox>
                    </v:shape>
                  </w:pict>
                </mc:Fallback>
              </mc:AlternateContent>
            </w:r>
            <w:r>
              <w:rPr>
                <w:rFonts w:hint="default" w:ascii="Times New Roman" w:hAnsi="Times New Roman" w:cs="Times New Roman"/>
                <w:color w:val="000000"/>
              </w:rPr>
              <w:drawing>
                <wp:inline distT="0" distB="0" distL="114300" distR="114300">
                  <wp:extent cx="4824730" cy="3136265"/>
                  <wp:effectExtent l="0" t="0" r="13970" b="6985"/>
                  <wp:docPr id="1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pic:cNvPicPr>
                            <a:picLocks noChangeAspect="1"/>
                          </pic:cNvPicPr>
                        </pic:nvPicPr>
                        <pic:blipFill>
                          <a:blip r:embed="rId5"/>
                          <a:srcRect t="3835" b="4092"/>
                          <a:stretch>
                            <a:fillRect/>
                          </a:stretch>
                        </pic:blipFill>
                        <pic:spPr>
                          <a:xfrm>
                            <a:off x="0" y="0"/>
                            <a:ext cx="4824730" cy="3136265"/>
                          </a:xfrm>
                          <a:prstGeom prst="rect">
                            <a:avLst/>
                          </a:prstGeom>
                          <a:noFill/>
                          <a:ln>
                            <a:noFill/>
                          </a:ln>
                        </pic:spPr>
                      </pic:pic>
                    </a:graphicData>
                  </a:graphic>
                </wp:inline>
              </w:drawing>
            </w:r>
          </w:p>
          <w:p>
            <w:pPr>
              <w:pStyle w:val="101"/>
              <w:keepNext w:val="0"/>
              <w:keepLines w:val="0"/>
              <w:pageBreakBefore w:val="0"/>
              <w:widowControl w:val="0"/>
              <w:kinsoku/>
              <w:wordWrap/>
              <w:overflowPunct/>
              <w:topLinePunct w:val="0"/>
              <w:autoSpaceDE/>
              <w:autoSpaceDN/>
              <w:bidi w:val="0"/>
              <w:adjustRightInd w:val="0"/>
              <w:snapToGrid w:val="0"/>
              <w:spacing w:before="257" w:beforeLines="50"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图</w:t>
            </w: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 xml:space="preserve">  </w:t>
            </w:r>
            <w:r>
              <w:rPr>
                <w:rFonts w:hint="default" w:ascii="Times New Roman" w:hAnsi="Times New Roman" w:cs="Times New Roman"/>
                <w:color w:val="000000"/>
                <w:sz w:val="21"/>
                <w:szCs w:val="21"/>
                <w:lang w:eastAsia="zh-CN"/>
              </w:rPr>
              <w:t>巴中</w:t>
            </w:r>
            <w:r>
              <w:rPr>
                <w:rFonts w:hint="default" w:ascii="Times New Roman" w:hAnsi="Times New Roman" w:cs="Times New Roman"/>
                <w:color w:val="000000"/>
                <w:sz w:val="21"/>
                <w:szCs w:val="21"/>
              </w:rPr>
              <w:t>市</w:t>
            </w:r>
            <w:r>
              <w:rPr>
                <w:rFonts w:hint="default" w:ascii="Times New Roman" w:hAnsi="Times New Roman" w:cs="Times New Roman"/>
                <w:color w:val="000000"/>
                <w:sz w:val="21"/>
                <w:szCs w:val="21"/>
                <w:lang w:eastAsia="zh-CN"/>
              </w:rPr>
              <w:t>生态保护红线</w:t>
            </w:r>
            <w:r>
              <w:rPr>
                <w:rFonts w:hint="default" w:ascii="Times New Roman" w:hAnsi="Times New Roman" w:cs="Times New Roman"/>
                <w:color w:val="000000"/>
                <w:sz w:val="21"/>
                <w:szCs w:val="21"/>
              </w:rPr>
              <w:t>图</w:t>
            </w:r>
          </w:p>
          <w:p>
            <w:pPr>
              <w:adjustRightInd w:val="0"/>
              <w:spacing w:line="360" w:lineRule="auto"/>
              <w:ind w:firstLine="480" w:firstLineChars="200"/>
              <w:textAlignment w:val="baseline"/>
              <w:rPr>
                <w:b/>
                <w:sz w:val="24"/>
              </w:rPr>
            </w:pPr>
            <w:r>
              <w:rPr>
                <w:rFonts w:hint="default" w:ascii="Times New Roman" w:hAnsi="Times New Roman" w:eastAsia="宋体" w:cs="Times New Roman"/>
                <w:b w:val="0"/>
                <w:bCs w:val="0"/>
                <w:color w:val="000000"/>
                <w:sz w:val="24"/>
                <w:szCs w:val="24"/>
                <w:lang w:val="en-US" w:eastAsia="zh-CN"/>
              </w:rPr>
              <w:t>由上图可知，本项目不涉及巴中市生态保护红线。</w:t>
            </w:r>
          </w:p>
          <w:p>
            <w:pPr>
              <w:adjustRightInd w:val="0"/>
              <w:spacing w:line="360" w:lineRule="auto"/>
              <w:ind w:firstLine="482" w:firstLineChars="200"/>
              <w:textAlignment w:val="baseline"/>
              <w:rPr>
                <w:b/>
                <w:sz w:val="24"/>
              </w:rPr>
            </w:pPr>
            <w:r>
              <w:rPr>
                <w:b/>
                <w:sz w:val="24"/>
              </w:rPr>
              <w:t>（</w:t>
            </w:r>
            <w:r>
              <w:rPr>
                <w:rFonts w:hint="eastAsia"/>
                <w:b/>
                <w:sz w:val="24"/>
                <w:lang w:val="en-US" w:eastAsia="zh-CN"/>
              </w:rPr>
              <w:t>2</w:t>
            </w:r>
            <w:r>
              <w:rPr>
                <w:rFonts w:hint="eastAsia"/>
                <w:b/>
                <w:sz w:val="24"/>
              </w:rPr>
              <w:t>）</w:t>
            </w:r>
            <w:r>
              <w:rPr>
                <w:rFonts w:hint="eastAsia"/>
                <w:b/>
                <w:sz w:val="24"/>
                <w:lang w:eastAsia="zh-CN"/>
              </w:rPr>
              <w:t>项目所在</w:t>
            </w:r>
            <w:r>
              <w:rPr>
                <w:rFonts w:hint="eastAsia"/>
                <w:b/>
                <w:sz w:val="24"/>
              </w:rPr>
              <w:t>环境管控单元</w:t>
            </w:r>
          </w:p>
          <w:p>
            <w:pPr>
              <w:pStyle w:val="14"/>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根据</w:t>
            </w:r>
            <w:r>
              <w:rPr>
                <w:rFonts w:hint="default" w:ascii="Times New Roman" w:hAnsi="Times New Roman" w:cs="Times New Roman"/>
                <w:snapToGrid w:val="0"/>
                <w:color w:val="000000"/>
                <w:sz w:val="24"/>
              </w:rPr>
              <w:t>《巴中市人民政府关于实施“三线一单”生态环境分区管控的通知》（巴府发〔2021〕5号）</w:t>
            </w:r>
            <w:r>
              <w:rPr>
                <w:rFonts w:hint="default" w:ascii="Times New Roman" w:hAnsi="Times New Roman" w:cs="Times New Roman"/>
                <w:color w:val="000000"/>
                <w:kern w:val="0"/>
                <w:sz w:val="24"/>
              </w:rPr>
              <w:t>，</w:t>
            </w:r>
            <w:r>
              <w:rPr>
                <w:rFonts w:hint="default" w:ascii="Times New Roman" w:hAnsi="Times New Roman" w:cs="Times New Roman"/>
                <w:color w:val="000000"/>
                <w:sz w:val="24"/>
              </w:rPr>
              <w:t>本项目位于四川巴中经济开发区，属于工业重点管控单元</w:t>
            </w:r>
            <w:r>
              <w:rPr>
                <w:rFonts w:hint="default" w:ascii="Times New Roman" w:hAnsi="Times New Roman" w:cs="Times New Roman"/>
                <w:color w:val="000000"/>
                <w:kern w:val="0"/>
                <w:sz w:val="24"/>
              </w:rPr>
              <w:t>。</w:t>
            </w:r>
          </w:p>
          <w:p>
            <w:pPr>
              <w:pStyle w:val="14"/>
              <w:jc w:val="center"/>
              <w:rPr>
                <w:rFonts w:hint="default" w:ascii="Times New Roman" w:hAnsi="Times New Roman" w:cs="Times New Roman"/>
                <w:color w:val="000000"/>
                <w:kern w:val="0"/>
                <w:sz w:val="24"/>
              </w:rPr>
            </w:pPr>
            <w:r>
              <w:rPr>
                <w:rFonts w:hint="default" w:ascii="Times New Roman" w:hAnsi="Times New Roman" w:cs="Times New Roman"/>
                <w:color w:val="000000"/>
              </w:rPr>
              <mc:AlternateContent>
                <mc:Choice Requires="wps">
                  <w:drawing>
                    <wp:anchor distT="0" distB="0" distL="114300" distR="114300" simplePos="0" relativeHeight="251661312" behindDoc="0" locked="0" layoutInCell="1" allowOverlap="1">
                      <wp:simplePos x="0" y="0"/>
                      <wp:positionH relativeFrom="column">
                        <wp:posOffset>167640</wp:posOffset>
                      </wp:positionH>
                      <wp:positionV relativeFrom="paragraph">
                        <wp:posOffset>1232535</wp:posOffset>
                      </wp:positionV>
                      <wp:extent cx="966470" cy="332740"/>
                      <wp:effectExtent l="4445" t="5080" r="705485" b="519430"/>
                      <wp:wrapNone/>
                      <wp:docPr id="143" name="矩形标注 143"/>
                      <wp:cNvGraphicFramePr/>
                      <a:graphic xmlns:a="http://schemas.openxmlformats.org/drawingml/2006/main">
                        <a:graphicData uri="http://schemas.microsoft.com/office/word/2010/wordprocessingShape">
                          <wps:wsp>
                            <wps:cNvSpPr/>
                            <wps:spPr>
                              <a:xfrm>
                                <a:off x="0" y="0"/>
                                <a:ext cx="966470" cy="332740"/>
                              </a:xfrm>
                              <a:prstGeom prst="wedgeRectCallout">
                                <a:avLst>
                                  <a:gd name="adj1" fmla="val 118134"/>
                                  <a:gd name="adj2" fmla="val 195610"/>
                                </a:avLst>
                              </a:prstGeom>
                              <a:solidFill>
                                <a:srgbClr val="FFFFFF"/>
                              </a:solidFill>
                              <a:ln w="9525" cap="flat" cmpd="sng">
                                <a:solidFill>
                                  <a:srgbClr val="0000FF"/>
                                </a:solidFill>
                                <a:prstDash val="solid"/>
                                <a:miter/>
                                <a:headEnd type="none" w="med" len="med"/>
                                <a:tailEnd type="none" w="med" len="med"/>
                              </a:ln>
                            </wps:spPr>
                            <wps:txbx>
                              <w:txbxContent>
                                <w:p>
                                  <w:pPr>
                                    <w:rPr>
                                      <w:b/>
                                      <w:bCs/>
                                    </w:rPr>
                                  </w:pPr>
                                  <w:r>
                                    <w:rPr>
                                      <w:rFonts w:hint="eastAsia"/>
                                      <w:b/>
                                      <w:bCs/>
                                    </w:rPr>
                                    <w:t>本项目位置</w:t>
                                  </w:r>
                                </w:p>
                              </w:txbxContent>
                            </wps:txbx>
                            <wps:bodyPr upright="1"/>
                          </wps:wsp>
                        </a:graphicData>
                      </a:graphic>
                    </wp:anchor>
                  </w:drawing>
                </mc:Choice>
                <mc:Fallback>
                  <w:pict>
                    <v:shape id="_x0000_s1026" o:spid="_x0000_s1026" o:spt="61" type="#_x0000_t61" style="position:absolute;left:0pt;margin-left:13.2pt;margin-top:97.05pt;height:26.2pt;width:76.1pt;z-index:251661312;mso-width-relative:page;mso-height-relative:page;" fillcolor="#FFFFFF" filled="t" stroked="t" coordsize="21600,21600" o:gfxdata="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ruFB9oAAAAKAQAADwAAAAAAAAABACAAAAAiAAAAZHJz&#10;L2Rvd25yZXYueG1sUEsBAhQAFAAAAAgAh07iQFnk+Oc7AgAAkQQAAA4AAAAAAAAAAQAgAAAAKQEA&#10;AGRycy9lMm9Eb2MueG1sUEsFBgAAAAAGAAYAWQEAANYFAAAAAA==&#10;" adj="36317,53052">
                      <v:fill on="t" focussize="0,0"/>
                      <v:stroke color="#0000FF" joinstyle="miter"/>
                      <v:imagedata o:title=""/>
                      <o:lock v:ext="edit" aspectratio="f"/>
                      <v:textbox>
                        <w:txbxContent>
                          <w:p>
                            <w:pPr>
                              <w:rPr>
                                <w:b/>
                                <w:bCs/>
                              </w:rPr>
                            </w:pPr>
                            <w:r>
                              <w:rPr>
                                <w:rFonts w:hint="eastAsia"/>
                                <w:b/>
                                <w:bCs/>
                              </w:rPr>
                              <w:t>本项目位置</w:t>
                            </w:r>
                          </w:p>
                        </w:txbxContent>
                      </v:textbox>
                    </v:shape>
                  </w:pict>
                </mc:Fallback>
              </mc:AlternateContent>
            </w:r>
            <w:r>
              <w:rPr>
                <w:rFonts w:hint="default" w:ascii="Times New Roman" w:hAnsi="Times New Roman" w:cs="Times New Roman"/>
                <w:color w:val="000000"/>
              </w:rPr>
              <w:drawing>
                <wp:inline distT="0" distB="0" distL="114300" distR="114300">
                  <wp:extent cx="4670425" cy="3304540"/>
                  <wp:effectExtent l="0" t="0" r="15875" b="10160"/>
                  <wp:docPr id="142" name="图片 10" descr="页面提取自－三线一单管控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descr="页面提取自－三线一单管控通知"/>
                          <pic:cNvPicPr>
                            <a:picLocks noChangeAspect="1"/>
                          </pic:cNvPicPr>
                        </pic:nvPicPr>
                        <pic:blipFill>
                          <a:blip r:embed="rId6"/>
                          <a:stretch>
                            <a:fillRect/>
                          </a:stretch>
                        </pic:blipFill>
                        <pic:spPr>
                          <a:xfrm>
                            <a:off x="0" y="0"/>
                            <a:ext cx="4670425" cy="3304540"/>
                          </a:xfrm>
                          <a:prstGeom prst="rect">
                            <a:avLst/>
                          </a:prstGeom>
                          <a:noFill/>
                          <a:ln>
                            <a:noFill/>
                          </a:ln>
                        </pic:spPr>
                      </pic:pic>
                    </a:graphicData>
                  </a:graphic>
                </wp:inline>
              </w:drawing>
            </w:r>
          </w:p>
          <w:p>
            <w:pPr>
              <w:pStyle w:val="14"/>
              <w:jc w:val="center"/>
              <w:rPr>
                <w:sz w:val="24"/>
              </w:rPr>
            </w:pPr>
            <w:r>
              <w:rPr>
                <w:rFonts w:hint="default" w:ascii="Times New Roman" w:hAnsi="Times New Roman" w:cs="Times New Roman"/>
                <w:b/>
                <w:bCs/>
                <w:color w:val="000000"/>
                <w:szCs w:val="21"/>
              </w:rPr>
              <w:t>图1-</w:t>
            </w:r>
            <w:r>
              <w:rPr>
                <w:rFonts w:hint="default" w:ascii="Times New Roman" w:hAnsi="Times New Roman" w:cs="Times New Roman"/>
                <w:b/>
                <w:bCs/>
                <w:color w:val="000000"/>
                <w:szCs w:val="21"/>
                <w:lang w:val="en-US" w:eastAsia="zh-CN"/>
              </w:rPr>
              <w:t>2</w:t>
            </w:r>
            <w:r>
              <w:rPr>
                <w:rFonts w:hint="default" w:ascii="Times New Roman" w:hAnsi="Times New Roman" w:cs="Times New Roman"/>
                <w:b/>
                <w:bCs/>
                <w:color w:val="000000"/>
                <w:szCs w:val="21"/>
              </w:rPr>
              <w:t xml:space="preserve">  巴中市环境管控单元图</w:t>
            </w:r>
          </w:p>
          <w:p>
            <w:pPr>
              <w:adjustRightInd w:val="0"/>
              <w:spacing w:line="360" w:lineRule="auto"/>
              <w:ind w:firstLine="480" w:firstLineChars="200"/>
              <w:jc w:val="both"/>
              <w:textAlignment w:val="baseline"/>
              <w:rPr>
                <w:sz w:val="24"/>
                <w:szCs w:val="28"/>
              </w:rPr>
            </w:pPr>
            <w:r>
              <w:rPr>
                <w:rFonts w:hint="default" w:ascii="Times New Roman" w:hAnsi="Times New Roman" w:cs="Times New Roman"/>
                <w:color w:val="000000"/>
                <w:sz w:val="24"/>
                <w:szCs w:val="28"/>
              </w:rPr>
              <w:t>同时，根据四川省政务服务网的“三线一单”符合性分析模块查询，本项目位于巴中市巴州区环境综合管控单元工业重点管控单元（管控单元名称：四川巴中经济经开发区，管控单元编号：ZH51090220006）。所涉及环境管控单元如下：</w:t>
            </w:r>
          </w:p>
          <w:p>
            <w:pPr>
              <w:adjustRightInd w:val="0"/>
              <w:spacing w:line="360" w:lineRule="auto"/>
              <w:jc w:val="center"/>
              <w:textAlignment w:val="baseline"/>
              <w:rPr>
                <w:sz w:val="24"/>
              </w:rPr>
            </w:pPr>
            <w:r>
              <w:drawing>
                <wp:inline distT="0" distB="0" distL="114300" distR="114300">
                  <wp:extent cx="4818380" cy="3598545"/>
                  <wp:effectExtent l="0" t="0" r="1270" b="190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7"/>
                          <a:stretch>
                            <a:fillRect/>
                          </a:stretch>
                        </pic:blipFill>
                        <pic:spPr>
                          <a:xfrm>
                            <a:off x="0" y="0"/>
                            <a:ext cx="4818380" cy="3598545"/>
                          </a:xfrm>
                          <a:prstGeom prst="rect">
                            <a:avLst/>
                          </a:prstGeom>
                          <a:noFill/>
                          <a:ln>
                            <a:noFill/>
                          </a:ln>
                        </pic:spPr>
                      </pic:pic>
                    </a:graphicData>
                  </a:graphic>
                </wp:inline>
              </w:drawing>
            </w:r>
          </w:p>
          <w:p>
            <w:pPr>
              <w:adjustRightInd w:val="0"/>
              <w:spacing w:line="240" w:lineRule="auto"/>
              <w:jc w:val="center"/>
              <w:textAlignment w:val="baseline"/>
              <w:rPr>
                <w:rFonts w:hint="eastAsia"/>
                <w:sz w:val="24"/>
              </w:rPr>
            </w:pPr>
            <w:r>
              <w:rPr>
                <w:rFonts w:hint="default" w:ascii="Times New Roman" w:hAnsi="Times New Roman" w:cs="Times New Roman"/>
                <w:b/>
                <w:bCs/>
                <w:color w:val="000000"/>
                <w:szCs w:val="21"/>
              </w:rPr>
              <w:t>图1-</w:t>
            </w:r>
            <w:r>
              <w:rPr>
                <w:rFonts w:hint="default" w:ascii="Times New Roman" w:hAnsi="Times New Roman" w:cs="Times New Roman"/>
                <w:b/>
                <w:bCs/>
                <w:color w:val="000000"/>
                <w:szCs w:val="21"/>
                <w:lang w:val="en-US" w:eastAsia="zh-CN"/>
              </w:rPr>
              <w:t>3</w:t>
            </w:r>
            <w:r>
              <w:rPr>
                <w:rFonts w:hint="default" w:ascii="Times New Roman" w:hAnsi="Times New Roman" w:cs="Times New Roman"/>
                <w:b/>
                <w:bCs/>
                <w:color w:val="000000"/>
                <w:szCs w:val="21"/>
              </w:rPr>
              <w:t xml:space="preserve">   四川省政务服务网的“三线一单”符合性分析模块查询结果图</w:t>
            </w:r>
          </w:p>
          <w:p>
            <w:pPr>
              <w:pStyle w:val="81"/>
              <w:keepNext w:val="0"/>
              <w:keepLines w:val="0"/>
              <w:pageBreakBefore w:val="0"/>
              <w:widowControl w:val="0"/>
              <w:kinsoku/>
              <w:wordWrap/>
              <w:overflowPunct/>
              <w:topLinePunct w:val="0"/>
              <w:autoSpaceDE/>
              <w:autoSpaceDN/>
              <w:bidi w:val="0"/>
              <w:adjustRightInd/>
              <w:snapToGrid/>
              <w:spacing w:before="63" w:beforeLines="20"/>
              <w:ind w:firstLine="480"/>
              <w:textAlignment w:val="auto"/>
              <w:rPr>
                <w:rFonts w:hint="eastAsia" w:eastAsia="宋体"/>
                <w:lang w:eastAsia="zh-CN"/>
              </w:rPr>
            </w:pPr>
            <w:r>
              <w:rPr>
                <w:rFonts w:hint="eastAsia"/>
              </w:rPr>
              <w:t>本项目涉及到的环境管控单元</w:t>
            </w:r>
            <w:r>
              <w:rPr>
                <w:rFonts w:hint="eastAsia"/>
                <w:lang w:val="en-US" w:eastAsia="zh-CN"/>
              </w:rPr>
              <w:t>4</w:t>
            </w:r>
            <w:r>
              <w:rPr>
                <w:rFonts w:hint="eastAsia"/>
              </w:rPr>
              <w:t>个，涉及到的管控单元见下</w:t>
            </w:r>
            <w:r>
              <w:rPr>
                <w:rFonts w:hint="eastAsia"/>
                <w:lang w:eastAsia="zh-CN"/>
              </w:rPr>
              <w:t>表。</w:t>
            </w:r>
          </w:p>
          <w:p>
            <w:pPr>
              <w:pStyle w:val="67"/>
              <w:numPr>
                <w:ilvl w:val="0"/>
                <w:numId w:val="0"/>
              </w:numPr>
              <w:tabs>
                <w:tab w:val="left" w:pos="0"/>
              </w:tabs>
              <w:ind w:leftChars="0"/>
              <w:jc w:val="center"/>
              <w:rPr>
                <w:rFonts w:hint="default" w:ascii="Times New Roman" w:hAnsi="Times New Roman" w:eastAsia="宋体" w:cs="Times New Roman"/>
                <w:b/>
                <w:bCs/>
                <w:color w:val="000000"/>
                <w:szCs w:val="21"/>
                <w:lang w:val="en-US" w:eastAsia="zh-CN"/>
              </w:rPr>
            </w:pPr>
            <w:r>
              <w:rPr>
                <w:rFonts w:hint="default" w:ascii="Times New Roman" w:hAnsi="Times New Roman" w:eastAsia="宋体" w:cs="Times New Roman"/>
                <w:b/>
                <w:bCs/>
                <w:color w:val="000000"/>
                <w:szCs w:val="21"/>
                <w:lang w:val="en-US" w:eastAsia="zh-CN"/>
              </w:rPr>
              <w:t>表1-</w:t>
            </w:r>
            <w:r>
              <w:rPr>
                <w:rFonts w:hint="eastAsia" w:ascii="Times New Roman" w:hAnsi="Times New Roman" w:eastAsia="宋体" w:cs="Times New Roman"/>
                <w:b/>
                <w:bCs/>
                <w:color w:val="000000"/>
                <w:szCs w:val="21"/>
                <w:lang w:val="en-US" w:eastAsia="zh-CN"/>
              </w:rPr>
              <w:t>3</w:t>
            </w:r>
            <w:r>
              <w:rPr>
                <w:rFonts w:hint="default" w:ascii="Times New Roman" w:hAnsi="Times New Roman" w:eastAsia="宋体" w:cs="Times New Roman"/>
                <w:b/>
                <w:bCs/>
                <w:color w:val="000000"/>
                <w:szCs w:val="21"/>
                <w:lang w:val="en-US" w:eastAsia="zh-CN"/>
              </w:rPr>
              <w:t xml:space="preserve">  </w:t>
            </w:r>
            <w:r>
              <w:rPr>
                <w:rFonts w:hint="eastAsia" w:ascii="Times New Roman" w:hAnsi="Times New Roman" w:eastAsia="宋体" w:cs="Times New Roman"/>
                <w:b/>
                <w:bCs/>
                <w:color w:val="000000"/>
                <w:szCs w:val="21"/>
                <w:lang w:val="en-US" w:eastAsia="zh-CN"/>
              </w:rPr>
              <w:t>本项目涉及环境管控单元</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1773"/>
              <w:gridCol w:w="1113"/>
              <w:gridCol w:w="853"/>
              <w:gridCol w:w="1218"/>
              <w:gridCol w:w="15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trPr>
              <w:tc>
                <w:tcPr>
                  <w:tcW w:w="749" w:type="pct"/>
                  <w:tcBorders>
                    <w:tl2br w:val="nil"/>
                    <w:tr2bl w:val="nil"/>
                  </w:tcBorders>
                  <w:shd w:val="clear" w:color="auto" w:fill="auto"/>
                  <w:vAlign w:val="center"/>
                </w:tcPr>
                <w:p>
                  <w:pPr>
                    <w:widowControl/>
                    <w:jc w:val="center"/>
                    <w:rPr>
                      <w:rFonts w:cs="Times New Roman"/>
                      <w:b/>
                      <w:bCs/>
                      <w:color w:val="000000"/>
                      <w:kern w:val="0"/>
                      <w:szCs w:val="21"/>
                    </w:rPr>
                  </w:pPr>
                  <w:r>
                    <w:rPr>
                      <w:rFonts w:cs="Times New Roman"/>
                      <w:b/>
                      <w:bCs/>
                      <w:color w:val="000000"/>
                      <w:kern w:val="0"/>
                      <w:szCs w:val="21"/>
                    </w:rPr>
                    <w:t>环境管控单元编码</w:t>
                  </w:r>
                </w:p>
              </w:tc>
              <w:tc>
                <w:tcPr>
                  <w:tcW w:w="1149" w:type="pct"/>
                  <w:tcBorders>
                    <w:tl2br w:val="nil"/>
                    <w:tr2bl w:val="nil"/>
                  </w:tcBorders>
                  <w:shd w:val="clear" w:color="auto" w:fill="auto"/>
                  <w:vAlign w:val="center"/>
                </w:tcPr>
                <w:p>
                  <w:pPr>
                    <w:widowControl/>
                    <w:jc w:val="center"/>
                    <w:rPr>
                      <w:rFonts w:cs="Times New Roman"/>
                      <w:b/>
                      <w:bCs/>
                      <w:color w:val="000000"/>
                      <w:kern w:val="0"/>
                      <w:szCs w:val="21"/>
                    </w:rPr>
                  </w:pPr>
                  <w:r>
                    <w:rPr>
                      <w:rFonts w:cs="Times New Roman"/>
                      <w:b/>
                      <w:bCs/>
                      <w:color w:val="000000"/>
                      <w:kern w:val="0"/>
                      <w:szCs w:val="21"/>
                    </w:rPr>
                    <w:t>环境管控单元名称</w:t>
                  </w:r>
                </w:p>
              </w:tc>
              <w:tc>
                <w:tcPr>
                  <w:tcW w:w="721" w:type="pct"/>
                  <w:tcBorders>
                    <w:tl2br w:val="nil"/>
                    <w:tr2bl w:val="nil"/>
                  </w:tcBorders>
                  <w:shd w:val="clear" w:color="auto" w:fill="auto"/>
                  <w:vAlign w:val="center"/>
                </w:tcPr>
                <w:p>
                  <w:pPr>
                    <w:widowControl/>
                    <w:jc w:val="center"/>
                    <w:rPr>
                      <w:rFonts w:cs="Times New Roman"/>
                      <w:b/>
                      <w:bCs/>
                      <w:color w:val="000000"/>
                      <w:kern w:val="0"/>
                      <w:szCs w:val="21"/>
                    </w:rPr>
                  </w:pPr>
                  <w:r>
                    <w:rPr>
                      <w:rFonts w:cs="Times New Roman"/>
                      <w:b/>
                      <w:bCs/>
                      <w:color w:val="000000"/>
                      <w:kern w:val="0"/>
                      <w:szCs w:val="21"/>
                    </w:rPr>
                    <w:t>所属市（州）</w:t>
                  </w:r>
                </w:p>
              </w:tc>
              <w:tc>
                <w:tcPr>
                  <w:tcW w:w="553" w:type="pct"/>
                  <w:tcBorders>
                    <w:tl2br w:val="nil"/>
                    <w:tr2bl w:val="nil"/>
                  </w:tcBorders>
                  <w:shd w:val="clear" w:color="auto" w:fill="auto"/>
                  <w:vAlign w:val="center"/>
                </w:tcPr>
                <w:p>
                  <w:pPr>
                    <w:widowControl/>
                    <w:jc w:val="center"/>
                    <w:rPr>
                      <w:rFonts w:cs="Times New Roman"/>
                      <w:b/>
                      <w:bCs/>
                      <w:color w:val="000000"/>
                      <w:kern w:val="0"/>
                      <w:szCs w:val="21"/>
                    </w:rPr>
                  </w:pPr>
                  <w:r>
                    <w:rPr>
                      <w:rFonts w:cs="Times New Roman"/>
                      <w:b/>
                      <w:bCs/>
                      <w:color w:val="000000"/>
                      <w:kern w:val="0"/>
                      <w:szCs w:val="21"/>
                    </w:rPr>
                    <w:t>所属区县</w:t>
                  </w:r>
                </w:p>
              </w:tc>
              <w:tc>
                <w:tcPr>
                  <w:tcW w:w="789" w:type="pct"/>
                  <w:tcBorders>
                    <w:tl2br w:val="nil"/>
                    <w:tr2bl w:val="nil"/>
                  </w:tcBorders>
                  <w:shd w:val="clear" w:color="auto" w:fill="auto"/>
                  <w:vAlign w:val="center"/>
                </w:tcPr>
                <w:p>
                  <w:pPr>
                    <w:widowControl/>
                    <w:jc w:val="center"/>
                    <w:rPr>
                      <w:rFonts w:cs="Times New Roman"/>
                      <w:b/>
                      <w:bCs/>
                      <w:color w:val="000000"/>
                      <w:kern w:val="0"/>
                      <w:szCs w:val="21"/>
                    </w:rPr>
                  </w:pPr>
                  <w:r>
                    <w:rPr>
                      <w:rFonts w:cs="Times New Roman"/>
                      <w:b/>
                      <w:bCs/>
                      <w:color w:val="000000"/>
                      <w:kern w:val="0"/>
                      <w:szCs w:val="21"/>
                    </w:rPr>
                    <w:t>准入清单类型</w:t>
                  </w:r>
                </w:p>
              </w:tc>
              <w:tc>
                <w:tcPr>
                  <w:tcW w:w="1036" w:type="pct"/>
                  <w:tcBorders>
                    <w:tl2br w:val="nil"/>
                    <w:tr2bl w:val="nil"/>
                  </w:tcBorders>
                  <w:shd w:val="clear" w:color="auto" w:fill="auto"/>
                  <w:vAlign w:val="center"/>
                </w:tcPr>
                <w:p>
                  <w:pPr>
                    <w:widowControl/>
                    <w:jc w:val="center"/>
                    <w:rPr>
                      <w:rFonts w:cs="Times New Roman"/>
                      <w:b/>
                      <w:bCs/>
                      <w:color w:val="000000"/>
                      <w:kern w:val="0"/>
                      <w:szCs w:val="21"/>
                    </w:rPr>
                  </w:pPr>
                  <w:r>
                    <w:rPr>
                      <w:rFonts w:cs="Times New Roman"/>
                      <w:b/>
                      <w:bCs/>
                      <w:color w:val="000000"/>
                      <w:kern w:val="0"/>
                      <w:szCs w:val="21"/>
                    </w:rPr>
                    <w:t>管控类型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trPr>
              <w:tc>
                <w:tcPr>
                  <w:tcW w:w="7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ZH51190220006</w:t>
                  </w:r>
                </w:p>
              </w:tc>
              <w:tc>
                <w:tcPr>
                  <w:tcW w:w="11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四川巴中经济开发区</w:t>
                  </w:r>
                </w:p>
              </w:tc>
              <w:tc>
                <w:tcPr>
                  <w:tcW w:w="721"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巴中市</w:t>
                  </w:r>
                </w:p>
              </w:tc>
              <w:tc>
                <w:tcPr>
                  <w:tcW w:w="553"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巴州区</w:t>
                  </w:r>
                </w:p>
              </w:tc>
              <w:tc>
                <w:tcPr>
                  <w:tcW w:w="78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环境管控单元</w:t>
                  </w:r>
                </w:p>
              </w:tc>
              <w:tc>
                <w:tcPr>
                  <w:tcW w:w="1036"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环境综合管控单元工业重点管控单元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trPr>
              <w:tc>
                <w:tcPr>
                  <w:tcW w:w="7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YS5119022210001</w:t>
                  </w:r>
                </w:p>
              </w:tc>
              <w:tc>
                <w:tcPr>
                  <w:tcW w:w="11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巴河（金碑）-巴州区-四川巴中经济开发区-控制单元</w:t>
                  </w:r>
                </w:p>
              </w:tc>
              <w:tc>
                <w:tcPr>
                  <w:tcW w:w="721"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巴中市</w:t>
                  </w:r>
                </w:p>
              </w:tc>
              <w:tc>
                <w:tcPr>
                  <w:tcW w:w="553"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巴州区</w:t>
                  </w:r>
                </w:p>
              </w:tc>
              <w:tc>
                <w:tcPr>
                  <w:tcW w:w="78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水环境管控分区</w:t>
                  </w:r>
                </w:p>
              </w:tc>
              <w:tc>
                <w:tcPr>
                  <w:tcW w:w="1036"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水环境工业污染重点管控区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trPr>
              <w:tc>
                <w:tcPr>
                  <w:tcW w:w="7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YS5119022310005</w:t>
                  </w:r>
                </w:p>
              </w:tc>
              <w:tc>
                <w:tcPr>
                  <w:tcW w:w="11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四川巴中经济开发区</w:t>
                  </w:r>
                </w:p>
              </w:tc>
              <w:tc>
                <w:tcPr>
                  <w:tcW w:w="721"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巴中市</w:t>
                  </w:r>
                </w:p>
              </w:tc>
              <w:tc>
                <w:tcPr>
                  <w:tcW w:w="553"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巴州区</w:t>
                  </w:r>
                </w:p>
              </w:tc>
              <w:tc>
                <w:tcPr>
                  <w:tcW w:w="78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大气环境管控分区</w:t>
                  </w:r>
                </w:p>
              </w:tc>
              <w:tc>
                <w:tcPr>
                  <w:tcW w:w="1036"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大气环境高排放重点管控区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trPr>
              <w:tc>
                <w:tcPr>
                  <w:tcW w:w="7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YS5119022420001</w:t>
                  </w:r>
                </w:p>
              </w:tc>
              <w:tc>
                <w:tcPr>
                  <w:tcW w:w="114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巴州区建设用地污染风险重点管控区</w:t>
                  </w:r>
                </w:p>
              </w:tc>
              <w:tc>
                <w:tcPr>
                  <w:tcW w:w="721"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巴中市</w:t>
                  </w:r>
                </w:p>
              </w:tc>
              <w:tc>
                <w:tcPr>
                  <w:tcW w:w="553"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巴州区</w:t>
                  </w:r>
                </w:p>
              </w:tc>
              <w:tc>
                <w:tcPr>
                  <w:tcW w:w="789"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土壤污染风险管控分区</w:t>
                  </w:r>
                </w:p>
              </w:tc>
              <w:tc>
                <w:tcPr>
                  <w:tcW w:w="1036" w:type="pct"/>
                  <w:tcBorders>
                    <w:tl2br w:val="nil"/>
                    <w:tr2bl w:val="nil"/>
                  </w:tcBorders>
                  <w:vAlign w:val="center"/>
                </w:tcPr>
                <w:p>
                  <w:pPr>
                    <w:pStyle w:val="80"/>
                    <w:widowControl/>
                    <w:spacing w:line="240" w:lineRule="auto"/>
                    <w:ind w:firstLine="0" w:firstLineChars="0"/>
                    <w:jc w:val="center"/>
                    <w:rPr>
                      <w:rFonts w:eastAsia="宋体"/>
                      <w:sz w:val="21"/>
                    </w:rPr>
                  </w:pPr>
                  <w:r>
                    <w:rPr>
                      <w:rFonts w:eastAsia="宋体"/>
                      <w:sz w:val="21"/>
                    </w:rPr>
                    <w:t>建设用地污染风险重点管控区</w:t>
                  </w:r>
                </w:p>
              </w:tc>
            </w:tr>
          </w:tbl>
          <w:p>
            <w:pPr>
              <w:adjustRightInd w:val="0"/>
              <w:spacing w:line="360" w:lineRule="auto"/>
              <w:textAlignment w:val="baseline"/>
              <w:rPr>
                <w:sz w:val="22"/>
                <w:szCs w:val="21"/>
              </w:rPr>
            </w:pPr>
            <w:r>
              <w:rPr>
                <w:rFonts w:ascii="Helvetica" w:hAnsi="Helvetica" w:cs="Helvetica"/>
                <w:sz w:val="24"/>
                <w:szCs w:val="24"/>
              </w:rPr>
              <w:t>项目与管控单元相对位置如下图所示：（图中</w:t>
            </w:r>
            <w:r>
              <w:rPr>
                <w:rFonts w:ascii="Helvetica" w:hAnsi="Helvetica" w:cs="Helvetica"/>
                <w:color w:val="00FFFF"/>
                <w:sz w:val="24"/>
                <w:szCs w:val="24"/>
              </w:rPr>
              <w:t>▼</w:t>
            </w:r>
            <w:r>
              <w:rPr>
                <w:rFonts w:ascii="Helvetica" w:hAnsi="Helvetica" w:cs="Helvetica"/>
                <w:sz w:val="24"/>
                <w:szCs w:val="24"/>
              </w:rPr>
              <w:t>表示项目位置）</w:t>
            </w:r>
            <w:r>
              <w:rPr>
                <w:rFonts w:hint="eastAsia" w:ascii="Helvetica" w:hAnsi="Helvetica" w:cs="Helvetica"/>
                <w:sz w:val="24"/>
                <w:szCs w:val="24"/>
              </w:rPr>
              <w:t>。</w:t>
            </w:r>
          </w:p>
          <w:p>
            <w:pPr>
              <w:adjustRightInd w:val="0"/>
              <w:jc w:val="center"/>
              <w:textAlignment w:val="baseline"/>
              <w:rPr>
                <w:sz w:val="24"/>
              </w:rPr>
            </w:pPr>
            <w:r>
              <w:rPr>
                <w:rFonts w:ascii="Helvetica" w:hAnsi="Helvetica" w:cs="Helvetica"/>
                <w:sz w:val="28"/>
                <w:szCs w:val="28"/>
              </w:rPr>
              <w:drawing>
                <wp:inline distT="0" distB="0" distL="0" distR="0">
                  <wp:extent cx="4625340" cy="2774950"/>
                  <wp:effectExtent l="0" t="0" r="3810" b="6350"/>
                  <wp:docPr id="490939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39768"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25340" cy="2774950"/>
                          </a:xfrm>
                          <a:prstGeom prst="rect">
                            <a:avLst/>
                          </a:prstGeom>
                          <a:noFill/>
                          <a:ln>
                            <a:noFill/>
                          </a:ln>
                        </pic:spPr>
                      </pic:pic>
                    </a:graphicData>
                  </a:graphic>
                </wp:inline>
              </w:drawing>
            </w:r>
          </w:p>
          <w:p>
            <w:pPr>
              <w:pStyle w:val="67"/>
              <w:numPr>
                <w:ilvl w:val="0"/>
                <w:numId w:val="0"/>
              </w:numPr>
              <w:tabs>
                <w:tab w:val="left" w:pos="0"/>
              </w:tabs>
              <w:ind w:leftChars="0"/>
              <w:jc w:val="center"/>
              <w:rPr>
                <w:rFonts w:hint="eastAsia" w:ascii="Times New Roman" w:hAnsi="Times New Roman" w:cs="Times New Roman"/>
                <w:b/>
                <w:bCs/>
                <w:color w:val="000000"/>
                <w:sz w:val="24"/>
                <w:szCs w:val="28"/>
                <w:lang w:eastAsia="zh-CN"/>
              </w:rPr>
            </w:pPr>
            <w:r>
              <w:rPr>
                <w:rFonts w:hint="default" w:ascii="Times New Roman" w:hAnsi="Times New Roman" w:cs="Times New Roman"/>
                <w:b/>
                <w:bCs/>
                <w:color w:val="000000"/>
                <w:szCs w:val="21"/>
              </w:rPr>
              <w:t>图1-</w:t>
            </w:r>
            <w:r>
              <w:rPr>
                <w:rFonts w:hint="default" w:ascii="Times New Roman" w:hAnsi="Times New Roman" w:cs="Times New Roman"/>
                <w:b/>
                <w:bCs/>
                <w:color w:val="000000"/>
                <w:szCs w:val="21"/>
                <w:lang w:val="en-US" w:eastAsia="zh-CN"/>
              </w:rPr>
              <w:t>4</w:t>
            </w:r>
            <w:r>
              <w:rPr>
                <w:rFonts w:hint="default" w:ascii="Times New Roman" w:hAnsi="Times New Roman" w:cs="Times New Roman"/>
                <w:b/>
                <w:bCs/>
                <w:color w:val="000000"/>
                <w:szCs w:val="21"/>
              </w:rPr>
              <w:t xml:space="preserve">    </w:t>
            </w:r>
            <w:r>
              <w:rPr>
                <w:rFonts w:hint="default" w:ascii="Times New Roman" w:hAnsi="Times New Roman" w:cs="Times New Roman"/>
                <w:b/>
                <w:bCs/>
                <w:color w:val="000000"/>
                <w:szCs w:val="21"/>
                <w:lang w:eastAsia="zh-CN"/>
              </w:rPr>
              <w:t>本项目所处环境管控单元查询结果图</w:t>
            </w:r>
          </w:p>
          <w:p>
            <w:pPr>
              <w:adjustRightInd w:val="0"/>
              <w:spacing w:line="360" w:lineRule="auto"/>
              <w:ind w:firstLine="482" w:firstLineChars="200"/>
              <w:textAlignment w:val="baseline"/>
              <w:rPr>
                <w:rFonts w:hint="eastAsia"/>
                <w:sz w:val="32"/>
                <w:szCs w:val="28"/>
              </w:rPr>
            </w:pPr>
            <w:r>
              <w:rPr>
                <w:rFonts w:hint="eastAsia" w:ascii="Times New Roman" w:hAnsi="Times New Roman" w:cs="Times New Roman"/>
                <w:b/>
                <w:bCs/>
                <w:color w:val="000000"/>
                <w:sz w:val="24"/>
                <w:szCs w:val="28"/>
                <w:lang w:eastAsia="zh-CN"/>
              </w:rPr>
              <w:t>（</w:t>
            </w:r>
            <w:r>
              <w:rPr>
                <w:rFonts w:hint="eastAsia" w:ascii="Times New Roman" w:hAnsi="Times New Roman" w:cs="Times New Roman"/>
                <w:b/>
                <w:bCs/>
                <w:color w:val="000000"/>
                <w:sz w:val="24"/>
                <w:szCs w:val="28"/>
                <w:lang w:val="en-US" w:eastAsia="zh-CN"/>
              </w:rPr>
              <w:t>3</w:t>
            </w:r>
            <w:r>
              <w:rPr>
                <w:rFonts w:hint="eastAsia" w:ascii="Times New Roman" w:hAnsi="Times New Roman" w:cs="Times New Roman"/>
                <w:b/>
                <w:bCs/>
                <w:color w:val="000000"/>
                <w:sz w:val="24"/>
                <w:szCs w:val="28"/>
                <w:lang w:eastAsia="zh-CN"/>
              </w:rPr>
              <w:t>）</w:t>
            </w:r>
            <w:r>
              <w:rPr>
                <w:rFonts w:hint="default" w:ascii="Times New Roman" w:hAnsi="Times New Roman" w:cs="Times New Roman"/>
                <w:b/>
                <w:bCs/>
                <w:color w:val="000000"/>
                <w:sz w:val="24"/>
                <w:szCs w:val="28"/>
              </w:rPr>
              <w:t>本项目与生态环境准入清单符合性分析如下：</w:t>
            </w:r>
          </w:p>
          <w:p>
            <w:pPr>
              <w:pStyle w:val="67"/>
              <w:numPr>
                <w:ilvl w:val="0"/>
                <w:numId w:val="0"/>
              </w:numPr>
              <w:tabs>
                <w:tab w:val="left" w:pos="0"/>
              </w:tabs>
              <w:ind w:leftChars="0"/>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val="en-US" w:eastAsia="zh-CN"/>
              </w:rPr>
              <w:t>表1-</w:t>
            </w:r>
            <w:r>
              <w:rPr>
                <w:rFonts w:hint="eastAsia" w:ascii="Times New Roman" w:hAnsi="Times New Roman" w:eastAsia="宋体" w:cs="Times New Roman"/>
                <w:b/>
                <w:bCs/>
                <w:color w:val="000000"/>
                <w:szCs w:val="21"/>
                <w:lang w:val="en-US" w:eastAsia="zh-CN"/>
              </w:rPr>
              <w:t>4</w:t>
            </w:r>
            <w:r>
              <w:rPr>
                <w:rFonts w:hint="default" w:ascii="Times New Roman" w:hAnsi="Times New Roman" w:eastAsia="宋体" w:cs="Times New Roman"/>
                <w:b/>
                <w:bCs/>
                <w:color w:val="000000"/>
                <w:szCs w:val="21"/>
                <w:lang w:val="en-US" w:eastAsia="zh-CN"/>
              </w:rPr>
              <w:t xml:space="preserve">   </w:t>
            </w:r>
            <w:r>
              <w:rPr>
                <w:rFonts w:hint="eastAsia" w:ascii="Times New Roman" w:hAnsi="Times New Roman" w:eastAsia="宋体" w:cs="Times New Roman"/>
                <w:b/>
                <w:bCs/>
                <w:color w:val="000000"/>
                <w:szCs w:val="21"/>
              </w:rPr>
              <w:t>项目与巴中市总体生态环境管控要求符合性</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1"/>
              <w:gridCol w:w="4471"/>
              <w:gridCol w:w="1995"/>
              <w:gridCol w:w="6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sz w:val="21"/>
                      <w:szCs w:val="21"/>
                    </w:rPr>
                  </w:pPr>
                  <w:r>
                    <w:rPr>
                      <w:rFonts w:hint="eastAsia"/>
                      <w:b/>
                      <w:bCs/>
                      <w:sz w:val="21"/>
                      <w:szCs w:val="21"/>
                    </w:rPr>
                    <w:t>区域</w:t>
                  </w:r>
                </w:p>
              </w:tc>
              <w:tc>
                <w:tcPr>
                  <w:tcW w:w="28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sz w:val="21"/>
                      <w:szCs w:val="21"/>
                    </w:rPr>
                  </w:pPr>
                  <w:r>
                    <w:rPr>
                      <w:b/>
                      <w:bCs/>
                      <w:sz w:val="21"/>
                      <w:szCs w:val="21"/>
                    </w:rPr>
                    <w:t>总体管控要求</w:t>
                  </w:r>
                </w:p>
              </w:tc>
              <w:tc>
                <w:tcPr>
                  <w:tcW w:w="1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sz w:val="21"/>
                      <w:szCs w:val="21"/>
                    </w:rPr>
                  </w:pPr>
                  <w:r>
                    <w:rPr>
                      <w:b/>
                      <w:bCs/>
                      <w:sz w:val="21"/>
                      <w:szCs w:val="21"/>
                    </w:rPr>
                    <w:t>本项目</w:t>
                  </w: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sz w:val="21"/>
                      <w:szCs w:val="21"/>
                    </w:rPr>
                  </w:pPr>
                  <w:r>
                    <w:rPr>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eastAsia"/>
                      <w:sz w:val="21"/>
                      <w:szCs w:val="21"/>
                    </w:rPr>
                    <w:t>巴中市</w:t>
                  </w:r>
                </w:p>
              </w:tc>
              <w:tc>
                <w:tcPr>
                  <w:tcW w:w="28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rPr>
                    <w:t>（1）禁止新建、扩建法律法规和相关政策明令禁止的落后产能项目。禁止新建《产业结构调整指导目录》中淘汰、限制类项目，对属于限制类的现有生产能力允许企业在一定期限内采取措施改造升级。</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rPr>
                    <w:t>（2）禁止新建、扩建不符合国家产能置换要求的严重过剩产能行业的项目，禁止新建、扩建不符合要求的高耗能高排放项目。</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rPr>
                    <w:t>（3）禁止引入不符合国家、地方重金属污染防治规范的项目。</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rPr>
                    <w:t>（4）禁止引入清洁生产水平不能达二级或国内先进水平的项目。</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rPr>
                    <w:t>（5）禁止新建制浆造纸（含废纸制浆）、印染染整、制革、水泥、冶炼及与主导产业不相容的项目。</w:t>
                  </w:r>
                </w:p>
                <w:p>
                  <w:pPr>
                    <w:keepNext w:val="0"/>
                    <w:keepLines w:val="0"/>
                    <w:pageBreakBefore w:val="0"/>
                    <w:widowControl w:val="0"/>
                    <w:kinsoku/>
                    <w:wordWrap/>
                    <w:overflowPunct/>
                    <w:topLinePunct w:val="0"/>
                    <w:autoSpaceDE/>
                    <w:autoSpaceDN/>
                    <w:bidi w:val="0"/>
                    <w:adjustRightInd/>
                    <w:snapToGrid/>
                    <w:textAlignment w:val="auto"/>
                    <w:rPr>
                      <w:rFonts w:cs="Times New Roman"/>
                      <w:sz w:val="21"/>
                      <w:szCs w:val="21"/>
                    </w:rPr>
                  </w:pPr>
                  <w:r>
                    <w:rPr>
                      <w:rFonts w:hint="eastAsia"/>
                      <w:sz w:val="21"/>
                      <w:szCs w:val="21"/>
                    </w:rPr>
                    <w:t>（6）禁止高污染燃料。</w:t>
                  </w:r>
                </w:p>
              </w:tc>
              <w:tc>
                <w:tcPr>
                  <w:tcW w:w="1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rPr>
                    <w:t>项目符合国家产业政策</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）项目不属于产能过剩项目，</w:t>
                  </w:r>
                  <w:r>
                    <w:rPr>
                      <w:rFonts w:hint="eastAsia"/>
                      <w:sz w:val="21"/>
                      <w:szCs w:val="21"/>
                    </w:rPr>
                    <w:t>不属于“两高”项目；</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）本项目不涉及重金属排放；</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eastAsia="zh-CN"/>
                    </w:rPr>
                  </w:pPr>
                  <w:r>
                    <w:rPr>
                      <w:rFonts w:hint="eastAsia" w:ascii="Times New Roman" w:hAnsi="Times New Roman"/>
                      <w:color w:val="auto"/>
                      <w:kern w:val="0"/>
                      <w:sz w:val="21"/>
                      <w:szCs w:val="21"/>
                      <w:lang w:eastAsia="zh-CN" w:bidi="ar"/>
                    </w:rPr>
                    <w:t>（</w:t>
                  </w:r>
                  <w:r>
                    <w:rPr>
                      <w:rFonts w:hint="eastAsia" w:ascii="Times New Roman" w:hAnsi="Times New Roman"/>
                      <w:color w:val="auto"/>
                      <w:kern w:val="0"/>
                      <w:sz w:val="21"/>
                      <w:szCs w:val="21"/>
                      <w:lang w:val="en-US" w:eastAsia="zh-CN" w:bidi="ar"/>
                    </w:rPr>
                    <w:t>4</w:t>
                  </w:r>
                  <w:r>
                    <w:rPr>
                      <w:rFonts w:hint="eastAsia" w:ascii="Times New Roman" w:hAnsi="Times New Roman"/>
                      <w:color w:val="auto"/>
                      <w:kern w:val="0"/>
                      <w:sz w:val="21"/>
                      <w:szCs w:val="21"/>
                      <w:lang w:eastAsia="zh-CN" w:bidi="ar"/>
                    </w:rPr>
                    <w:t>）</w:t>
                  </w:r>
                  <w:r>
                    <w:rPr>
                      <w:rFonts w:ascii="Times New Roman" w:hAnsi="Times New Roman"/>
                      <w:color w:val="auto"/>
                      <w:kern w:val="0"/>
                      <w:sz w:val="21"/>
                      <w:szCs w:val="21"/>
                      <w:lang w:bidi="ar"/>
                    </w:rPr>
                    <w:t>本项目</w:t>
                  </w:r>
                  <w:r>
                    <w:rPr>
                      <w:rFonts w:hint="eastAsia" w:ascii="Times New Roman" w:hAnsi="Times New Roman"/>
                      <w:color w:val="auto"/>
                      <w:kern w:val="0"/>
                      <w:sz w:val="21"/>
                      <w:szCs w:val="21"/>
                      <w:lang w:eastAsia="zh-CN" w:bidi="ar"/>
                    </w:rPr>
                    <w:t>污染物排放强度</w:t>
                  </w:r>
                  <w:r>
                    <w:rPr>
                      <w:rFonts w:hint="eastAsia" w:ascii="Times New Roman" w:hAnsi="Times New Roman"/>
                      <w:color w:val="auto"/>
                      <w:sz w:val="21"/>
                      <w:szCs w:val="21"/>
                    </w:rPr>
                    <w:t>指标达到清洁生产水平</w:t>
                  </w:r>
                  <w:r>
                    <w:rPr>
                      <w:rFonts w:hint="eastAsia" w:ascii="Times New Roman" w:hAnsi="Times New Roman"/>
                      <w:color w:val="auto"/>
                      <w:sz w:val="21"/>
                      <w:szCs w:val="21"/>
                      <w:lang w:eastAsia="zh-CN"/>
                    </w:rPr>
                    <w:t>二级；（</w:t>
                  </w:r>
                  <w:r>
                    <w:rPr>
                      <w:rFonts w:hint="eastAsia" w:ascii="Times New Roman" w:hAnsi="Times New Roman"/>
                      <w:color w:val="auto"/>
                      <w:sz w:val="21"/>
                      <w:szCs w:val="21"/>
                      <w:lang w:val="en-US" w:eastAsia="zh-CN"/>
                    </w:rPr>
                    <w:t>5</w:t>
                  </w:r>
                  <w:r>
                    <w:rPr>
                      <w:rFonts w:hint="eastAsia" w:ascii="Times New Roman" w:hAnsi="Times New Roman"/>
                      <w:color w:val="auto"/>
                      <w:sz w:val="21"/>
                      <w:szCs w:val="21"/>
                      <w:lang w:eastAsia="zh-CN"/>
                    </w:rPr>
                    <w:t>）项目属于特种玻璃制造，不属于制浆造纸（含废纸制浆）、印染染整、制革、水泥、冶炼</w:t>
                  </w:r>
                  <w:r>
                    <w:rPr>
                      <w:rFonts w:hint="eastAsia"/>
                      <w:sz w:val="21"/>
                      <w:szCs w:val="21"/>
                    </w:rPr>
                    <w:t>及与主导产业不相容的项目</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sz w:val="21"/>
                      <w:szCs w:val="21"/>
                      <w:lang w:eastAsia="zh-CN"/>
                    </w:rPr>
                  </w:pPr>
                  <w:r>
                    <w:rPr>
                      <w:rFonts w:hint="eastAsia"/>
                      <w:sz w:val="21"/>
                      <w:szCs w:val="21"/>
                      <w:lang w:eastAsia="zh-CN"/>
                    </w:rPr>
                    <w:t>（</w:t>
                  </w:r>
                  <w:r>
                    <w:rPr>
                      <w:rFonts w:hint="eastAsia"/>
                      <w:sz w:val="21"/>
                      <w:szCs w:val="21"/>
                      <w:lang w:val="en-US" w:eastAsia="zh-CN"/>
                    </w:rPr>
                    <w:t>6</w:t>
                  </w:r>
                  <w:r>
                    <w:rPr>
                      <w:rFonts w:hint="eastAsia"/>
                      <w:sz w:val="21"/>
                      <w:szCs w:val="21"/>
                      <w:lang w:eastAsia="zh-CN"/>
                    </w:rPr>
                    <w:t>）项目不使用高污染燃料。</w:t>
                  </w: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符合</w:t>
                  </w:r>
                </w:p>
              </w:tc>
            </w:tr>
          </w:tbl>
          <w:p>
            <w:pPr>
              <w:pStyle w:val="60"/>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3"/>
              <w:rPr>
                <w:rFonts w:hint="default" w:ascii="Times New Roman" w:hAnsi="Times New Roman" w:eastAsia="宋体" w:cs="Times New Roman"/>
                <w:bCs/>
                <w:color w:val="auto"/>
                <w:kern w:val="0"/>
                <w:sz w:val="21"/>
                <w:szCs w:val="21"/>
                <w:lang w:val="en-AU" w:eastAsia="zh-CN"/>
              </w:rPr>
            </w:pPr>
            <w:r>
              <w:rPr>
                <w:rFonts w:hint="default" w:ascii="Times New Roman" w:hAnsi="Times New Roman" w:eastAsia="宋体" w:cs="Times New Roman"/>
                <w:bCs/>
                <w:color w:val="auto"/>
                <w:kern w:val="0"/>
                <w:sz w:val="21"/>
                <w:szCs w:val="21"/>
                <w:lang w:val="en-AU" w:eastAsia="zh-CN"/>
              </w:rPr>
              <w:t>表1-</w:t>
            </w:r>
            <w:r>
              <w:rPr>
                <w:rFonts w:hint="eastAsia" w:ascii="Times New Roman" w:hAnsi="Times New Roman" w:eastAsia="宋体" w:cs="Times New Roman"/>
                <w:bCs/>
                <w:color w:val="auto"/>
                <w:kern w:val="0"/>
                <w:sz w:val="21"/>
                <w:szCs w:val="21"/>
                <w:lang w:val="en-US" w:eastAsia="zh-CN"/>
              </w:rPr>
              <w:t>5</w:t>
            </w:r>
            <w:r>
              <w:rPr>
                <w:rFonts w:hint="default" w:ascii="Times New Roman" w:hAnsi="Times New Roman" w:eastAsia="宋体" w:cs="Times New Roman"/>
                <w:bCs/>
                <w:color w:val="auto"/>
                <w:kern w:val="0"/>
                <w:sz w:val="21"/>
                <w:szCs w:val="21"/>
                <w:lang w:val="en-AU" w:eastAsia="zh-CN"/>
              </w:rPr>
              <w:t xml:space="preserve">  项目与产业园区规划环评生态环境准入要求的符合性分析</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2"/>
              <w:gridCol w:w="975"/>
              <w:gridCol w:w="3030"/>
              <w:gridCol w:w="2685"/>
              <w:gridCol w:w="6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noWrap w:val="0"/>
                  <w:vAlign w:val="center"/>
                </w:tcPr>
                <w:p>
                  <w:pPr>
                    <w:jc w:val="center"/>
                    <w:textAlignment w:val="center"/>
                    <w:rPr>
                      <w:rFonts w:hint="eastAsia" w:ascii="Times New Roman" w:hAnsi="Times New Roman" w:eastAsia="宋体"/>
                      <w:b/>
                      <w:bCs/>
                      <w:color w:val="auto"/>
                      <w:sz w:val="21"/>
                      <w:szCs w:val="21"/>
                      <w:lang w:eastAsia="zh-CN"/>
                    </w:rPr>
                  </w:pPr>
                  <w:r>
                    <w:rPr>
                      <w:rFonts w:hint="eastAsia" w:ascii="Times New Roman" w:hAnsi="Times New Roman"/>
                      <w:b/>
                      <w:bCs/>
                      <w:color w:val="auto"/>
                      <w:kern w:val="0"/>
                      <w:sz w:val="21"/>
                      <w:szCs w:val="21"/>
                      <w:lang w:eastAsia="zh-CN" w:bidi="ar"/>
                    </w:rPr>
                    <w:t>要素</w:t>
                  </w:r>
                </w:p>
              </w:tc>
              <w:tc>
                <w:tcPr>
                  <w:tcW w:w="632" w:type="pct"/>
                  <w:tcBorders>
                    <w:tl2br w:val="nil"/>
                    <w:tr2bl w:val="nil"/>
                  </w:tcBorders>
                  <w:noWrap w:val="0"/>
                  <w:vAlign w:val="center"/>
                </w:tcPr>
                <w:p>
                  <w:pPr>
                    <w:jc w:val="center"/>
                    <w:textAlignment w:val="center"/>
                    <w:rPr>
                      <w:rFonts w:hint="eastAsia" w:ascii="Times New Roman" w:hAnsi="Times New Roman"/>
                      <w:b/>
                      <w:bCs/>
                      <w:color w:val="auto"/>
                      <w:kern w:val="0"/>
                      <w:sz w:val="21"/>
                      <w:szCs w:val="21"/>
                      <w:lang w:eastAsia="zh-CN" w:bidi="ar"/>
                    </w:rPr>
                  </w:pPr>
                  <w:r>
                    <w:rPr>
                      <w:rFonts w:ascii="Times New Roman" w:hAnsi="Times New Roman"/>
                      <w:b/>
                      <w:bCs/>
                      <w:color w:val="auto"/>
                      <w:kern w:val="0"/>
                      <w:sz w:val="21"/>
                      <w:szCs w:val="21"/>
                      <w:lang w:bidi="ar"/>
                    </w:rPr>
                    <w:t>管控要求</w:t>
                  </w:r>
                </w:p>
              </w:tc>
              <w:tc>
                <w:tcPr>
                  <w:tcW w:w="1965" w:type="pct"/>
                  <w:tcBorders>
                    <w:tl2br w:val="nil"/>
                    <w:tr2bl w:val="nil"/>
                  </w:tcBorders>
                  <w:noWrap/>
                  <w:vAlign w:val="center"/>
                </w:tcPr>
                <w:p>
                  <w:pPr>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园区规划环评细化管控要求</w:t>
                  </w:r>
                </w:p>
              </w:tc>
              <w:tc>
                <w:tcPr>
                  <w:tcW w:w="1741" w:type="pct"/>
                  <w:tcBorders>
                    <w:tl2br w:val="nil"/>
                    <w:tr2bl w:val="nil"/>
                  </w:tcBorders>
                  <w:noWrap/>
                  <w:vAlign w:val="center"/>
                </w:tcPr>
                <w:p>
                  <w:pPr>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符合性分析</w:t>
                  </w:r>
                </w:p>
              </w:tc>
              <w:tc>
                <w:tcPr>
                  <w:tcW w:w="393" w:type="pct"/>
                  <w:tcBorders>
                    <w:tl2br w:val="nil"/>
                    <w:tr2bl w:val="nil"/>
                  </w:tcBorders>
                  <w:noWrap/>
                  <w:vAlign w:val="center"/>
                </w:tcPr>
                <w:p>
                  <w:pPr>
                    <w:jc w:val="center"/>
                    <w:textAlignment w:val="center"/>
                    <w:rPr>
                      <w:rFonts w:hint="eastAsia" w:ascii="Times New Roman" w:hAnsi="Times New Roman" w:eastAsia="宋体"/>
                      <w:b/>
                      <w:bCs/>
                      <w:color w:val="auto"/>
                      <w:kern w:val="0"/>
                      <w:sz w:val="21"/>
                      <w:szCs w:val="21"/>
                      <w:lang w:eastAsia="zh-CN" w:bidi="ar"/>
                    </w:rPr>
                  </w:pPr>
                  <w:r>
                    <w:rPr>
                      <w:rFonts w:hint="eastAsia" w:ascii="Times New Roman" w:hAnsi="Times New Roman"/>
                      <w:b/>
                      <w:bCs/>
                      <w:color w:val="auto"/>
                      <w:kern w:val="0"/>
                      <w:sz w:val="21"/>
                      <w:szCs w:val="21"/>
                      <w:lang w:eastAsia="zh-CN" w:bidi="ar"/>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restar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空间布局约束</w:t>
                  </w: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禁止开发建设活动的要求</w:t>
                  </w:r>
                </w:p>
              </w:tc>
              <w:tc>
                <w:tcPr>
                  <w:tcW w:w="1965" w:type="pct"/>
                  <w:tcBorders>
                    <w:tl2br w:val="nil"/>
                    <w:tr2bl w:val="nil"/>
                  </w:tcBorders>
                  <w:noWrap w:val="0"/>
                  <w:vAlign w:val="center"/>
                </w:tcPr>
                <w:p>
                  <w:pPr>
                    <w:textAlignment w:val="center"/>
                    <w:rPr>
                      <w:rFonts w:hint="eastAsia" w:ascii="Times New Roman" w:hAnsi="Times New Roman"/>
                      <w:color w:val="auto"/>
                      <w:sz w:val="21"/>
                      <w:szCs w:val="21"/>
                    </w:rPr>
                  </w:pPr>
                  <w:r>
                    <w:rPr>
                      <w:rFonts w:hint="eastAsia" w:ascii="Times New Roman" w:hAnsi="Times New Roman"/>
                      <w:color w:val="auto"/>
                      <w:sz w:val="21"/>
                      <w:szCs w:val="21"/>
                    </w:rPr>
                    <w:t>-阳台河岸线 1km 范围内禁止新建、改扩建化工项目（节能、安全环保改造除外）；</w:t>
                  </w:r>
                </w:p>
                <w:p>
                  <w:pPr>
                    <w:textAlignment w:val="center"/>
                    <w:rPr>
                      <w:rFonts w:hint="eastAsia" w:ascii="Times New Roman" w:hAnsi="Times New Roman"/>
                      <w:color w:val="auto"/>
                      <w:sz w:val="21"/>
                      <w:szCs w:val="21"/>
                    </w:rPr>
                  </w:pPr>
                  <w:r>
                    <w:rPr>
                      <w:rFonts w:hint="eastAsia" w:ascii="Times New Roman" w:hAnsi="Times New Roman"/>
                      <w:color w:val="auto"/>
                      <w:sz w:val="21"/>
                      <w:szCs w:val="21"/>
                    </w:rPr>
                    <w:t>-禁止引入化学原料药、发酵类抗生素项目；</w:t>
                  </w:r>
                </w:p>
                <w:p>
                  <w:pPr>
                    <w:textAlignment w:val="center"/>
                    <w:rPr>
                      <w:rFonts w:hint="eastAsia" w:ascii="Times New Roman" w:hAnsi="Times New Roman"/>
                      <w:color w:val="auto"/>
                      <w:sz w:val="21"/>
                      <w:szCs w:val="21"/>
                    </w:rPr>
                  </w:pPr>
                  <w:r>
                    <w:rPr>
                      <w:rFonts w:hint="eastAsia" w:ascii="Times New Roman" w:hAnsi="Times New Roman"/>
                      <w:color w:val="auto"/>
                      <w:sz w:val="21"/>
                      <w:szCs w:val="21"/>
                    </w:rPr>
                    <w:t>-禁止引入专业电镀，排放含铅、汞、镉、铬、砷废水的项目；</w:t>
                  </w:r>
                </w:p>
                <w:p>
                  <w:pPr>
                    <w:textAlignment w:val="center"/>
                    <w:rPr>
                      <w:rFonts w:ascii="Times New Roman" w:hAnsi="Times New Roman"/>
                      <w:color w:val="auto"/>
                      <w:sz w:val="21"/>
                      <w:szCs w:val="21"/>
                    </w:rPr>
                  </w:pPr>
                  <w:r>
                    <w:rPr>
                      <w:rFonts w:hint="eastAsia" w:ascii="Times New Roman" w:hAnsi="Times New Roman"/>
                      <w:color w:val="auto"/>
                      <w:sz w:val="21"/>
                      <w:szCs w:val="21"/>
                    </w:rPr>
                    <w:t>-禁止引入危化品仓储项目。</w:t>
                  </w:r>
                </w:p>
              </w:tc>
              <w:tc>
                <w:tcPr>
                  <w:tcW w:w="1741" w:type="pct"/>
                  <w:tcBorders>
                    <w:tl2br w:val="nil"/>
                    <w:tr2bl w:val="nil"/>
                  </w:tcBorders>
                  <w:noWrap w:val="0"/>
                  <w:vAlign w:val="center"/>
                </w:tcPr>
                <w:p>
                  <w:pPr>
                    <w:textAlignment w:val="center"/>
                    <w:rPr>
                      <w:rFonts w:hint="eastAsia" w:ascii="Times New Roman" w:hAnsi="Times New Roman" w:eastAsia="宋体"/>
                      <w:color w:val="auto"/>
                      <w:sz w:val="21"/>
                      <w:szCs w:val="21"/>
                      <w:lang w:val="en-US" w:eastAsia="zh-CN"/>
                    </w:rPr>
                  </w:pPr>
                  <w:r>
                    <w:rPr>
                      <w:rFonts w:hint="eastAsia" w:ascii="宋体" w:hAnsi="宋体" w:cs="宋体"/>
                      <w:color w:val="auto"/>
                      <w:kern w:val="0"/>
                      <w:szCs w:val="21"/>
                      <w:lang w:eastAsia="zh-CN" w:bidi="ar"/>
                    </w:rPr>
                    <w:t>本项目属于特种玻璃制造，主要为钢化后的玻璃进行涂膜加工，不涉及焙烧和煅烧工序，不属于化工项目、</w:t>
                  </w:r>
                  <w:r>
                    <w:rPr>
                      <w:rFonts w:hint="eastAsia" w:ascii="Times New Roman" w:hAnsi="Times New Roman"/>
                      <w:color w:val="auto"/>
                      <w:sz w:val="21"/>
                      <w:szCs w:val="21"/>
                    </w:rPr>
                    <w:t>化学原料药、发酵类抗生素</w:t>
                  </w:r>
                  <w:r>
                    <w:rPr>
                      <w:rFonts w:hint="eastAsia" w:ascii="Times New Roman" w:hAnsi="Times New Roman"/>
                      <w:color w:val="auto"/>
                      <w:sz w:val="21"/>
                      <w:szCs w:val="21"/>
                      <w:lang w:eastAsia="zh-CN"/>
                    </w:rPr>
                    <w:t>、</w:t>
                  </w:r>
                  <w:r>
                    <w:rPr>
                      <w:rFonts w:hint="eastAsia" w:ascii="宋体" w:hAnsi="宋体" w:cs="宋体"/>
                      <w:color w:val="auto"/>
                      <w:kern w:val="0"/>
                      <w:szCs w:val="21"/>
                      <w:lang w:eastAsia="zh-CN" w:bidi="ar"/>
                    </w:rPr>
                    <w:t>专业电镀、排放含铅、汞、镉、铬、砷废水的项目，不属于危化品仓储项目，不属于园区禁止引入产业，也不使用高污染燃料。</w:t>
                  </w:r>
                </w:p>
              </w:tc>
              <w:tc>
                <w:tcPr>
                  <w:tcW w:w="393" w:type="pct"/>
                  <w:tcBorders>
                    <w:tl2br w:val="nil"/>
                    <w:tr2bl w:val="nil"/>
                  </w:tcBorders>
                  <w:noWrap w:val="0"/>
                  <w:vAlign w:val="center"/>
                </w:tcPr>
                <w:p>
                  <w:pPr>
                    <w:jc w:val="center"/>
                    <w:textAlignment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3" w:hRule="atLeast"/>
                <w:jc w:val="center"/>
              </w:trPr>
              <w:tc>
                <w:tcPr>
                  <w:tcW w:w="267" w:type="pct"/>
                  <w:vMerge w:val="continue"/>
                  <w:tcBorders>
                    <w:tl2br w:val="nil"/>
                    <w:tr2bl w:val="nil"/>
                  </w:tcBorders>
                  <w:noWrap w:val="0"/>
                  <w:vAlign w:val="center"/>
                </w:tcPr>
                <w:p>
                  <w:pPr>
                    <w:jc w:val="center"/>
                    <w:rPr>
                      <w:rFonts w:ascii="Times New Roman" w:hAnsi="Times New Roman"/>
                      <w:color w:val="auto"/>
                      <w:sz w:val="21"/>
                      <w:szCs w:val="21"/>
                    </w:rPr>
                  </w:pP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限制开发建设活动的要求</w:t>
                  </w:r>
                </w:p>
              </w:tc>
              <w:tc>
                <w:tcPr>
                  <w:tcW w:w="1965" w:type="pct"/>
                  <w:tcBorders>
                    <w:tl2br w:val="nil"/>
                    <w:tr2bl w:val="nil"/>
                  </w:tcBorders>
                  <w:noWrap w:val="0"/>
                  <w:vAlign w:val="center"/>
                </w:tcPr>
                <w:p>
                  <w:pPr>
                    <w:textAlignment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-限制污染转移项目。</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项目不属于污染转移项目</w:t>
                  </w:r>
                </w:p>
              </w:tc>
              <w:tc>
                <w:tcPr>
                  <w:tcW w:w="393" w:type="pct"/>
                  <w:tcBorders>
                    <w:tl2br w:val="nil"/>
                    <w:tr2bl w:val="nil"/>
                  </w:tcBorders>
                  <w:noWrap w:val="0"/>
                  <w:vAlign w:val="center"/>
                </w:tcPr>
                <w:p>
                  <w:pPr>
                    <w:jc w:val="center"/>
                    <w:textAlignment w:val="center"/>
                    <w:rPr>
                      <w:rFonts w:hint="eastAsia" w:ascii="Times New Roman" w:hAnsi="Times New Roman"/>
                      <w:color w:val="auto"/>
                      <w:kern w:val="0"/>
                      <w:sz w:val="21"/>
                      <w:szCs w:val="21"/>
                      <w:lang w:eastAsia="zh-CN" w:bidi="ar"/>
                    </w:rPr>
                  </w:pPr>
                  <w:r>
                    <w:rPr>
                      <w:rFonts w:hint="eastAsia" w:ascii="Times New Roman" w:hAnsi="Times New Roman"/>
                      <w:color w:val="auto"/>
                      <w:kern w:val="0"/>
                      <w:sz w:val="21"/>
                      <w:szCs w:val="21"/>
                      <w:lang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rPr>
                      <w:rFonts w:ascii="Times New Roman" w:hAnsi="Times New Roman"/>
                      <w:color w:val="auto"/>
                      <w:sz w:val="21"/>
                      <w:szCs w:val="21"/>
                    </w:rPr>
                  </w:pP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不符合空间布局要求活动的退出要求</w:t>
                  </w:r>
                </w:p>
              </w:tc>
              <w:tc>
                <w:tcPr>
                  <w:tcW w:w="1965" w:type="pct"/>
                  <w:tcBorders>
                    <w:tl2br w:val="nil"/>
                    <w:tr2bl w:val="nil"/>
                  </w:tcBorders>
                  <w:noWrap w:val="0"/>
                  <w:vAlign w:val="center"/>
                </w:tcPr>
                <w:p>
                  <w:pPr>
                    <w:jc w:val="center"/>
                    <w:textAlignment w:val="center"/>
                    <w:rPr>
                      <w:rFonts w:ascii="Times New Roman" w:hAnsi="Times New Roman"/>
                      <w:color w:val="auto"/>
                      <w:sz w:val="21"/>
                      <w:szCs w:val="21"/>
                    </w:rPr>
                  </w:pPr>
                  <w:r>
                    <w:rPr>
                      <w:rFonts w:hint="eastAsia" w:ascii="Times New Roman" w:hAnsi="Times New Roman"/>
                      <w:color w:val="auto"/>
                      <w:sz w:val="21"/>
                      <w:szCs w:val="21"/>
                    </w:rPr>
                    <w:t>-现有属于园区禁止引入产业门类的企业，原则上限制发展，污染物排放只降不增，允许以提升安全、生态环境保护水平为目的的改建，引导企业结合产业升级等适时搬迁。</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kern w:val="0"/>
                      <w:sz w:val="21"/>
                      <w:szCs w:val="21"/>
                      <w:lang w:eastAsia="zh-CN" w:bidi="ar"/>
                    </w:rPr>
                    <w:t>本项目不属于门类生产项目。</w:t>
                  </w:r>
                </w:p>
              </w:tc>
              <w:tc>
                <w:tcPr>
                  <w:tcW w:w="393" w:type="pct"/>
                  <w:tcBorders>
                    <w:tl2br w:val="nil"/>
                    <w:tr2bl w:val="nil"/>
                  </w:tcBorders>
                  <w:noWrap w:val="0"/>
                  <w:vAlign w:val="center"/>
                </w:tcPr>
                <w:p>
                  <w:pPr>
                    <w:jc w:val="center"/>
                    <w:textAlignment w:val="center"/>
                    <w:rPr>
                      <w:rFonts w:hint="eastAsia" w:ascii="Times New Roman" w:hAnsi="Times New Roman"/>
                      <w:color w:val="auto"/>
                      <w:kern w:val="0"/>
                      <w:sz w:val="21"/>
                      <w:szCs w:val="21"/>
                      <w:lang w:eastAsia="zh-CN" w:bidi="ar"/>
                    </w:rPr>
                  </w:pPr>
                  <w:r>
                    <w:rPr>
                      <w:rFonts w:hint="eastAsia" w:ascii="宋体" w:hAnsi="宋体" w:cs="宋体"/>
                      <w:color w:val="auto"/>
                      <w:kern w:val="0"/>
                      <w:szCs w:val="21"/>
                      <w:lang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restar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污染物排放管控</w:t>
                  </w:r>
                </w:p>
              </w:tc>
              <w:tc>
                <w:tcPr>
                  <w:tcW w:w="632" w:type="pct"/>
                  <w:tcBorders>
                    <w:tl2br w:val="nil"/>
                    <w:tr2bl w:val="nil"/>
                  </w:tcBorders>
                  <w:noWrap w:val="0"/>
                  <w:vAlign w:val="center"/>
                </w:tcPr>
                <w:p>
                  <w:pPr>
                    <w:keepNext w:val="0"/>
                    <w:keepLines w:val="0"/>
                    <w:widowControl/>
                    <w:suppressLineNumbers w:val="0"/>
                    <w:jc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现有源提标升级改造</w:t>
                  </w:r>
                </w:p>
              </w:tc>
              <w:tc>
                <w:tcPr>
                  <w:tcW w:w="1965" w:type="pct"/>
                  <w:tcBorders>
                    <w:tl2br w:val="nil"/>
                    <w:tr2bl w:val="nil"/>
                  </w:tcBorders>
                  <w:noWrap w:val="0"/>
                  <w:vAlign w:val="center"/>
                </w:tcPr>
                <w:p>
                  <w:pPr>
                    <w:keepNext w:val="0"/>
                    <w:keepLines w:val="0"/>
                    <w:widowControl/>
                    <w:suppressLineNumbers w:val="0"/>
                    <w:jc w:val="left"/>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-启动中水回用工程，回用率不低于 20%。</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kern w:val="0"/>
                      <w:sz w:val="21"/>
                      <w:szCs w:val="21"/>
                      <w:lang w:eastAsia="zh-CN" w:bidi="ar"/>
                    </w:rPr>
                  </w:pPr>
                  <w:r>
                    <w:rPr>
                      <w:rFonts w:hint="eastAsia" w:ascii="Times New Roman" w:hAnsi="Times New Roman"/>
                      <w:color w:val="auto"/>
                      <w:kern w:val="0"/>
                      <w:sz w:val="21"/>
                      <w:szCs w:val="21"/>
                      <w:lang w:eastAsia="zh-CN" w:bidi="ar"/>
                    </w:rPr>
                    <w:t>本项目使用电能，属于清洁能源，使用自来水，项目玻璃清洗废水沉淀后回用，不外排；纯水制备排污水和生活废水经预处理池处理后，排入市政污水管网。</w:t>
                  </w:r>
                </w:p>
              </w:tc>
              <w:tc>
                <w:tcPr>
                  <w:tcW w:w="393" w:type="pct"/>
                  <w:tcBorders>
                    <w:tl2br w:val="nil"/>
                    <w:tr2bl w:val="nil"/>
                  </w:tcBorders>
                  <w:noWrap w:val="0"/>
                  <w:vAlign w:val="center"/>
                </w:tcPr>
                <w:p>
                  <w:pPr>
                    <w:jc w:val="center"/>
                    <w:textAlignment w:val="center"/>
                    <w:rPr>
                      <w:rFonts w:hint="eastAsia" w:ascii="Times New Roman" w:hAnsi="Times New Roman"/>
                      <w:color w:val="auto"/>
                      <w:kern w:val="0"/>
                      <w:sz w:val="21"/>
                      <w:szCs w:val="21"/>
                      <w:lang w:eastAsia="zh-CN" w:bidi="ar"/>
                    </w:rPr>
                  </w:pPr>
                  <w:r>
                    <w:rPr>
                      <w:rFonts w:hint="eastAsia" w:ascii="Times New Roman" w:hAnsi="Times New Roman"/>
                      <w:color w:val="auto"/>
                      <w:kern w:val="0"/>
                      <w:sz w:val="21"/>
                      <w:szCs w:val="21"/>
                      <w:lang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textAlignment w:val="center"/>
                    <w:rPr>
                      <w:rFonts w:ascii="Times New Roman" w:hAnsi="Times New Roman"/>
                      <w:color w:val="auto"/>
                      <w:sz w:val="21"/>
                      <w:szCs w:val="21"/>
                    </w:rPr>
                  </w:pPr>
                </w:p>
              </w:tc>
              <w:tc>
                <w:tcPr>
                  <w:tcW w:w="632" w:type="pct"/>
                  <w:tcBorders>
                    <w:tl2br w:val="nil"/>
                    <w:tr2bl w:val="nil"/>
                  </w:tcBorders>
                  <w:noWrap w:val="0"/>
                  <w:vAlign w:val="center"/>
                </w:tcPr>
                <w:p>
                  <w:pPr>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新增源等量或倍量</w:t>
                  </w:r>
                </w:p>
                <w:p>
                  <w:pPr>
                    <w:jc w:val="center"/>
                    <w:textAlignment w:val="center"/>
                    <w:rPr>
                      <w:rFonts w:ascii="Times New Roman" w:hAnsi="Times New Roman"/>
                      <w:color w:val="auto"/>
                      <w:sz w:val="21"/>
                      <w:szCs w:val="21"/>
                    </w:rPr>
                  </w:pPr>
                  <w:r>
                    <w:rPr>
                      <w:rFonts w:hint="eastAsia" w:ascii="Times New Roman" w:hAnsi="Times New Roman"/>
                      <w:color w:val="auto"/>
                      <w:sz w:val="21"/>
                      <w:szCs w:val="21"/>
                    </w:rPr>
                    <w:t>替代</w:t>
                  </w:r>
                </w:p>
              </w:tc>
              <w:tc>
                <w:tcPr>
                  <w:tcW w:w="1965" w:type="pct"/>
                  <w:tcBorders>
                    <w:tl2br w:val="nil"/>
                    <w:tr2bl w:val="nil"/>
                  </w:tcBorders>
                  <w:noWrap w:val="0"/>
                  <w:vAlign w:val="center"/>
                </w:tcPr>
                <w:p>
                  <w:pPr>
                    <w:textAlignment w:val="center"/>
                    <w:rPr>
                      <w:rFonts w:ascii="Times New Roman" w:hAnsi="Times New Roman"/>
                      <w:color w:val="auto"/>
                      <w:sz w:val="21"/>
                      <w:szCs w:val="21"/>
                    </w:rPr>
                  </w:pPr>
                  <w:r>
                    <w:rPr>
                      <w:rFonts w:hint="eastAsia" w:ascii="Times New Roman" w:hAnsi="Times New Roman"/>
                      <w:color w:val="auto"/>
                      <w:sz w:val="21"/>
                      <w:szCs w:val="21"/>
                    </w:rPr>
                    <w:t>-新增污染物排放总量严格执行国家、地方有关总量替代要求。</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kern w:val="0"/>
                      <w:sz w:val="21"/>
                      <w:szCs w:val="21"/>
                      <w:lang w:eastAsia="zh-CN" w:bidi="ar"/>
                    </w:rPr>
                    <w:t>项目新增污染物排放总量严格执行国家、地方有关总量替代要求。</w:t>
                  </w:r>
                </w:p>
              </w:tc>
              <w:tc>
                <w:tcPr>
                  <w:tcW w:w="393" w:type="pct"/>
                  <w:tcBorders>
                    <w:tl2br w:val="nil"/>
                    <w:tr2bl w:val="nil"/>
                  </w:tcBorders>
                  <w:noWrap w:val="0"/>
                  <w:vAlign w:val="center"/>
                </w:tcPr>
                <w:p>
                  <w:pPr>
                    <w:jc w:val="center"/>
                    <w:textAlignment w:val="center"/>
                    <w:rPr>
                      <w:rFonts w:hint="eastAsia" w:ascii="Times New Roman" w:hAnsi="Times New Roman"/>
                      <w:color w:val="auto"/>
                      <w:kern w:val="0"/>
                      <w:sz w:val="21"/>
                      <w:szCs w:val="21"/>
                      <w:lang w:eastAsia="zh-CN" w:bidi="ar"/>
                    </w:rPr>
                  </w:pPr>
                  <w:r>
                    <w:rPr>
                      <w:rFonts w:hint="eastAsia" w:ascii="宋体" w:hAnsi="宋体" w:cs="宋体"/>
                      <w:color w:val="auto"/>
                      <w:kern w:val="0"/>
                      <w:szCs w:val="21"/>
                      <w:lang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rPr>
                      <w:rFonts w:ascii="Times New Roman" w:hAnsi="Times New Roman"/>
                      <w:color w:val="auto"/>
                      <w:sz w:val="21"/>
                      <w:szCs w:val="21"/>
                    </w:rPr>
                  </w:pP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hint="eastAsia" w:ascii="Times New Roman" w:hAnsi="Times New Roman"/>
                      <w:color w:val="auto"/>
                      <w:sz w:val="21"/>
                      <w:szCs w:val="21"/>
                    </w:rPr>
                    <w:t>允许排放量要求</w:t>
                  </w:r>
                </w:p>
              </w:tc>
              <w:tc>
                <w:tcPr>
                  <w:tcW w:w="1965" w:type="pct"/>
                  <w:tcBorders>
                    <w:tl2br w:val="nil"/>
                    <w:tr2bl w:val="nil"/>
                  </w:tcBorders>
                  <w:noWrap w:val="0"/>
                  <w:vAlign w:val="center"/>
                </w:tcPr>
                <w:p>
                  <w:pPr>
                    <w:textAlignment w:val="center"/>
                    <w:rPr>
                      <w:rFonts w:hint="eastAsia" w:ascii="Times New Roman" w:hAnsi="Times New Roman"/>
                      <w:color w:val="auto"/>
                      <w:sz w:val="21"/>
                      <w:szCs w:val="21"/>
                    </w:rPr>
                  </w:pPr>
                  <w:r>
                    <w:rPr>
                      <w:rFonts w:hint="eastAsia" w:ascii="Times New Roman" w:hAnsi="Times New Roman"/>
                      <w:color w:val="auto"/>
                      <w:sz w:val="21"/>
                      <w:szCs w:val="21"/>
                    </w:rPr>
                    <w:t>-2035 年，水污染物允许排放量：COD 358.2吨、氨氮35.82 吨、总磷3.58吨。</w:t>
                  </w:r>
                </w:p>
                <w:p>
                  <w:pPr>
                    <w:textAlignment w:val="center"/>
                    <w:rPr>
                      <w:rFonts w:ascii="Times New Roman" w:hAnsi="Times New Roman"/>
                      <w:color w:val="auto"/>
                      <w:sz w:val="21"/>
                      <w:szCs w:val="21"/>
                    </w:rPr>
                  </w:pPr>
                  <w:r>
                    <w:rPr>
                      <w:rFonts w:hint="eastAsia" w:ascii="Times New Roman" w:hAnsi="Times New Roman"/>
                      <w:color w:val="auto"/>
                      <w:sz w:val="21"/>
                      <w:szCs w:val="21"/>
                    </w:rPr>
                    <w:t>-2035年，大气污染物允许排放量：SO</w:t>
                  </w:r>
                  <w:r>
                    <w:rPr>
                      <w:rFonts w:hint="eastAsia" w:ascii="Times New Roman" w:hAnsi="Times New Roman"/>
                      <w:color w:val="auto"/>
                      <w:sz w:val="21"/>
                      <w:szCs w:val="21"/>
                      <w:vertAlign w:val="subscript"/>
                    </w:rPr>
                    <w:t>2</w:t>
                  </w:r>
                  <w:r>
                    <w:rPr>
                      <w:rFonts w:hint="eastAsia" w:ascii="Times New Roman" w:hAnsi="Times New Roman"/>
                      <w:color w:val="auto"/>
                      <w:sz w:val="21"/>
                      <w:szCs w:val="21"/>
                    </w:rPr>
                    <w:t>103.6吨、NO</w:t>
                  </w:r>
                  <w:r>
                    <w:rPr>
                      <w:rFonts w:hint="eastAsia" w:ascii="Times New Roman" w:hAnsi="Times New Roman"/>
                      <w:color w:val="auto"/>
                      <w:sz w:val="21"/>
                      <w:szCs w:val="21"/>
                      <w:vertAlign w:val="subscript"/>
                    </w:rPr>
                    <w:t xml:space="preserve">X </w:t>
                  </w:r>
                  <w:r>
                    <w:rPr>
                      <w:rFonts w:hint="eastAsia" w:ascii="Times New Roman" w:hAnsi="Times New Roman"/>
                      <w:color w:val="auto"/>
                      <w:sz w:val="21"/>
                      <w:szCs w:val="21"/>
                    </w:rPr>
                    <w:t>254.9 吨、PM</w:t>
                  </w:r>
                  <w:r>
                    <w:rPr>
                      <w:rFonts w:hint="eastAsia" w:ascii="Times New Roman" w:hAnsi="Times New Roman"/>
                      <w:color w:val="auto"/>
                      <w:sz w:val="21"/>
                      <w:szCs w:val="21"/>
                      <w:vertAlign w:val="subscript"/>
                    </w:rPr>
                    <w:t>2.5</w:t>
                  </w:r>
                  <w:r>
                    <w:rPr>
                      <w:rFonts w:hint="eastAsia" w:ascii="Times New Roman" w:hAnsi="Times New Roman"/>
                      <w:color w:val="auto"/>
                      <w:sz w:val="21"/>
                      <w:szCs w:val="21"/>
                    </w:rPr>
                    <w:t>148.6吨、VOCs 194.1 吨。</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kern w:val="0"/>
                      <w:sz w:val="21"/>
                      <w:szCs w:val="21"/>
                      <w:lang w:eastAsia="zh-CN" w:bidi="ar"/>
                    </w:rPr>
                    <w:t>项目玻璃清洗废水沉淀后回用，不外排；纯水制备排污水和生活废水经预处理池处理后，排入市政污水管网；</w:t>
                  </w:r>
                  <w:r>
                    <w:rPr>
                      <w:rFonts w:hint="eastAsia" w:ascii="Times New Roman" w:hAnsi="Times New Roman" w:eastAsia="宋体"/>
                      <w:kern w:val="0"/>
                      <w:sz w:val="21"/>
                      <w:szCs w:val="21"/>
                      <w:lang w:eastAsia="zh-CN"/>
                    </w:rPr>
                    <w:t>项目使用</w:t>
                  </w:r>
                  <w:r>
                    <w:rPr>
                      <w:rFonts w:hint="eastAsia" w:ascii="Times New Roman" w:hAnsi="Times New Roman" w:eastAsia="宋体"/>
                      <w:sz w:val="21"/>
                      <w:szCs w:val="21"/>
                    </w:rPr>
                    <w:t>VOCs含量</w:t>
                  </w:r>
                  <w:r>
                    <w:rPr>
                      <w:rFonts w:hint="eastAsia" w:ascii="Times New Roman" w:hAnsi="Times New Roman" w:eastAsia="宋体"/>
                      <w:sz w:val="21"/>
                      <w:szCs w:val="21"/>
                      <w:lang w:eastAsia="zh-CN"/>
                    </w:rPr>
                    <w:t>低</w:t>
                  </w:r>
                  <w:r>
                    <w:rPr>
                      <w:rFonts w:hint="eastAsia" w:ascii="Times New Roman" w:hAnsi="Times New Roman" w:eastAsia="宋体"/>
                      <w:sz w:val="21"/>
                      <w:szCs w:val="21"/>
                    </w:rPr>
                    <w:t>的涂料</w:t>
                  </w:r>
                  <w:r>
                    <w:rPr>
                      <w:rFonts w:hint="eastAsia" w:ascii="Times New Roman" w:hAnsi="Times New Roman" w:eastAsia="宋体"/>
                      <w:sz w:val="21"/>
                      <w:szCs w:val="21"/>
                      <w:lang w:eastAsia="zh-CN"/>
                    </w:rPr>
                    <w:t>，且</w:t>
                  </w:r>
                  <w:r>
                    <w:rPr>
                      <w:rFonts w:hint="eastAsia" w:ascii="Times New Roman" w:hAnsi="Times New Roman" w:eastAsia="宋体"/>
                      <w:kern w:val="0"/>
                      <w:sz w:val="21"/>
                      <w:szCs w:val="21"/>
                      <w:lang w:eastAsia="zh-CN"/>
                    </w:rPr>
                    <w:t>有机</w:t>
                  </w:r>
                  <w:r>
                    <w:rPr>
                      <w:rFonts w:hint="eastAsia" w:ascii="Times New Roman" w:hAnsi="Times New Roman" w:eastAsia="宋体"/>
                      <w:kern w:val="0"/>
                      <w:sz w:val="21"/>
                      <w:szCs w:val="21"/>
                    </w:rPr>
                    <w:t>废气</w:t>
                  </w:r>
                  <w:r>
                    <w:rPr>
                      <w:rFonts w:hint="eastAsia" w:ascii="Times New Roman" w:hAnsi="Times New Roman" w:eastAsia="宋体"/>
                      <w:kern w:val="0"/>
                      <w:sz w:val="21"/>
                      <w:szCs w:val="21"/>
                      <w:lang w:eastAsia="zh-CN"/>
                    </w:rPr>
                    <w:t>采取“二级活性炭</w:t>
                  </w:r>
                  <w:r>
                    <w:rPr>
                      <w:rFonts w:hint="eastAsia" w:ascii="Times New Roman" w:hAnsi="Times New Roman" w:eastAsia="宋体"/>
                      <w:kern w:val="0"/>
                      <w:sz w:val="21"/>
                      <w:szCs w:val="21"/>
                      <w:lang w:val="en-US" w:eastAsia="zh-CN"/>
                    </w:rPr>
                    <w:t>+15m排气筒</w:t>
                  </w:r>
                  <w:r>
                    <w:rPr>
                      <w:rFonts w:hint="eastAsia" w:ascii="Times New Roman" w:hAnsi="Times New Roman" w:eastAsia="宋体"/>
                      <w:kern w:val="0"/>
                      <w:sz w:val="21"/>
                      <w:szCs w:val="21"/>
                      <w:lang w:eastAsia="zh-CN"/>
                    </w:rPr>
                    <w:t>”处理达标后排放</w:t>
                  </w:r>
                  <w:r>
                    <w:rPr>
                      <w:rFonts w:hint="eastAsia" w:ascii="Times New Roman" w:hAnsi="Times New Roman"/>
                      <w:color w:val="auto"/>
                      <w:kern w:val="0"/>
                      <w:sz w:val="21"/>
                      <w:szCs w:val="21"/>
                      <w:lang w:eastAsia="zh-CN" w:bidi="ar"/>
                    </w:rPr>
                    <w:t>。</w:t>
                  </w:r>
                </w:p>
              </w:tc>
              <w:tc>
                <w:tcPr>
                  <w:tcW w:w="393" w:type="pct"/>
                  <w:tcBorders>
                    <w:tl2br w:val="nil"/>
                    <w:tr2bl w:val="nil"/>
                  </w:tcBorders>
                  <w:noWrap w:val="0"/>
                  <w:vAlign w:val="center"/>
                </w:tcPr>
                <w:p>
                  <w:pPr>
                    <w:jc w:val="center"/>
                    <w:textAlignment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rPr>
                      <w:rFonts w:ascii="Times New Roman" w:hAnsi="Times New Roman"/>
                      <w:color w:val="auto"/>
                      <w:sz w:val="21"/>
                      <w:szCs w:val="21"/>
                    </w:rPr>
                  </w:pPr>
                </w:p>
              </w:tc>
              <w:tc>
                <w:tcPr>
                  <w:tcW w:w="632" w:type="pct"/>
                  <w:tcBorders>
                    <w:tl2br w:val="nil"/>
                    <w:tr2bl w:val="nil"/>
                  </w:tcBorders>
                  <w:noWrap w:val="0"/>
                  <w:vAlign w:val="center"/>
                </w:tcPr>
                <w:p>
                  <w:pPr>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污染物排放绩效水</w:t>
                  </w:r>
                </w:p>
                <w:p>
                  <w:pPr>
                    <w:jc w:val="center"/>
                    <w:textAlignment w:val="center"/>
                    <w:rPr>
                      <w:rFonts w:ascii="Times New Roman" w:hAnsi="Times New Roman"/>
                      <w:color w:val="auto"/>
                      <w:sz w:val="21"/>
                      <w:szCs w:val="21"/>
                    </w:rPr>
                  </w:pPr>
                  <w:r>
                    <w:rPr>
                      <w:rFonts w:hint="eastAsia" w:ascii="Times New Roman" w:hAnsi="Times New Roman"/>
                      <w:color w:val="auto"/>
                      <w:sz w:val="21"/>
                      <w:szCs w:val="21"/>
                    </w:rPr>
                    <w:t>平准入要求</w:t>
                  </w:r>
                </w:p>
              </w:tc>
              <w:tc>
                <w:tcPr>
                  <w:tcW w:w="1965" w:type="pct"/>
                  <w:tcBorders>
                    <w:tl2br w:val="nil"/>
                    <w:tr2bl w:val="nil"/>
                  </w:tcBorders>
                  <w:noWrap w:val="0"/>
                  <w:vAlign w:val="center"/>
                </w:tcPr>
                <w:p>
                  <w:pPr>
                    <w:textAlignment w:val="center"/>
                    <w:rPr>
                      <w:rFonts w:hint="eastAsia" w:ascii="Times New Roman" w:hAnsi="Times New Roman"/>
                      <w:color w:val="auto"/>
                      <w:sz w:val="21"/>
                      <w:szCs w:val="21"/>
                    </w:rPr>
                  </w:pPr>
                  <w:r>
                    <w:rPr>
                      <w:rFonts w:hint="eastAsia" w:ascii="Times New Roman" w:hAnsi="Times New Roman"/>
                      <w:color w:val="auto"/>
                      <w:sz w:val="21"/>
                      <w:szCs w:val="21"/>
                    </w:rPr>
                    <w:t>-污染物排放强度达到清洁生产二级或国内先进水平；</w:t>
                  </w:r>
                </w:p>
                <w:p>
                  <w:pPr>
                    <w:textAlignment w:val="center"/>
                    <w:rPr>
                      <w:rFonts w:hint="eastAsia" w:ascii="Times New Roman" w:hAnsi="Times New Roman"/>
                      <w:color w:val="auto"/>
                      <w:sz w:val="21"/>
                      <w:szCs w:val="21"/>
                    </w:rPr>
                  </w:pPr>
                  <w:r>
                    <w:rPr>
                      <w:rFonts w:hint="eastAsia" w:ascii="Times New Roman" w:hAnsi="Times New Roman"/>
                      <w:color w:val="auto"/>
                      <w:sz w:val="21"/>
                      <w:szCs w:val="21"/>
                    </w:rPr>
                    <w:t>-新、改、扩建涉及 VOCs 排放项目，从原辅材料和工艺过程大力推广使用低（无）VOCs 含量的的原辅材料，配套先进生产工艺。其中：家具制造行业水性、紫外光固化等低挥发性涂料替代比例达到 60%以上、水性胶粘剂替代比例达到 100%，钢结构制造行业高固体分涂料替代比例达到 50%以上，包装印刷企业低VOCs 含量的绿色原辅材料替代比例达到 60%以上；</w:t>
                  </w:r>
                </w:p>
                <w:p>
                  <w:pPr>
                    <w:textAlignment w:val="center"/>
                    <w:rPr>
                      <w:rFonts w:ascii="Times New Roman" w:hAnsi="Times New Roman"/>
                      <w:color w:val="auto"/>
                      <w:sz w:val="21"/>
                      <w:szCs w:val="21"/>
                    </w:rPr>
                  </w:pPr>
                  <w:r>
                    <w:rPr>
                      <w:rFonts w:hint="eastAsia" w:ascii="Times New Roman" w:hAnsi="Times New Roman"/>
                      <w:color w:val="auto"/>
                      <w:sz w:val="21"/>
                      <w:szCs w:val="21"/>
                    </w:rPr>
                    <w:t>-机械产业参考《机械行业清洁生产评价指标体系（试行）》万元工业增加值 SO2排放量≤1.48kg/万元、万元工业增加值外排废水排放量≤14.45t/万元。</w:t>
                  </w:r>
                </w:p>
              </w:tc>
              <w:tc>
                <w:tcPr>
                  <w:tcW w:w="1741" w:type="pct"/>
                  <w:tcBorders>
                    <w:tl2br w:val="nil"/>
                    <w:tr2bl w:val="nil"/>
                  </w:tcBorders>
                  <w:noWrap w:val="0"/>
                  <w:vAlign w:val="center"/>
                </w:tcPr>
                <w:p>
                  <w:pPr>
                    <w:jc w:val="center"/>
                    <w:textAlignment w:val="center"/>
                    <w:rPr>
                      <w:rFonts w:hint="eastAsia" w:ascii="Times New Roman" w:hAnsi="Times New Roman"/>
                      <w:color w:val="auto"/>
                      <w:sz w:val="21"/>
                      <w:szCs w:val="21"/>
                      <w:lang w:eastAsia="zh-CN"/>
                    </w:rPr>
                  </w:pPr>
                  <w:r>
                    <w:rPr>
                      <w:rFonts w:ascii="Times New Roman" w:hAnsi="Times New Roman"/>
                      <w:color w:val="auto"/>
                      <w:kern w:val="0"/>
                      <w:sz w:val="21"/>
                      <w:szCs w:val="21"/>
                      <w:lang w:bidi="ar"/>
                    </w:rPr>
                    <w:t>本项目</w:t>
                  </w:r>
                  <w:r>
                    <w:rPr>
                      <w:rFonts w:hint="eastAsia" w:ascii="Times New Roman" w:hAnsi="Times New Roman"/>
                      <w:color w:val="auto"/>
                      <w:kern w:val="0"/>
                      <w:sz w:val="21"/>
                      <w:szCs w:val="21"/>
                      <w:lang w:eastAsia="zh-CN" w:bidi="ar"/>
                    </w:rPr>
                    <w:t>污染物排放强度</w:t>
                  </w:r>
                  <w:r>
                    <w:rPr>
                      <w:rFonts w:hint="eastAsia" w:ascii="Times New Roman" w:hAnsi="Times New Roman"/>
                      <w:color w:val="auto"/>
                      <w:sz w:val="21"/>
                      <w:szCs w:val="21"/>
                    </w:rPr>
                    <w:t>指标达到清洁生产水平</w:t>
                  </w:r>
                  <w:r>
                    <w:rPr>
                      <w:rFonts w:hint="eastAsia" w:ascii="Times New Roman" w:hAnsi="Times New Roman"/>
                      <w:color w:val="auto"/>
                      <w:sz w:val="21"/>
                      <w:szCs w:val="21"/>
                      <w:lang w:eastAsia="zh-CN"/>
                    </w:rPr>
                    <w:t>二级；</w:t>
                  </w:r>
                </w:p>
                <w:p>
                  <w:pPr>
                    <w:jc w:val="center"/>
                    <w:textAlignment w:val="center"/>
                    <w:rPr>
                      <w:rFonts w:hint="eastAsia" w:ascii="Times New Roman" w:hAnsi="Times New Roman"/>
                      <w:color w:val="auto"/>
                      <w:kern w:val="0"/>
                      <w:sz w:val="21"/>
                      <w:szCs w:val="21"/>
                      <w:lang w:eastAsia="zh-CN" w:bidi="ar"/>
                    </w:rPr>
                  </w:pPr>
                  <w:r>
                    <w:rPr>
                      <w:rFonts w:hint="eastAsia" w:ascii="Times New Roman" w:hAnsi="Times New Roman"/>
                      <w:color w:val="auto"/>
                      <w:kern w:val="0"/>
                      <w:sz w:val="21"/>
                      <w:szCs w:val="21"/>
                      <w:lang w:eastAsia="zh-CN" w:bidi="ar"/>
                    </w:rPr>
                    <w:t>本项目原料使用符合《低挥发性有机化合物含量涂料产品技术要求》GB/T38597-2020</w:t>
                  </w:r>
                </w:p>
                <w:p>
                  <w:pPr>
                    <w:jc w:val="center"/>
                    <w:textAlignment w:val="center"/>
                    <w:rPr>
                      <w:rFonts w:ascii="Times New Roman" w:hAnsi="Times New Roman"/>
                      <w:color w:val="auto"/>
                      <w:sz w:val="21"/>
                      <w:szCs w:val="21"/>
                    </w:rPr>
                  </w:pPr>
                </w:p>
              </w:tc>
              <w:tc>
                <w:tcPr>
                  <w:tcW w:w="393"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restar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环境风险管控</w:t>
                  </w: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企业环境风险防控要求</w:t>
                  </w:r>
                </w:p>
              </w:tc>
              <w:tc>
                <w:tcPr>
                  <w:tcW w:w="1965" w:type="pct"/>
                  <w:tcBorders>
                    <w:tl2br w:val="nil"/>
                    <w:tr2bl w:val="nil"/>
                  </w:tcBorders>
                  <w:noWrap w:val="0"/>
                  <w:vAlign w:val="center"/>
                </w:tcPr>
                <w:p>
                  <w:pPr>
                    <w:textAlignment w:val="center"/>
                    <w:rPr>
                      <w:rFonts w:ascii="Times New Roman" w:hAnsi="Times New Roman"/>
                      <w:color w:val="auto"/>
                      <w:sz w:val="21"/>
                      <w:szCs w:val="21"/>
                    </w:rPr>
                  </w:pPr>
                  <w:r>
                    <w:rPr>
                      <w:rFonts w:hint="eastAsia" w:ascii="Times New Roman" w:hAnsi="Times New Roman"/>
                      <w:color w:val="auto"/>
                      <w:sz w:val="21"/>
                      <w:szCs w:val="21"/>
                    </w:rPr>
                    <w:t>-企业应强化选址，确保环境相容的前提下，严格按照相关技术规范建设，并按照规范编制突发环境事件应急预案。其中，生物医药企业还应制定生物安全应急预案。</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ascii="Times New Roman" w:hAnsi="Times New Roman"/>
                      <w:color w:val="auto"/>
                      <w:kern w:val="0"/>
                      <w:sz w:val="21"/>
                      <w:szCs w:val="21"/>
                      <w:lang w:bidi="ar"/>
                    </w:rPr>
                    <w:t>本项目风险潜势为I级，不涉及</w:t>
                  </w:r>
                  <w:r>
                    <w:rPr>
                      <w:rFonts w:hint="eastAsia" w:ascii="Times New Roman" w:hAnsi="Times New Roman"/>
                      <w:color w:val="auto"/>
                      <w:sz w:val="21"/>
                      <w:szCs w:val="21"/>
                    </w:rPr>
                    <w:t>大宗危险化学物质的仓储</w:t>
                  </w:r>
                  <w:r>
                    <w:rPr>
                      <w:rFonts w:hint="eastAsia" w:ascii="Times New Roman" w:hAnsi="Times New Roman"/>
                      <w:color w:val="auto"/>
                      <w:sz w:val="21"/>
                      <w:szCs w:val="21"/>
                      <w:lang w:eastAsia="zh-CN"/>
                    </w:rPr>
                    <w:t>，项目在落实各项目防范措施后，环境风险可控</w:t>
                  </w:r>
                  <w:r>
                    <w:rPr>
                      <w:rFonts w:hint="eastAsia" w:ascii="Times New Roman" w:hAnsi="Times New Roman"/>
                      <w:color w:val="auto"/>
                      <w:kern w:val="0"/>
                      <w:sz w:val="21"/>
                      <w:szCs w:val="21"/>
                      <w:lang w:eastAsia="zh-CN" w:bidi="ar"/>
                    </w:rPr>
                    <w:t>。</w:t>
                  </w:r>
                </w:p>
              </w:tc>
              <w:tc>
                <w:tcPr>
                  <w:tcW w:w="393" w:type="pct"/>
                  <w:tcBorders>
                    <w:tl2br w:val="nil"/>
                    <w:tr2bl w:val="nil"/>
                  </w:tcBorders>
                  <w:noWrap w:val="0"/>
                  <w:vAlign w:val="center"/>
                </w:tcPr>
                <w:p>
                  <w:pPr>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textAlignment w:val="center"/>
                    <w:rPr>
                      <w:rFonts w:ascii="Times New Roman" w:hAnsi="Times New Roman"/>
                      <w:color w:val="auto"/>
                      <w:kern w:val="0"/>
                      <w:sz w:val="21"/>
                      <w:szCs w:val="21"/>
                      <w:lang w:bidi="ar"/>
                    </w:rPr>
                  </w:pPr>
                </w:p>
              </w:tc>
              <w:tc>
                <w:tcPr>
                  <w:tcW w:w="632" w:type="pct"/>
                  <w:tcBorders>
                    <w:tl2br w:val="nil"/>
                    <w:tr2bl w:val="nil"/>
                  </w:tcBorders>
                  <w:noWrap w:val="0"/>
                  <w:vAlign w:val="center"/>
                </w:tcPr>
                <w:p>
                  <w:pPr>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用地环境风险防控要求</w:t>
                  </w:r>
                </w:p>
              </w:tc>
              <w:tc>
                <w:tcPr>
                  <w:tcW w:w="1965" w:type="pct"/>
                  <w:tcBorders>
                    <w:tl2br w:val="nil"/>
                    <w:tr2bl w:val="nil"/>
                  </w:tcBorders>
                  <w:noWrap w:val="0"/>
                  <w:vAlign w:val="center"/>
                </w:tcPr>
                <w:p>
                  <w:pPr>
                    <w:textAlignment w:val="center"/>
                    <w:rPr>
                      <w:rFonts w:hint="eastAsia" w:ascii="Times New Roman" w:hAnsi="Times New Roman"/>
                      <w:color w:val="auto"/>
                      <w:sz w:val="21"/>
                      <w:szCs w:val="21"/>
                    </w:rPr>
                  </w:pPr>
                  <w:r>
                    <w:rPr>
                      <w:rFonts w:hint="eastAsia" w:ascii="Times New Roman" w:hAnsi="Times New Roman"/>
                      <w:color w:val="auto"/>
                      <w:sz w:val="21"/>
                      <w:szCs w:val="21"/>
                    </w:rPr>
                    <w:t>-企业拆除生产设施设备、构筑物和污染治理设施，要事先制定残留污染物清理和安全处置方案；要严格按照有关规定实施安全处理处置，防范拆除活动污染土壤；</w:t>
                  </w:r>
                </w:p>
                <w:p>
                  <w:pPr>
                    <w:textAlignment w:val="center"/>
                    <w:rPr>
                      <w:rFonts w:hint="eastAsia" w:ascii="Times New Roman" w:hAnsi="Times New Roman"/>
                      <w:color w:val="auto"/>
                      <w:sz w:val="21"/>
                      <w:szCs w:val="21"/>
                    </w:rPr>
                  </w:pPr>
                  <w:r>
                    <w:rPr>
                      <w:rFonts w:hint="eastAsia" w:ascii="Times New Roman" w:hAnsi="Times New Roman"/>
                      <w:color w:val="auto"/>
                      <w:sz w:val="21"/>
                      <w:szCs w:val="21"/>
                    </w:rPr>
                    <w:t>-企业应按照《四川省土壤污染防治条例》开展土壤污染状况调查。</w:t>
                  </w:r>
                </w:p>
              </w:tc>
              <w:tc>
                <w:tcPr>
                  <w:tcW w:w="1741" w:type="pct"/>
                  <w:tcBorders>
                    <w:tl2br w:val="nil"/>
                    <w:tr2bl w:val="nil"/>
                  </w:tcBorders>
                  <w:noWrap w:val="0"/>
                  <w:vAlign w:val="center"/>
                </w:tcPr>
                <w:p>
                  <w:pPr>
                    <w:jc w:val="center"/>
                    <w:textAlignment w:val="center"/>
                    <w:rPr>
                      <w:rFonts w:hint="eastAsia" w:ascii="Times New Roman" w:hAnsi="Times New Roman"/>
                      <w:color w:val="auto"/>
                      <w:sz w:val="21"/>
                      <w:szCs w:val="21"/>
                      <w:lang w:eastAsia="zh-CN"/>
                    </w:rPr>
                  </w:pPr>
                  <w:r>
                    <w:rPr>
                      <w:rFonts w:hint="eastAsia" w:ascii="Times New Roman" w:hAnsi="Times New Roman" w:eastAsia="宋体"/>
                      <w:color w:val="auto"/>
                      <w:kern w:val="0"/>
                      <w:sz w:val="21"/>
                      <w:szCs w:val="21"/>
                      <w:lang w:val="en-US" w:eastAsia="zh-CN" w:bidi="ar"/>
                    </w:rPr>
                    <w:t>项目</w:t>
                  </w:r>
                  <w:r>
                    <w:rPr>
                      <w:rFonts w:hint="eastAsia" w:ascii="Times New Roman" w:hAnsi="Times New Roman"/>
                      <w:color w:val="auto"/>
                      <w:sz w:val="21"/>
                      <w:szCs w:val="21"/>
                    </w:rPr>
                    <w:t>严格按照有关规定实施安全处理处置</w:t>
                  </w:r>
                  <w:r>
                    <w:rPr>
                      <w:rFonts w:hint="eastAsia" w:ascii="Times New Roman" w:hAnsi="Times New Roman"/>
                      <w:color w:val="auto"/>
                      <w:sz w:val="21"/>
                      <w:szCs w:val="21"/>
                      <w:lang w:eastAsia="zh-CN"/>
                    </w:rPr>
                    <w:t>；</w:t>
                  </w:r>
                </w:p>
                <w:p>
                  <w:pPr>
                    <w:jc w:val="center"/>
                    <w:textAlignment w:val="center"/>
                    <w:rPr>
                      <w:rFonts w:hint="eastAsia" w:ascii="Times New Roman" w:hAnsi="Times New Roman" w:eastAsia="宋体"/>
                      <w:color w:val="auto"/>
                      <w:kern w:val="0"/>
                      <w:sz w:val="21"/>
                      <w:szCs w:val="21"/>
                      <w:lang w:val="en-US" w:eastAsia="zh-CN" w:bidi="ar"/>
                    </w:rPr>
                  </w:pPr>
                  <w:r>
                    <w:rPr>
                      <w:rFonts w:hint="eastAsia" w:ascii="Times New Roman" w:hAnsi="Times New Roman"/>
                      <w:color w:val="auto"/>
                      <w:sz w:val="21"/>
                      <w:szCs w:val="21"/>
                    </w:rPr>
                    <w:t>企业应按照《四川省土壤污染防治条例》开展土壤污染状况调查</w:t>
                  </w:r>
                  <w:r>
                    <w:rPr>
                      <w:rFonts w:hint="eastAsia" w:ascii="Times New Roman" w:hAnsi="Times New Roman"/>
                      <w:color w:val="auto"/>
                      <w:sz w:val="21"/>
                      <w:szCs w:val="21"/>
                      <w:lang w:eastAsia="zh-CN"/>
                    </w:rPr>
                    <w:t>。</w:t>
                  </w:r>
                </w:p>
              </w:tc>
              <w:tc>
                <w:tcPr>
                  <w:tcW w:w="393" w:type="pct"/>
                  <w:tcBorders>
                    <w:tl2br w:val="nil"/>
                    <w:tr2bl w:val="nil"/>
                  </w:tcBorders>
                  <w:noWrap w:val="0"/>
                  <w:vAlign w:val="center"/>
                </w:tcPr>
                <w:p>
                  <w:pPr>
                    <w:jc w:val="center"/>
                    <w:textAlignment w:val="center"/>
                    <w:rPr>
                      <w:rFonts w:hint="eastAsia" w:ascii="Times New Roman" w:hAnsi="Times New Roman"/>
                      <w:color w:val="auto"/>
                      <w:kern w:val="0"/>
                      <w:sz w:val="21"/>
                      <w:szCs w:val="21"/>
                      <w:lang w:eastAsia="zh-CN" w:bidi="ar"/>
                    </w:rPr>
                  </w:pPr>
                  <w:r>
                    <w:rPr>
                      <w:rFonts w:hint="eastAsia" w:ascii="Times New Roman" w:hAnsi="Times New Roman"/>
                      <w:color w:val="auto"/>
                      <w:sz w:val="21"/>
                      <w:szCs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textAlignment w:val="center"/>
                    <w:rPr>
                      <w:rFonts w:ascii="Times New Roman" w:hAnsi="Times New Roman"/>
                      <w:color w:val="auto"/>
                      <w:kern w:val="0"/>
                      <w:sz w:val="21"/>
                      <w:szCs w:val="21"/>
                      <w:lang w:bidi="ar"/>
                    </w:rPr>
                  </w:pPr>
                </w:p>
              </w:tc>
              <w:tc>
                <w:tcPr>
                  <w:tcW w:w="632" w:type="pct"/>
                  <w:tcBorders>
                    <w:tl2br w:val="nil"/>
                    <w:tr2bl w:val="nil"/>
                  </w:tcBorders>
                  <w:noWrap w:val="0"/>
                  <w:vAlign w:val="center"/>
                </w:tcPr>
                <w:p>
                  <w:pPr>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bidi="ar"/>
                    </w:rPr>
                    <w:t>园区环境风险防控要求</w:t>
                  </w:r>
                </w:p>
              </w:tc>
              <w:tc>
                <w:tcPr>
                  <w:tcW w:w="1965" w:type="pct"/>
                  <w:tcBorders>
                    <w:tl2br w:val="nil"/>
                    <w:tr2bl w:val="nil"/>
                  </w:tcBorders>
                  <w:noWrap w:val="0"/>
                  <w:vAlign w:val="center"/>
                </w:tcPr>
                <w:p>
                  <w:pPr>
                    <w:keepNext w:val="0"/>
                    <w:keepLines w:val="0"/>
                    <w:widowControl/>
                    <w:suppressLineNumbers w:val="0"/>
                    <w:jc w:val="left"/>
                    <w:rPr>
                      <w:rFonts w:hint="eastAsia" w:ascii="Times New Roman" w:hAnsi="Times New Roman"/>
                      <w:color w:val="auto"/>
                      <w:kern w:val="0"/>
                      <w:sz w:val="21"/>
                      <w:szCs w:val="21"/>
                      <w:lang w:bidi="ar"/>
                    </w:rPr>
                  </w:pPr>
                  <w:r>
                    <w:rPr>
                      <w:rFonts w:hint="eastAsia" w:ascii="Times New Roman" w:hAnsi="Times New Roman"/>
                      <w:color w:val="auto"/>
                      <w:kern w:val="0"/>
                      <w:sz w:val="21"/>
                      <w:szCs w:val="21"/>
                      <w:lang w:bidi="ar"/>
                    </w:rPr>
                    <w:t>-构建三级环境风险防控体系，强化危化品泄漏应急处置措施，确保风险可控；</w:t>
                  </w:r>
                </w:p>
                <w:p>
                  <w:pPr>
                    <w:keepNext w:val="0"/>
                    <w:keepLines w:val="0"/>
                    <w:widowControl/>
                    <w:suppressLineNumbers w:val="0"/>
                    <w:jc w:val="left"/>
                    <w:rPr>
                      <w:rFonts w:hint="eastAsia" w:ascii="Times New Roman" w:hAnsi="Times New Roman" w:eastAsia="宋体"/>
                      <w:color w:val="auto"/>
                      <w:kern w:val="0"/>
                      <w:sz w:val="21"/>
                      <w:szCs w:val="21"/>
                      <w:lang w:eastAsia="zh-CN" w:bidi="ar"/>
                    </w:rPr>
                  </w:pPr>
                  <w:r>
                    <w:rPr>
                      <w:rFonts w:hint="eastAsia" w:ascii="Times New Roman" w:hAnsi="Times New Roman"/>
                      <w:color w:val="auto"/>
                      <w:kern w:val="0"/>
                      <w:sz w:val="21"/>
                      <w:szCs w:val="21"/>
                      <w:lang w:bidi="ar"/>
                    </w:rPr>
                    <w:t>-建立区域、流域联动应急响应体系，实行联防联控</w:t>
                  </w:r>
                </w:p>
              </w:tc>
              <w:tc>
                <w:tcPr>
                  <w:tcW w:w="1741" w:type="pct"/>
                  <w:tcBorders>
                    <w:tl2br w:val="nil"/>
                    <w:tr2bl w:val="nil"/>
                  </w:tcBorders>
                  <w:noWrap w:val="0"/>
                  <w:vAlign w:val="center"/>
                </w:tcPr>
                <w:p>
                  <w:pPr>
                    <w:jc w:val="center"/>
                    <w:textAlignment w:val="center"/>
                    <w:rPr>
                      <w:rFonts w:ascii="Times New Roman" w:hAnsi="Times New Roman"/>
                      <w:color w:val="auto"/>
                      <w:kern w:val="0"/>
                      <w:sz w:val="21"/>
                      <w:szCs w:val="21"/>
                      <w:lang w:bidi="ar"/>
                    </w:rPr>
                  </w:pPr>
                  <w:r>
                    <w:rPr>
                      <w:rFonts w:hint="eastAsia" w:ascii="Times New Roman" w:hAnsi="Times New Roman"/>
                      <w:color w:val="auto"/>
                      <w:kern w:val="0"/>
                      <w:sz w:val="21"/>
                      <w:szCs w:val="21"/>
                      <w:lang w:eastAsia="zh-CN" w:bidi="ar"/>
                    </w:rPr>
                    <w:t>本项目厂区</w:t>
                  </w:r>
                  <w:r>
                    <w:rPr>
                      <w:rFonts w:hint="eastAsia" w:ascii="Times New Roman" w:hAnsi="Times New Roman"/>
                      <w:color w:val="auto"/>
                      <w:kern w:val="0"/>
                      <w:sz w:val="21"/>
                      <w:szCs w:val="21"/>
                      <w:lang w:val="en-US" w:eastAsia="zh-CN" w:bidi="ar"/>
                    </w:rPr>
                    <w:t>-园区-政府建立三级</w:t>
                  </w:r>
                  <w:r>
                    <w:rPr>
                      <w:rFonts w:hint="eastAsia" w:ascii="Times New Roman" w:hAnsi="Times New Roman"/>
                      <w:color w:val="auto"/>
                      <w:sz w:val="21"/>
                      <w:szCs w:val="21"/>
                    </w:rPr>
                    <w:t>环境风险防控体系</w:t>
                  </w:r>
                  <w:r>
                    <w:rPr>
                      <w:rFonts w:hint="eastAsia" w:ascii="Times New Roman" w:hAnsi="Times New Roman"/>
                      <w:color w:val="auto"/>
                      <w:sz w:val="21"/>
                      <w:szCs w:val="21"/>
                      <w:lang w:eastAsia="zh-CN"/>
                    </w:rPr>
                    <w:t>，</w:t>
                  </w:r>
                  <w:r>
                    <w:rPr>
                      <w:rFonts w:hint="eastAsia" w:ascii="Times New Roman" w:hAnsi="Times New Roman"/>
                      <w:color w:val="auto"/>
                      <w:sz w:val="21"/>
                      <w:szCs w:val="21"/>
                    </w:rPr>
                    <w:t>危化品</w:t>
                  </w:r>
                  <w:r>
                    <w:rPr>
                      <w:rFonts w:hint="eastAsia" w:ascii="Times New Roman" w:hAnsi="Times New Roman"/>
                      <w:color w:val="auto"/>
                      <w:sz w:val="21"/>
                      <w:szCs w:val="21"/>
                      <w:lang w:eastAsia="zh-CN"/>
                    </w:rPr>
                    <w:t>存储区设置围堰等防止发生泄漏。</w:t>
                  </w:r>
                </w:p>
              </w:tc>
              <w:tc>
                <w:tcPr>
                  <w:tcW w:w="393" w:type="pct"/>
                  <w:tcBorders>
                    <w:tl2br w:val="nil"/>
                    <w:tr2bl w:val="nil"/>
                  </w:tcBorders>
                  <w:noWrap w:val="0"/>
                  <w:vAlign w:val="center"/>
                </w:tcPr>
                <w:p>
                  <w:pPr>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eastAsia="zh-CN" w:bidi="ar"/>
                    </w:rPr>
                    <w:t>符合</w:t>
                  </w:r>
                  <w:r>
                    <w:rPr>
                      <w:rFonts w:hint="eastAsia" w:ascii="Times New Roman" w:hAnsi="Times New Roman"/>
                      <w:color w:val="auto"/>
                      <w:kern w:val="0"/>
                      <w:sz w:val="21"/>
                      <w:szCs w:val="21"/>
                      <w:lang w:val="en-US" w:eastAsia="zh-CN" w:bidi="ar"/>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restar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ascii="Times New Roman" w:hAnsi="Times New Roman"/>
                      <w:color w:val="auto"/>
                      <w:kern w:val="0"/>
                      <w:sz w:val="21"/>
                      <w:szCs w:val="21"/>
                      <w:lang w:bidi="ar"/>
                    </w:rPr>
                    <w:t>资源开发利用</w:t>
                  </w:r>
                  <w:r>
                    <w:rPr>
                      <w:rFonts w:hint="eastAsia" w:ascii="Times New Roman" w:hAnsi="Times New Roman"/>
                      <w:color w:val="auto"/>
                      <w:kern w:val="0"/>
                      <w:sz w:val="21"/>
                      <w:szCs w:val="21"/>
                      <w:lang w:eastAsia="zh-CN" w:bidi="ar"/>
                    </w:rPr>
                    <w:t>效率</w:t>
                  </w: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水资源利用效率要求</w:t>
                  </w:r>
                </w:p>
              </w:tc>
              <w:tc>
                <w:tcPr>
                  <w:tcW w:w="1965" w:type="pct"/>
                  <w:tcBorders>
                    <w:tl2br w:val="nil"/>
                    <w:tr2bl w:val="nil"/>
                  </w:tcBorders>
                  <w:noWrap w:val="0"/>
                  <w:vAlign w:val="center"/>
                </w:tcPr>
                <w:p>
                  <w:pPr>
                    <w:textAlignment w:val="center"/>
                    <w:rPr>
                      <w:rFonts w:ascii="Times New Roman" w:hAnsi="Times New Roman"/>
                      <w:color w:val="auto"/>
                      <w:sz w:val="21"/>
                      <w:szCs w:val="21"/>
                    </w:rPr>
                  </w:pPr>
                  <w:r>
                    <w:rPr>
                      <w:rFonts w:hint="eastAsia" w:ascii="Times New Roman" w:hAnsi="Times New Roman"/>
                      <w:color w:val="auto"/>
                      <w:sz w:val="21"/>
                      <w:szCs w:val="21"/>
                    </w:rPr>
                    <w:t>-园区中水回用率不低于 20%。</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本项目水耗指标满足《四川省省级生态工业园区指标》综合类生态工业园区要求</w:t>
                  </w:r>
                  <w:r>
                    <w:rPr>
                      <w:rFonts w:hint="eastAsia" w:ascii="Times New Roman" w:hAnsi="Times New Roman"/>
                      <w:color w:val="auto"/>
                      <w:sz w:val="21"/>
                      <w:szCs w:val="21"/>
                      <w:lang w:eastAsia="zh-CN"/>
                    </w:rPr>
                    <w:t>。</w:t>
                  </w:r>
                </w:p>
              </w:tc>
              <w:tc>
                <w:tcPr>
                  <w:tcW w:w="393" w:type="pct"/>
                  <w:tcBorders>
                    <w:tl2br w:val="nil"/>
                    <w:tr2bl w:val="nil"/>
                  </w:tcBorders>
                  <w:noWrap w:val="0"/>
                  <w:vAlign w:val="center"/>
                </w:tcPr>
                <w:p>
                  <w:pPr>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7" w:type="pct"/>
                  <w:vMerge w:val="continue"/>
                  <w:tcBorders>
                    <w:tl2br w:val="nil"/>
                    <w:tr2bl w:val="nil"/>
                  </w:tcBorders>
                  <w:noWrap w:val="0"/>
                  <w:vAlign w:val="center"/>
                </w:tcPr>
                <w:p>
                  <w:pPr>
                    <w:jc w:val="center"/>
                    <w:rPr>
                      <w:rFonts w:ascii="Times New Roman" w:hAnsi="Times New Roman"/>
                      <w:color w:val="auto"/>
                      <w:sz w:val="21"/>
                      <w:szCs w:val="21"/>
                    </w:rPr>
                  </w:pPr>
                </w:p>
              </w:tc>
              <w:tc>
                <w:tcPr>
                  <w:tcW w:w="632" w:type="pct"/>
                  <w:tcBorders>
                    <w:tl2br w:val="nil"/>
                    <w:tr2bl w:val="nil"/>
                  </w:tcBorders>
                  <w:noWrap w:val="0"/>
                  <w:vAlign w:val="center"/>
                </w:tcPr>
                <w:p>
                  <w:pPr>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能源利用效率要求</w:t>
                  </w:r>
                </w:p>
              </w:tc>
              <w:tc>
                <w:tcPr>
                  <w:tcW w:w="1965" w:type="pct"/>
                  <w:tcBorders>
                    <w:tl2br w:val="nil"/>
                    <w:tr2bl w:val="nil"/>
                  </w:tcBorders>
                  <w:noWrap w:val="0"/>
                  <w:vAlign w:val="center"/>
                </w:tcPr>
                <w:p>
                  <w:pPr>
                    <w:textAlignment w:val="center"/>
                    <w:rPr>
                      <w:rFonts w:ascii="Times New Roman" w:hAnsi="Times New Roman"/>
                      <w:color w:val="auto"/>
                      <w:sz w:val="21"/>
                      <w:szCs w:val="21"/>
                    </w:rPr>
                  </w:pPr>
                  <w:r>
                    <w:rPr>
                      <w:rFonts w:hint="eastAsia" w:ascii="Times New Roman" w:hAnsi="Times New Roman"/>
                      <w:color w:val="auto"/>
                      <w:sz w:val="21"/>
                      <w:szCs w:val="21"/>
                    </w:rPr>
                    <w:t>-新、改扩建项目能耗指标满足《四川省省级生态工业园区指标》综合类生态工业园区要求。</w:t>
                  </w:r>
                </w:p>
              </w:tc>
              <w:tc>
                <w:tcPr>
                  <w:tcW w:w="1741" w:type="pct"/>
                  <w:tcBorders>
                    <w:tl2br w:val="nil"/>
                    <w:tr2bl w:val="nil"/>
                  </w:tcBorders>
                  <w:noWrap w:val="0"/>
                  <w:vAlign w:val="center"/>
                </w:tcPr>
                <w:p>
                  <w:pPr>
                    <w:jc w:val="center"/>
                    <w:textAlignment w:val="center"/>
                    <w:rPr>
                      <w:rFonts w:hint="eastAsia" w:ascii="Times New Roman" w:hAnsi="Times New Roman" w:eastAsia="宋体"/>
                      <w:color w:val="auto"/>
                      <w:sz w:val="21"/>
                      <w:szCs w:val="21"/>
                      <w:lang w:eastAsia="zh-CN"/>
                    </w:rPr>
                  </w:pPr>
                  <w:r>
                    <w:rPr>
                      <w:rFonts w:ascii="Times New Roman" w:hAnsi="Times New Roman"/>
                      <w:color w:val="auto"/>
                      <w:kern w:val="0"/>
                      <w:sz w:val="21"/>
                      <w:szCs w:val="21"/>
                      <w:lang w:bidi="ar"/>
                    </w:rPr>
                    <w:t>本</w:t>
                  </w:r>
                  <w:r>
                    <w:rPr>
                      <w:rFonts w:hint="eastAsia" w:ascii="Times New Roman" w:hAnsi="Times New Roman"/>
                      <w:color w:val="auto"/>
                      <w:sz w:val="21"/>
                      <w:szCs w:val="21"/>
                    </w:rPr>
                    <w:t>项目能耗指标满足《四川省省级生态工业园区指标》综合类生态工业园区要求</w:t>
                  </w:r>
                  <w:r>
                    <w:rPr>
                      <w:rFonts w:hint="eastAsia" w:ascii="Times New Roman" w:hAnsi="Times New Roman"/>
                      <w:color w:val="auto"/>
                      <w:kern w:val="0"/>
                      <w:sz w:val="21"/>
                      <w:szCs w:val="21"/>
                      <w:lang w:eastAsia="zh-CN" w:bidi="ar"/>
                    </w:rPr>
                    <w:t>。</w:t>
                  </w:r>
                </w:p>
              </w:tc>
              <w:tc>
                <w:tcPr>
                  <w:tcW w:w="393" w:type="pct"/>
                  <w:tcBorders>
                    <w:tl2br w:val="nil"/>
                    <w:tr2bl w:val="nil"/>
                  </w:tcBorders>
                  <w:noWrap w:val="0"/>
                  <w:vAlign w:val="center"/>
                </w:tcPr>
                <w:p>
                  <w:pPr>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符合</w:t>
                  </w:r>
                </w:p>
              </w:tc>
            </w:tr>
          </w:tbl>
          <w:p>
            <w:pPr>
              <w:spacing w:line="360" w:lineRule="auto"/>
              <w:ind w:firstLine="480" w:firstLineChars="200"/>
              <w:rPr>
                <w:rFonts w:cs="Times New Roman"/>
                <w:b/>
                <w:sz w:val="24"/>
                <w:szCs w:val="24"/>
              </w:rPr>
            </w:pPr>
            <w:r>
              <w:rPr>
                <w:rFonts w:hint="default" w:ascii="Times New Roman" w:hAnsi="Times New Roman" w:eastAsia="宋体" w:cs="Times New Roman"/>
                <w:color w:val="auto"/>
                <w:sz w:val="24"/>
              </w:rPr>
              <w:t>综上，经过与“三线一单”对照分析后，项目不在生态保护红线内、未超出环境质量底线及资源利用</w:t>
            </w:r>
            <w:r>
              <w:rPr>
                <w:rFonts w:hint="default" w:ascii="Times New Roman" w:hAnsi="Times New Roman" w:eastAsia="宋体" w:cs="Times New Roman"/>
                <w:color w:val="auto"/>
                <w:sz w:val="24"/>
                <w:lang w:eastAsia="zh-CN"/>
              </w:rPr>
              <w:t>上限</w:t>
            </w:r>
            <w:r>
              <w:rPr>
                <w:rFonts w:hint="default" w:ascii="Times New Roman" w:hAnsi="Times New Roman" w:eastAsia="宋体" w:cs="Times New Roman"/>
                <w:color w:val="auto"/>
                <w:sz w:val="24"/>
              </w:rPr>
              <w:t>、未列入环境准入负面清单内，因此，本项目建设符合</w:t>
            </w:r>
            <w:r>
              <w:rPr>
                <w:rFonts w:hint="default" w:ascii="Times New Roman" w:hAnsi="Times New Roman" w:cs="Times New Roman"/>
                <w:color w:val="auto"/>
                <w:sz w:val="24"/>
                <w:lang w:val="en-US" w:eastAsia="zh-CN"/>
              </w:rPr>
              <w:t>巴中市</w:t>
            </w:r>
            <w:r>
              <w:rPr>
                <w:rFonts w:hint="default" w:ascii="Times New Roman" w:hAnsi="Times New Roman" w:eastAsia="宋体" w:cs="Times New Roman"/>
                <w:color w:val="auto"/>
                <w:sz w:val="24"/>
              </w:rPr>
              <w:t>“三线一单”要求。</w:t>
            </w:r>
          </w:p>
          <w:p>
            <w:pPr>
              <w:spacing w:line="360" w:lineRule="auto"/>
              <w:ind w:firstLine="482" w:firstLineChars="200"/>
              <w:rPr>
                <w:rFonts w:cstheme="minorHAnsi"/>
                <w:sz w:val="24"/>
                <w:szCs w:val="24"/>
              </w:rPr>
            </w:pPr>
            <w:r>
              <w:rPr>
                <w:rFonts w:cs="Times New Roman"/>
                <w:b/>
                <w:sz w:val="24"/>
                <w:szCs w:val="24"/>
              </w:rPr>
              <w:t>4</w:t>
            </w:r>
            <w:r>
              <w:rPr>
                <w:rFonts w:hint="eastAsia" w:cs="Times New Roman"/>
                <w:b/>
                <w:sz w:val="24"/>
                <w:szCs w:val="24"/>
              </w:rPr>
              <w:t>、与大气污染防治相关规范符合性</w:t>
            </w:r>
          </w:p>
          <w:p>
            <w:pPr>
              <w:spacing w:line="360" w:lineRule="auto"/>
              <w:ind w:firstLine="480" w:firstLineChars="200"/>
              <w:rPr>
                <w:rFonts w:cstheme="minorHAnsi"/>
                <w:sz w:val="24"/>
                <w:szCs w:val="24"/>
              </w:rPr>
            </w:pPr>
            <w:r>
              <w:rPr>
                <w:rFonts w:hint="eastAsia" w:cstheme="minorHAnsi"/>
                <w:sz w:val="24"/>
                <w:szCs w:val="24"/>
              </w:rPr>
              <w:t>本项目与大气污染防治相关法律、规范符合性分析见下表。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表1-</w:t>
            </w:r>
            <w:r>
              <w:rPr>
                <w:rFonts w:hint="eastAsia" w:cs="Times New Roman"/>
                <w:b/>
                <w:bCs/>
                <w:color w:val="000000"/>
                <w:kern w:val="2"/>
                <w:sz w:val="21"/>
                <w:szCs w:val="21"/>
                <w:lang w:val="en-US" w:eastAsia="zh-CN" w:bidi="ar-SA"/>
              </w:rPr>
              <w:t>6</w:t>
            </w:r>
            <w:r>
              <w:rPr>
                <w:rFonts w:hint="default" w:ascii="Times New Roman" w:hAnsi="Times New Roman" w:eastAsia="宋体" w:cs="Times New Roman"/>
                <w:b/>
                <w:bCs/>
                <w:color w:val="000000"/>
                <w:kern w:val="2"/>
                <w:sz w:val="21"/>
                <w:szCs w:val="21"/>
                <w:lang w:val="en-US" w:eastAsia="zh-CN" w:bidi="ar-SA"/>
              </w:rPr>
              <w:t xml:space="preserve">  项目与</w:t>
            </w:r>
            <w:r>
              <w:rPr>
                <w:rFonts w:hint="eastAsia" w:ascii="Times New Roman" w:hAnsi="Times New Roman" w:eastAsia="宋体" w:cs="Times New Roman"/>
                <w:b/>
                <w:bCs/>
                <w:color w:val="000000"/>
                <w:kern w:val="2"/>
                <w:sz w:val="21"/>
                <w:szCs w:val="21"/>
                <w:lang w:val="en-US" w:eastAsia="zh-CN" w:bidi="ar-SA"/>
              </w:rPr>
              <w:t>大气污染防治相关法律规范</w:t>
            </w:r>
            <w:r>
              <w:rPr>
                <w:rFonts w:hint="default" w:ascii="Times New Roman" w:hAnsi="Times New Roman" w:eastAsia="宋体" w:cs="Times New Roman"/>
                <w:b/>
                <w:bCs/>
                <w:color w:val="000000"/>
                <w:kern w:val="2"/>
                <w:sz w:val="21"/>
                <w:szCs w:val="21"/>
                <w:lang w:val="en-US" w:eastAsia="zh-CN" w:bidi="ar-SA"/>
              </w:rPr>
              <w:t>符合性</w:t>
            </w:r>
          </w:p>
          <w:tbl>
            <w:tblPr>
              <w:tblStyle w:val="24"/>
              <w:tblW w:w="8107"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339"/>
              <w:gridCol w:w="3828"/>
              <w:gridCol w:w="2378"/>
              <w:gridCol w:w="5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大气污染防治规划文件</w:t>
                  </w:r>
                </w:p>
              </w:tc>
              <w:tc>
                <w:tcPr>
                  <w:tcW w:w="3828" w:type="dxa"/>
                  <w:tcBorders>
                    <w:tl2br w:val="nil"/>
                    <w:tr2bl w:val="nil"/>
                  </w:tcBorders>
                  <w:noWrap w:val="0"/>
                  <w:vAlign w:val="center"/>
                </w:tcPr>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规划要求</w:t>
                  </w:r>
                </w:p>
              </w:tc>
              <w:tc>
                <w:tcPr>
                  <w:tcW w:w="2378" w:type="dxa"/>
                  <w:tcBorders>
                    <w:tl2br w:val="nil"/>
                    <w:tr2bl w:val="nil"/>
                  </w:tcBorders>
                  <w:noWrap w:val="0"/>
                  <w:vAlign w:val="center"/>
                </w:tcPr>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本项目情况</w:t>
                  </w:r>
                </w:p>
              </w:tc>
              <w:tc>
                <w:tcPr>
                  <w:tcW w:w="562" w:type="dxa"/>
                  <w:tcBorders>
                    <w:tl2br w:val="nil"/>
                    <w:tr2bl w:val="nil"/>
                  </w:tcBorders>
                  <w:noWrap w:val="0"/>
                  <w:vAlign w:val="center"/>
                </w:tcPr>
                <w:p>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符合性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vMerge w:val="restart"/>
                  <w:tcBorders>
                    <w:tl2br w:val="nil"/>
                    <w:tr2bl w:val="nil"/>
                  </w:tcBorders>
                  <w:noWrap w:val="0"/>
                  <w:vAlign w:val="top"/>
                </w:tcPr>
                <w:p>
                  <w:pPr>
                    <w:jc w:val="center"/>
                    <w:rPr>
                      <w:rFonts w:hint="eastAsia" w:ascii="Times New Roman" w:hAnsi="Times New Roman" w:eastAsia="宋体" w:cs="Times New Roman"/>
                      <w:sz w:val="21"/>
                      <w:szCs w:val="21"/>
                      <w:lang w:eastAsia="zh-CN"/>
                    </w:rPr>
                  </w:pPr>
                </w:p>
                <w:p>
                  <w:pPr>
                    <w:jc w:val="center"/>
                    <w:rPr>
                      <w:rFonts w:hint="eastAsia" w:ascii="Times New Roman" w:hAnsi="Times New Roman" w:eastAsia="宋体" w:cs="Times New Roman"/>
                      <w:sz w:val="21"/>
                      <w:szCs w:val="21"/>
                      <w:lang w:eastAsia="zh-CN"/>
                    </w:rPr>
                  </w:pPr>
                </w:p>
                <w:p>
                  <w:pPr>
                    <w:jc w:val="center"/>
                    <w:rPr>
                      <w:rFonts w:hint="eastAsia" w:ascii="Times New Roman" w:hAnsi="Times New Roman" w:eastAsia="宋体" w:cs="Times New Roman"/>
                      <w:sz w:val="21"/>
                      <w:szCs w:val="21"/>
                      <w:lang w:eastAsia="zh-CN"/>
                    </w:rPr>
                  </w:pPr>
                </w:p>
                <w:p>
                  <w:pPr>
                    <w:jc w:val="center"/>
                    <w:rPr>
                      <w:rFonts w:hint="eastAsia" w:ascii="Times New Roman" w:hAnsi="Times New Roman" w:eastAsia="宋体" w:cs="Times New Roman"/>
                      <w:sz w:val="21"/>
                      <w:szCs w:val="21"/>
                      <w:lang w:eastAsia="zh-CN"/>
                    </w:rPr>
                  </w:pPr>
                </w:p>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《四川省打赢蓝天保卫战等九个实施方案的通知（川府发[2019]4号）》</w:t>
                  </w:r>
                </w:p>
              </w:tc>
              <w:tc>
                <w:tcPr>
                  <w:tcW w:w="3828"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重点区域内严禁新增钢铁、电 力、水泥、玻璃、砖瓦、陶瓷、焦化、电解铝、有色等重点行 业大气污染物排放。</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项目位于四川巴中经济开发区，属于特种玻璃制造行业，主要为钢化后的玻璃进行涂膜加工，不涉及焙烧和煅烧工序；故项目不涉及钢铁、电力、水泥、玻璃、砖瓦、陶瓷、焦化、电解铝、有色等重点行业大气污染物</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vMerge w:val="continue"/>
                  <w:tcBorders>
                    <w:tl2br w:val="nil"/>
                    <w:tr2bl w:val="nil"/>
                  </w:tcBorders>
                  <w:noWrap w:val="0"/>
                  <w:vAlign w:val="top"/>
                </w:tcPr>
                <w:p>
                  <w:pPr>
                    <w:jc w:val="center"/>
                    <w:rPr>
                      <w:rFonts w:hint="eastAsia" w:ascii="Times New Roman" w:hAnsi="Times New Roman" w:eastAsia="宋体" w:cs="Times New Roman"/>
                      <w:sz w:val="21"/>
                      <w:szCs w:val="21"/>
                    </w:rPr>
                  </w:pPr>
                </w:p>
              </w:tc>
              <w:tc>
                <w:tcPr>
                  <w:tcW w:w="382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严格涉及VOCs 排放的建设项目环境准入，加强源头控制。提高涉及VOCs 排放行业环保准入门槛，新建涉及VOCs 排放的工业企业入园区，实行区域内VOCs 排放等量或倍量削减替代。环境空气未达标的城市新增VOCs排放的建设项目，实行 2倍削减替代，达标城市实行等量替代，攀枝花实行1.5倍削减量替代。</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本项目位于四川巴中经济开发区内，项目总量在当地协调解决</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《四川省挥发性有机物污染防治实施方案》</w:t>
                  </w:r>
                </w:p>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（2018-202</w:t>
                  </w:r>
                  <w:r>
                    <w:rPr>
                      <w:rFonts w:hint="eastAsia" w:ascii="Times New Roman" w:hAnsi="Times New Roman" w:eastAsia="宋体" w:cs="Times New Roman"/>
                      <w:sz w:val="21"/>
                      <w:szCs w:val="21"/>
                      <w:lang w:eastAsia="zh-CN"/>
                    </w:rPr>
                    <w:t>2</w:t>
                  </w:r>
                  <w:r>
                    <w:rPr>
                      <w:rFonts w:hint="eastAsia" w:ascii="Times New Roman" w:hAnsi="Times New Roman" w:eastAsia="宋体" w:cs="Times New Roman"/>
                      <w:sz w:val="21"/>
                      <w:szCs w:val="21"/>
                    </w:rPr>
                    <w:t>年）</w:t>
                  </w:r>
                </w:p>
              </w:tc>
              <w:tc>
                <w:tcPr>
                  <w:tcW w:w="382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加快实施工业源VOCs 污染防治：加强全过程控制，推广使用低（无）VOCs 含量的原辅材料和生产工艺、设备。产生含挥发性有机物废气的生产和服务活动，应当在密闭空间或者设备中进行，并按照规定安装、使用污染防治设施；无法密闭的，应当采取措施减少废气排放，依法依规设置排放口，建立台账，记录 VOCs产生、收集、处理、排放等情况。</w:t>
                  </w:r>
                </w:p>
              </w:tc>
              <w:tc>
                <w:tcPr>
                  <w:tcW w:w="2378"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本项目</w:t>
                  </w:r>
                  <w:r>
                    <w:rPr>
                      <w:rFonts w:hint="eastAsia" w:ascii="Times New Roman" w:hAnsi="Times New Roman" w:eastAsia="宋体" w:cs="Times New Roman"/>
                      <w:sz w:val="21"/>
                      <w:szCs w:val="21"/>
                      <w:lang w:val="en-US" w:eastAsia="zh-CN"/>
                    </w:rPr>
                    <w:t>有机废气</w:t>
                  </w:r>
                  <w:r>
                    <w:rPr>
                      <w:rFonts w:hint="eastAsia" w:ascii="Times New Roman" w:hAnsi="Times New Roman" w:eastAsia="宋体" w:cs="Times New Roman"/>
                      <w:sz w:val="21"/>
                      <w:szCs w:val="21"/>
                      <w:lang w:eastAsia="zh-CN"/>
                    </w:rPr>
                    <w:t>采取“二级活性炭吸附”处理后通过</w:t>
                  </w: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sz w:val="21"/>
                      <w:szCs w:val="21"/>
                      <w:lang w:eastAsia="zh-CN"/>
                    </w:rPr>
                    <w:t>m排气筒；</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sz w:val="21"/>
                      <w:szCs w:val="21"/>
                      <w:lang w:eastAsia="zh-CN"/>
                    </w:rPr>
                  </w:pPr>
                  <w:r>
                    <w:rPr>
                      <w:rFonts w:hint="default" w:ascii="Times New Roman" w:hAnsi="Times New Roman" w:cs="Times New Roman"/>
                      <w:bCs/>
                      <w:color w:val="000000"/>
                      <w:sz w:val="21"/>
                      <w:szCs w:val="21"/>
                    </w:rPr>
                    <w:t>《四川省“十四五”生态环境保护规划》</w:t>
                  </w:r>
                </w:p>
              </w:tc>
              <w:tc>
                <w:tcPr>
                  <w:tcW w:w="3828"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控制挥发性有机物(VOCs)排放。</w:t>
                  </w:r>
                </w:p>
                <w:p>
                  <w:pPr>
                    <w:adjustRightInd w:val="0"/>
                    <w:snapToGrid w:val="0"/>
                    <w:spacing w:line="240" w:lineRule="auto"/>
                    <w:ind w:firstLine="210" w:firstLineChars="1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严格控制VOCs排放总量，新建VOCs项目应实施等量或倍量替代。</w:t>
                  </w:r>
                </w:p>
                <w:p>
                  <w:pPr>
                    <w:adjustRightInd w:val="0"/>
                    <w:snapToGrid w:val="0"/>
                    <w:spacing w:line="240" w:lineRule="auto"/>
                    <w:ind w:firstLine="210" w:firstLineChars="1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强化VOCs源头削减，以工业涂装、家具制造、包装印刷等行业为重点，大力推进低(无)VOCs含量原辅材料替代。严格控制生产和使用高VOCs含量溶剂型涂料、油墨、胶粘剂、清洗剂等建设项目。</w:t>
                  </w:r>
                </w:p>
                <w:p>
                  <w:pPr>
                    <w:adjustRightInd w:val="0"/>
                    <w:snapToGrid w:val="0"/>
                    <w:spacing w:line="240" w:lineRule="auto"/>
                    <w:ind w:firstLine="210" w:firstLineChars="1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强化VOCs综合治理，以石化、化工、工业涂装、包装印刷、电子、纺织印染、制鞋、家具制造、油品储运销等行业为重点，提升废气收集率、治污设施同步运行率和去除率，科学合理选择治理工艺，推进设施设备提标升级改造。</w:t>
                  </w:r>
                </w:p>
                <w:p>
                  <w:pPr>
                    <w:adjustRightInd w:val="0"/>
                    <w:snapToGrid w:val="0"/>
                    <w:spacing w:line="240" w:lineRule="auto"/>
                    <w:ind w:firstLine="210" w:firstLineChars="1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强化无组织排放管控，加大含VOCs物料储存、转移和输送、设备与管线组件泄漏、敞开液面逸散等管控力度，开展泄漏检测与修复工作。强化企业VOCs排放达标监管，实施季节性调控。</w:t>
                  </w:r>
                </w:p>
                <w:p>
                  <w:pPr>
                    <w:adjustRightInd w:val="0"/>
                    <w:snapToGrid w:val="0"/>
                    <w:spacing w:line="240" w:lineRule="auto"/>
                    <w:ind w:firstLine="210" w:firstLineChars="100"/>
                    <w:jc w:val="left"/>
                    <w:rPr>
                      <w:rFonts w:hint="eastAsia" w:ascii="Times New Roman" w:hAnsi="Times New Roman" w:eastAsia="宋体" w:cs="Times New Roman"/>
                      <w:sz w:val="21"/>
                      <w:szCs w:val="21"/>
                      <w:lang w:eastAsia="zh-CN"/>
                    </w:rPr>
                  </w:pPr>
                  <w:r>
                    <w:rPr>
                      <w:rFonts w:hint="default" w:ascii="Times New Roman" w:hAnsi="Times New Roman" w:cs="Times New Roman"/>
                      <w:color w:val="000000"/>
                      <w:sz w:val="21"/>
                      <w:szCs w:val="21"/>
                    </w:rPr>
                    <w:t>完善挥发性有机物产品标准体系，建立低挥发性有机物含量产品标识制度。</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本项目位于四川巴中经济开发区，属于特种玻璃制造，不属于石化、化工、包装等高 VOCs排放企业，项目使用低VOCs含量的涂料，</w:t>
                  </w:r>
                  <w:r>
                    <w:rPr>
                      <w:rFonts w:hint="eastAsia" w:ascii="Times New Roman" w:hAnsi="Times New Roman" w:eastAsia="宋体" w:cs="Times New Roman"/>
                      <w:sz w:val="21"/>
                      <w:szCs w:val="21"/>
                      <w:lang w:val="en-US" w:eastAsia="zh-CN"/>
                    </w:rPr>
                    <w:t>有机废气</w:t>
                  </w:r>
                  <w:r>
                    <w:rPr>
                      <w:rFonts w:hint="eastAsia" w:ascii="Times New Roman" w:hAnsi="Times New Roman" w:eastAsia="宋体" w:cs="Times New Roman"/>
                      <w:sz w:val="21"/>
                      <w:szCs w:val="21"/>
                      <w:lang w:eastAsia="zh-CN"/>
                    </w:rPr>
                    <w:t>采取密闭空间收集后，通过“二级活性炭吸附”处理后通过</w:t>
                  </w: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sz w:val="21"/>
                      <w:szCs w:val="21"/>
                      <w:lang w:eastAsia="zh-CN"/>
                    </w:rPr>
                    <w:t>m排气筒排放；</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《巴中市“十四五”生态环境保护规划》</w:t>
                  </w:r>
                </w:p>
              </w:tc>
              <w:tc>
                <w:tcPr>
                  <w:tcW w:w="382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color w:val="000000"/>
                      <w:sz w:val="21"/>
                      <w:szCs w:val="16"/>
                      <w:lang w:val="zh-CN"/>
                    </w:rPr>
                    <w:t>严格控制挥发性有机物（VOCs）排放。</w:t>
                  </w:r>
                  <w:r>
                    <w:rPr>
                      <w:rFonts w:hint="default" w:ascii="Times New Roman" w:hAnsi="Times New Roman" w:eastAsia="宋体" w:cs="Times New Roman"/>
                      <w:bCs/>
                      <w:color w:val="000000"/>
                      <w:sz w:val="21"/>
                      <w:szCs w:val="16"/>
                      <w:lang w:val="zh-CN"/>
                    </w:rPr>
                    <w:t>实施VOCs排放总量控制制度，制定VOCs专项整治方案；加强油气储运过程中油气回收治理检查力度，确保油气回收装置正常稳定运行；推广使用低（无）VOCs含量涂料、油墨和胶黏剂等</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项目使用低VOCs含量的涂料，</w:t>
                  </w:r>
                  <w:r>
                    <w:rPr>
                      <w:rFonts w:hint="eastAsia" w:ascii="Times New Roman" w:hAnsi="Times New Roman" w:eastAsia="宋体" w:cs="Times New Roman"/>
                      <w:sz w:val="21"/>
                      <w:szCs w:val="21"/>
                      <w:lang w:val="en-US" w:eastAsia="zh-CN"/>
                    </w:rPr>
                    <w:t>有机废气</w:t>
                  </w:r>
                  <w:r>
                    <w:rPr>
                      <w:rFonts w:hint="eastAsia" w:ascii="Times New Roman" w:hAnsi="Times New Roman" w:eastAsia="宋体" w:cs="Times New Roman"/>
                      <w:sz w:val="21"/>
                      <w:szCs w:val="21"/>
                      <w:lang w:eastAsia="zh-CN"/>
                    </w:rPr>
                    <w:t>采取密闭空间收集后，通过“二级活性炭吸附”处理后通过</w:t>
                  </w: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sz w:val="21"/>
                      <w:szCs w:val="21"/>
                      <w:lang w:eastAsia="zh-CN"/>
                    </w:rPr>
                    <w:t>m排气筒排放；</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snapToGrid w:val="0"/>
                      <w:color w:val="000000"/>
                      <w:kern w:val="2"/>
                      <w:sz w:val="21"/>
                      <w:szCs w:val="21"/>
                      <w:lang w:val="en-US" w:eastAsia="zh-CN" w:bidi="ar-SA"/>
                    </w:rPr>
                  </w:pPr>
                  <w:r>
                    <w:rPr>
                      <w:rFonts w:hint="default" w:ascii="Times New Roman" w:hAnsi="Times New Roman" w:cs="Times New Roman"/>
                      <w:bCs/>
                      <w:snapToGrid w:val="0"/>
                      <w:color w:val="000000"/>
                      <w:sz w:val="21"/>
                      <w:szCs w:val="21"/>
                    </w:rPr>
                    <w:t>《挥发性有机物（TVOC）污染防治技术政策》</w:t>
                  </w:r>
                </w:p>
              </w:tc>
              <w:tc>
                <w:tcPr>
                  <w:tcW w:w="382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snapToGrid w:val="0"/>
                      <w:color w:val="000000"/>
                      <w:kern w:val="2"/>
                      <w:sz w:val="21"/>
                      <w:szCs w:val="21"/>
                      <w:lang w:val="zh-CN" w:eastAsia="zh-CN" w:bidi="ar-SA"/>
                    </w:rPr>
                  </w:pPr>
                  <w:r>
                    <w:rPr>
                      <w:rFonts w:hint="default" w:ascii="Times New Roman" w:hAnsi="Times New Roman" w:cs="Times New Roman"/>
                      <w:bCs/>
                      <w:snapToGrid w:val="0"/>
                      <w:color w:val="000000"/>
                      <w:sz w:val="21"/>
                      <w:szCs w:val="21"/>
                    </w:rPr>
                    <w:t>“含VOCs产品的使用过程中，应采取废气收集措施，提高废气收集效率，减少废气的无组织排放与逸散，并对收集后的废气进行回收或处理后达标排放；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项目使用低VOCs含量的涂料，</w:t>
                  </w:r>
                  <w:r>
                    <w:rPr>
                      <w:rFonts w:hint="eastAsia" w:ascii="Times New Roman" w:hAnsi="Times New Roman" w:eastAsia="宋体" w:cs="Times New Roman"/>
                      <w:sz w:val="21"/>
                      <w:szCs w:val="21"/>
                      <w:lang w:val="en-US" w:eastAsia="zh-CN"/>
                    </w:rPr>
                    <w:t>有机废气</w:t>
                  </w:r>
                  <w:r>
                    <w:rPr>
                      <w:rFonts w:hint="eastAsia" w:ascii="Times New Roman" w:hAnsi="Times New Roman" w:eastAsia="宋体" w:cs="Times New Roman"/>
                      <w:sz w:val="21"/>
                      <w:szCs w:val="21"/>
                      <w:lang w:eastAsia="zh-CN"/>
                    </w:rPr>
                    <w:t>采取密闭空间收集后，通过“二级活性炭吸附”处理后通过</w:t>
                  </w: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sz w:val="21"/>
                      <w:szCs w:val="21"/>
                      <w:lang w:eastAsia="zh-CN"/>
                    </w:rPr>
                    <w:t>m排气筒排放；</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《重点行业 挥发性有机 物综合治理 方案》（大气[2019]53号）</w:t>
                  </w:r>
                </w:p>
              </w:tc>
              <w:tc>
                <w:tcPr>
                  <w:tcW w:w="382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提高废气收集效率，将无组织排放转变为有组织排放进行控制。推进建设高效的治污设施，低浓度、大风量废气，宜采用沸石转轮吸附、活性炭吸附、减风增浓等浓缩技术，提高 VOCs 浓度后净化处理，采用一次活性炭吸附技术的，应定期更换活性炭，活性炭再生或处理处置。</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项目废气为有组织排放，</w:t>
                  </w:r>
                  <w:r>
                    <w:rPr>
                      <w:rFonts w:hint="eastAsia" w:ascii="Times New Roman" w:hAnsi="Times New Roman" w:eastAsia="宋体" w:cs="Times New Roman"/>
                      <w:sz w:val="21"/>
                      <w:szCs w:val="21"/>
                      <w:lang w:val="en-US" w:eastAsia="zh-CN"/>
                    </w:rPr>
                    <w:t>有机废气</w:t>
                  </w:r>
                  <w:r>
                    <w:rPr>
                      <w:rFonts w:hint="eastAsia" w:ascii="Times New Roman" w:hAnsi="Times New Roman" w:eastAsia="宋体" w:cs="Times New Roman"/>
                      <w:sz w:val="21"/>
                      <w:szCs w:val="21"/>
                      <w:lang w:eastAsia="zh-CN"/>
                    </w:rPr>
                    <w:t>采取“二级活性炭”处理后通过</w:t>
                  </w: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sz w:val="21"/>
                      <w:szCs w:val="21"/>
                      <w:lang w:eastAsia="zh-CN"/>
                    </w:rPr>
                    <w:t>m排气筒排放；</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339"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《2020年挥发性有机物治理攻坚方案》（环大气[2020]33号）</w:t>
                  </w:r>
                </w:p>
              </w:tc>
              <w:tc>
                <w:tcPr>
                  <w:tcW w:w="382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大力推进低（无）VOCs含量原辅材料替代。将全面使用符合国家要求的低VOCs含量原 辅材料的企业纳入正面清单和政府绿色采购清单。企业应建立原辅材料台账，记录VOCs原辅材料名称、成分、VOCs 含量、采购量、使用量、库存量、回收方式、回收量等信息，并保存相关证明材料。</w:t>
                  </w:r>
                </w:p>
              </w:tc>
              <w:tc>
                <w:tcPr>
                  <w:tcW w:w="2378" w:type="dxa"/>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本项目VOCs物料主要低VOCs含量的涂料，使用量少，VOCs产生量较小。</w:t>
                  </w:r>
                </w:p>
              </w:tc>
              <w:tc>
                <w:tcPr>
                  <w:tcW w:w="562" w:type="dxa"/>
                  <w:tcBorders>
                    <w:tl2br w:val="nil"/>
                    <w:tr2bl w:val="nil"/>
                  </w:tcBorders>
                  <w:noWrap w:val="0"/>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w:t>
                  </w:r>
                </w:p>
              </w:tc>
            </w:tr>
          </w:tbl>
          <w:p>
            <w:pPr>
              <w:spacing w:line="360" w:lineRule="auto"/>
              <w:ind w:firstLine="480" w:firstLineChars="200"/>
              <w:rPr>
                <w:rFonts w:hint="eastAsia" w:cstheme="minorHAnsi"/>
                <w:sz w:val="24"/>
                <w:szCs w:val="24"/>
              </w:rPr>
            </w:pPr>
            <w:r>
              <w:rPr>
                <w:rFonts w:hint="eastAsia" w:cstheme="minorHAnsi"/>
                <w:sz w:val="24"/>
                <w:szCs w:val="24"/>
              </w:rPr>
              <w:t>综合分析，本项目的建设符合国家、地方有关大气污染防治的规范文件中对大气污染物控制的要求。</w:t>
            </w:r>
          </w:p>
          <w:p>
            <w:pPr>
              <w:pStyle w:val="92"/>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cs="Times New Roman"/>
                <w:b/>
                <w:bCs/>
                <w:sz w:val="24"/>
                <w:szCs w:val="24"/>
                <w:lang w:eastAsia="zh-CN"/>
              </w:rPr>
            </w:pPr>
            <w:r>
              <w:rPr>
                <w:rFonts w:ascii="Times New Roman" w:hAnsi="Times New Roman" w:cs="Times New Roman"/>
                <w:b/>
                <w:bCs/>
                <w:sz w:val="24"/>
                <w:szCs w:val="24"/>
                <w:lang w:eastAsia="zh-CN"/>
              </w:rPr>
              <w:t>5、选址合理性及外环境相容性分析</w:t>
            </w:r>
          </w:p>
          <w:p>
            <w:pPr>
              <w:keepNext w:val="0"/>
              <w:keepLines w:val="0"/>
              <w:pageBreakBefore w:val="0"/>
              <w:widowControl w:val="0"/>
              <w:tabs>
                <w:tab w:val="left" w:pos="7518"/>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kern w:val="2"/>
                <w:sz w:val="24"/>
                <w:szCs w:val="28"/>
              </w:rPr>
            </w:pPr>
            <w:r>
              <w:rPr>
                <w:rFonts w:hint="default" w:ascii="Times New Roman" w:hAnsi="Times New Roman" w:cs="Times New Roman"/>
                <w:color w:val="000000"/>
                <w:kern w:val="2"/>
                <w:sz w:val="24"/>
                <w:szCs w:val="28"/>
              </w:rPr>
              <w:t>本项目位于</w:t>
            </w:r>
            <w:r>
              <w:rPr>
                <w:rFonts w:hint="default" w:ascii="Times New Roman" w:hAnsi="Times New Roman" w:cs="Times New Roman"/>
                <w:color w:val="000000"/>
                <w:sz w:val="24"/>
                <w:szCs w:val="28"/>
              </w:rPr>
              <w:t>巴中市经济技术开发区</w:t>
            </w:r>
            <w:r>
              <w:rPr>
                <w:rFonts w:hint="default" w:ascii="Times New Roman" w:hAnsi="Times New Roman" w:cs="Times New Roman"/>
                <w:color w:val="000000"/>
                <w:kern w:val="2"/>
                <w:sz w:val="24"/>
                <w:szCs w:val="28"/>
              </w:rPr>
              <w:t>，评价区无自然保护区和风景名胜区，环境空气执行二类标准，地表水执行Ⅲ类标准，声环境执行3类标准。</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82" w:firstLineChars="200"/>
              <w:jc w:val="both"/>
              <w:textAlignment w:val="auto"/>
              <w:rPr>
                <w:rFonts w:hint="default" w:ascii="宋体" w:hAnsi="宋体" w:eastAsia="宋体" w:cs="宋体"/>
                <w:b/>
                <w:bCs/>
                <w:i w:val="0"/>
                <w:kern w:val="2"/>
                <w:sz w:val="24"/>
                <w:szCs w:val="24"/>
                <w:vertAlign w:val="baseline"/>
                <w:lang w:val="en-US" w:eastAsia="zh-CN" w:bidi="ar-SA"/>
              </w:rPr>
            </w:pPr>
            <w:r>
              <w:rPr>
                <w:rFonts w:hint="default" w:ascii="Times New Roman" w:hAnsi="Times New Roman" w:cs="Times New Roman"/>
                <w:color w:val="000000"/>
                <w:sz w:val="24"/>
                <w:szCs w:val="24"/>
              </w:rPr>
              <w:t>根据现场勘查，项目外环境关系如下：</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表1-</w:t>
            </w:r>
            <w:r>
              <w:rPr>
                <w:rFonts w:hint="eastAsia" w:cs="Times New Roman"/>
                <w:b/>
                <w:bCs/>
                <w:color w:val="000000"/>
                <w:kern w:val="2"/>
                <w:sz w:val="21"/>
                <w:szCs w:val="21"/>
                <w:lang w:val="en-US" w:eastAsia="zh-CN" w:bidi="ar-SA"/>
              </w:rPr>
              <w:t xml:space="preserve">7 </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项目外环境关系一览表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1"/>
              <w:gridCol w:w="3093"/>
              <w:gridCol w:w="943"/>
              <w:gridCol w:w="998"/>
              <w:gridCol w:w="18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43"/>
                    <w:rPr>
                      <w:rFonts w:ascii="Times New Roman" w:hAnsi="Times New Roman" w:eastAsia="宋体" w:cs="Times New Roman"/>
                      <w:sz w:val="21"/>
                      <w:szCs w:val="18"/>
                    </w:rPr>
                  </w:pPr>
                  <w:r>
                    <w:rPr>
                      <w:rFonts w:ascii="Times New Roman" w:hAnsi="Times New Roman" w:eastAsia="宋体" w:cs="Times New Roman"/>
                      <w:sz w:val="21"/>
                      <w:szCs w:val="18"/>
                    </w:rPr>
                    <w:t>序号</w:t>
                  </w:r>
                </w:p>
              </w:tc>
              <w:tc>
                <w:tcPr>
                  <w:tcW w:w="3365" w:type="dxa"/>
                  <w:tcBorders>
                    <w:tl2br w:val="nil"/>
                    <w:tr2bl w:val="nil"/>
                  </w:tcBorders>
                  <w:vAlign w:val="center"/>
                </w:tcPr>
                <w:p>
                  <w:pPr>
                    <w:pStyle w:val="43"/>
                    <w:rPr>
                      <w:rFonts w:ascii="Times New Roman" w:hAnsi="Times New Roman" w:eastAsia="宋体" w:cs="Times New Roman"/>
                      <w:sz w:val="21"/>
                      <w:szCs w:val="18"/>
                    </w:rPr>
                  </w:pPr>
                  <w:r>
                    <w:rPr>
                      <w:rFonts w:ascii="Times New Roman" w:hAnsi="Times New Roman" w:eastAsia="宋体" w:cs="Times New Roman"/>
                      <w:sz w:val="21"/>
                      <w:szCs w:val="18"/>
                    </w:rPr>
                    <w:t>名称</w:t>
                  </w:r>
                </w:p>
              </w:tc>
              <w:tc>
                <w:tcPr>
                  <w:tcW w:w="1011" w:type="dxa"/>
                  <w:tcBorders>
                    <w:tl2br w:val="nil"/>
                    <w:tr2bl w:val="nil"/>
                  </w:tcBorders>
                  <w:vAlign w:val="center"/>
                </w:tcPr>
                <w:p>
                  <w:pPr>
                    <w:pStyle w:val="43"/>
                    <w:rPr>
                      <w:rFonts w:ascii="Times New Roman" w:hAnsi="Times New Roman" w:eastAsia="宋体" w:cs="Times New Roman"/>
                      <w:sz w:val="21"/>
                      <w:szCs w:val="18"/>
                    </w:rPr>
                  </w:pPr>
                  <w:r>
                    <w:rPr>
                      <w:rFonts w:ascii="Times New Roman" w:hAnsi="Times New Roman" w:eastAsia="宋体" w:cs="Times New Roman"/>
                      <w:sz w:val="21"/>
                      <w:szCs w:val="18"/>
                    </w:rPr>
                    <w:t>方位</w:t>
                  </w:r>
                </w:p>
              </w:tc>
              <w:tc>
                <w:tcPr>
                  <w:tcW w:w="1072" w:type="dxa"/>
                  <w:tcBorders>
                    <w:tl2br w:val="nil"/>
                    <w:tr2bl w:val="nil"/>
                  </w:tcBorders>
                  <w:vAlign w:val="center"/>
                </w:tcPr>
                <w:p>
                  <w:pPr>
                    <w:pStyle w:val="43"/>
                    <w:rPr>
                      <w:rFonts w:ascii="Times New Roman" w:hAnsi="Times New Roman" w:eastAsia="宋体" w:cs="Times New Roman"/>
                      <w:sz w:val="21"/>
                      <w:szCs w:val="18"/>
                    </w:rPr>
                  </w:pPr>
                  <w:r>
                    <w:rPr>
                      <w:rFonts w:ascii="Times New Roman" w:hAnsi="Times New Roman" w:eastAsia="宋体" w:cs="Times New Roman"/>
                      <w:sz w:val="21"/>
                      <w:szCs w:val="18"/>
                    </w:rPr>
                    <w:t>距离m</w:t>
                  </w:r>
                </w:p>
              </w:tc>
              <w:tc>
                <w:tcPr>
                  <w:tcW w:w="2000" w:type="dxa"/>
                  <w:tcBorders>
                    <w:tl2br w:val="nil"/>
                    <w:tr2bl w:val="nil"/>
                  </w:tcBorders>
                  <w:vAlign w:val="center"/>
                </w:tcPr>
                <w:p>
                  <w:pPr>
                    <w:pStyle w:val="43"/>
                    <w:rPr>
                      <w:rFonts w:ascii="Times New Roman" w:hAnsi="Times New Roman" w:eastAsia="宋体" w:cs="Times New Roman"/>
                      <w:sz w:val="21"/>
                      <w:szCs w:val="18"/>
                    </w:rPr>
                  </w:pPr>
                  <w:r>
                    <w:rPr>
                      <w:rFonts w:ascii="Times New Roman" w:hAnsi="Times New Roman" w:eastAsia="宋体" w:cs="Times New Roman"/>
                      <w:sz w:val="21"/>
                      <w:szCs w:val="18"/>
                    </w:rPr>
                    <w:t>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37" w:type="dxa"/>
                  <w:gridSpan w:val="5"/>
                  <w:tcBorders>
                    <w:tl2br w:val="nil"/>
                    <w:tr2bl w:val="nil"/>
                  </w:tcBorders>
                  <w:vAlign w:val="center"/>
                </w:tcPr>
                <w:p>
                  <w:pPr>
                    <w:pStyle w:val="39"/>
                    <w:spacing w:before="0"/>
                    <w:rPr>
                      <w:rFonts w:ascii="Times New Roman" w:hAnsi="Times New Roman" w:eastAsia="宋体"/>
                      <w:b/>
                      <w:bCs/>
                      <w:sz w:val="21"/>
                      <w:szCs w:val="18"/>
                    </w:rPr>
                  </w:pPr>
                  <w:r>
                    <w:rPr>
                      <w:rFonts w:ascii="Times New Roman" w:hAnsi="Times New Roman" w:eastAsia="宋体"/>
                      <w:b/>
                      <w:bCs/>
                      <w:sz w:val="21"/>
                      <w:szCs w:val="18"/>
                    </w:rPr>
                    <w:t>厂区内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4"/>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玉鑫铝材</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东侧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val="en-US" w:eastAsia="zh-CN"/>
                    </w:rPr>
                    <w:t>10</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铝材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4"/>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顶通物流</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东侧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val="en-US" w:eastAsia="zh-CN"/>
                    </w:rPr>
                    <w:t>10</w:t>
                  </w:r>
                </w:p>
              </w:tc>
              <w:tc>
                <w:tcPr>
                  <w:tcW w:w="2000" w:type="dxa"/>
                  <w:tcBorders>
                    <w:tl2br w:val="nil"/>
                    <w:tr2bl w:val="nil"/>
                  </w:tcBorders>
                  <w:vAlign w:val="center"/>
                </w:tcPr>
                <w:p>
                  <w:pPr>
                    <w:spacing w:before="0"/>
                    <w:jc w:val="center"/>
                    <w:rPr>
                      <w:rFonts w:ascii="Times New Roman" w:hAnsi="Times New Roman" w:eastAsia="宋体"/>
                      <w:sz w:val="21"/>
                      <w:szCs w:val="18"/>
                    </w:rPr>
                  </w:pPr>
                  <w:r>
                    <w:rPr>
                      <w:rFonts w:hint="eastAsia" w:ascii="Times New Roman" w:hAnsi="Times New Roman" w:eastAsia="宋体"/>
                      <w:sz w:val="21"/>
                      <w:szCs w:val="18"/>
                      <w:lang w:eastAsia="zh-CN"/>
                    </w:rPr>
                    <w:t>物流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4"/>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钢材租赁</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东侧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val="en-US" w:eastAsia="zh-CN"/>
                    </w:rPr>
                    <w:t>10</w:t>
                  </w:r>
                </w:p>
              </w:tc>
              <w:tc>
                <w:tcPr>
                  <w:tcW w:w="2000" w:type="dxa"/>
                  <w:tcBorders>
                    <w:tl2br w:val="nil"/>
                    <w:tr2bl w:val="nil"/>
                  </w:tcBorders>
                  <w:vAlign w:val="center"/>
                </w:tcPr>
                <w:p>
                  <w:pPr>
                    <w:spacing w:before="0"/>
                    <w:jc w:val="center"/>
                    <w:rPr>
                      <w:rFonts w:ascii="Times New Roman" w:hAnsi="Times New Roman" w:eastAsia="宋体"/>
                      <w:sz w:val="21"/>
                      <w:szCs w:val="18"/>
                    </w:rPr>
                  </w:pPr>
                  <w:r>
                    <w:rPr>
                      <w:rFonts w:hint="eastAsia" w:ascii="Times New Roman" w:hAnsi="Times New Roman" w:eastAsia="宋体"/>
                      <w:sz w:val="21"/>
                      <w:szCs w:val="18"/>
                      <w:lang w:eastAsia="zh-CN"/>
                    </w:rPr>
                    <w:t>钢材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4"/>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诚睿包装</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西侧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val="en-US" w:eastAsia="zh-CN"/>
                    </w:rPr>
                    <w:t>10</w:t>
                  </w:r>
                </w:p>
              </w:tc>
              <w:tc>
                <w:tcPr>
                  <w:tcW w:w="2000" w:type="dxa"/>
                  <w:tcBorders>
                    <w:tl2br w:val="nil"/>
                    <w:tr2bl w:val="nil"/>
                  </w:tcBorders>
                  <w:vAlign w:val="center"/>
                </w:tcPr>
                <w:p>
                  <w:pPr>
                    <w:spacing w:before="0"/>
                    <w:jc w:val="center"/>
                    <w:rPr>
                      <w:rFonts w:ascii="Times New Roman" w:hAnsi="Times New Roman" w:eastAsia="宋体"/>
                      <w:sz w:val="21"/>
                      <w:szCs w:val="18"/>
                    </w:rPr>
                  </w:pPr>
                  <w:r>
                    <w:rPr>
                      <w:rFonts w:hint="eastAsia" w:ascii="Times New Roman" w:hAnsi="Times New Roman" w:eastAsia="宋体"/>
                      <w:sz w:val="21"/>
                      <w:szCs w:val="18"/>
                      <w:lang w:eastAsia="zh-CN"/>
                    </w:rPr>
                    <w:t>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4"/>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hint="eastAsia" w:ascii="Times New Roman" w:hAnsi="Times New Roman" w:eastAsia="宋体"/>
                      <w:sz w:val="21"/>
                      <w:szCs w:val="18"/>
                      <w:lang w:eastAsia="zh-CN"/>
                    </w:rPr>
                  </w:pPr>
                  <w:r>
                    <w:rPr>
                      <w:rFonts w:hint="eastAsia" w:ascii="Times New Roman" w:hAnsi="Times New Roman" w:eastAsia="宋体"/>
                      <w:sz w:val="21"/>
                      <w:szCs w:val="18"/>
                      <w:lang w:eastAsia="zh-CN"/>
                    </w:rPr>
                    <w:t>一期项目</w:t>
                  </w:r>
                </w:p>
              </w:tc>
              <w:tc>
                <w:tcPr>
                  <w:tcW w:w="1011" w:type="dxa"/>
                  <w:tcBorders>
                    <w:tl2br w:val="nil"/>
                    <w:tr2bl w:val="nil"/>
                  </w:tcBorders>
                  <w:vAlign w:val="center"/>
                </w:tcPr>
                <w:p>
                  <w:pPr>
                    <w:pStyle w:val="39"/>
                    <w:spacing w:before="0"/>
                    <w:rPr>
                      <w:rFonts w:hint="eastAsia" w:ascii="Times New Roman" w:hAnsi="Times New Roman" w:eastAsia="宋体"/>
                      <w:sz w:val="21"/>
                      <w:szCs w:val="18"/>
                      <w:lang w:eastAsia="zh-CN"/>
                    </w:rPr>
                  </w:pPr>
                  <w:r>
                    <w:rPr>
                      <w:rFonts w:hint="eastAsia" w:ascii="Times New Roman" w:hAnsi="Times New Roman" w:eastAsia="宋体"/>
                      <w:sz w:val="21"/>
                      <w:szCs w:val="18"/>
                      <w:lang w:eastAsia="zh-CN"/>
                    </w:rPr>
                    <w:t>北侧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10</w:t>
                  </w:r>
                </w:p>
              </w:tc>
              <w:tc>
                <w:tcPr>
                  <w:tcW w:w="2000" w:type="dxa"/>
                  <w:tcBorders>
                    <w:tl2br w:val="nil"/>
                    <w:tr2bl w:val="nil"/>
                  </w:tcBorders>
                  <w:vAlign w:val="center"/>
                </w:tcPr>
                <w:p>
                  <w:pPr>
                    <w:spacing w:before="0"/>
                    <w:jc w:val="center"/>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37" w:type="dxa"/>
                  <w:gridSpan w:val="5"/>
                  <w:tcBorders>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before="0"/>
                    <w:ind w:left="210" w:leftChars="100"/>
                    <w:jc w:val="center"/>
                    <w:textAlignment w:val="baseline"/>
                    <w:rPr>
                      <w:rFonts w:ascii="Times New Roman" w:hAnsi="Times New Roman" w:eastAsia="宋体"/>
                      <w:b/>
                      <w:bCs/>
                      <w:sz w:val="21"/>
                      <w:szCs w:val="18"/>
                    </w:rPr>
                  </w:pPr>
                  <w:r>
                    <w:rPr>
                      <w:rFonts w:ascii="Times New Roman" w:hAnsi="Times New Roman" w:eastAsia="宋体"/>
                      <w:b/>
                      <w:bCs/>
                      <w:sz w:val="21"/>
                      <w:szCs w:val="18"/>
                    </w:rPr>
                    <w:t>厂区外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b w:val="0"/>
                      <w:bCs w:val="0"/>
                      <w:sz w:val="21"/>
                      <w:szCs w:val="18"/>
                    </w:rPr>
                  </w:pPr>
                  <w:r>
                    <w:rPr>
                      <w:rFonts w:ascii="Times New Roman" w:hAnsi="Times New Roman" w:eastAsia="宋体"/>
                      <w:b w:val="0"/>
                      <w:bCs w:val="0"/>
                      <w:sz w:val="21"/>
                      <w:szCs w:val="18"/>
                    </w:rPr>
                    <w:t>经开区消防救援大队</w:t>
                  </w:r>
                </w:p>
              </w:tc>
              <w:tc>
                <w:tcPr>
                  <w:tcW w:w="1011" w:type="dxa"/>
                  <w:tcBorders>
                    <w:tl2br w:val="nil"/>
                    <w:tr2bl w:val="nil"/>
                  </w:tcBorders>
                  <w:vAlign w:val="center"/>
                </w:tcPr>
                <w:p>
                  <w:pPr>
                    <w:pStyle w:val="39"/>
                    <w:spacing w:before="0"/>
                    <w:rPr>
                      <w:rFonts w:ascii="Times New Roman" w:hAnsi="Times New Roman" w:eastAsia="宋体"/>
                      <w:b w:val="0"/>
                      <w:bCs w:val="0"/>
                      <w:sz w:val="21"/>
                      <w:szCs w:val="18"/>
                    </w:rPr>
                  </w:pPr>
                  <w:r>
                    <w:rPr>
                      <w:rFonts w:ascii="Times New Roman" w:hAnsi="Times New Roman" w:eastAsia="宋体"/>
                      <w:b w:val="0"/>
                      <w:bCs w:val="0"/>
                      <w:sz w:val="21"/>
                      <w:szCs w:val="18"/>
                    </w:rPr>
                    <w:t>北</w:t>
                  </w:r>
                  <w:r>
                    <w:rPr>
                      <w:rFonts w:hint="eastAsia" w:ascii="Times New Roman" w:hAnsi="Times New Roman" w:eastAsia="宋体"/>
                      <w:b w:val="0"/>
                      <w:bCs w:val="0"/>
                      <w:sz w:val="21"/>
                      <w:szCs w:val="18"/>
                      <w:lang w:eastAsia="zh-CN"/>
                    </w:rPr>
                    <w:t>侧</w:t>
                  </w:r>
                </w:p>
              </w:tc>
              <w:tc>
                <w:tcPr>
                  <w:tcW w:w="1072" w:type="dxa"/>
                  <w:tcBorders>
                    <w:tl2br w:val="nil"/>
                    <w:tr2bl w:val="nil"/>
                  </w:tcBorders>
                  <w:vAlign w:val="center"/>
                </w:tcPr>
                <w:p>
                  <w:pPr>
                    <w:pStyle w:val="39"/>
                    <w:spacing w:before="0"/>
                    <w:rPr>
                      <w:rFonts w:hint="eastAsia" w:ascii="Times New Roman" w:hAnsi="Times New Roman" w:eastAsia="宋体"/>
                      <w:b w:val="0"/>
                      <w:bCs w:val="0"/>
                      <w:sz w:val="21"/>
                      <w:szCs w:val="18"/>
                      <w:lang w:eastAsia="zh-CN"/>
                    </w:rPr>
                  </w:pPr>
                  <w:r>
                    <w:rPr>
                      <w:rFonts w:hint="eastAsia" w:ascii="Times New Roman" w:hAnsi="Times New Roman" w:eastAsia="宋体"/>
                      <w:b w:val="0"/>
                      <w:bCs w:val="0"/>
                      <w:sz w:val="21"/>
                      <w:szCs w:val="18"/>
                      <w:lang w:eastAsia="zh-CN"/>
                    </w:rPr>
                    <w:t>紧邻</w:t>
                  </w:r>
                </w:p>
              </w:tc>
              <w:tc>
                <w:tcPr>
                  <w:tcW w:w="2000" w:type="dxa"/>
                  <w:tcBorders>
                    <w:tl2br w:val="nil"/>
                    <w:tr2bl w:val="nil"/>
                  </w:tcBorders>
                  <w:vAlign w:val="center"/>
                </w:tcPr>
                <w:p>
                  <w:pPr>
                    <w:pStyle w:val="39"/>
                    <w:spacing w:before="0"/>
                    <w:rPr>
                      <w:rFonts w:hint="eastAsia" w:ascii="Times New Roman" w:hAnsi="Times New Roman" w:eastAsia="宋体"/>
                      <w:b w:val="0"/>
                      <w:bCs w:val="0"/>
                      <w:sz w:val="21"/>
                      <w:szCs w:val="18"/>
                      <w:lang w:val="en-US" w:eastAsia="zh-CN"/>
                    </w:rPr>
                  </w:pPr>
                  <w:r>
                    <w:rPr>
                      <w:rFonts w:hint="eastAsia" w:ascii="Times New Roman"/>
                      <w:b w:val="0"/>
                      <w:bCs w:val="0"/>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巴中建丰新材料有限公司</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北</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35</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木制建材制造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巴中日报社印刷厂</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西</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eastAsia" w:ascii="Times New Roman" w:hAnsi="Times New Roman" w:eastAsia="宋体"/>
                      <w:sz w:val="21"/>
                      <w:szCs w:val="18"/>
                      <w:lang w:eastAsia="zh-CN"/>
                    </w:rPr>
                  </w:pPr>
                  <w:r>
                    <w:rPr>
                      <w:rFonts w:hint="eastAsia" w:ascii="Times New Roman" w:hAnsi="Times New Roman" w:eastAsia="宋体"/>
                      <w:sz w:val="21"/>
                      <w:szCs w:val="18"/>
                      <w:lang w:val="en-US" w:eastAsia="zh-CN"/>
                    </w:rPr>
                    <w:t>5</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报纸印刷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家知源全屋定制</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西</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55</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家具定制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eastAsia="zh-CN"/>
                    </w:rPr>
                    <w:t>废弃厂房</w:t>
                  </w:r>
                  <w:r>
                    <w:rPr>
                      <w:rFonts w:hint="eastAsia" w:ascii="Times New Roman" w:hAnsi="Times New Roman" w:eastAsia="宋体"/>
                      <w:sz w:val="21"/>
                      <w:szCs w:val="18"/>
                      <w:lang w:val="en-US" w:eastAsia="zh-CN"/>
                    </w:rPr>
                    <w:t>1</w:t>
                  </w:r>
                </w:p>
              </w:tc>
              <w:tc>
                <w:tcPr>
                  <w:tcW w:w="1011" w:type="dxa"/>
                  <w:tcBorders>
                    <w:tl2br w:val="nil"/>
                    <w:tr2bl w:val="nil"/>
                  </w:tcBorders>
                  <w:vAlign w:val="center"/>
                </w:tcPr>
                <w:p>
                  <w:pPr>
                    <w:pStyle w:val="39"/>
                    <w:spacing w:before="0"/>
                    <w:rPr>
                      <w:rFonts w:hint="eastAsia" w:ascii="Times New Roman" w:hAnsi="Times New Roman" w:eastAsia="宋体"/>
                      <w:sz w:val="21"/>
                      <w:szCs w:val="18"/>
                      <w:lang w:eastAsia="zh-CN"/>
                    </w:rPr>
                  </w:pPr>
                  <w:r>
                    <w:rPr>
                      <w:rFonts w:hint="eastAsia" w:ascii="Times New Roman" w:hAnsi="Times New Roman" w:eastAsia="宋体"/>
                      <w:sz w:val="21"/>
                      <w:szCs w:val="18"/>
                      <w:lang w:eastAsia="zh-CN"/>
                    </w:rPr>
                    <w:t>西侧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320</w:t>
                  </w:r>
                </w:p>
              </w:tc>
              <w:tc>
                <w:tcPr>
                  <w:tcW w:w="2000" w:type="dxa"/>
                  <w:tcBorders>
                    <w:tl2br w:val="nil"/>
                    <w:tr2bl w:val="nil"/>
                  </w:tcBorders>
                  <w:vAlign w:val="center"/>
                </w:tcPr>
                <w:p>
                  <w:pPr>
                    <w:pStyle w:val="39"/>
                    <w:spacing w:before="0"/>
                    <w:rPr>
                      <w:rFonts w:hint="eastAsia" w:ascii="Times New Roman" w:hAnsi="Times New Roman" w:eastAsia="宋体"/>
                      <w:sz w:val="21"/>
                      <w:szCs w:val="18"/>
                      <w:lang w:val="en-US" w:eastAsia="zh-CN"/>
                    </w:rPr>
                  </w:pPr>
                  <w:r>
                    <w:rPr>
                      <w:rFonts w:hint="eastAsia" w:ascii="Times New Roman" w:hAnsi="Times New Roman" w:eastAsia="宋体"/>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四川中兴纺织有限责任公司</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南</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eastAsia" w:ascii="Times New Roman" w:hAnsi="Times New Roman" w:eastAsia="宋体"/>
                      <w:sz w:val="21"/>
                      <w:szCs w:val="18"/>
                      <w:lang w:eastAsia="zh-CN"/>
                    </w:rPr>
                  </w:pPr>
                  <w:r>
                    <w:rPr>
                      <w:rFonts w:hint="eastAsia" w:ascii="Times New Roman" w:hAnsi="Times New Roman" w:eastAsia="宋体"/>
                      <w:sz w:val="21"/>
                      <w:szCs w:val="18"/>
                      <w:lang w:eastAsia="zh-CN"/>
                    </w:rPr>
                    <w:t>紧邻</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纺织品制造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eastAsia="zh-CN"/>
                    </w:rPr>
                    <w:t>废弃厂房</w:t>
                  </w:r>
                  <w:r>
                    <w:rPr>
                      <w:rFonts w:hint="eastAsia" w:ascii="Times New Roman" w:hAnsi="Times New Roman" w:eastAsia="宋体"/>
                      <w:sz w:val="21"/>
                      <w:szCs w:val="18"/>
                      <w:lang w:val="en-US" w:eastAsia="zh-CN"/>
                    </w:rPr>
                    <w:t>2</w:t>
                  </w:r>
                </w:p>
              </w:tc>
              <w:tc>
                <w:tcPr>
                  <w:tcW w:w="1011" w:type="dxa"/>
                  <w:tcBorders>
                    <w:tl2br w:val="nil"/>
                    <w:tr2bl w:val="nil"/>
                  </w:tcBorders>
                  <w:vAlign w:val="center"/>
                </w:tcPr>
                <w:p>
                  <w:pPr>
                    <w:pStyle w:val="39"/>
                    <w:spacing w:before="0"/>
                    <w:rPr>
                      <w:rFonts w:hint="eastAsia" w:ascii="Times New Roman" w:hAnsi="Times New Roman" w:eastAsia="宋体"/>
                      <w:sz w:val="21"/>
                      <w:szCs w:val="18"/>
                      <w:lang w:eastAsia="zh-CN"/>
                    </w:rPr>
                  </w:pPr>
                  <w:r>
                    <w:rPr>
                      <w:rFonts w:hint="eastAsia" w:ascii="Times New Roman" w:hAnsi="Times New Roman" w:eastAsia="宋体"/>
                      <w:sz w:val="21"/>
                      <w:szCs w:val="18"/>
                      <w:lang w:eastAsia="zh-CN"/>
                    </w:rPr>
                    <w:t>南侧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170</w:t>
                  </w:r>
                </w:p>
              </w:tc>
              <w:tc>
                <w:tcPr>
                  <w:tcW w:w="2000" w:type="dxa"/>
                  <w:tcBorders>
                    <w:tl2br w:val="nil"/>
                    <w:tr2bl w:val="nil"/>
                  </w:tcBorders>
                  <w:vAlign w:val="center"/>
                </w:tcPr>
                <w:p>
                  <w:pPr>
                    <w:pStyle w:val="39"/>
                    <w:spacing w:before="0"/>
                    <w:rPr>
                      <w:rFonts w:hint="eastAsia" w:ascii="Times New Roman" w:hAnsi="Times New Roman" w:eastAsia="宋体"/>
                      <w:sz w:val="21"/>
                      <w:szCs w:val="18"/>
                      <w:lang w:val="en-US" w:eastAsia="zh-CN"/>
                    </w:rPr>
                  </w:pPr>
                  <w:r>
                    <w:rPr>
                      <w:rFonts w:hint="eastAsia" w:ascii="Times New Roman" w:hAnsi="Times New Roman" w:eastAsia="宋体"/>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四川鑫锐齿轮有限公司</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南</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380</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齿轮制造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keepNext w:val="0"/>
                    <w:keepLines w:val="0"/>
                    <w:pageBreakBefore w:val="0"/>
                    <w:widowControl w:val="0"/>
                    <w:numPr>
                      <w:ilvl w:val="0"/>
                      <w:numId w:val="5"/>
                    </w:numPr>
                    <w:kinsoku/>
                    <w:wordWrap/>
                    <w:overflowPunct/>
                    <w:topLinePunct w:val="0"/>
                    <w:autoSpaceDE/>
                    <w:autoSpaceDN/>
                    <w:bidi w:val="0"/>
                    <w:adjustRightInd/>
                    <w:snapToGrid/>
                    <w:spacing w:before="0"/>
                    <w:ind w:left="635" w:leftChars="100" w:hanging="425" w:firstLineChars="0"/>
                    <w:jc w:val="left"/>
                    <w:textAlignment w:val="baseline"/>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b w:val="0"/>
                      <w:bCs w:val="0"/>
                      <w:sz w:val="21"/>
                      <w:szCs w:val="18"/>
                    </w:rPr>
                  </w:pPr>
                  <w:r>
                    <w:rPr>
                      <w:rFonts w:ascii="Times New Roman" w:hAnsi="Times New Roman" w:eastAsia="宋体"/>
                      <w:b w:val="0"/>
                      <w:bCs w:val="0"/>
                      <w:sz w:val="21"/>
                      <w:szCs w:val="18"/>
                    </w:rPr>
                    <w:t>经开区人才大楼</w:t>
                  </w:r>
                </w:p>
              </w:tc>
              <w:tc>
                <w:tcPr>
                  <w:tcW w:w="1011" w:type="dxa"/>
                  <w:tcBorders>
                    <w:tl2br w:val="nil"/>
                    <w:tr2bl w:val="nil"/>
                  </w:tcBorders>
                  <w:vAlign w:val="center"/>
                </w:tcPr>
                <w:p>
                  <w:pPr>
                    <w:pStyle w:val="39"/>
                    <w:spacing w:before="0"/>
                    <w:rPr>
                      <w:rFonts w:ascii="Times New Roman" w:hAnsi="Times New Roman" w:eastAsia="宋体"/>
                      <w:b w:val="0"/>
                      <w:bCs w:val="0"/>
                      <w:sz w:val="21"/>
                      <w:szCs w:val="18"/>
                    </w:rPr>
                  </w:pPr>
                  <w:r>
                    <w:rPr>
                      <w:rFonts w:ascii="Times New Roman" w:hAnsi="Times New Roman" w:eastAsia="宋体"/>
                      <w:b w:val="0"/>
                      <w:bCs w:val="0"/>
                      <w:sz w:val="21"/>
                      <w:szCs w:val="18"/>
                    </w:rPr>
                    <w:t>东南</w:t>
                  </w:r>
                </w:p>
              </w:tc>
              <w:tc>
                <w:tcPr>
                  <w:tcW w:w="1072" w:type="dxa"/>
                  <w:tcBorders>
                    <w:tl2br w:val="nil"/>
                    <w:tr2bl w:val="nil"/>
                  </w:tcBorders>
                  <w:vAlign w:val="center"/>
                </w:tcPr>
                <w:p>
                  <w:pPr>
                    <w:pStyle w:val="39"/>
                    <w:spacing w:before="0"/>
                    <w:rPr>
                      <w:rFonts w:hint="default" w:ascii="Times New Roman" w:hAnsi="Times New Roman" w:eastAsia="宋体"/>
                      <w:b w:val="0"/>
                      <w:bCs w:val="0"/>
                      <w:sz w:val="21"/>
                      <w:szCs w:val="18"/>
                      <w:lang w:val="en-US" w:eastAsia="zh-CN"/>
                    </w:rPr>
                  </w:pPr>
                  <w:r>
                    <w:rPr>
                      <w:rFonts w:hint="eastAsia" w:ascii="Times New Roman" w:hAnsi="Times New Roman" w:eastAsia="宋体"/>
                      <w:b w:val="0"/>
                      <w:bCs w:val="0"/>
                      <w:sz w:val="21"/>
                      <w:szCs w:val="18"/>
                      <w:lang w:val="en-US" w:eastAsia="zh-CN"/>
                    </w:rPr>
                    <w:t>210</w:t>
                  </w:r>
                </w:p>
              </w:tc>
              <w:tc>
                <w:tcPr>
                  <w:tcW w:w="2000" w:type="dxa"/>
                  <w:tcBorders>
                    <w:tl2br w:val="nil"/>
                    <w:tr2bl w:val="nil"/>
                  </w:tcBorders>
                  <w:vAlign w:val="center"/>
                </w:tcPr>
                <w:p>
                  <w:pPr>
                    <w:pStyle w:val="39"/>
                    <w:spacing w:before="0"/>
                    <w:rPr>
                      <w:rFonts w:ascii="Times New Roman" w:hAnsi="Times New Roman" w:eastAsia="宋体"/>
                      <w:b w:val="0"/>
                      <w:bCs w:val="0"/>
                      <w:sz w:val="21"/>
                      <w:szCs w:val="18"/>
                    </w:rPr>
                  </w:pPr>
                  <w:r>
                    <w:rPr>
                      <w:rFonts w:ascii="Times New Roman" w:hAnsi="Times New Roman" w:eastAsia="宋体"/>
                      <w:b w:val="0"/>
                      <w:bCs w:val="0"/>
                      <w:sz w:val="21"/>
                      <w:szCs w:val="18"/>
                    </w:rPr>
                    <w:t>办公楼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numPr>
                      <w:ilvl w:val="0"/>
                      <w:numId w:val="5"/>
                    </w:numPr>
                    <w:spacing w:before="0"/>
                    <w:ind w:left="425" w:leftChars="0" w:hanging="425" w:firstLineChars="0"/>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中山路</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东侧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紧邻</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道路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numPr>
                      <w:ilvl w:val="0"/>
                      <w:numId w:val="5"/>
                    </w:numPr>
                    <w:spacing w:before="0"/>
                    <w:ind w:left="425" w:leftChars="0" w:hanging="425" w:firstLineChars="0"/>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拱桥河</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东侧</w:t>
                  </w:r>
                </w:p>
              </w:tc>
              <w:tc>
                <w:tcPr>
                  <w:tcW w:w="1072"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val="en-US" w:eastAsia="zh-CN"/>
                    </w:rPr>
                    <w:t>90</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lang w:eastAsia="zh-CN"/>
                    </w:rPr>
                    <w:t>河流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numPr>
                      <w:ilvl w:val="0"/>
                      <w:numId w:val="5"/>
                    </w:numPr>
                    <w:spacing w:before="0"/>
                    <w:ind w:left="425" w:leftChars="0" w:hanging="425" w:firstLineChars="0"/>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rPr>
                    <w:t>四川蜀塔能源有限责任公司有限公司</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东</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130</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hint="eastAsia" w:ascii="Times New Roman" w:hAnsi="Times New Roman" w:eastAsia="宋体"/>
                      <w:sz w:val="21"/>
                      <w:szCs w:val="18"/>
                    </w:rPr>
                    <w:t>碳纳米管粉体及导电剂</w:t>
                  </w:r>
                  <w:r>
                    <w:rPr>
                      <w:rFonts w:ascii="Times New Roman" w:hAnsi="Times New Roman" w:eastAsia="宋体"/>
                      <w:sz w:val="21"/>
                      <w:szCs w:val="18"/>
                    </w:rPr>
                    <w:t>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numPr>
                      <w:ilvl w:val="0"/>
                      <w:numId w:val="5"/>
                    </w:numPr>
                    <w:spacing w:before="0"/>
                    <w:ind w:left="425" w:leftChars="0" w:hanging="425" w:firstLineChars="0"/>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巴中市忆佳钢结构有限公司</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东</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140</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金属结构件加工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89" w:type="dxa"/>
                  <w:tcBorders>
                    <w:tl2br w:val="nil"/>
                    <w:tr2bl w:val="nil"/>
                  </w:tcBorders>
                  <w:vAlign w:val="center"/>
                </w:tcPr>
                <w:p>
                  <w:pPr>
                    <w:pStyle w:val="39"/>
                    <w:numPr>
                      <w:ilvl w:val="0"/>
                      <w:numId w:val="5"/>
                    </w:numPr>
                    <w:spacing w:before="0"/>
                    <w:ind w:left="425" w:leftChars="0" w:hanging="425" w:firstLineChars="0"/>
                    <w:rPr>
                      <w:rFonts w:ascii="Times New Roman" w:hAnsi="Times New Roman" w:eastAsia="宋体"/>
                      <w:sz w:val="21"/>
                      <w:szCs w:val="18"/>
                    </w:rPr>
                  </w:pPr>
                </w:p>
              </w:tc>
              <w:tc>
                <w:tcPr>
                  <w:tcW w:w="3365"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建材家居产业园</w:t>
                  </w:r>
                </w:p>
              </w:tc>
              <w:tc>
                <w:tcPr>
                  <w:tcW w:w="1011"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东北</w:t>
                  </w:r>
                  <w:r>
                    <w:rPr>
                      <w:rFonts w:hint="eastAsia" w:ascii="Times New Roman" w:hAnsi="Times New Roman" w:eastAsia="宋体"/>
                      <w:sz w:val="21"/>
                      <w:szCs w:val="18"/>
                      <w:lang w:eastAsia="zh-CN"/>
                    </w:rPr>
                    <w:t>侧</w:t>
                  </w:r>
                </w:p>
              </w:tc>
              <w:tc>
                <w:tcPr>
                  <w:tcW w:w="1072" w:type="dxa"/>
                  <w:tcBorders>
                    <w:tl2br w:val="nil"/>
                    <w:tr2bl w:val="nil"/>
                  </w:tcBorders>
                  <w:vAlign w:val="center"/>
                </w:tcPr>
                <w:p>
                  <w:pPr>
                    <w:pStyle w:val="39"/>
                    <w:spacing w:before="0"/>
                    <w:rPr>
                      <w:rFonts w:hint="default" w:ascii="Times New Roman" w:hAnsi="Times New Roman" w:eastAsia="宋体"/>
                      <w:sz w:val="21"/>
                      <w:szCs w:val="18"/>
                      <w:lang w:val="en-US" w:eastAsia="zh-CN"/>
                    </w:rPr>
                  </w:pPr>
                  <w:r>
                    <w:rPr>
                      <w:rFonts w:hint="eastAsia" w:ascii="Times New Roman" w:hAnsi="Times New Roman" w:eastAsia="宋体"/>
                      <w:sz w:val="21"/>
                      <w:szCs w:val="18"/>
                      <w:lang w:val="en-US" w:eastAsia="zh-CN"/>
                    </w:rPr>
                    <w:t>185</w:t>
                  </w:r>
                </w:p>
              </w:tc>
              <w:tc>
                <w:tcPr>
                  <w:tcW w:w="2000" w:type="dxa"/>
                  <w:tcBorders>
                    <w:tl2br w:val="nil"/>
                    <w:tr2bl w:val="nil"/>
                  </w:tcBorders>
                  <w:vAlign w:val="center"/>
                </w:tcPr>
                <w:p>
                  <w:pPr>
                    <w:pStyle w:val="39"/>
                    <w:spacing w:before="0"/>
                    <w:rPr>
                      <w:rFonts w:ascii="Times New Roman" w:hAnsi="Times New Roman" w:eastAsia="宋体"/>
                      <w:sz w:val="21"/>
                      <w:szCs w:val="18"/>
                    </w:rPr>
                  </w:pPr>
                  <w:r>
                    <w:rPr>
                      <w:rFonts w:ascii="Times New Roman" w:hAnsi="Times New Roman" w:eastAsia="宋体"/>
                      <w:sz w:val="21"/>
                      <w:szCs w:val="18"/>
                    </w:rPr>
                    <w:t>家居建材制造</w:t>
                  </w:r>
                </w:p>
              </w:tc>
            </w:tr>
          </w:tbl>
          <w:p>
            <w:pPr>
              <w:pStyle w:val="9"/>
              <w:spacing w:line="360" w:lineRule="auto"/>
              <w:ind w:firstLine="480" w:firstLineChars="200"/>
              <w:rPr>
                <w:rFonts w:hint="eastAsia" w:ascii="Times New Roman" w:hAnsi="Times New Roman"/>
                <w:sz w:val="24"/>
                <w:szCs w:val="24"/>
                <w:lang w:eastAsia="zh-CN"/>
              </w:rPr>
            </w:pPr>
            <w:r>
              <w:rPr>
                <w:rFonts w:hint="eastAsia" w:ascii="Times New Roman" w:hAnsi="Times New Roman"/>
                <w:sz w:val="24"/>
                <w:szCs w:val="24"/>
                <w:lang w:eastAsia="zh-CN"/>
              </w:rPr>
              <w:t>本项目位于巴中经济技术开发区内，从项目外环境关系看，项目环境关系较为简单，周边主要分布工业企业，无明显环境制约因素。</w:t>
            </w:r>
          </w:p>
          <w:p>
            <w:pPr>
              <w:pStyle w:val="9"/>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根据调查，本项目</w:t>
            </w:r>
            <w:r>
              <w:rPr>
                <w:rFonts w:hint="eastAsia"/>
                <w:sz w:val="24"/>
                <w:szCs w:val="24"/>
                <w:lang w:val="en-US" w:eastAsia="zh-CN"/>
              </w:rPr>
              <w:t>500m范围内</w:t>
            </w:r>
            <w:r>
              <w:rPr>
                <w:rFonts w:hint="eastAsia" w:ascii="Times New Roman" w:hAnsi="Times New Roman"/>
                <w:sz w:val="24"/>
                <w:szCs w:val="24"/>
                <w:lang w:eastAsia="zh-CN"/>
              </w:rPr>
              <w:t>无居民、学校、医院等敏感点，不涉及环保拆迁，可以满足要求。总体来说，项目选址与周围环境基本相容。</w:t>
            </w:r>
          </w:p>
          <w:p>
            <w:pPr>
              <w:pStyle w:val="9"/>
              <w:spacing w:line="360" w:lineRule="auto"/>
              <w:ind w:firstLine="480" w:firstLineChars="200"/>
              <w:rPr>
                <w:rFonts w:ascii="Times New Roman" w:hAnsi="Times New Roman"/>
                <w:sz w:val="24"/>
                <w:szCs w:val="24"/>
                <w:lang w:eastAsia="zh-CN"/>
              </w:rPr>
            </w:pPr>
            <w:r>
              <w:rPr>
                <w:rFonts w:ascii="Times New Roman" w:hAnsi="Times New Roman"/>
                <w:sz w:val="24"/>
                <w:szCs w:val="24"/>
                <w:lang w:eastAsia="zh-CN"/>
              </w:rPr>
              <w:t>（1）选址合理性分析</w:t>
            </w:r>
          </w:p>
          <w:p>
            <w:pPr>
              <w:pStyle w:val="9"/>
              <w:spacing w:line="360" w:lineRule="auto"/>
              <w:ind w:firstLine="480" w:firstLineChars="200"/>
              <w:rPr>
                <w:rFonts w:ascii="Times New Roman" w:hAnsi="Times New Roman"/>
                <w:bCs/>
                <w:sz w:val="24"/>
                <w:szCs w:val="24"/>
                <w:lang w:eastAsia="zh-CN"/>
              </w:rPr>
            </w:pPr>
            <w:r>
              <w:rPr>
                <w:rFonts w:hint="eastAsia"/>
                <w:sz w:val="24"/>
                <w:szCs w:val="24"/>
                <w:lang w:eastAsia="zh-CN"/>
              </w:rPr>
              <w:t>本项目选址位于四川巴中经济开发区内（中山北路17号），根据四川巴中经济开发区用地布局图，本项目所在地用地性质为工业用地，同时建设取得了建设用地规划许可证【地字第511924201703210001号】（见附件3），面积为</w:t>
            </w:r>
            <w:r>
              <w:rPr>
                <w:rFonts w:hint="eastAsia"/>
                <w:sz w:val="24"/>
                <w:szCs w:val="24"/>
                <w:lang w:val="en-US" w:eastAsia="zh-CN"/>
              </w:rPr>
              <w:t>43972.72m</w:t>
            </w:r>
            <w:r>
              <w:rPr>
                <w:rFonts w:hint="eastAsia"/>
                <w:sz w:val="24"/>
                <w:szCs w:val="24"/>
                <w:vertAlign w:val="superscript"/>
                <w:lang w:val="en-US" w:eastAsia="zh-CN"/>
              </w:rPr>
              <w:t>2</w:t>
            </w:r>
            <w:r>
              <w:rPr>
                <w:rFonts w:hint="eastAsia"/>
                <w:sz w:val="24"/>
                <w:szCs w:val="24"/>
                <w:lang w:eastAsia="zh-CN"/>
              </w:rPr>
              <w:t>，明确该地块使用性质为工业用地。因此，本项目选址符合四川巴中经济开发区用地布局规划。</w:t>
            </w:r>
            <w:r>
              <w:rPr>
                <w:rFonts w:ascii="Times New Roman" w:hAnsi="Times New Roman"/>
                <w:bCs/>
                <w:sz w:val="24"/>
                <w:szCs w:val="24"/>
                <w:lang w:eastAsia="zh-CN"/>
              </w:rPr>
              <w:t>本项目的建设不改变其用地性质，且属于</w:t>
            </w:r>
            <w:r>
              <w:rPr>
                <w:rFonts w:hint="eastAsia"/>
                <w:sz w:val="24"/>
                <w:szCs w:val="24"/>
                <w:lang w:eastAsia="zh-CN"/>
              </w:rPr>
              <w:t>四川巴中经济开发区</w:t>
            </w:r>
            <w:r>
              <w:rPr>
                <w:rFonts w:ascii="Times New Roman" w:hAnsi="Times New Roman"/>
                <w:bCs/>
                <w:sz w:val="24"/>
                <w:szCs w:val="24"/>
                <w:lang w:eastAsia="zh-CN"/>
              </w:rPr>
              <w:t xml:space="preserve">允许引入的企业。本项目选址不涉及水源保护区、自然保护区等环境敏感区域。 </w:t>
            </w:r>
          </w:p>
          <w:p>
            <w:pPr>
              <w:pStyle w:val="9"/>
              <w:spacing w:line="360" w:lineRule="auto"/>
              <w:ind w:firstLine="480" w:firstLineChars="200"/>
              <w:rPr>
                <w:rFonts w:ascii="Times New Roman" w:hAnsi="Times New Roman"/>
                <w:bCs/>
                <w:sz w:val="24"/>
                <w:szCs w:val="24"/>
                <w:lang w:eastAsia="zh-CN"/>
              </w:rPr>
            </w:pPr>
            <w:r>
              <w:rPr>
                <w:rFonts w:ascii="Times New Roman" w:hAnsi="Times New Roman"/>
                <w:bCs/>
                <w:sz w:val="24"/>
                <w:szCs w:val="24"/>
                <w:lang w:eastAsia="zh-CN"/>
              </w:rPr>
              <w:t>因此本项目选址合理。</w:t>
            </w:r>
          </w:p>
          <w:p>
            <w:pPr>
              <w:pStyle w:val="9"/>
              <w:spacing w:line="360" w:lineRule="auto"/>
              <w:ind w:firstLine="480" w:firstLineChars="200"/>
              <w:rPr>
                <w:rFonts w:ascii="Times New Roman" w:hAnsi="Times New Roman"/>
                <w:bCs/>
                <w:sz w:val="24"/>
                <w:szCs w:val="24"/>
                <w:lang w:eastAsia="zh-CN"/>
              </w:rPr>
            </w:pPr>
            <w:r>
              <w:rPr>
                <w:rFonts w:hint="eastAsia" w:ascii="Times New Roman" w:hAnsi="Times New Roman"/>
                <w:bCs/>
                <w:sz w:val="24"/>
                <w:szCs w:val="24"/>
                <w:lang w:eastAsia="zh-CN"/>
              </w:rPr>
              <w:t>（2）外环境合理性分析</w:t>
            </w:r>
          </w:p>
          <w:p>
            <w:pPr>
              <w:autoSpaceDE/>
              <w:autoSpaceDN/>
              <w:snapToGrid w:val="0"/>
              <w:spacing w:line="360" w:lineRule="auto"/>
              <w:ind w:firstLine="480" w:firstLineChars="200"/>
              <w:rPr>
                <w:rFonts w:hint="eastAsia"/>
                <w:sz w:val="24"/>
                <w:szCs w:val="24"/>
                <w:lang w:eastAsia="zh-CN"/>
              </w:rPr>
            </w:pPr>
            <w:r>
              <w:rPr>
                <w:rFonts w:hint="eastAsia"/>
                <w:sz w:val="24"/>
                <w:szCs w:val="24"/>
                <w:lang w:eastAsia="zh-CN"/>
              </w:rPr>
              <w:t>本项目产生的有机废气采取“二级活性炭”处理后通过</w:t>
            </w:r>
            <w:r>
              <w:rPr>
                <w:rFonts w:hint="eastAsia"/>
                <w:sz w:val="24"/>
                <w:szCs w:val="24"/>
                <w:lang w:val="en-US" w:eastAsia="zh-CN"/>
              </w:rPr>
              <w:t>15</w:t>
            </w:r>
            <w:r>
              <w:rPr>
                <w:rFonts w:hint="eastAsia"/>
                <w:sz w:val="24"/>
                <w:szCs w:val="24"/>
                <w:lang w:eastAsia="zh-CN"/>
              </w:rPr>
              <w:t>m排气筒排放；在严格落实本报告提出的污染防治措施的前提下，项目对周边环境影响可接受，因此本项目与外环境基本相容。</w:t>
            </w:r>
          </w:p>
          <w:p>
            <w:pPr>
              <w:autoSpaceDE/>
              <w:autoSpaceDN/>
              <w:snapToGrid w:val="0"/>
              <w:spacing w:line="360" w:lineRule="auto"/>
              <w:ind w:firstLine="480" w:firstLineChars="200"/>
              <w:rPr>
                <w:rFonts w:hint="eastAsia" w:ascii="Times New Roman" w:hAnsi="Times New Roman" w:cs="Times New Roman"/>
                <w:sz w:val="24"/>
                <w:szCs w:val="24"/>
                <w:lang w:eastAsia="zh-CN"/>
              </w:rPr>
            </w:pPr>
            <w:r>
              <w:rPr>
                <w:rFonts w:ascii="Times New Roman" w:hAnsi="Times New Roman" w:cs="Times New Roman"/>
                <w:sz w:val="24"/>
                <w:szCs w:val="24"/>
                <w:lang w:eastAsia="zh-CN"/>
              </w:rPr>
              <w:t>本项目周围500m范围内无</w:t>
            </w:r>
            <w:r>
              <w:rPr>
                <w:rFonts w:hint="eastAsia" w:ascii="Times New Roman" w:hAnsi="Times New Roman" w:cs="Times New Roman"/>
                <w:sz w:val="24"/>
                <w:szCs w:val="24"/>
                <w:lang w:eastAsia="zh-CN"/>
              </w:rPr>
              <w:t>其他</w:t>
            </w:r>
            <w:r>
              <w:rPr>
                <w:rFonts w:ascii="Times New Roman" w:hAnsi="Times New Roman" w:cs="Times New Roman"/>
                <w:sz w:val="24"/>
                <w:szCs w:val="24"/>
                <w:lang w:eastAsia="zh-CN"/>
              </w:rPr>
              <w:t>特殊保护文物古迹、自然保护区和特殊环境制约因素等</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项目周围交通方便，有利于原材料及产品等物资流通，同时项目位于工业园区内，园区供水、排水、供电等基础设施完备，为项目建设提供了良好的平台。</w:t>
            </w:r>
          </w:p>
          <w:p>
            <w:pPr>
              <w:autoSpaceDE/>
              <w:autoSpaceDN/>
              <w:snapToGrid w:val="0"/>
              <w:spacing w:line="360" w:lineRule="auto"/>
              <w:ind w:firstLine="480" w:firstLineChars="200"/>
              <w:rPr>
                <w:rFonts w:hint="default" w:ascii="Times New Roman" w:hAnsi="Times New Roman" w:eastAsia="宋体"/>
                <w:sz w:val="24"/>
                <w:szCs w:val="24"/>
                <w:lang w:val="en-AU" w:eastAsia="zh-CN"/>
              </w:rPr>
            </w:pPr>
            <w:r>
              <w:rPr>
                <w:rFonts w:hint="eastAsia" w:ascii="Times New Roman" w:hAnsi="Times New Roman" w:eastAsia="宋体"/>
                <w:sz w:val="24"/>
                <w:szCs w:val="24"/>
                <w:lang w:val="en-US" w:eastAsia="zh-CN"/>
              </w:rPr>
              <w:t>综上所述，本项目选址符合规划，无明显环境制约因素，公辅设施基本满足要求，交通便捷，项目建成后对区域环境质量影响可接受。且项目所在地不涉及生态保护区、自然保护区、风景名胜区等环境敏感区，评价范围内不涉及饮用水水源保护地，本项目从环保角度选址可行。</w:t>
            </w: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eastAsia" w:cs="Times New Roman"/>
                <w:sz w:val="24"/>
                <w:szCs w:val="24"/>
                <w:lang w:val="en-US" w:eastAsia="zh-CN"/>
              </w:rPr>
            </w:pPr>
          </w:p>
          <w:p>
            <w:pPr>
              <w:adjustRightInd w:val="0"/>
              <w:spacing w:line="360" w:lineRule="auto"/>
              <w:textAlignment w:val="baseline"/>
              <w:rPr>
                <w:rFonts w:hint="default" w:eastAsia="宋体" w:cs="Times New Roman"/>
                <w:sz w:val="24"/>
                <w:szCs w:val="24"/>
                <w:lang w:val="en-US" w:eastAsia="zh-CN"/>
              </w:rPr>
            </w:pPr>
          </w:p>
        </w:tc>
      </w:tr>
    </w:tbl>
    <w:p>
      <w:pPr>
        <w:rPr>
          <w:b/>
          <w:sz w:val="28"/>
          <w:szCs w:val="28"/>
        </w:rPr>
        <w:sectPr>
          <w:footerReference r:id="rId3"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0"/>
        <w:jc w:val="center"/>
        <w:rPr>
          <w:rFonts w:ascii="黑体" w:hAnsi="黑体" w:eastAsia="黑体"/>
          <w:b w:val="0"/>
          <w:sz w:val="30"/>
          <w:szCs w:val="30"/>
        </w:rPr>
      </w:pPr>
      <w:bookmarkStart w:id="1" w:name="_Toc127864087"/>
      <w:r>
        <w:rPr>
          <w:rFonts w:hint="eastAsia" w:ascii="黑体" w:hAnsi="黑体" w:eastAsia="黑体"/>
          <w:b w:val="0"/>
          <w:sz w:val="30"/>
          <w:szCs w:val="30"/>
        </w:rPr>
        <w:t>二、建设项目工程分析</w:t>
      </w:r>
      <w:bookmarkEnd w:id="1"/>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6" w:type="pct"/>
            <w:vAlign w:val="center"/>
          </w:tcPr>
          <w:p>
            <w:pPr>
              <w:spacing w:line="360" w:lineRule="auto"/>
              <w:jc w:val="center"/>
              <w:rPr>
                <w:rFonts w:cs="Times New Roman"/>
                <w:sz w:val="24"/>
                <w:szCs w:val="24"/>
              </w:rPr>
            </w:pPr>
            <w:r>
              <w:rPr>
                <w:rFonts w:cs="Times New Roman"/>
                <w:sz w:val="24"/>
                <w:szCs w:val="24"/>
              </w:rPr>
              <w:t>建设内容</w:t>
            </w:r>
          </w:p>
        </w:tc>
        <w:tc>
          <w:tcPr>
            <w:tcW w:w="4633" w:type="pct"/>
            <w:vAlign w:val="center"/>
          </w:tcPr>
          <w:p>
            <w:pPr>
              <w:spacing w:line="360" w:lineRule="auto"/>
              <w:ind w:firstLine="482" w:firstLineChars="200"/>
              <w:rPr>
                <w:rFonts w:cs="Times New Roman"/>
                <w:b/>
                <w:sz w:val="24"/>
                <w:szCs w:val="24"/>
              </w:rPr>
            </w:pPr>
            <w:r>
              <w:rPr>
                <w:rFonts w:cs="Times New Roman"/>
                <w:b/>
                <w:sz w:val="24"/>
                <w:szCs w:val="24"/>
              </w:rPr>
              <w:t>1、项目</w:t>
            </w:r>
            <w:r>
              <w:rPr>
                <w:rFonts w:hint="eastAsia" w:cs="Times New Roman"/>
                <w:b/>
                <w:sz w:val="24"/>
                <w:szCs w:val="24"/>
              </w:rPr>
              <w:t>由来</w:t>
            </w:r>
          </w:p>
          <w:p>
            <w:pPr>
              <w:spacing w:line="360" w:lineRule="auto"/>
              <w:ind w:firstLine="480" w:firstLineChars="200"/>
              <w:rPr>
                <w:rFonts w:hint="eastAsia"/>
                <w:sz w:val="24"/>
                <w:szCs w:val="24"/>
              </w:rPr>
            </w:pPr>
            <w:r>
              <w:rPr>
                <w:rFonts w:hint="eastAsia"/>
                <w:sz w:val="24"/>
                <w:szCs w:val="24"/>
              </w:rPr>
              <w:t>四川宇光光学玻璃有限公司成立于2012年2月，经营范围包括光学玻璃、镀膜玻璃及玻璃制品生产、销售；光学玻璃和技术玻璃制品研发；道路货物运输；玻璃门窗、幕墙制作及安装。</w:t>
            </w:r>
            <w:r>
              <w:rPr>
                <w:rFonts w:hint="default" w:ascii="Times New Roman" w:hAnsi="Times New Roman" w:eastAsia="宋体" w:cs="Times New Roman"/>
                <w:color w:val="auto"/>
                <w:kern w:val="0"/>
                <w:sz w:val="24"/>
                <w:lang w:eastAsia="zh-CN" w:bidi="ar"/>
              </w:rPr>
              <w:t>企业自成立以来已进行下列项目：</w:t>
            </w:r>
          </w:p>
          <w:p>
            <w:pPr>
              <w:spacing w:line="360" w:lineRule="auto"/>
              <w:ind w:firstLine="480" w:firstLineChars="200"/>
              <w:rPr>
                <w:rFonts w:hint="eastAsia" w:cs="Times New Roman"/>
                <w:b w:val="0"/>
                <w:bCs w:val="0"/>
                <w:sz w:val="24"/>
                <w:szCs w:val="24"/>
                <w:lang w:eastAsia="zh-CN"/>
              </w:rPr>
            </w:pPr>
            <w:r>
              <w:rPr>
                <w:rFonts w:hint="eastAsia"/>
                <w:sz w:val="24"/>
                <w:szCs w:val="24"/>
                <w:lang w:eastAsia="zh-CN"/>
              </w:rPr>
              <w:t>“</w:t>
            </w:r>
            <w:r>
              <w:rPr>
                <w:rFonts w:hint="default" w:ascii="Times New Roman" w:hAnsi="Times New Roman" w:eastAsia="宋体" w:cs="Times New Roman"/>
                <w:sz w:val="24"/>
                <w:szCs w:val="24"/>
              </w:rPr>
              <w:t>离线镀膜玻璃及光学玻璃生产线项目</w:t>
            </w:r>
            <w:r>
              <w:rPr>
                <w:rFonts w:hint="eastAsia"/>
                <w:sz w:val="24"/>
                <w:szCs w:val="24"/>
                <w:lang w:eastAsia="zh-CN"/>
              </w:rPr>
              <w:t>”</w:t>
            </w:r>
            <w:r>
              <w:rPr>
                <w:rFonts w:hint="default" w:ascii="Times New Roman" w:hAnsi="Times New Roman" w:eastAsia="宋体" w:cs="Times New Roman"/>
                <w:sz w:val="24"/>
                <w:szCs w:val="24"/>
              </w:rPr>
              <w:t>于2014年</w:t>
            </w: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日通过原巴中市环境保护局经济开发区分局审批，审批文号：巴环经审[2014]44号，于</w:t>
            </w:r>
            <w:r>
              <w:rPr>
                <w:rFonts w:hint="default"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年</w:t>
            </w:r>
            <w:r>
              <w:rPr>
                <w:rFonts w:hint="eastAsia" w:cs="Times New Roman"/>
                <w:sz w:val="24"/>
                <w:szCs w:val="24"/>
                <w:lang w:val="en-US" w:eastAsia="zh-CN"/>
              </w:rPr>
              <w:t>1</w:t>
            </w:r>
            <w:r>
              <w:rPr>
                <w:rFonts w:hint="default" w:ascii="Times New Roman" w:hAnsi="Times New Roman" w:eastAsia="宋体" w:cs="Times New Roman"/>
                <w:sz w:val="24"/>
                <w:szCs w:val="24"/>
                <w:highlight w:val="none"/>
                <w:lang w:val="en-US" w:eastAsia="zh-CN"/>
              </w:rPr>
              <w:t>月</w:t>
            </w:r>
            <w:r>
              <w:rPr>
                <w:rFonts w:hint="default" w:ascii="Times New Roman" w:hAnsi="Times New Roman" w:eastAsia="宋体" w:cs="Times New Roman"/>
                <w:sz w:val="24"/>
                <w:szCs w:val="24"/>
              </w:rPr>
              <w:t>通过</w:t>
            </w:r>
            <w:r>
              <w:rPr>
                <w:rFonts w:hint="default" w:ascii="Times New Roman" w:hAnsi="Times New Roman" w:eastAsia="宋体" w:cs="Times New Roman"/>
                <w:sz w:val="24"/>
                <w:szCs w:val="24"/>
                <w:lang w:eastAsia="zh-CN"/>
              </w:rPr>
              <w:t>项目竣工</w:t>
            </w:r>
            <w:r>
              <w:rPr>
                <w:rFonts w:hint="default" w:ascii="Times New Roman" w:hAnsi="Times New Roman" w:eastAsia="宋体" w:cs="Times New Roman"/>
                <w:sz w:val="24"/>
                <w:szCs w:val="24"/>
              </w:rPr>
              <w:t>验收。公司已取得排污许可证，许可证编号：91511900MA62D08H05001U</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val="0"/>
                <w:sz w:val="24"/>
                <w:szCs w:val="24"/>
                <w:lang w:eastAsia="zh-CN"/>
              </w:rPr>
              <w:t>建设内容为1#加工车间（1F），建筑面积为2880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；2#加工车间（1F），建筑面积为3000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；3#加工车间（1F），建筑面积3780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，原料车间面积为2400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；堆料车间1200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，辅助车间面积为237</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；食堂（1F）为</w:t>
            </w:r>
            <w:r>
              <w:rPr>
                <w:rFonts w:hint="eastAsia" w:ascii="Times New Roman" w:hAnsi="Times New Roman" w:eastAsia="宋体" w:cs="Times New Roman"/>
                <w:b w:val="0"/>
                <w:bCs w:val="0"/>
                <w:sz w:val="24"/>
                <w:szCs w:val="24"/>
                <w:lang w:val="en-US" w:eastAsia="zh-CN"/>
              </w:rPr>
              <w:t>80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；综合办公楼（4+1F），建筑面积为2829.90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；其中3#车间、原料车间、堆料车间出租</w:t>
            </w:r>
            <w:r>
              <w:rPr>
                <w:rFonts w:hint="eastAsia" w:cs="Times New Roman"/>
                <w:b w:val="0"/>
                <w:bCs w:val="0"/>
                <w:sz w:val="24"/>
                <w:szCs w:val="24"/>
                <w:lang w:eastAsia="zh-CN"/>
              </w:rPr>
              <w:t>。</w:t>
            </w:r>
          </w:p>
          <w:p>
            <w:pPr>
              <w:spacing w:line="360" w:lineRule="auto"/>
              <w:ind w:firstLine="480" w:firstLineChars="200"/>
              <w:rPr>
                <w:rFonts w:hint="eastAsia" w:eastAsia="宋体"/>
                <w:sz w:val="24"/>
                <w:szCs w:val="24"/>
                <w:vertAlign w:val="baseline"/>
                <w:lang w:eastAsia="zh-CN"/>
              </w:rPr>
            </w:pPr>
            <w:r>
              <w:rPr>
                <w:rFonts w:hint="eastAsia" w:cs="Times New Roman"/>
                <w:b w:val="0"/>
                <w:bCs w:val="0"/>
                <w:color w:val="auto"/>
                <w:sz w:val="24"/>
                <w:szCs w:val="24"/>
                <w:lang w:eastAsia="zh-CN"/>
              </w:rPr>
              <w:t>现有项目</w:t>
            </w:r>
            <w:r>
              <w:rPr>
                <w:rFonts w:hint="eastAsia" w:ascii="Times New Roman" w:hAnsi="Times New Roman" w:eastAsia="宋体" w:cs="Times New Roman"/>
                <w:b w:val="0"/>
                <w:bCs w:val="0"/>
                <w:color w:val="auto"/>
                <w:sz w:val="24"/>
                <w:szCs w:val="24"/>
                <w:lang w:eastAsia="zh-CN"/>
              </w:rPr>
              <w:t>环评阶段预建</w:t>
            </w:r>
            <w:r>
              <w:rPr>
                <w:rFonts w:hint="default" w:ascii="Times New Roman" w:hAnsi="Times New Roman" w:eastAsia="宋体" w:cs="Times New Roman"/>
                <w:b w:val="0"/>
                <w:bCs w:val="0"/>
                <w:color w:val="auto"/>
                <w:sz w:val="24"/>
                <w:szCs w:val="24"/>
                <w:lang w:eastAsia="zh-CN"/>
              </w:rPr>
              <w:t>1条夹胶玻璃生产线，1条中空玻璃生产线</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1条钢化玻璃生产线，</w:t>
            </w:r>
            <w:r>
              <w:rPr>
                <w:rFonts w:hint="eastAsia"/>
                <w:b w:val="0"/>
                <w:bCs w:val="0"/>
                <w:color w:val="auto"/>
                <w:sz w:val="24"/>
                <w:szCs w:val="24"/>
                <w:vertAlign w:val="baseline"/>
                <w:lang w:val="en-US" w:eastAsia="zh-CN"/>
              </w:rPr>
              <w:t>1条</w:t>
            </w:r>
            <w:r>
              <w:rPr>
                <w:rFonts w:hint="eastAsia"/>
                <w:b w:val="0"/>
                <w:bCs w:val="0"/>
                <w:color w:val="auto"/>
                <w:sz w:val="24"/>
                <w:szCs w:val="24"/>
                <w:vertAlign w:val="baseline"/>
                <w:lang w:eastAsia="zh-CN"/>
              </w:rPr>
              <w:t>镀膜玻璃生产线</w:t>
            </w:r>
            <w:r>
              <w:rPr>
                <w:rFonts w:hint="eastAsia"/>
                <w:b w:val="0"/>
                <w:bCs w:val="0"/>
                <w:color w:val="auto"/>
                <w:sz w:val="24"/>
                <w:szCs w:val="24"/>
                <w:vertAlign w:val="baseline"/>
                <w:lang w:val="en-US" w:eastAsia="zh-CN"/>
              </w:rPr>
              <w:t>，一条光学玻璃生产线；验收阶段完成了</w:t>
            </w:r>
            <w:r>
              <w:rPr>
                <w:rFonts w:hint="default" w:ascii="Times New Roman" w:hAnsi="Times New Roman" w:eastAsia="宋体" w:cs="Times New Roman"/>
                <w:b w:val="0"/>
                <w:bCs w:val="0"/>
                <w:color w:val="auto"/>
                <w:sz w:val="24"/>
                <w:szCs w:val="24"/>
                <w:lang w:eastAsia="zh-CN"/>
              </w:rPr>
              <w:t>1条钢化玻璃生产线，</w:t>
            </w:r>
            <w:r>
              <w:rPr>
                <w:rFonts w:hint="eastAsia"/>
                <w:b w:val="0"/>
                <w:bCs w:val="0"/>
                <w:color w:val="auto"/>
                <w:sz w:val="24"/>
                <w:szCs w:val="24"/>
                <w:vertAlign w:val="baseline"/>
                <w:lang w:val="en-US" w:eastAsia="zh-CN"/>
              </w:rPr>
              <w:t>1条</w:t>
            </w:r>
            <w:r>
              <w:rPr>
                <w:rFonts w:hint="eastAsia"/>
                <w:b w:val="0"/>
                <w:bCs w:val="0"/>
                <w:color w:val="auto"/>
                <w:sz w:val="24"/>
                <w:szCs w:val="24"/>
                <w:vertAlign w:val="baseline"/>
                <w:lang w:eastAsia="zh-CN"/>
              </w:rPr>
              <w:t>镀膜玻璃生产线</w:t>
            </w:r>
            <w:r>
              <w:rPr>
                <w:rFonts w:hint="eastAsia"/>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lang w:eastAsia="zh-CN"/>
              </w:rPr>
              <w:t>项目利用1#车间建设1条钢化玻璃生产线，</w:t>
            </w:r>
            <w:r>
              <w:rPr>
                <w:rFonts w:hint="eastAsia"/>
                <w:b w:val="0"/>
                <w:bCs w:val="0"/>
                <w:color w:val="auto"/>
                <w:sz w:val="24"/>
                <w:szCs w:val="24"/>
                <w:vertAlign w:val="baseline"/>
                <w:lang w:val="en-US" w:eastAsia="zh-CN"/>
              </w:rPr>
              <w:t>1条</w:t>
            </w:r>
            <w:r>
              <w:rPr>
                <w:rFonts w:hint="eastAsia"/>
                <w:b w:val="0"/>
                <w:bCs w:val="0"/>
                <w:color w:val="auto"/>
                <w:sz w:val="24"/>
                <w:szCs w:val="24"/>
                <w:vertAlign w:val="baseline"/>
                <w:lang w:eastAsia="zh-CN"/>
              </w:rPr>
              <w:t>镀膜玻璃生产线</w:t>
            </w:r>
            <w:r>
              <w:rPr>
                <w:rFonts w:hint="eastAsia"/>
                <w:b w:val="0"/>
                <w:bCs w:val="0"/>
                <w:color w:val="auto"/>
                <w:sz w:val="24"/>
                <w:szCs w:val="24"/>
                <w:vertAlign w:val="baseline"/>
                <w:lang w:val="en-US" w:eastAsia="zh-CN"/>
              </w:rPr>
              <w:t>，钢化玻璃</w:t>
            </w:r>
            <w:r>
              <w:rPr>
                <w:rFonts w:hint="default" w:ascii="Times New Roman" w:hAnsi="Times New Roman" w:eastAsia="宋体" w:cs="Times New Roman"/>
                <w:b w:val="0"/>
                <w:bCs w:val="0"/>
                <w:color w:val="auto"/>
                <w:sz w:val="24"/>
                <w:szCs w:val="24"/>
                <w:lang w:eastAsia="zh-CN"/>
              </w:rPr>
              <w:t>年产量为35万</w:t>
            </w:r>
            <w:r>
              <w:rPr>
                <w:rFonts w:hint="eastAsia"/>
                <w:b w:val="0"/>
                <w:bCs w:val="0"/>
                <w:color w:val="auto"/>
                <w:sz w:val="24"/>
                <w:szCs w:val="24"/>
              </w:rPr>
              <w:t>m</w:t>
            </w:r>
            <w:r>
              <w:rPr>
                <w:rFonts w:hint="eastAsia"/>
                <w:b w:val="0"/>
                <w:bCs w:val="0"/>
                <w:color w:val="auto"/>
                <w:sz w:val="24"/>
                <w:szCs w:val="24"/>
                <w:vertAlign w:val="superscript"/>
              </w:rPr>
              <w:t>2</w:t>
            </w:r>
            <w:r>
              <w:rPr>
                <w:rFonts w:hint="eastAsia" w:cs="Times New Roman"/>
                <w:b w:val="0"/>
                <w:bCs w:val="0"/>
                <w:color w:val="auto"/>
                <w:sz w:val="24"/>
                <w:szCs w:val="24"/>
                <w:lang w:eastAsia="zh-CN"/>
              </w:rPr>
              <w:t>，镀膜玻璃</w:t>
            </w:r>
            <w:r>
              <w:rPr>
                <w:rFonts w:hint="eastAsia"/>
                <w:b w:val="0"/>
                <w:bCs w:val="0"/>
                <w:color w:val="auto"/>
                <w:sz w:val="24"/>
                <w:szCs w:val="24"/>
                <w:vertAlign w:val="baseline"/>
                <w:lang w:val="en-US" w:eastAsia="zh-CN"/>
              </w:rPr>
              <w:t>年产量为30万m</w:t>
            </w:r>
            <w:r>
              <w:rPr>
                <w:rFonts w:hint="eastAsia"/>
                <w:b w:val="0"/>
                <w:bCs w:val="0"/>
                <w:color w:val="auto"/>
                <w:sz w:val="24"/>
                <w:szCs w:val="24"/>
                <w:vertAlign w:val="superscript"/>
                <w:lang w:val="en-US" w:eastAsia="zh-CN"/>
              </w:rPr>
              <w:t>2</w:t>
            </w:r>
            <w:r>
              <w:rPr>
                <w:rFonts w:hint="eastAsia" w:cs="Times New Roman"/>
                <w:b w:val="0"/>
                <w:bCs w:val="0"/>
                <w:color w:val="auto"/>
                <w:sz w:val="24"/>
                <w:szCs w:val="24"/>
                <w:lang w:eastAsia="zh-CN"/>
              </w:rPr>
              <w:t>，验收后根据疫情及市场情况，项目取消并拆除镀膜玻璃生产线。</w:t>
            </w:r>
            <w:r>
              <w:rPr>
                <w:rFonts w:hint="eastAsia" w:ascii="Times New Roman" w:hAnsi="Times New Roman" w:eastAsia="宋体" w:cs="Times New Roman"/>
                <w:b w:val="0"/>
                <w:bCs w:val="0"/>
                <w:color w:val="auto"/>
                <w:sz w:val="24"/>
                <w:szCs w:val="24"/>
                <w:lang w:eastAsia="zh-CN"/>
              </w:rPr>
              <w:t>验收时</w:t>
            </w:r>
            <w:r>
              <w:rPr>
                <w:rFonts w:hint="default" w:ascii="Times New Roman" w:hAnsi="Times New Roman" w:eastAsia="宋体" w:cs="Times New Roman"/>
                <w:b w:val="0"/>
                <w:bCs w:val="0"/>
                <w:color w:val="auto"/>
                <w:sz w:val="24"/>
                <w:szCs w:val="24"/>
                <w:lang w:eastAsia="zh-CN"/>
              </w:rPr>
              <w:t>夹胶玻璃生产线</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中空玻璃生产线</w:t>
            </w:r>
            <w:r>
              <w:rPr>
                <w:rFonts w:hint="eastAsia" w:ascii="Times New Roman" w:hAnsi="Times New Roman" w:eastAsia="宋体" w:cs="Times New Roman"/>
                <w:b w:val="0"/>
                <w:bCs w:val="0"/>
                <w:color w:val="auto"/>
                <w:sz w:val="24"/>
                <w:szCs w:val="24"/>
                <w:lang w:eastAsia="zh-CN"/>
              </w:rPr>
              <w:t>生产线未上，现厂区内已</w:t>
            </w:r>
            <w:r>
              <w:rPr>
                <w:rFonts w:hint="eastAsia" w:cs="Times New Roman"/>
                <w:b w:val="0"/>
                <w:bCs w:val="0"/>
                <w:color w:val="auto"/>
                <w:sz w:val="24"/>
                <w:szCs w:val="24"/>
                <w:lang w:eastAsia="zh-CN"/>
              </w:rPr>
              <w:t>在</w:t>
            </w:r>
            <w:r>
              <w:rPr>
                <w:rFonts w:hint="eastAsia" w:cs="Times New Roman"/>
                <w:b w:val="0"/>
                <w:bCs w:val="0"/>
                <w:color w:val="auto"/>
                <w:sz w:val="24"/>
                <w:szCs w:val="24"/>
                <w:lang w:val="en-US" w:eastAsia="zh-CN"/>
              </w:rPr>
              <w:t>2#车间</w:t>
            </w:r>
            <w:r>
              <w:rPr>
                <w:rFonts w:hint="eastAsia" w:ascii="Times New Roman" w:hAnsi="Times New Roman" w:eastAsia="宋体" w:cs="Times New Roman"/>
                <w:b w:val="0"/>
                <w:bCs w:val="0"/>
                <w:color w:val="auto"/>
                <w:sz w:val="24"/>
                <w:szCs w:val="24"/>
                <w:lang w:eastAsia="zh-CN"/>
              </w:rPr>
              <w:t>建一条夹胶玻璃生产线，</w:t>
            </w:r>
            <w:r>
              <w:rPr>
                <w:rFonts w:hint="default" w:ascii="Times New Roman" w:hAnsi="Times New Roman" w:eastAsia="宋体" w:cs="Times New Roman"/>
                <w:b w:val="0"/>
                <w:bCs w:val="0"/>
                <w:color w:val="auto"/>
                <w:sz w:val="24"/>
                <w:szCs w:val="24"/>
                <w:lang w:eastAsia="zh-CN"/>
              </w:rPr>
              <w:t>年产量为10万</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lang w:eastAsia="zh-CN"/>
              </w:rPr>
              <w:t>1条中空玻璃生产线，年产量为65万</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vertAlign w:val="baseline"/>
                <w:lang w:eastAsia="zh-CN"/>
              </w:rPr>
              <w:t>，将后续与本项目一起验收。</w:t>
            </w:r>
          </w:p>
          <w:p>
            <w:pPr>
              <w:spacing w:line="360" w:lineRule="auto"/>
              <w:ind w:firstLine="480" w:firstLineChars="200"/>
              <w:rPr>
                <w:sz w:val="24"/>
                <w:szCs w:val="24"/>
              </w:rPr>
            </w:pPr>
            <w:r>
              <w:rPr>
                <w:rFonts w:hint="eastAsia"/>
                <w:sz w:val="24"/>
                <w:szCs w:val="24"/>
                <w:lang w:eastAsia="zh-CN"/>
              </w:rPr>
              <w:t>根据</w:t>
            </w:r>
            <w:r>
              <w:rPr>
                <w:rFonts w:hint="eastAsia"/>
                <w:sz w:val="24"/>
                <w:szCs w:val="24"/>
              </w:rPr>
              <w:t>市场发展的需求</w:t>
            </w:r>
            <w:r>
              <w:rPr>
                <w:rFonts w:hint="eastAsia"/>
                <w:sz w:val="24"/>
                <w:szCs w:val="24"/>
                <w:lang w:eastAsia="zh-CN"/>
              </w:rPr>
              <w:t>，</w:t>
            </w:r>
            <w:r>
              <w:rPr>
                <w:rFonts w:hint="eastAsia"/>
                <w:sz w:val="24"/>
                <w:szCs w:val="24"/>
              </w:rPr>
              <w:t>对现有项目的加工进行扩建，增加一条</w:t>
            </w:r>
            <w:r>
              <w:rPr>
                <w:rFonts w:hint="eastAsia"/>
                <w:sz w:val="24"/>
                <w:szCs w:val="24"/>
                <w:lang w:eastAsia="zh-CN"/>
              </w:rPr>
              <w:t>纳米</w:t>
            </w:r>
            <w:r>
              <w:rPr>
                <w:rFonts w:hint="eastAsia"/>
                <w:sz w:val="24"/>
                <w:szCs w:val="24"/>
              </w:rPr>
              <w:t>镀膜生产线，对钢化后的玻璃进行</w:t>
            </w:r>
            <w:r>
              <w:rPr>
                <w:rFonts w:hint="eastAsia"/>
                <w:sz w:val="24"/>
                <w:szCs w:val="24"/>
                <w:lang w:eastAsia="zh-CN"/>
              </w:rPr>
              <w:t>纳米</w:t>
            </w:r>
            <w:r>
              <w:rPr>
                <w:rFonts w:hint="eastAsia"/>
                <w:sz w:val="24"/>
                <w:szCs w:val="24"/>
              </w:rPr>
              <w:t>镀膜加工</w:t>
            </w:r>
            <w:r>
              <w:rPr>
                <w:rFonts w:hint="eastAsia"/>
                <w:sz w:val="24"/>
                <w:szCs w:val="24"/>
                <w:lang w:eastAsia="zh-CN"/>
              </w:rPr>
              <w:t>，项目</w:t>
            </w:r>
            <w:r>
              <w:rPr>
                <w:rFonts w:hint="eastAsia"/>
                <w:sz w:val="24"/>
                <w:szCs w:val="24"/>
              </w:rPr>
              <w:t>投资2800</w:t>
            </w:r>
            <w:r>
              <w:rPr>
                <w:rFonts w:cs="Times New Roman"/>
                <w:sz w:val="24"/>
                <w:szCs w:val="24"/>
              </w:rPr>
              <w:t>万元</w:t>
            </w:r>
            <w:r>
              <w:rPr>
                <w:rFonts w:hint="eastAsia" w:cs="Times New Roman"/>
                <w:sz w:val="24"/>
                <w:szCs w:val="24"/>
                <w:lang w:eastAsia="zh-CN"/>
              </w:rPr>
              <w:t>，新建</w:t>
            </w:r>
            <w:r>
              <w:rPr>
                <w:rFonts w:hint="eastAsia"/>
                <w:sz w:val="24"/>
                <w:szCs w:val="24"/>
              </w:rPr>
              <w:t>标准化钢结构厂房</w:t>
            </w:r>
            <w:r>
              <w:rPr>
                <w:rFonts w:hint="eastAsia"/>
                <w:sz w:val="24"/>
                <w:szCs w:val="24"/>
                <w:lang w:eastAsia="zh-CN"/>
              </w:rPr>
              <w:t>（镀膜车间）</w:t>
            </w:r>
            <w:r>
              <w:rPr>
                <w:rFonts w:hint="eastAsia"/>
                <w:sz w:val="24"/>
                <w:szCs w:val="24"/>
              </w:rPr>
              <w:t>8</w:t>
            </w:r>
            <w:r>
              <w:rPr>
                <w:rFonts w:hint="eastAsia"/>
                <w:sz w:val="24"/>
                <w:szCs w:val="24"/>
                <w:lang w:val="en-US" w:eastAsia="zh-CN"/>
              </w:rPr>
              <w:t>000</w:t>
            </w:r>
            <w:r>
              <w:rPr>
                <w:rFonts w:hint="eastAsia"/>
                <w:sz w:val="24"/>
                <w:szCs w:val="24"/>
              </w:rPr>
              <w:t>m</w:t>
            </w:r>
            <w:r>
              <w:rPr>
                <w:rFonts w:hint="eastAsia"/>
                <w:sz w:val="24"/>
                <w:szCs w:val="24"/>
                <w:vertAlign w:val="superscript"/>
              </w:rPr>
              <w:t>2</w:t>
            </w:r>
            <w:r>
              <w:rPr>
                <w:rFonts w:hint="eastAsia"/>
                <w:sz w:val="24"/>
                <w:szCs w:val="24"/>
              </w:rPr>
              <w:t>，购置下片台、风冷输送机、精密闪干流平机－后翻转、精密激光镭射镀膜机、清洗机、精密紫外固化机</w:t>
            </w:r>
            <w:r>
              <w:rPr>
                <w:rFonts w:hint="eastAsia"/>
                <w:sz w:val="24"/>
                <w:szCs w:val="24"/>
                <w:lang w:eastAsia="zh-CN"/>
              </w:rPr>
              <w:t>等</w:t>
            </w:r>
            <w:r>
              <w:rPr>
                <w:rFonts w:hint="eastAsia"/>
                <w:sz w:val="24"/>
                <w:szCs w:val="24"/>
              </w:rPr>
              <w:t>构建1条纳米涂膜生产线，建成后纳米涂膜玻璃年生产能力达60万m</w:t>
            </w:r>
            <w:r>
              <w:rPr>
                <w:rFonts w:hint="eastAsia"/>
                <w:sz w:val="24"/>
                <w:szCs w:val="24"/>
                <w:vertAlign w:val="superscript"/>
              </w:rPr>
              <w:t>2</w:t>
            </w:r>
            <w:r>
              <w:rPr>
                <w:rFonts w:hint="eastAsia"/>
                <w:sz w:val="24"/>
                <w:szCs w:val="24"/>
              </w:rPr>
              <w:t>。</w:t>
            </w:r>
          </w:p>
          <w:p>
            <w:pPr>
              <w:spacing w:line="360" w:lineRule="auto"/>
              <w:ind w:firstLine="480" w:firstLineChars="200"/>
              <w:rPr>
                <w:sz w:val="24"/>
                <w:szCs w:val="24"/>
              </w:rPr>
            </w:pPr>
            <w:r>
              <w:rPr>
                <w:rFonts w:hint="eastAsia"/>
                <w:sz w:val="24"/>
                <w:szCs w:val="24"/>
              </w:rPr>
              <w:t>按照《中华人民共和国环境保护法》、《中华人民共和国环境影响评价法》以及国务院令第682号《建设项目环境保护管理条例》的要求，本项目需进行环境影响评价。依据《建设项目环境影响评价分类管理名录（2021年版）》中“二十七、非金属矿物制品业30、57.玻璃制品制造305/特种玻璃制造；其他玻璃制造；玻璃制品制造（电加热的除外；仅切割、打磨、成型的除外）”的划分，项目环境影响评价形式为报告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表2-1  本项目编制环境影响评价报告表的符合性</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23"/>
              <w:gridCol w:w="1490"/>
              <w:gridCol w:w="2431"/>
              <w:gridCol w:w="810"/>
              <w:gridCol w:w="15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6" w:type="pct"/>
                  <w:tcBorders>
                    <w:tl2br w:val="nil"/>
                    <w:tr2bl w:val="nil"/>
                  </w:tcBorders>
                  <w:vAlign w:val="center"/>
                </w:tcPr>
                <w:p>
                  <w:pPr>
                    <w:adjustRightInd w:val="0"/>
                    <w:snapToGrid w:val="0"/>
                    <w:jc w:val="center"/>
                    <w:rPr>
                      <w:rFonts w:cs="Times New Roman"/>
                      <w:b/>
                      <w:bCs/>
                      <w:snapToGrid w:val="0"/>
                      <w:szCs w:val="21"/>
                    </w:rPr>
                  </w:pPr>
                  <w:r>
                    <w:rPr>
                      <w:rFonts w:cs="Times New Roman"/>
                      <w:b/>
                      <w:bCs/>
                      <w:snapToGrid w:val="0"/>
                      <w:szCs w:val="21"/>
                    </w:rPr>
                    <w:t>环评类别项目类别</w:t>
                  </w:r>
                </w:p>
              </w:tc>
              <w:tc>
                <w:tcPr>
                  <w:tcW w:w="911" w:type="pct"/>
                  <w:tcBorders>
                    <w:tl2br w:val="nil"/>
                    <w:tr2bl w:val="nil"/>
                  </w:tcBorders>
                  <w:vAlign w:val="center"/>
                </w:tcPr>
                <w:p>
                  <w:pPr>
                    <w:adjustRightInd w:val="0"/>
                    <w:snapToGrid w:val="0"/>
                    <w:jc w:val="center"/>
                    <w:rPr>
                      <w:rFonts w:cs="Times New Roman"/>
                      <w:b/>
                      <w:bCs/>
                      <w:snapToGrid w:val="0"/>
                      <w:szCs w:val="21"/>
                    </w:rPr>
                  </w:pPr>
                  <w:r>
                    <w:rPr>
                      <w:rFonts w:cs="Times New Roman"/>
                      <w:b/>
                      <w:bCs/>
                      <w:snapToGrid w:val="0"/>
                      <w:szCs w:val="21"/>
                    </w:rPr>
                    <w:t>报告书</w:t>
                  </w:r>
                </w:p>
              </w:tc>
              <w:tc>
                <w:tcPr>
                  <w:tcW w:w="1486" w:type="pct"/>
                  <w:tcBorders>
                    <w:tl2br w:val="nil"/>
                    <w:tr2bl w:val="nil"/>
                  </w:tcBorders>
                  <w:vAlign w:val="center"/>
                </w:tcPr>
                <w:p>
                  <w:pPr>
                    <w:adjustRightInd w:val="0"/>
                    <w:snapToGrid w:val="0"/>
                    <w:jc w:val="center"/>
                    <w:rPr>
                      <w:rFonts w:cs="Times New Roman"/>
                      <w:b/>
                      <w:bCs/>
                      <w:snapToGrid w:val="0"/>
                      <w:szCs w:val="21"/>
                    </w:rPr>
                  </w:pPr>
                  <w:r>
                    <w:rPr>
                      <w:rFonts w:cs="Times New Roman"/>
                      <w:b/>
                      <w:bCs/>
                      <w:snapToGrid w:val="0"/>
                      <w:szCs w:val="21"/>
                    </w:rPr>
                    <w:t>报告表</w:t>
                  </w:r>
                </w:p>
              </w:tc>
              <w:tc>
                <w:tcPr>
                  <w:tcW w:w="495" w:type="pct"/>
                  <w:tcBorders>
                    <w:tl2br w:val="nil"/>
                    <w:tr2bl w:val="nil"/>
                  </w:tcBorders>
                  <w:vAlign w:val="center"/>
                </w:tcPr>
                <w:p>
                  <w:pPr>
                    <w:adjustRightInd w:val="0"/>
                    <w:snapToGrid w:val="0"/>
                    <w:jc w:val="center"/>
                    <w:rPr>
                      <w:rFonts w:cs="Times New Roman"/>
                      <w:b/>
                      <w:bCs/>
                      <w:snapToGrid w:val="0"/>
                      <w:szCs w:val="21"/>
                    </w:rPr>
                  </w:pPr>
                  <w:r>
                    <w:rPr>
                      <w:rFonts w:cs="Times New Roman"/>
                      <w:b/>
                      <w:bCs/>
                      <w:snapToGrid w:val="0"/>
                      <w:szCs w:val="21"/>
                    </w:rPr>
                    <w:t>登记表</w:t>
                  </w:r>
                </w:p>
              </w:tc>
              <w:tc>
                <w:tcPr>
                  <w:tcW w:w="929" w:type="pct"/>
                  <w:tcBorders>
                    <w:tl2br w:val="nil"/>
                    <w:tr2bl w:val="nil"/>
                  </w:tcBorders>
                  <w:vAlign w:val="center"/>
                </w:tcPr>
                <w:p>
                  <w:pPr>
                    <w:adjustRightInd w:val="0"/>
                    <w:snapToGrid w:val="0"/>
                    <w:jc w:val="center"/>
                    <w:rPr>
                      <w:rFonts w:cs="Times New Roman"/>
                      <w:b/>
                      <w:bCs/>
                      <w:snapToGrid w:val="0"/>
                      <w:szCs w:val="21"/>
                    </w:rPr>
                  </w:pPr>
                  <w:r>
                    <w:rPr>
                      <w:rFonts w:cs="Times New Roman"/>
                      <w:b/>
                      <w:bCs/>
                      <w:snapToGrid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vAlign w:val="center"/>
                </w:tcPr>
                <w:p>
                  <w:pPr>
                    <w:adjustRightInd w:val="0"/>
                    <w:snapToGrid w:val="0"/>
                    <w:jc w:val="center"/>
                    <w:rPr>
                      <w:rFonts w:cs="Times New Roman"/>
                      <w:snapToGrid w:val="0"/>
                      <w:szCs w:val="21"/>
                    </w:rPr>
                  </w:pPr>
                  <w:r>
                    <w:rPr>
                      <w:rFonts w:hint="eastAsia" w:cs="Times New Roman"/>
                      <w:snapToGrid w:val="0"/>
                      <w:szCs w:val="21"/>
                    </w:rPr>
                    <w:t>二十七、非金属矿物制品业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6" w:type="pct"/>
                  <w:tcBorders>
                    <w:tl2br w:val="nil"/>
                    <w:tr2bl w:val="nil"/>
                  </w:tcBorders>
                  <w:vAlign w:val="center"/>
                </w:tcPr>
                <w:p>
                  <w:pPr>
                    <w:adjustRightInd w:val="0"/>
                    <w:snapToGrid w:val="0"/>
                    <w:jc w:val="center"/>
                    <w:rPr>
                      <w:rFonts w:cs="Times New Roman"/>
                      <w:snapToGrid w:val="0"/>
                      <w:szCs w:val="21"/>
                    </w:rPr>
                  </w:pPr>
                  <w:r>
                    <w:rPr>
                      <w:rFonts w:hint="eastAsia" w:cs="Times New Roman"/>
                      <w:snapToGrid w:val="0"/>
                      <w:szCs w:val="21"/>
                    </w:rPr>
                    <w:t>玻璃制品制造305</w:t>
                  </w:r>
                </w:p>
              </w:tc>
              <w:tc>
                <w:tcPr>
                  <w:tcW w:w="911" w:type="pct"/>
                  <w:tcBorders>
                    <w:tl2br w:val="nil"/>
                    <w:tr2bl w:val="nil"/>
                  </w:tcBorders>
                  <w:vAlign w:val="center"/>
                </w:tcPr>
                <w:p>
                  <w:pPr>
                    <w:adjustRightInd w:val="0"/>
                    <w:snapToGrid w:val="0"/>
                    <w:jc w:val="center"/>
                    <w:rPr>
                      <w:rFonts w:cs="Times New Roman"/>
                      <w:snapToGrid w:val="0"/>
                      <w:szCs w:val="21"/>
                    </w:rPr>
                  </w:pPr>
                  <w:r>
                    <w:rPr>
                      <w:rFonts w:hint="eastAsia" w:cs="Times New Roman"/>
                      <w:snapToGrid w:val="0"/>
                      <w:szCs w:val="21"/>
                    </w:rPr>
                    <w:t>平板玻璃制造</w:t>
                  </w:r>
                </w:p>
              </w:tc>
              <w:tc>
                <w:tcPr>
                  <w:tcW w:w="1486" w:type="pct"/>
                  <w:tcBorders>
                    <w:tl2br w:val="nil"/>
                    <w:tr2bl w:val="nil"/>
                  </w:tcBorders>
                  <w:vAlign w:val="center"/>
                </w:tcPr>
                <w:p>
                  <w:pPr>
                    <w:adjustRightInd w:val="0"/>
                    <w:snapToGrid w:val="0"/>
                    <w:jc w:val="center"/>
                    <w:rPr>
                      <w:rFonts w:cs="Times New Roman"/>
                      <w:snapToGrid w:val="0"/>
                      <w:szCs w:val="21"/>
                    </w:rPr>
                  </w:pPr>
                  <w:r>
                    <w:rPr>
                      <w:rFonts w:hint="eastAsia" w:cs="Times New Roman"/>
                      <w:snapToGrid w:val="0"/>
                      <w:szCs w:val="21"/>
                    </w:rPr>
                    <w:t>特种玻璃制造；其他玻璃制造；玻璃制品制造（电加热的除外；仅切割、打磨、成型的除外）</w:t>
                  </w:r>
                </w:p>
              </w:tc>
              <w:tc>
                <w:tcPr>
                  <w:tcW w:w="495" w:type="pct"/>
                  <w:tcBorders>
                    <w:tl2br w:val="nil"/>
                    <w:tr2bl w:val="nil"/>
                  </w:tcBorders>
                  <w:vAlign w:val="center"/>
                </w:tcPr>
                <w:p>
                  <w:pPr>
                    <w:adjustRightInd w:val="0"/>
                    <w:snapToGrid w:val="0"/>
                    <w:jc w:val="center"/>
                    <w:rPr>
                      <w:rFonts w:cs="Times New Roman"/>
                      <w:snapToGrid w:val="0"/>
                      <w:szCs w:val="21"/>
                    </w:rPr>
                  </w:pPr>
                  <w:r>
                    <w:rPr>
                      <w:rFonts w:cs="Times New Roman"/>
                      <w:snapToGrid w:val="0"/>
                      <w:szCs w:val="21"/>
                    </w:rPr>
                    <w:t>/</w:t>
                  </w:r>
                </w:p>
              </w:tc>
              <w:tc>
                <w:tcPr>
                  <w:tcW w:w="929" w:type="pct"/>
                  <w:tcBorders>
                    <w:tl2br w:val="nil"/>
                    <w:tr2bl w:val="nil"/>
                  </w:tcBorders>
                  <w:vAlign w:val="center"/>
                </w:tcPr>
                <w:p>
                  <w:pPr>
                    <w:adjustRightInd w:val="0"/>
                    <w:snapToGrid w:val="0"/>
                    <w:jc w:val="center"/>
                    <w:rPr>
                      <w:rFonts w:cs="Times New Roman"/>
                      <w:snapToGrid w:val="0"/>
                      <w:szCs w:val="21"/>
                    </w:rPr>
                  </w:pPr>
                  <w:r>
                    <w:rPr>
                      <w:rFonts w:cs="Times New Roman"/>
                      <w:snapToGrid w:val="0"/>
                      <w:szCs w:val="21"/>
                    </w:rPr>
                    <w:t>本项目属于</w:t>
                  </w:r>
                  <w:r>
                    <w:rPr>
                      <w:rFonts w:hint="eastAsia" w:cs="Times New Roman"/>
                      <w:snapToGrid w:val="0"/>
                      <w:szCs w:val="21"/>
                      <w:lang w:eastAsia="zh-CN"/>
                    </w:rPr>
                    <w:t>特种</w:t>
                  </w:r>
                  <w:r>
                    <w:rPr>
                      <w:rFonts w:hint="eastAsia" w:cs="Times New Roman"/>
                      <w:snapToGrid w:val="0"/>
                      <w:szCs w:val="21"/>
                    </w:rPr>
                    <w:t>玻璃制造，涉及涂膜工序</w:t>
                  </w:r>
                </w:p>
              </w:tc>
            </w:tr>
          </w:tbl>
          <w:p>
            <w:pPr>
              <w:spacing w:line="360" w:lineRule="auto"/>
              <w:ind w:firstLine="480" w:firstLineChars="200"/>
              <w:rPr>
                <w:sz w:val="24"/>
                <w:szCs w:val="24"/>
              </w:rPr>
            </w:pPr>
            <w:r>
              <w:rPr>
                <w:rFonts w:hint="eastAsia"/>
                <w:sz w:val="24"/>
                <w:szCs w:val="24"/>
              </w:rPr>
              <w:t>为此，四川宇光光学玻璃有限公司特委托我公司进行环境影响评价工作。我公司接受委托后，即派相关技术人员到项目现场进行实地踏勘和资料收集，并按照有关技术规范有关规定，编制该项目环境影响报告表，供生态环境主管部门审查。</w:t>
            </w:r>
          </w:p>
          <w:p>
            <w:pPr>
              <w:spacing w:line="360" w:lineRule="auto"/>
              <w:ind w:firstLine="482" w:firstLineChars="200"/>
              <w:rPr>
                <w:rFonts w:cs="Times New Roman"/>
                <w:b/>
                <w:sz w:val="24"/>
                <w:szCs w:val="24"/>
              </w:rPr>
            </w:pPr>
            <w:r>
              <w:rPr>
                <w:rFonts w:cs="Times New Roman"/>
                <w:b/>
                <w:sz w:val="24"/>
                <w:szCs w:val="24"/>
              </w:rPr>
              <w:t>2、项目概况</w:t>
            </w:r>
          </w:p>
          <w:p>
            <w:pPr>
              <w:spacing w:line="360" w:lineRule="auto"/>
              <w:ind w:firstLine="480" w:firstLineChars="200"/>
              <w:rPr>
                <w:rFonts w:hint="eastAsia" w:eastAsia="宋体"/>
                <w:sz w:val="24"/>
                <w:szCs w:val="24"/>
                <w:lang w:eastAsia="zh-CN"/>
              </w:rPr>
            </w:pPr>
            <w:r>
              <w:rPr>
                <w:rFonts w:hint="eastAsia"/>
                <w:sz w:val="24"/>
                <w:szCs w:val="24"/>
              </w:rPr>
              <w:t>项目名称：</w:t>
            </w:r>
            <w:r>
              <w:rPr>
                <w:rFonts w:hint="eastAsia"/>
                <w:sz w:val="24"/>
                <w:szCs w:val="24"/>
                <w:lang w:eastAsia="zh-CN"/>
              </w:rPr>
              <w:t>纳米涂膜玻璃生产项目</w:t>
            </w:r>
          </w:p>
          <w:p>
            <w:pPr>
              <w:spacing w:line="360" w:lineRule="auto"/>
              <w:ind w:firstLine="480" w:firstLineChars="200"/>
              <w:rPr>
                <w:sz w:val="24"/>
                <w:szCs w:val="24"/>
              </w:rPr>
            </w:pPr>
            <w:r>
              <w:rPr>
                <w:rFonts w:hint="eastAsia"/>
                <w:sz w:val="24"/>
                <w:szCs w:val="24"/>
              </w:rPr>
              <w:t>建设单位：四川宇光光学玻璃有限公司</w:t>
            </w:r>
          </w:p>
          <w:p>
            <w:pPr>
              <w:spacing w:line="360" w:lineRule="auto"/>
              <w:ind w:firstLine="480" w:firstLineChars="200"/>
              <w:rPr>
                <w:rFonts w:hint="eastAsia" w:eastAsia="宋体"/>
                <w:sz w:val="24"/>
                <w:szCs w:val="24"/>
                <w:lang w:eastAsia="zh-CN"/>
              </w:rPr>
            </w:pPr>
            <w:r>
              <w:rPr>
                <w:rFonts w:hint="eastAsia"/>
                <w:sz w:val="24"/>
                <w:szCs w:val="24"/>
              </w:rPr>
              <w:t>建设地点：</w:t>
            </w:r>
            <w:r>
              <w:rPr>
                <w:rFonts w:hint="eastAsia" w:cs="Times New Roman"/>
                <w:sz w:val="24"/>
                <w:szCs w:val="24"/>
                <w:lang w:eastAsia="zh-CN"/>
              </w:rPr>
              <w:t>巴中经济开发区</w:t>
            </w:r>
            <w:r>
              <w:rPr>
                <w:rFonts w:hint="eastAsia" w:cs="Times New Roman"/>
                <w:sz w:val="24"/>
                <w:szCs w:val="24"/>
              </w:rPr>
              <w:t>中山北路17号</w:t>
            </w:r>
            <w:r>
              <w:rPr>
                <w:rFonts w:hint="eastAsia" w:cs="Times New Roman"/>
                <w:sz w:val="24"/>
                <w:szCs w:val="24"/>
                <w:lang w:eastAsia="zh-CN"/>
              </w:rPr>
              <w:t>（原项目厂区内）</w:t>
            </w:r>
          </w:p>
          <w:p>
            <w:pPr>
              <w:spacing w:line="360" w:lineRule="auto"/>
              <w:ind w:firstLine="480" w:firstLineChars="200"/>
              <w:rPr>
                <w:sz w:val="24"/>
                <w:szCs w:val="24"/>
              </w:rPr>
            </w:pPr>
            <w:r>
              <w:rPr>
                <w:rFonts w:hint="eastAsia"/>
                <w:sz w:val="24"/>
                <w:szCs w:val="24"/>
              </w:rPr>
              <w:t>建设性质：扩建</w:t>
            </w:r>
          </w:p>
          <w:p>
            <w:pPr>
              <w:spacing w:line="360" w:lineRule="auto"/>
              <w:ind w:firstLine="480" w:firstLineChars="200"/>
              <w:rPr>
                <w:sz w:val="24"/>
                <w:szCs w:val="24"/>
              </w:rPr>
            </w:pPr>
            <w:r>
              <w:rPr>
                <w:rFonts w:hint="eastAsia"/>
                <w:sz w:val="24"/>
                <w:szCs w:val="24"/>
              </w:rPr>
              <w:t>项目投资：总投资2800</w:t>
            </w:r>
            <w:r>
              <w:rPr>
                <w:rFonts w:cs="Times New Roman"/>
                <w:sz w:val="24"/>
                <w:szCs w:val="24"/>
              </w:rPr>
              <w:t>万元</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产品</w:t>
            </w:r>
            <w:r>
              <w:rPr>
                <w:rFonts w:cs="Times New Roman"/>
                <w:b/>
                <w:sz w:val="24"/>
                <w:szCs w:val="24"/>
              </w:rPr>
              <w:t>方案</w:t>
            </w:r>
          </w:p>
          <w:p>
            <w:pPr>
              <w:spacing w:line="360" w:lineRule="auto"/>
              <w:ind w:firstLine="480" w:firstLineChars="200"/>
              <w:rPr>
                <w:rFonts w:cstheme="minorHAnsi"/>
                <w:sz w:val="24"/>
                <w:szCs w:val="24"/>
              </w:rPr>
            </w:pPr>
            <w:r>
              <w:rPr>
                <w:rFonts w:hint="eastAsia" w:cstheme="minorHAnsi"/>
                <w:sz w:val="24"/>
                <w:szCs w:val="24"/>
              </w:rPr>
              <w:t>本</w:t>
            </w:r>
            <w:r>
              <w:rPr>
                <w:rFonts w:hint="eastAsia"/>
                <w:sz w:val="24"/>
                <w:szCs w:val="24"/>
              </w:rPr>
              <w:t>项目</w:t>
            </w:r>
            <w:r>
              <w:rPr>
                <w:rFonts w:hint="eastAsia" w:cstheme="minorHAnsi"/>
                <w:sz w:val="24"/>
                <w:szCs w:val="24"/>
              </w:rPr>
              <w:t>产品</w:t>
            </w:r>
            <w:r>
              <w:rPr>
                <w:rFonts w:cstheme="minorHAnsi"/>
                <w:sz w:val="24"/>
                <w:szCs w:val="24"/>
              </w:rPr>
              <w:t>方案及产能见下表</w:t>
            </w:r>
            <w:r>
              <w:rPr>
                <w:rFonts w:hint="eastAsia" w:cstheme="minorHAnsi"/>
                <w:sz w:val="24"/>
                <w:szCs w:val="24"/>
              </w:rPr>
              <w:t>：</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表2-2   项目</w:t>
            </w:r>
            <w:r>
              <w:rPr>
                <w:rFonts w:hint="eastAsia" w:ascii="Times New Roman" w:hAnsi="Times New Roman" w:eastAsia="宋体" w:cs="Times New Roman"/>
                <w:b/>
                <w:bCs/>
                <w:color w:val="000000"/>
                <w:kern w:val="2"/>
                <w:sz w:val="21"/>
                <w:szCs w:val="21"/>
                <w:lang w:val="en-US" w:eastAsia="zh-CN" w:bidi="ar-SA"/>
              </w:rPr>
              <w:t>产品方案表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2"/>
              <w:gridCol w:w="2114"/>
              <w:gridCol w:w="1147"/>
              <w:gridCol w:w="1147"/>
              <w:gridCol w:w="2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84" w:type="pct"/>
                  <w:tcBorders>
                    <w:tl2br w:val="nil"/>
                    <w:tr2bl w:val="nil"/>
                  </w:tcBorders>
                  <w:vAlign w:val="center"/>
                </w:tcPr>
                <w:p>
                  <w:pPr>
                    <w:pStyle w:val="43"/>
                  </w:pPr>
                  <w:r>
                    <w:t>序号</w:t>
                  </w:r>
                </w:p>
              </w:tc>
              <w:tc>
                <w:tcPr>
                  <w:tcW w:w="1292" w:type="pct"/>
                  <w:tcBorders>
                    <w:tl2br w:val="nil"/>
                    <w:tr2bl w:val="nil"/>
                  </w:tcBorders>
                  <w:vAlign w:val="center"/>
                </w:tcPr>
                <w:p>
                  <w:pPr>
                    <w:pStyle w:val="43"/>
                  </w:pPr>
                  <w:r>
                    <w:t>产品名称</w:t>
                  </w:r>
                </w:p>
              </w:tc>
              <w:tc>
                <w:tcPr>
                  <w:tcW w:w="701" w:type="pct"/>
                  <w:tcBorders>
                    <w:tl2br w:val="nil"/>
                    <w:tr2bl w:val="nil"/>
                  </w:tcBorders>
                  <w:vAlign w:val="center"/>
                </w:tcPr>
                <w:p>
                  <w:pPr>
                    <w:pStyle w:val="43"/>
                  </w:pPr>
                  <w:r>
                    <w:rPr>
                      <w:rFonts w:hint="eastAsia"/>
                    </w:rPr>
                    <w:t>单位</w:t>
                  </w:r>
                </w:p>
              </w:tc>
              <w:tc>
                <w:tcPr>
                  <w:tcW w:w="701" w:type="pct"/>
                  <w:tcBorders>
                    <w:tl2br w:val="nil"/>
                    <w:tr2bl w:val="nil"/>
                  </w:tcBorders>
                  <w:vAlign w:val="center"/>
                </w:tcPr>
                <w:p>
                  <w:pPr>
                    <w:pStyle w:val="43"/>
                  </w:pPr>
                  <w:r>
                    <w:rPr>
                      <w:rFonts w:hint="eastAsia"/>
                    </w:rPr>
                    <w:t>年产能</w:t>
                  </w:r>
                </w:p>
              </w:tc>
              <w:tc>
                <w:tcPr>
                  <w:tcW w:w="1821" w:type="pct"/>
                  <w:tcBorders>
                    <w:tl2br w:val="nil"/>
                    <w:tr2bl w:val="nil"/>
                  </w:tcBorders>
                  <w:vAlign w:val="center"/>
                </w:tcPr>
                <w:p>
                  <w:pPr>
                    <w:pStyle w:val="43"/>
                  </w:pPr>
                  <w:r>
                    <w:rPr>
                      <w:rFonts w:hint="eastAsia"/>
                    </w:rPr>
                    <w:t>产品照片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84" w:type="pct"/>
                  <w:tcBorders>
                    <w:tl2br w:val="nil"/>
                    <w:tr2bl w:val="nil"/>
                  </w:tcBorders>
                  <w:vAlign w:val="center"/>
                </w:tcPr>
                <w:p>
                  <w:pPr>
                    <w:pStyle w:val="6"/>
                    <w:spacing w:line="240" w:lineRule="auto"/>
                    <w:ind w:firstLine="0" w:firstLineChars="0"/>
                    <w:jc w:val="center"/>
                    <w:rPr>
                      <w:sz w:val="21"/>
                      <w:szCs w:val="21"/>
                    </w:rPr>
                  </w:pPr>
                  <w:r>
                    <w:rPr>
                      <w:sz w:val="21"/>
                      <w:szCs w:val="21"/>
                    </w:rPr>
                    <w:t>1</w:t>
                  </w:r>
                </w:p>
              </w:tc>
              <w:tc>
                <w:tcPr>
                  <w:tcW w:w="1292" w:type="pct"/>
                  <w:tcBorders>
                    <w:tl2br w:val="nil"/>
                    <w:tr2bl w:val="nil"/>
                  </w:tcBorders>
                  <w:vAlign w:val="center"/>
                </w:tcPr>
                <w:p>
                  <w:pPr>
                    <w:pStyle w:val="6"/>
                    <w:spacing w:line="240" w:lineRule="auto"/>
                    <w:ind w:firstLine="0" w:firstLineChars="0"/>
                    <w:jc w:val="center"/>
                    <w:rPr>
                      <w:sz w:val="21"/>
                      <w:szCs w:val="21"/>
                    </w:rPr>
                  </w:pPr>
                  <w:r>
                    <w:rPr>
                      <w:rFonts w:hint="eastAsia"/>
                      <w:sz w:val="21"/>
                      <w:szCs w:val="21"/>
                    </w:rPr>
                    <w:t>纳米</w:t>
                  </w:r>
                  <w:r>
                    <w:rPr>
                      <w:rFonts w:hint="eastAsia"/>
                      <w:sz w:val="21"/>
                      <w:szCs w:val="21"/>
                      <w:lang w:eastAsia="zh-CN"/>
                    </w:rPr>
                    <w:t>镀膜</w:t>
                  </w:r>
                  <w:r>
                    <w:rPr>
                      <w:rFonts w:hint="eastAsia"/>
                      <w:sz w:val="21"/>
                      <w:szCs w:val="21"/>
                    </w:rPr>
                    <w:t>玻璃</w:t>
                  </w:r>
                </w:p>
              </w:tc>
              <w:tc>
                <w:tcPr>
                  <w:tcW w:w="701" w:type="pct"/>
                  <w:tcBorders>
                    <w:tl2br w:val="nil"/>
                    <w:tr2bl w:val="nil"/>
                  </w:tcBorders>
                  <w:vAlign w:val="center"/>
                </w:tcPr>
                <w:p>
                  <w:pPr>
                    <w:pStyle w:val="6"/>
                    <w:spacing w:line="240" w:lineRule="auto"/>
                    <w:ind w:firstLine="0" w:firstLineChars="0"/>
                    <w:jc w:val="center"/>
                    <w:rPr>
                      <w:sz w:val="21"/>
                      <w:szCs w:val="21"/>
                    </w:rPr>
                  </w:pPr>
                  <w:r>
                    <w:rPr>
                      <w:rFonts w:hint="eastAsia"/>
                      <w:sz w:val="24"/>
                      <w:szCs w:val="24"/>
                    </w:rPr>
                    <w:t>m</w:t>
                  </w:r>
                  <w:r>
                    <w:rPr>
                      <w:rFonts w:hint="eastAsia"/>
                      <w:sz w:val="24"/>
                      <w:szCs w:val="24"/>
                      <w:vertAlign w:val="superscript"/>
                    </w:rPr>
                    <w:t>2</w:t>
                  </w:r>
                </w:p>
              </w:tc>
              <w:tc>
                <w:tcPr>
                  <w:tcW w:w="701" w:type="pct"/>
                  <w:tcBorders>
                    <w:tl2br w:val="nil"/>
                    <w:tr2bl w:val="nil"/>
                  </w:tcBorders>
                  <w:vAlign w:val="center"/>
                </w:tcPr>
                <w:p>
                  <w:pPr>
                    <w:pStyle w:val="6"/>
                    <w:spacing w:line="240" w:lineRule="auto"/>
                    <w:ind w:firstLine="0" w:firstLineChars="0"/>
                    <w:jc w:val="center"/>
                    <w:rPr>
                      <w:rFonts w:hint="default" w:eastAsia="宋体"/>
                      <w:sz w:val="21"/>
                      <w:szCs w:val="21"/>
                      <w:lang w:val="en-US" w:eastAsia="zh-CN"/>
                    </w:rPr>
                  </w:pPr>
                  <w:r>
                    <w:rPr>
                      <w:rFonts w:hint="eastAsia"/>
                      <w:sz w:val="21"/>
                      <w:szCs w:val="21"/>
                      <w:lang w:val="en-US" w:eastAsia="zh-CN"/>
                    </w:rPr>
                    <w:t>60</w:t>
                  </w:r>
                  <w:r>
                    <w:rPr>
                      <w:rFonts w:hint="eastAsia"/>
                      <w:sz w:val="24"/>
                      <w:szCs w:val="24"/>
                      <w:lang w:eastAsia="zh-CN"/>
                    </w:rPr>
                    <w:t>万</w:t>
                  </w:r>
                </w:p>
              </w:tc>
              <w:tc>
                <w:tcPr>
                  <w:tcW w:w="1821" w:type="pct"/>
                  <w:tcBorders>
                    <w:tl2br w:val="nil"/>
                    <w:tr2bl w:val="nil"/>
                  </w:tcBorders>
                  <w:vAlign w:val="center"/>
                </w:tcPr>
                <w:p>
                  <w:pPr>
                    <w:pStyle w:val="6"/>
                    <w:spacing w:line="240" w:lineRule="auto"/>
                    <w:ind w:firstLine="0" w:firstLineChars="0"/>
                    <w:jc w:val="center"/>
                    <w:rPr>
                      <w:sz w:val="21"/>
                      <w:szCs w:val="21"/>
                    </w:rPr>
                  </w:pPr>
                  <w:r>
                    <w:rPr>
                      <w:rFonts w:ascii="宋体" w:hAnsi="宋体" w:eastAsia="宋体" w:cs="宋体"/>
                      <w:sz w:val="24"/>
                      <w:szCs w:val="24"/>
                    </w:rPr>
                    <w:drawing>
                      <wp:inline distT="0" distB="0" distL="114300" distR="114300">
                        <wp:extent cx="1102360" cy="929005"/>
                        <wp:effectExtent l="0" t="0" r="2540" b="4445"/>
                        <wp:docPr id="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56"/>
                                <pic:cNvPicPr>
                                  <a:picLocks noChangeAspect="1"/>
                                </pic:cNvPicPr>
                              </pic:nvPicPr>
                              <pic:blipFill>
                                <a:blip r:embed="rId9"/>
                                <a:stretch>
                                  <a:fillRect/>
                                </a:stretch>
                              </pic:blipFill>
                              <pic:spPr>
                                <a:xfrm>
                                  <a:off x="0" y="0"/>
                                  <a:ext cx="1102360" cy="929005"/>
                                </a:xfrm>
                                <a:prstGeom prst="rect">
                                  <a:avLst/>
                                </a:prstGeom>
                                <a:noFill/>
                                <a:ln w="9525">
                                  <a:noFill/>
                                </a:ln>
                              </pic:spPr>
                            </pic:pic>
                          </a:graphicData>
                        </a:graphic>
                      </wp:inline>
                    </w:drawing>
                  </w:r>
                </w:p>
              </w:tc>
            </w:tr>
          </w:tbl>
          <w:p>
            <w:pPr>
              <w:adjustRightInd w:val="0"/>
              <w:snapToGrid w:val="0"/>
              <w:spacing w:before="120" w:beforeLines="50" w:line="360" w:lineRule="auto"/>
              <w:ind w:firstLine="480" w:firstLineChars="200"/>
              <w:rPr>
                <w:rFonts w:hint="eastAsia" w:eastAsia="宋体"/>
                <w:b w:val="0"/>
                <w:bCs/>
                <w:color w:val="auto"/>
                <w:sz w:val="24"/>
                <w:lang w:eastAsia="zh-CN"/>
              </w:rPr>
            </w:pPr>
            <w:r>
              <w:rPr>
                <w:rFonts w:hint="eastAsia"/>
                <w:b w:val="0"/>
                <w:bCs/>
                <w:color w:val="auto"/>
                <w:sz w:val="24"/>
                <w:lang w:eastAsia="zh-CN"/>
              </w:rPr>
              <w:t>项目全厂产品方案如下：</w:t>
            </w:r>
          </w:p>
          <w:p>
            <w:pPr>
              <w:spacing w:line="240" w:lineRule="auto"/>
              <w:ind w:firstLine="422" w:firstLineChars="200"/>
              <w:jc w:val="center"/>
              <w:rPr>
                <w:rFonts w:hint="default" w:ascii="Times New Roman" w:hAnsi="Times New Roman" w:cs="Times New Roman"/>
                <w:b/>
                <w:snapToGrid w:val="0"/>
                <w:color w:val="auto"/>
                <w:kern w:val="0"/>
                <w:szCs w:val="21"/>
              </w:rPr>
            </w:pPr>
          </w:p>
          <w:p>
            <w:pPr>
              <w:spacing w:line="240" w:lineRule="auto"/>
              <w:ind w:firstLine="422" w:firstLineChars="200"/>
              <w:jc w:val="center"/>
              <w:rPr>
                <w:rFonts w:cs="Times New Roman"/>
                <w:b/>
                <w:sz w:val="24"/>
                <w:szCs w:val="24"/>
              </w:rPr>
            </w:pPr>
            <w:r>
              <w:rPr>
                <w:rFonts w:hint="default" w:ascii="Times New Roman" w:hAnsi="Times New Roman" w:cs="Times New Roman"/>
                <w:b/>
                <w:snapToGrid w:val="0"/>
                <w:color w:val="auto"/>
                <w:kern w:val="0"/>
                <w:szCs w:val="21"/>
              </w:rPr>
              <w:t>表2-</w:t>
            </w:r>
            <w:r>
              <w:rPr>
                <w:rFonts w:hint="eastAsia" w:cs="Times New Roman"/>
                <w:b/>
                <w:snapToGrid w:val="0"/>
                <w:color w:val="auto"/>
                <w:kern w:val="0"/>
                <w:szCs w:val="21"/>
                <w:lang w:val="en-US" w:eastAsia="zh-CN"/>
              </w:rPr>
              <w:t>3</w:t>
            </w:r>
            <w:r>
              <w:rPr>
                <w:rFonts w:hint="default" w:ascii="Times New Roman" w:hAnsi="Times New Roman" w:cs="Times New Roman"/>
                <w:b/>
                <w:snapToGrid w:val="0"/>
                <w:color w:val="auto"/>
                <w:kern w:val="0"/>
                <w:szCs w:val="21"/>
              </w:rPr>
              <w:t xml:space="preserve">  </w:t>
            </w:r>
            <w:r>
              <w:rPr>
                <w:rFonts w:hint="eastAsia" w:ascii="Times New Roman" w:hAnsi="Times New Roman" w:cs="Times New Roman"/>
                <w:b/>
                <w:snapToGrid w:val="0"/>
                <w:color w:val="auto"/>
                <w:kern w:val="0"/>
                <w:szCs w:val="21"/>
                <w:lang w:eastAsia="zh-CN"/>
              </w:rPr>
              <w:t>本项目建成后</w:t>
            </w:r>
            <w:r>
              <w:rPr>
                <w:rFonts w:hint="default" w:ascii="Times New Roman" w:hAnsi="Times New Roman" w:cs="Times New Roman"/>
                <w:b/>
                <w:snapToGrid w:val="0"/>
                <w:color w:val="auto"/>
                <w:kern w:val="0"/>
                <w:szCs w:val="21"/>
              </w:rPr>
              <w:t>全厂产品方案一览表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500"/>
              <w:gridCol w:w="1255"/>
              <w:gridCol w:w="1132"/>
              <w:gridCol w:w="1142"/>
              <w:gridCol w:w="27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1" w:type="pct"/>
                  <w:vMerge w:val="restart"/>
                  <w:tcBorders>
                    <w:tl2br w:val="nil"/>
                    <w:tr2bl w:val="nil"/>
                  </w:tcBorders>
                  <w:vAlign w:val="center"/>
                </w:tcPr>
                <w:p>
                  <w:pPr>
                    <w:pStyle w:val="43"/>
                  </w:pPr>
                  <w:r>
                    <w:t>序号</w:t>
                  </w:r>
                </w:p>
              </w:tc>
              <w:tc>
                <w:tcPr>
                  <w:tcW w:w="917" w:type="pct"/>
                  <w:vMerge w:val="restart"/>
                  <w:tcBorders>
                    <w:tl2br w:val="nil"/>
                    <w:tr2bl w:val="nil"/>
                  </w:tcBorders>
                  <w:vAlign w:val="center"/>
                </w:tcPr>
                <w:p>
                  <w:pPr>
                    <w:pStyle w:val="43"/>
                  </w:pPr>
                  <w:r>
                    <w:t>产品名称</w:t>
                  </w:r>
                </w:p>
              </w:tc>
              <w:tc>
                <w:tcPr>
                  <w:tcW w:w="2157" w:type="pct"/>
                  <w:gridSpan w:val="3"/>
                  <w:tcBorders>
                    <w:tl2br w:val="nil"/>
                    <w:tr2bl w:val="nil"/>
                  </w:tcBorders>
                  <w:vAlign w:val="center"/>
                </w:tcPr>
                <w:p>
                  <w:pPr>
                    <w:pStyle w:val="43"/>
                  </w:pPr>
                  <w:r>
                    <w:rPr>
                      <w:rFonts w:hint="eastAsia"/>
                      <w:lang w:eastAsia="zh-CN"/>
                    </w:rPr>
                    <w:t>产量（</w:t>
                  </w:r>
                  <w:r>
                    <w:rPr>
                      <w:rFonts w:hint="eastAsia"/>
                      <w:lang w:val="en-US" w:eastAsia="zh-CN"/>
                    </w:rPr>
                    <w:t>m</w:t>
                  </w:r>
                  <w:r>
                    <w:rPr>
                      <w:rFonts w:hint="eastAsia"/>
                      <w:vertAlign w:val="superscript"/>
                      <w:lang w:val="en-US" w:eastAsia="zh-CN"/>
                    </w:rPr>
                    <w:t>2</w:t>
                  </w:r>
                  <w:r>
                    <w:rPr>
                      <w:rFonts w:hint="eastAsia"/>
                      <w:lang w:val="en-US" w:eastAsia="zh-CN"/>
                    </w:rPr>
                    <w:t>/a</w:t>
                  </w:r>
                  <w:r>
                    <w:rPr>
                      <w:rFonts w:hint="eastAsia"/>
                      <w:lang w:eastAsia="zh-CN"/>
                    </w:rPr>
                    <w:t>）</w:t>
                  </w:r>
                </w:p>
              </w:tc>
              <w:tc>
                <w:tcPr>
                  <w:tcW w:w="1664" w:type="pct"/>
                  <w:vMerge w:val="restart"/>
                  <w:tcBorders>
                    <w:tl2br w:val="nil"/>
                    <w:tr2bl w:val="nil"/>
                  </w:tcBorders>
                  <w:vAlign w:val="center"/>
                </w:tcPr>
                <w:p>
                  <w:pPr>
                    <w:pStyle w:val="43"/>
                    <w:rPr>
                      <w:rFonts w:hint="eastAsia"/>
                      <w:lang w:eastAsia="zh-CN"/>
                    </w:rPr>
                  </w:pPr>
                  <w:r>
                    <w:rPr>
                      <w:rFonts w:hint="eastAsia"/>
                      <w:lang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1" w:type="pct"/>
                  <w:vMerge w:val="continue"/>
                  <w:tcBorders>
                    <w:tl2br w:val="nil"/>
                    <w:tr2bl w:val="nil"/>
                  </w:tcBorders>
                  <w:vAlign w:val="center"/>
                </w:tcPr>
                <w:p>
                  <w:pPr>
                    <w:pStyle w:val="43"/>
                  </w:pPr>
                </w:p>
              </w:tc>
              <w:tc>
                <w:tcPr>
                  <w:tcW w:w="917" w:type="pct"/>
                  <w:vMerge w:val="continue"/>
                  <w:tcBorders>
                    <w:tl2br w:val="nil"/>
                    <w:tr2bl w:val="nil"/>
                  </w:tcBorders>
                  <w:vAlign w:val="center"/>
                </w:tcPr>
                <w:p>
                  <w:pPr>
                    <w:pStyle w:val="43"/>
                  </w:pPr>
                </w:p>
              </w:tc>
              <w:tc>
                <w:tcPr>
                  <w:tcW w:w="767" w:type="pct"/>
                  <w:tcBorders>
                    <w:tl2br w:val="nil"/>
                    <w:tr2bl w:val="nil"/>
                  </w:tcBorders>
                  <w:vAlign w:val="center"/>
                </w:tcPr>
                <w:p>
                  <w:pPr>
                    <w:pStyle w:val="43"/>
                    <w:rPr>
                      <w:rFonts w:hint="eastAsia" w:eastAsia="宋体"/>
                      <w:lang w:eastAsia="zh-CN"/>
                    </w:rPr>
                  </w:pPr>
                  <w:r>
                    <w:rPr>
                      <w:rFonts w:hint="eastAsia"/>
                      <w:lang w:eastAsia="zh-CN"/>
                    </w:rPr>
                    <w:t>现有项目</w:t>
                  </w:r>
                </w:p>
              </w:tc>
              <w:tc>
                <w:tcPr>
                  <w:tcW w:w="692" w:type="pct"/>
                  <w:tcBorders>
                    <w:tl2br w:val="nil"/>
                    <w:tr2bl w:val="nil"/>
                  </w:tcBorders>
                  <w:vAlign w:val="center"/>
                </w:tcPr>
                <w:p>
                  <w:pPr>
                    <w:pStyle w:val="43"/>
                    <w:rPr>
                      <w:rFonts w:hint="eastAsia" w:eastAsia="宋体"/>
                      <w:lang w:eastAsia="zh-CN"/>
                    </w:rPr>
                  </w:pPr>
                  <w:r>
                    <w:rPr>
                      <w:rFonts w:hint="eastAsia"/>
                      <w:lang w:eastAsia="zh-CN"/>
                    </w:rPr>
                    <w:t>本项目</w:t>
                  </w:r>
                </w:p>
              </w:tc>
              <w:tc>
                <w:tcPr>
                  <w:tcW w:w="696" w:type="pct"/>
                  <w:tcBorders>
                    <w:tl2br w:val="nil"/>
                    <w:tr2bl w:val="nil"/>
                  </w:tcBorders>
                  <w:vAlign w:val="center"/>
                </w:tcPr>
                <w:p>
                  <w:pPr>
                    <w:pStyle w:val="43"/>
                    <w:rPr>
                      <w:rFonts w:hint="eastAsia" w:eastAsia="宋体"/>
                      <w:lang w:eastAsia="zh-CN"/>
                    </w:rPr>
                  </w:pPr>
                  <w:r>
                    <w:rPr>
                      <w:rFonts w:hint="eastAsia"/>
                      <w:lang w:eastAsia="zh-CN"/>
                    </w:rPr>
                    <w:t>全厂</w:t>
                  </w:r>
                </w:p>
              </w:tc>
              <w:tc>
                <w:tcPr>
                  <w:tcW w:w="1664" w:type="pct"/>
                  <w:vMerge w:val="continue"/>
                  <w:tcBorders>
                    <w:tl2br w:val="nil"/>
                    <w:tr2bl w:val="nil"/>
                  </w:tcBorders>
                  <w:vAlign w:val="center"/>
                </w:tcPr>
                <w:p>
                  <w:pPr>
                    <w:pStyle w:val="43"/>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1" w:type="pct"/>
                  <w:tcBorders>
                    <w:tl2br w:val="nil"/>
                    <w:tr2bl w:val="nil"/>
                  </w:tcBorders>
                  <w:vAlign w:val="center"/>
                </w:tcPr>
                <w:p>
                  <w:pPr>
                    <w:pStyle w:val="6"/>
                    <w:spacing w:line="240" w:lineRule="auto"/>
                    <w:ind w:firstLine="0" w:firstLineChars="0"/>
                    <w:jc w:val="center"/>
                    <w:rPr>
                      <w:sz w:val="21"/>
                      <w:szCs w:val="21"/>
                    </w:rPr>
                  </w:pPr>
                  <w:r>
                    <w:rPr>
                      <w:sz w:val="21"/>
                      <w:szCs w:val="21"/>
                    </w:rPr>
                    <w:t>1</w:t>
                  </w:r>
                </w:p>
              </w:tc>
              <w:tc>
                <w:tcPr>
                  <w:tcW w:w="917" w:type="pct"/>
                  <w:tcBorders>
                    <w:tl2br w:val="nil"/>
                    <w:tr2bl w:val="nil"/>
                  </w:tcBorders>
                  <w:vAlign w:val="center"/>
                </w:tcPr>
                <w:p>
                  <w:pPr>
                    <w:pStyle w:val="6"/>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sz w:val="21"/>
                      <w:szCs w:val="21"/>
                      <w:lang w:eastAsia="zh-CN"/>
                    </w:rPr>
                    <w:t>中空</w:t>
                  </w:r>
                  <w:r>
                    <w:rPr>
                      <w:rFonts w:hint="eastAsia"/>
                      <w:sz w:val="21"/>
                      <w:szCs w:val="21"/>
                    </w:rPr>
                    <w:t>玻璃</w:t>
                  </w:r>
                </w:p>
              </w:tc>
              <w:tc>
                <w:tcPr>
                  <w:tcW w:w="767"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sz w:val="21"/>
                      <w:szCs w:val="21"/>
                      <w:lang w:val="en-US" w:eastAsia="zh-CN"/>
                    </w:rPr>
                    <w:t>65</w:t>
                  </w:r>
                  <w:r>
                    <w:rPr>
                      <w:rFonts w:hint="eastAsia"/>
                      <w:sz w:val="24"/>
                      <w:szCs w:val="24"/>
                      <w:lang w:eastAsia="zh-CN"/>
                    </w:rPr>
                    <w:t>万</w:t>
                  </w:r>
                </w:p>
              </w:tc>
              <w:tc>
                <w:tcPr>
                  <w:tcW w:w="692" w:type="pct"/>
                  <w:tcBorders>
                    <w:tl2br w:val="nil"/>
                    <w:tr2bl w:val="nil"/>
                  </w:tcBorders>
                  <w:vAlign w:val="center"/>
                </w:tcPr>
                <w:p>
                  <w:pPr>
                    <w:pStyle w:val="6"/>
                    <w:spacing w:line="240" w:lineRule="auto"/>
                    <w:ind w:firstLine="0" w:firstLineChars="0"/>
                    <w:jc w:val="center"/>
                    <w:rPr>
                      <w:rFonts w:hint="eastAsia" w:eastAsia="宋体"/>
                      <w:sz w:val="21"/>
                      <w:szCs w:val="21"/>
                      <w:lang w:val="en-US" w:eastAsia="zh-CN"/>
                    </w:rPr>
                  </w:pPr>
                  <w:r>
                    <w:rPr>
                      <w:rFonts w:hint="eastAsia"/>
                      <w:sz w:val="21"/>
                      <w:szCs w:val="21"/>
                      <w:lang w:val="en-US" w:eastAsia="zh-CN"/>
                    </w:rPr>
                    <w:t>0</w:t>
                  </w:r>
                </w:p>
              </w:tc>
              <w:tc>
                <w:tcPr>
                  <w:tcW w:w="696"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sz w:val="21"/>
                      <w:szCs w:val="21"/>
                      <w:lang w:val="en-US" w:eastAsia="zh-CN"/>
                    </w:rPr>
                    <w:t>65</w:t>
                  </w:r>
                  <w:r>
                    <w:rPr>
                      <w:rFonts w:hint="eastAsia"/>
                      <w:sz w:val="24"/>
                      <w:szCs w:val="24"/>
                      <w:lang w:eastAsia="zh-CN"/>
                    </w:rPr>
                    <w:t>万</w:t>
                  </w:r>
                </w:p>
              </w:tc>
              <w:tc>
                <w:tcPr>
                  <w:tcW w:w="1664" w:type="pct"/>
                  <w:tcBorders>
                    <w:tl2br w:val="nil"/>
                    <w:tr2bl w:val="nil"/>
                  </w:tcBorders>
                  <w:vAlign w:val="center"/>
                </w:tcPr>
                <w:p>
                  <w:pPr>
                    <w:pStyle w:val="6"/>
                    <w:spacing w:line="240" w:lineRule="auto"/>
                    <w:ind w:firstLine="0" w:firstLineChars="0"/>
                    <w:jc w:val="center"/>
                    <w:rPr>
                      <w:rFonts w:hint="eastAsia"/>
                      <w:sz w:val="21"/>
                      <w:szCs w:val="21"/>
                      <w:lang w:val="en-US" w:eastAsia="zh-CN"/>
                    </w:rPr>
                  </w:pPr>
                  <w:r>
                    <w:rPr>
                      <w:rFonts w:hint="eastAsia"/>
                      <w:sz w:val="21"/>
                      <w:szCs w:val="21"/>
                      <w:lang w:val="en-US" w:eastAsia="zh-CN"/>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1" w:type="pct"/>
                  <w:tcBorders>
                    <w:tl2br w:val="nil"/>
                    <w:tr2bl w:val="nil"/>
                  </w:tcBorders>
                  <w:vAlign w:val="center"/>
                </w:tcPr>
                <w:p>
                  <w:pPr>
                    <w:pStyle w:val="6"/>
                    <w:spacing w:line="240" w:lineRule="auto"/>
                    <w:ind w:firstLine="0" w:firstLineChars="0"/>
                    <w:jc w:val="center"/>
                    <w:rPr>
                      <w:rFonts w:hint="eastAsia" w:eastAsia="宋体"/>
                      <w:sz w:val="21"/>
                      <w:szCs w:val="21"/>
                      <w:lang w:val="en-US" w:eastAsia="zh-CN"/>
                    </w:rPr>
                  </w:pPr>
                  <w:r>
                    <w:rPr>
                      <w:rFonts w:hint="eastAsia"/>
                      <w:sz w:val="21"/>
                      <w:szCs w:val="21"/>
                      <w:lang w:val="en-US" w:eastAsia="zh-CN"/>
                    </w:rPr>
                    <w:t>2</w:t>
                  </w:r>
                </w:p>
              </w:tc>
              <w:tc>
                <w:tcPr>
                  <w:tcW w:w="917"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lang w:eastAsia="zh-CN"/>
                    </w:rPr>
                    <w:t>钢化玻璃</w:t>
                  </w:r>
                </w:p>
              </w:tc>
              <w:tc>
                <w:tcPr>
                  <w:tcW w:w="767"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lang w:val="en-US" w:eastAsia="zh-CN"/>
                    </w:rPr>
                    <w:t>35</w:t>
                  </w:r>
                  <w:r>
                    <w:rPr>
                      <w:rFonts w:hint="eastAsia"/>
                      <w:sz w:val="24"/>
                      <w:szCs w:val="24"/>
                      <w:lang w:eastAsia="zh-CN"/>
                    </w:rPr>
                    <w:t>万</w:t>
                  </w:r>
                </w:p>
              </w:tc>
              <w:tc>
                <w:tcPr>
                  <w:tcW w:w="692"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696"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lang w:val="en-US" w:eastAsia="zh-CN"/>
                    </w:rPr>
                    <w:t>35</w:t>
                  </w:r>
                  <w:r>
                    <w:rPr>
                      <w:rFonts w:hint="eastAsia"/>
                      <w:sz w:val="24"/>
                      <w:szCs w:val="24"/>
                      <w:lang w:eastAsia="zh-CN"/>
                    </w:rPr>
                    <w:t>万</w:t>
                  </w:r>
                </w:p>
              </w:tc>
              <w:tc>
                <w:tcPr>
                  <w:tcW w:w="1664" w:type="pct"/>
                  <w:tcBorders>
                    <w:tl2br w:val="nil"/>
                    <w:tr2bl w:val="nil"/>
                  </w:tcBorders>
                  <w:vAlign w:val="center"/>
                </w:tcPr>
                <w:p>
                  <w:pPr>
                    <w:pStyle w:val="6"/>
                    <w:spacing w:line="240" w:lineRule="auto"/>
                    <w:ind w:firstLine="0" w:firstLineChars="0"/>
                    <w:jc w:val="center"/>
                    <w:rPr>
                      <w:rFonts w:hint="eastAsia"/>
                      <w:sz w:val="21"/>
                      <w:szCs w:val="21"/>
                      <w:lang w:val="en-US" w:eastAsia="zh-CN"/>
                    </w:rPr>
                  </w:pPr>
                  <w:r>
                    <w:rPr>
                      <w:rFonts w:hint="eastAsia"/>
                      <w:sz w:val="21"/>
                      <w:szCs w:val="21"/>
                      <w:lang w:val="en-US" w:eastAsia="zh-CN"/>
                    </w:rPr>
                    <w:t>为半成品，仅用于厂区后续纳米镀膜玻璃加工，不外售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1" w:type="pct"/>
                  <w:tcBorders>
                    <w:tl2br w:val="nil"/>
                    <w:tr2bl w:val="nil"/>
                  </w:tcBorders>
                  <w:vAlign w:val="center"/>
                </w:tcPr>
                <w:p>
                  <w:pPr>
                    <w:pStyle w:val="6"/>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c>
                <w:tcPr>
                  <w:tcW w:w="917"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lang w:eastAsia="zh-CN"/>
                    </w:rPr>
                    <w:t>夹胶玻璃</w:t>
                  </w:r>
                </w:p>
              </w:tc>
              <w:tc>
                <w:tcPr>
                  <w:tcW w:w="767"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lang w:val="en-US" w:eastAsia="zh-CN"/>
                    </w:rPr>
                    <w:t>10</w:t>
                  </w:r>
                  <w:r>
                    <w:rPr>
                      <w:rFonts w:hint="eastAsia"/>
                      <w:sz w:val="24"/>
                      <w:szCs w:val="24"/>
                      <w:lang w:eastAsia="zh-CN"/>
                    </w:rPr>
                    <w:t>万</w:t>
                  </w:r>
                </w:p>
              </w:tc>
              <w:tc>
                <w:tcPr>
                  <w:tcW w:w="692"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696"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lang w:val="en-US" w:eastAsia="zh-CN"/>
                    </w:rPr>
                    <w:t>10</w:t>
                  </w:r>
                  <w:r>
                    <w:rPr>
                      <w:rFonts w:hint="eastAsia"/>
                      <w:sz w:val="24"/>
                      <w:szCs w:val="24"/>
                      <w:lang w:eastAsia="zh-CN"/>
                    </w:rPr>
                    <w:t>万</w:t>
                  </w:r>
                </w:p>
              </w:tc>
              <w:tc>
                <w:tcPr>
                  <w:tcW w:w="1664" w:type="pct"/>
                  <w:tcBorders>
                    <w:tl2br w:val="nil"/>
                    <w:tr2bl w:val="nil"/>
                  </w:tcBorders>
                  <w:vAlign w:val="center"/>
                </w:tcPr>
                <w:p>
                  <w:pPr>
                    <w:pStyle w:val="6"/>
                    <w:spacing w:line="240" w:lineRule="auto"/>
                    <w:ind w:firstLine="0" w:firstLineChars="0"/>
                    <w:jc w:val="center"/>
                    <w:rPr>
                      <w:rFonts w:hint="eastAsia"/>
                      <w:sz w:val="21"/>
                      <w:szCs w:val="21"/>
                      <w:lang w:val="en-US" w:eastAsia="zh-CN"/>
                    </w:rPr>
                  </w:pPr>
                  <w:r>
                    <w:rPr>
                      <w:rFonts w:hint="eastAsia"/>
                      <w:sz w:val="21"/>
                      <w:szCs w:val="21"/>
                      <w:lang w:val="en-US" w:eastAsia="zh-CN"/>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1" w:type="pct"/>
                  <w:tcBorders>
                    <w:tl2br w:val="nil"/>
                    <w:tr2bl w:val="nil"/>
                  </w:tcBorders>
                  <w:vAlign w:val="center"/>
                </w:tcPr>
                <w:p>
                  <w:pPr>
                    <w:pStyle w:val="6"/>
                    <w:spacing w:line="240" w:lineRule="auto"/>
                    <w:ind w:firstLine="0" w:firstLineChars="0"/>
                    <w:jc w:val="center"/>
                    <w:rPr>
                      <w:rFonts w:hint="eastAsia" w:eastAsia="宋体"/>
                      <w:sz w:val="21"/>
                      <w:szCs w:val="21"/>
                      <w:lang w:val="en-US" w:eastAsia="zh-CN"/>
                    </w:rPr>
                  </w:pPr>
                  <w:r>
                    <w:rPr>
                      <w:rFonts w:hint="eastAsia"/>
                      <w:sz w:val="21"/>
                      <w:szCs w:val="21"/>
                      <w:lang w:val="en-US" w:eastAsia="zh-CN"/>
                    </w:rPr>
                    <w:t>4</w:t>
                  </w:r>
                </w:p>
              </w:tc>
              <w:tc>
                <w:tcPr>
                  <w:tcW w:w="917" w:type="pct"/>
                  <w:tcBorders>
                    <w:tl2br w:val="nil"/>
                    <w:tr2bl w:val="nil"/>
                  </w:tcBorders>
                  <w:vAlign w:val="center"/>
                </w:tcPr>
                <w:p>
                  <w:pPr>
                    <w:pStyle w:val="6"/>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rPr>
                    <w:t>纳米</w:t>
                  </w:r>
                  <w:r>
                    <w:rPr>
                      <w:rFonts w:hint="eastAsia"/>
                      <w:sz w:val="21"/>
                      <w:szCs w:val="21"/>
                      <w:lang w:eastAsia="zh-CN"/>
                    </w:rPr>
                    <w:t>镀膜</w:t>
                  </w:r>
                  <w:r>
                    <w:rPr>
                      <w:rFonts w:hint="eastAsia"/>
                      <w:sz w:val="21"/>
                      <w:szCs w:val="21"/>
                    </w:rPr>
                    <w:t>玻璃</w:t>
                  </w:r>
                </w:p>
              </w:tc>
              <w:tc>
                <w:tcPr>
                  <w:tcW w:w="767"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0</w:t>
                  </w:r>
                </w:p>
              </w:tc>
              <w:tc>
                <w:tcPr>
                  <w:tcW w:w="692" w:type="pct"/>
                  <w:tcBorders>
                    <w:tl2br w:val="nil"/>
                    <w:tr2bl w:val="nil"/>
                  </w:tcBorders>
                  <w:vAlign w:val="center"/>
                </w:tcPr>
                <w:p>
                  <w:pPr>
                    <w:pStyle w:val="6"/>
                    <w:spacing w:line="240" w:lineRule="auto"/>
                    <w:ind w:firstLine="0" w:firstLineChars="0"/>
                    <w:jc w:val="center"/>
                    <w:rPr>
                      <w:rFonts w:ascii="宋体" w:hAnsi="宋体" w:eastAsia="宋体" w:cs="宋体"/>
                      <w:sz w:val="24"/>
                      <w:szCs w:val="24"/>
                    </w:rPr>
                  </w:pPr>
                  <w:r>
                    <w:rPr>
                      <w:rFonts w:hint="eastAsia"/>
                      <w:sz w:val="21"/>
                      <w:szCs w:val="21"/>
                      <w:lang w:val="en-US" w:eastAsia="zh-CN"/>
                    </w:rPr>
                    <w:t>60</w:t>
                  </w:r>
                  <w:r>
                    <w:rPr>
                      <w:rFonts w:hint="eastAsia"/>
                      <w:sz w:val="24"/>
                      <w:szCs w:val="24"/>
                      <w:lang w:eastAsia="zh-CN"/>
                    </w:rPr>
                    <w:t>万</w:t>
                  </w:r>
                </w:p>
              </w:tc>
              <w:tc>
                <w:tcPr>
                  <w:tcW w:w="696" w:type="pct"/>
                  <w:tcBorders>
                    <w:tl2br w:val="nil"/>
                    <w:tr2bl w:val="nil"/>
                  </w:tcBorders>
                  <w:vAlign w:val="center"/>
                </w:tcPr>
                <w:p>
                  <w:pPr>
                    <w:pStyle w:val="6"/>
                    <w:spacing w:line="240" w:lineRule="auto"/>
                    <w:ind w:firstLine="0" w:firstLineChars="0"/>
                    <w:jc w:val="center"/>
                    <w:rPr>
                      <w:rFonts w:ascii="宋体" w:hAnsi="宋体" w:eastAsia="宋体" w:cs="宋体"/>
                      <w:sz w:val="24"/>
                      <w:szCs w:val="24"/>
                    </w:rPr>
                  </w:pPr>
                  <w:r>
                    <w:rPr>
                      <w:rFonts w:hint="eastAsia"/>
                      <w:sz w:val="21"/>
                      <w:szCs w:val="21"/>
                      <w:lang w:val="en-US" w:eastAsia="zh-CN"/>
                    </w:rPr>
                    <w:t>60</w:t>
                  </w:r>
                  <w:r>
                    <w:rPr>
                      <w:rFonts w:hint="eastAsia"/>
                      <w:sz w:val="24"/>
                      <w:szCs w:val="24"/>
                      <w:lang w:eastAsia="zh-CN"/>
                    </w:rPr>
                    <w:t>万</w:t>
                  </w:r>
                </w:p>
              </w:tc>
              <w:tc>
                <w:tcPr>
                  <w:tcW w:w="1664" w:type="pct"/>
                  <w:tcBorders>
                    <w:tl2br w:val="nil"/>
                    <w:tr2bl w:val="nil"/>
                  </w:tcBorders>
                  <w:vAlign w:val="center"/>
                </w:tcPr>
                <w:p>
                  <w:pPr>
                    <w:pStyle w:val="6"/>
                    <w:spacing w:line="240" w:lineRule="auto"/>
                    <w:ind w:firstLine="0" w:firstLineChars="0"/>
                    <w:jc w:val="center"/>
                    <w:rPr>
                      <w:rFonts w:hint="eastAsia"/>
                      <w:sz w:val="21"/>
                      <w:szCs w:val="21"/>
                      <w:lang w:val="en-US" w:eastAsia="zh-CN"/>
                    </w:rPr>
                  </w:pPr>
                  <w:r>
                    <w:rPr>
                      <w:rFonts w:hint="eastAsia"/>
                      <w:sz w:val="21"/>
                      <w:szCs w:val="21"/>
                      <w:lang w:val="en-US" w:eastAsia="zh-CN"/>
                    </w:rPr>
                    <w:t>外售</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lang w:eastAsia="zh-CN"/>
              </w:rPr>
              <w:t>本项目</w:t>
            </w:r>
            <w:r>
              <w:rPr>
                <w:rFonts w:hint="eastAsia" w:ascii="Times New Roman" w:hAnsi="Times New Roman" w:cs="Times New Roman"/>
                <w:b/>
                <w:color w:val="auto"/>
                <w:sz w:val="24"/>
                <w:lang w:eastAsia="zh-CN"/>
              </w:rPr>
              <w:t>建成后全厂</w:t>
            </w:r>
            <w:r>
              <w:rPr>
                <w:rFonts w:hint="default" w:ascii="Times New Roman" w:hAnsi="Times New Roman" w:cs="Times New Roman"/>
                <w:b/>
                <w:color w:val="auto"/>
                <w:sz w:val="24"/>
                <w:lang w:eastAsia="zh-CN"/>
              </w:rPr>
              <w:t>内部产品关联见下图：</w:t>
            </w:r>
          </w:p>
          <w:p>
            <w:pPr>
              <w:adjustRightInd w:val="0"/>
              <w:snapToGrid w:val="0"/>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object>
                <v:shape id="_x0000_i1025" o:spt="75" type="#_x0000_t75" style="height:130.5pt;width:273.7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pPr>
              <w:adjustRightInd w:val="0"/>
              <w:snapToGrid w:val="0"/>
              <w:spacing w:line="360" w:lineRule="auto"/>
              <w:jc w:val="center"/>
              <w:rPr>
                <w:rFonts w:cs="Times New Roman"/>
                <w:b/>
                <w:sz w:val="24"/>
                <w:szCs w:val="24"/>
              </w:rPr>
            </w:pPr>
            <w:r>
              <w:rPr>
                <w:rFonts w:hint="default" w:ascii="Times New Roman" w:hAnsi="Times New Roman" w:cs="Times New Roman"/>
                <w:b/>
                <w:color w:val="auto"/>
                <w:sz w:val="21"/>
                <w:szCs w:val="21"/>
                <w:highlight w:val="none"/>
                <w:lang w:eastAsia="zh-CN"/>
              </w:rPr>
              <w:t>图</w:t>
            </w:r>
            <w:r>
              <w:rPr>
                <w:rFonts w:hint="default" w:ascii="Times New Roman" w:hAnsi="Times New Roman" w:cs="Times New Roman"/>
                <w:b/>
                <w:color w:val="auto"/>
                <w:sz w:val="21"/>
                <w:szCs w:val="21"/>
                <w:highlight w:val="none"/>
                <w:lang w:val="en-US" w:eastAsia="zh-CN"/>
              </w:rPr>
              <w:t xml:space="preserve">2-1  </w:t>
            </w:r>
            <w:r>
              <w:rPr>
                <w:rFonts w:hint="eastAsia" w:ascii="Times New Roman" w:hAnsi="Times New Roman" w:cs="Times New Roman"/>
                <w:b/>
                <w:color w:val="auto"/>
                <w:sz w:val="21"/>
                <w:szCs w:val="21"/>
                <w:highlight w:val="none"/>
                <w:lang w:val="en-US" w:eastAsia="zh-CN"/>
              </w:rPr>
              <w:t>全厂</w:t>
            </w:r>
            <w:r>
              <w:rPr>
                <w:rFonts w:hint="default" w:ascii="Times New Roman" w:hAnsi="Times New Roman" w:cs="Times New Roman"/>
                <w:b/>
                <w:color w:val="auto"/>
                <w:sz w:val="21"/>
                <w:szCs w:val="21"/>
                <w:highlight w:val="none"/>
                <w:lang w:val="en-US" w:eastAsia="zh-CN"/>
              </w:rPr>
              <w:t>产品关联图</w:t>
            </w:r>
          </w:p>
          <w:p>
            <w:pPr>
              <w:spacing w:line="360" w:lineRule="auto"/>
              <w:rPr>
                <w:rFonts w:cs="Times New Roman"/>
                <w:b/>
                <w:sz w:val="24"/>
                <w:szCs w:val="24"/>
              </w:rPr>
            </w:pPr>
            <w:r>
              <w:rPr>
                <w:rFonts w:cs="Times New Roman"/>
                <w:b/>
                <w:sz w:val="24"/>
                <w:szCs w:val="24"/>
              </w:rPr>
              <w:t>4、项目组成及主要环境问题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项目</w:t>
            </w:r>
            <w:r>
              <w:rPr>
                <w:rFonts w:asciiTheme="minorEastAsia" w:hAnsiTheme="minorEastAsia"/>
                <w:sz w:val="24"/>
                <w:szCs w:val="24"/>
              </w:rPr>
              <w:t>组成及主要环境问题</w:t>
            </w:r>
            <w:r>
              <w:rPr>
                <w:rFonts w:hint="eastAsia" w:asciiTheme="minorEastAsia" w:hAnsiTheme="minorEastAsia"/>
                <w:sz w:val="24"/>
                <w:szCs w:val="24"/>
              </w:rPr>
              <w:t>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w:t>
            </w:r>
            <w:r>
              <w:rPr>
                <w:rFonts w:hint="eastAsia" w:cs="Times New Roman"/>
                <w:b/>
                <w:bCs/>
                <w:color w:val="000000"/>
                <w:kern w:val="2"/>
                <w:sz w:val="21"/>
                <w:szCs w:val="21"/>
                <w:lang w:val="en-US" w:eastAsia="zh-CN" w:bidi="ar-SA"/>
              </w:rPr>
              <w:t>4</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项目组成及</w:t>
            </w:r>
            <w:r>
              <w:rPr>
                <w:rFonts w:hint="default" w:ascii="Times New Roman" w:hAnsi="Times New Roman" w:eastAsia="宋体" w:cs="Times New Roman"/>
                <w:b/>
                <w:bCs/>
                <w:color w:val="000000"/>
                <w:kern w:val="2"/>
                <w:sz w:val="21"/>
                <w:szCs w:val="21"/>
                <w:lang w:val="en-US" w:eastAsia="zh-CN" w:bidi="ar-SA"/>
              </w:rPr>
              <w:t>主要环境问题</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3"/>
              <w:gridCol w:w="426"/>
              <w:gridCol w:w="426"/>
              <w:gridCol w:w="2573"/>
              <w:gridCol w:w="2201"/>
              <w:gridCol w:w="676"/>
              <w:gridCol w:w="810"/>
              <w:gridCol w:w="4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工程分类</w:t>
                  </w:r>
                </w:p>
              </w:tc>
              <w:tc>
                <w:tcPr>
                  <w:tcW w:w="520" w:type="pct"/>
                  <w:gridSpan w:val="2"/>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项目名称</w:t>
                  </w:r>
                </w:p>
              </w:tc>
              <w:tc>
                <w:tcPr>
                  <w:tcW w:w="2917"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sz w:val="21"/>
                      <w:szCs w:val="21"/>
                    </w:rPr>
                  </w:pPr>
                  <w:r>
                    <w:rPr>
                      <w:rFonts w:hint="eastAsia" w:ascii="Times New Roman" w:hAnsi="Times New Roman" w:eastAsia="宋体"/>
                      <w:b/>
                      <w:bCs/>
                      <w:sz w:val="21"/>
                      <w:szCs w:val="21"/>
                    </w:rPr>
                    <w:t>建设</w:t>
                  </w:r>
                  <w:r>
                    <w:rPr>
                      <w:rFonts w:ascii="Times New Roman" w:hAnsi="Times New Roman" w:eastAsia="宋体"/>
                      <w:b/>
                      <w:bCs/>
                      <w:sz w:val="21"/>
                      <w:szCs w:val="21"/>
                    </w:rPr>
                    <w:t>内容及规模</w:t>
                  </w:r>
                </w:p>
              </w:tc>
              <w:tc>
                <w:tcPr>
                  <w:tcW w:w="908"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可能</w:t>
                  </w:r>
                  <w:r>
                    <w:rPr>
                      <w:rFonts w:ascii="Times New Roman" w:hAnsi="Times New Roman" w:eastAsia="宋体"/>
                      <w:b/>
                      <w:bCs/>
                      <w:sz w:val="21"/>
                      <w:szCs w:val="21"/>
                    </w:rPr>
                    <w:t>产生的环境问题</w:t>
                  </w:r>
                </w:p>
              </w:tc>
              <w:tc>
                <w:tcPr>
                  <w:tcW w:w="28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p>
              </w:tc>
              <w:tc>
                <w:tcPr>
                  <w:tcW w:w="520" w:type="pct"/>
                  <w:gridSpan w:val="2"/>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现有项目</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本项目扩建后</w:t>
                  </w:r>
                </w:p>
              </w:tc>
              <w:tc>
                <w:tcPr>
                  <w:tcW w:w="41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施工期</w:t>
                  </w: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营运期</w:t>
                  </w:r>
                </w:p>
              </w:tc>
              <w:tc>
                <w:tcPr>
                  <w:tcW w:w="2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主体工程</w:t>
                  </w: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1#加工</w:t>
                  </w:r>
                  <w:r>
                    <w:rPr>
                      <w:rFonts w:hint="eastAsia" w:ascii="Times New Roman" w:hAnsi="Times New Roman" w:eastAsia="宋体"/>
                      <w:bCs/>
                      <w:sz w:val="21"/>
                      <w:szCs w:val="21"/>
                      <w:lang w:eastAsia="zh-CN"/>
                    </w:rPr>
                    <w:t>车间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eastAsia="zh-CN"/>
                    </w:rPr>
                    <w:t>占地面积为</w:t>
                  </w:r>
                  <w:r>
                    <w:rPr>
                      <w:rFonts w:hint="eastAsia" w:ascii="Times New Roman" w:hAnsi="Times New Roman" w:eastAsia="宋体"/>
                      <w:bCs/>
                      <w:sz w:val="21"/>
                      <w:szCs w:val="21"/>
                      <w:lang w:val="en-US" w:eastAsia="zh-CN"/>
                    </w:rPr>
                    <w:t>2880m</w:t>
                  </w:r>
                  <w:r>
                    <w:rPr>
                      <w:rFonts w:hint="eastAsia" w:ascii="Times New Roman" w:hAnsi="Times New Roman" w:eastAsia="宋体"/>
                      <w:bCs/>
                      <w:sz w:val="21"/>
                      <w:szCs w:val="21"/>
                      <w:vertAlign w:val="superscript"/>
                      <w:lang w:val="en-US" w:eastAsia="zh-CN"/>
                    </w:rPr>
                    <w:t>2</w:t>
                  </w:r>
                  <w:r>
                    <w:rPr>
                      <w:rFonts w:hint="eastAsia" w:ascii="Times New Roman" w:hAnsi="Times New Roman" w:eastAsia="宋体"/>
                      <w:bCs/>
                      <w:sz w:val="21"/>
                      <w:szCs w:val="21"/>
                      <w:lang w:val="en-US" w:eastAsia="zh-CN"/>
                    </w:rPr>
                    <w:t>，</w:t>
                  </w:r>
                  <w:bookmarkStart w:id="15" w:name="_GoBack"/>
                  <w:bookmarkEnd w:id="15"/>
                  <w:r>
                    <w:rPr>
                      <w:rFonts w:hint="eastAsia" w:ascii="Times New Roman" w:hAnsi="Times New Roman" w:eastAsia="宋体"/>
                      <w:bCs/>
                      <w:sz w:val="21"/>
                      <w:szCs w:val="21"/>
                      <w:lang w:val="en-US" w:eastAsia="zh-CN"/>
                    </w:rPr>
                    <w:t>玻璃原片预处理，1条钢化玻璃生产线，年产量为35万m</w:t>
                  </w:r>
                  <w:r>
                    <w:rPr>
                      <w:rFonts w:hint="eastAsia" w:ascii="Times New Roman" w:hAnsi="Times New Roman" w:eastAsia="宋体"/>
                      <w:bCs/>
                      <w:sz w:val="21"/>
                      <w:szCs w:val="21"/>
                      <w:vertAlign w:val="superscript"/>
                      <w:lang w:val="en-US" w:eastAsia="zh-CN"/>
                    </w:rPr>
                    <w:t>2</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与现有项目一致</w:t>
                  </w:r>
                </w:p>
              </w:tc>
              <w:tc>
                <w:tcPr>
                  <w:tcW w:w="41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rPr>
                    <w:t>扬尘</w:t>
                  </w:r>
                  <w:r>
                    <w:rPr>
                      <w:rFonts w:hint="eastAsia" w:ascii="Times New Roman" w:hAnsi="Times New Roman" w:eastAsia="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废气</w:t>
                  </w:r>
                  <w:r>
                    <w:rPr>
                      <w:rFonts w:hint="eastAsia" w:ascii="Times New Roman" w:hAnsi="Times New Roman" w:eastAsia="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废水</w:t>
                  </w:r>
                  <w:r>
                    <w:rPr>
                      <w:rFonts w:hint="eastAsia" w:ascii="Times New Roman" w:hAnsi="Times New Roman" w:eastAsia="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噪声</w:t>
                  </w:r>
                  <w:r>
                    <w:rPr>
                      <w:rFonts w:hint="eastAsia" w:ascii="Times New Roman" w:hAnsi="Times New Roman" w:eastAsia="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固体废物</w:t>
                  </w:r>
                </w:p>
              </w:tc>
              <w:tc>
                <w:tcPr>
                  <w:tcW w:w="494"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Cs/>
                      <w:sz w:val="21"/>
                      <w:szCs w:val="21"/>
                    </w:rPr>
                  </w:pPr>
                  <w:r>
                    <w:rPr>
                      <w:rFonts w:hint="eastAsia" w:ascii="Times New Roman" w:hAnsi="Times New Roman" w:eastAsia="宋体"/>
                      <w:bCs/>
                      <w:sz w:val="21"/>
                      <w:szCs w:val="21"/>
                    </w:rPr>
                    <w:t>废气、噪声、固废</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2#加工</w:t>
                  </w:r>
                  <w:r>
                    <w:rPr>
                      <w:rFonts w:hint="eastAsia" w:ascii="Times New Roman" w:hAnsi="Times New Roman" w:eastAsia="宋体"/>
                      <w:bCs/>
                      <w:sz w:val="21"/>
                      <w:szCs w:val="21"/>
                      <w:lang w:eastAsia="zh-CN"/>
                    </w:rPr>
                    <w:t>车间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eastAsia="zh-CN"/>
                    </w:rPr>
                    <w:t>占地面积为</w:t>
                  </w:r>
                  <w:r>
                    <w:rPr>
                      <w:rFonts w:hint="eastAsia" w:ascii="Times New Roman" w:hAnsi="Times New Roman" w:eastAsia="宋体"/>
                      <w:bCs/>
                      <w:sz w:val="21"/>
                      <w:szCs w:val="21"/>
                      <w:lang w:val="en-US" w:eastAsia="zh-CN"/>
                    </w:rPr>
                    <w:t>3000m</w:t>
                  </w:r>
                  <w:r>
                    <w:rPr>
                      <w:rFonts w:hint="eastAsia" w:ascii="Times New Roman" w:hAnsi="Times New Roman" w:eastAsia="宋体"/>
                      <w:bCs/>
                      <w:sz w:val="21"/>
                      <w:szCs w:val="21"/>
                      <w:vertAlign w:val="superscript"/>
                      <w:lang w:val="en-US" w:eastAsia="zh-CN"/>
                    </w:rPr>
                    <w:t>2</w:t>
                  </w:r>
                  <w:r>
                    <w:rPr>
                      <w:rFonts w:hint="eastAsia" w:ascii="Times New Roman" w:hAnsi="Times New Roman" w:eastAsia="宋体"/>
                      <w:bCs/>
                      <w:sz w:val="21"/>
                      <w:szCs w:val="21"/>
                      <w:lang w:val="en-US" w:eastAsia="zh-CN"/>
                    </w:rPr>
                    <w:t>；1条中空玻璃生产线，年产量为65万m</w:t>
                  </w:r>
                  <w:r>
                    <w:rPr>
                      <w:rFonts w:hint="eastAsia" w:ascii="Times New Roman" w:hAnsi="Times New Roman" w:eastAsia="宋体"/>
                      <w:bCs/>
                      <w:sz w:val="21"/>
                      <w:szCs w:val="21"/>
                      <w:vertAlign w:val="superscript"/>
                      <w:lang w:val="en-US" w:eastAsia="zh-CN"/>
                    </w:rPr>
                    <w:t>2</w:t>
                  </w:r>
                  <w:r>
                    <w:rPr>
                      <w:rFonts w:hint="eastAsia"/>
                      <w:bCs/>
                      <w:color w:val="auto"/>
                      <w:sz w:val="21"/>
                      <w:szCs w:val="21"/>
                      <w:lang w:eastAsia="zh-CN"/>
                    </w:rPr>
                    <w:t>，</w:t>
                  </w:r>
                  <w:r>
                    <w:rPr>
                      <w:rFonts w:hint="eastAsia" w:ascii="Times New Roman" w:hAnsi="Times New Roman" w:eastAsia="宋体"/>
                      <w:bCs/>
                      <w:color w:val="auto"/>
                      <w:sz w:val="21"/>
                      <w:szCs w:val="21"/>
                      <w:lang w:val="en-US" w:eastAsia="zh-CN"/>
                    </w:rPr>
                    <w:t>1条夹胶玻璃生产线，年产量为10万m</w:t>
                  </w:r>
                  <w:r>
                    <w:rPr>
                      <w:rFonts w:hint="eastAsia" w:ascii="Times New Roman" w:hAnsi="Times New Roman" w:eastAsia="宋体"/>
                      <w:bCs/>
                      <w:color w:val="auto"/>
                      <w:sz w:val="21"/>
                      <w:szCs w:val="21"/>
                      <w:vertAlign w:val="superscript"/>
                      <w:lang w:val="en-US" w:eastAsia="zh-CN"/>
                    </w:rPr>
                    <w:t>2</w:t>
                  </w:r>
                  <w:r>
                    <w:rPr>
                      <w:rFonts w:hint="eastAsia" w:ascii="Times New Roman" w:hAnsi="Times New Roman" w:eastAsia="宋体"/>
                      <w:bCs/>
                      <w:color w:val="auto"/>
                      <w:sz w:val="21"/>
                      <w:szCs w:val="21"/>
                      <w:lang w:val="en-US" w:eastAsia="zh-CN"/>
                    </w:rPr>
                    <w:t>；</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sz w:val="21"/>
                      <w:szCs w:val="21"/>
                      <w:lang w:val="en-US"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rPr>
                  </w:pP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黑体"/>
                      <w:bCs/>
                      <w:kern w:val="2"/>
                      <w:sz w:val="21"/>
                      <w:szCs w:val="21"/>
                      <w:lang w:val="en-US" w:eastAsia="zh-CN" w:bidi="ar-SA"/>
                    </w:rPr>
                  </w:pPr>
                  <w:r>
                    <w:rPr>
                      <w:rFonts w:hint="eastAsia" w:ascii="Times New Roman" w:hAnsi="Times New Roman" w:eastAsia="宋体"/>
                      <w:bCs/>
                      <w:sz w:val="21"/>
                      <w:szCs w:val="21"/>
                      <w:lang w:eastAsia="zh-CN"/>
                    </w:rPr>
                    <w:t>镀膜车间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黑体"/>
                      <w:bCs/>
                      <w:kern w:val="2"/>
                      <w:sz w:val="21"/>
                      <w:szCs w:val="21"/>
                      <w:lang w:val="en-US" w:eastAsia="zh-CN" w:bidi="ar-SA"/>
                    </w:rPr>
                  </w:pPr>
                  <w:r>
                    <w:rPr>
                      <w:rFonts w:hint="eastAsia" w:ascii="Times New Roman" w:hAnsi="Times New Roman" w:eastAsia="宋体" w:cs="黑体"/>
                      <w:bCs/>
                      <w:kern w:val="2"/>
                      <w:sz w:val="21"/>
                      <w:szCs w:val="21"/>
                      <w:lang w:val="en-US" w:eastAsia="zh-CN" w:bidi="ar-SA"/>
                    </w:rPr>
                    <w:t>/</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bCs/>
                      <w:sz w:val="21"/>
                      <w:szCs w:val="21"/>
                      <w:lang w:eastAsia="zh-CN"/>
                    </w:rPr>
                    <w:t>新建厂房，</w:t>
                  </w:r>
                  <w:r>
                    <w:rPr>
                      <w:rFonts w:hint="eastAsia" w:ascii="Times New Roman" w:hAnsi="Times New Roman" w:eastAsia="宋体"/>
                      <w:bCs/>
                      <w:sz w:val="21"/>
                      <w:szCs w:val="21"/>
                      <w:lang w:eastAsia="zh-CN"/>
                    </w:rPr>
                    <w:t>占地面积为</w:t>
                  </w:r>
                  <w:r>
                    <w:rPr>
                      <w:rFonts w:hint="eastAsia" w:ascii="Times New Roman" w:hAnsi="Times New Roman" w:eastAsia="宋体"/>
                      <w:bCs/>
                      <w:sz w:val="21"/>
                      <w:szCs w:val="21"/>
                      <w:lang w:val="en-US" w:eastAsia="zh-CN"/>
                    </w:rPr>
                    <w:t>8</w:t>
                  </w:r>
                  <w:r>
                    <w:rPr>
                      <w:rFonts w:hint="eastAsia"/>
                      <w:bCs/>
                      <w:sz w:val="21"/>
                      <w:szCs w:val="21"/>
                      <w:lang w:val="en-US" w:eastAsia="zh-CN"/>
                    </w:rPr>
                    <w:t>000</w:t>
                  </w:r>
                  <w:r>
                    <w:rPr>
                      <w:rFonts w:hint="eastAsia"/>
                      <w:sz w:val="24"/>
                      <w:szCs w:val="24"/>
                    </w:rPr>
                    <w:t>m</w:t>
                  </w:r>
                  <w:r>
                    <w:rPr>
                      <w:rFonts w:hint="eastAsia"/>
                      <w:sz w:val="24"/>
                      <w:szCs w:val="24"/>
                      <w:vertAlign w:val="superscript"/>
                    </w:rPr>
                    <w:t>2</w:t>
                  </w:r>
                  <w:r>
                    <w:rPr>
                      <w:rFonts w:hint="eastAsia" w:ascii="Times New Roman" w:hAnsi="Times New Roman" w:eastAsia="宋体"/>
                      <w:bCs/>
                      <w:sz w:val="21"/>
                      <w:szCs w:val="21"/>
                      <w:lang w:val="en-US" w:eastAsia="zh-CN"/>
                    </w:rPr>
                    <w:t>，</w:t>
                  </w:r>
                  <w:r>
                    <w:rPr>
                      <w:rFonts w:hint="eastAsia" w:ascii="Times New Roman" w:hAnsi="Times New Roman" w:eastAsia="宋体"/>
                      <w:bCs/>
                      <w:sz w:val="21"/>
                      <w:szCs w:val="21"/>
                      <w:lang w:eastAsia="zh-CN"/>
                    </w:rPr>
                    <w:t>拟建</w:t>
                  </w:r>
                  <w:r>
                    <w:rPr>
                      <w:rFonts w:hint="eastAsia" w:ascii="Times New Roman" w:hAnsi="Times New Roman" w:eastAsia="宋体"/>
                      <w:bCs/>
                      <w:sz w:val="21"/>
                      <w:szCs w:val="21"/>
                      <w:lang w:val="en-US" w:eastAsia="zh-CN"/>
                    </w:rPr>
                    <w:t>1条纳米镀膜玻璃生产线，包括玻璃原片暂存区、清洗和干燥区、镀膜区、</w:t>
                  </w:r>
                  <w:r>
                    <w:rPr>
                      <w:rFonts w:hint="eastAsia"/>
                      <w:bCs/>
                      <w:sz w:val="21"/>
                      <w:szCs w:val="21"/>
                      <w:lang w:val="en-US" w:eastAsia="zh-CN"/>
                    </w:rPr>
                    <w:t>固化</w:t>
                  </w:r>
                  <w:r>
                    <w:rPr>
                      <w:rFonts w:hint="eastAsia" w:ascii="Times New Roman" w:hAnsi="Times New Roman" w:eastAsia="宋体"/>
                      <w:bCs/>
                      <w:sz w:val="21"/>
                      <w:szCs w:val="21"/>
                      <w:lang w:val="en-US" w:eastAsia="zh-CN"/>
                    </w:rPr>
                    <w:t>区、干燥区、下片区、成品暂存区等</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rPr>
                  </w:pP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办公生活设施</w:t>
                  </w: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综合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办公楼</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位于厂区的东北角，5F，建筑面积 2829.90</w:t>
                  </w:r>
                  <w:r>
                    <w:rPr>
                      <w:rFonts w:hint="eastAsia"/>
                      <w:sz w:val="24"/>
                      <w:szCs w:val="24"/>
                    </w:rPr>
                    <w:t>m</w:t>
                  </w:r>
                  <w:r>
                    <w:rPr>
                      <w:rFonts w:hint="eastAsia"/>
                      <w:sz w:val="24"/>
                      <w:szCs w:val="24"/>
                      <w:vertAlign w:val="superscript"/>
                    </w:rPr>
                    <w:t>2</w:t>
                  </w:r>
                  <w:r>
                    <w:rPr>
                      <w:rFonts w:hint="eastAsia" w:ascii="Times New Roman" w:hAnsi="Times New Roman" w:eastAsia="宋体"/>
                      <w:sz w:val="21"/>
                      <w:szCs w:val="21"/>
                    </w:rPr>
                    <w:t>，用于办公</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污水</w:t>
                  </w:r>
                  <w:r>
                    <w:rPr>
                      <w:rFonts w:hint="eastAsia" w:ascii="Times New Roman" w:hAnsi="Times New Roman" w:eastAsia="宋体"/>
                      <w:sz w:val="21"/>
                      <w:szCs w:val="21"/>
                      <w:lang w:eastAsia="zh-CN"/>
                    </w:rPr>
                    <w:t>、噪声、</w:t>
                  </w:r>
                  <w:r>
                    <w:rPr>
                      <w:rFonts w:hint="eastAsia" w:ascii="Times New Roman" w:hAnsi="Times New Roman" w:eastAsia="宋体"/>
                      <w:sz w:val="21"/>
                      <w:szCs w:val="21"/>
                    </w:rPr>
                    <w:t>生活垃圾</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p>
              </w:tc>
              <w:tc>
                <w:tcPr>
                  <w:tcW w:w="520" w:type="pct"/>
                  <w:gridSpan w:val="2"/>
                  <w:tcBorders>
                    <w:tl2br w:val="nil"/>
                    <w:tr2bl w:val="nil"/>
                  </w:tcBorders>
                  <w:shd w:val="clear" w:color="auto" w:fill="auto"/>
                  <w:vAlign w:val="center"/>
                </w:tcPr>
                <w:p>
                  <w:pPr>
                    <w:jc w:val="center"/>
                    <w:rPr>
                      <w:rFonts w:hint="eastAsia" w:ascii="Times New Roman" w:hAnsi="Times New Roman" w:eastAsia="宋体"/>
                      <w:sz w:val="21"/>
                      <w:szCs w:val="21"/>
                    </w:rPr>
                  </w:pPr>
                  <w:r>
                    <w:rPr>
                      <w:rFonts w:hint="eastAsia"/>
                      <w:szCs w:val="21"/>
                    </w:rPr>
                    <w:t>食堂就餐区</w:t>
                  </w:r>
                </w:p>
              </w:tc>
              <w:tc>
                <w:tcPr>
                  <w:tcW w:w="1572" w:type="pct"/>
                  <w:tcBorders>
                    <w:tl2br w:val="nil"/>
                    <w:tr2bl w:val="nil"/>
                  </w:tcBorders>
                  <w:shd w:val="clear" w:color="auto" w:fill="auto"/>
                  <w:vAlign w:val="center"/>
                </w:tcPr>
                <w:p>
                  <w:pPr>
                    <w:jc w:val="center"/>
                    <w:rPr>
                      <w:rFonts w:hint="eastAsia" w:ascii="Times New Roman" w:hAnsi="Times New Roman" w:eastAsia="宋体"/>
                      <w:sz w:val="21"/>
                      <w:szCs w:val="21"/>
                    </w:rPr>
                  </w:pPr>
                  <w:r>
                    <w:rPr>
                      <w:rFonts w:hint="eastAsia"/>
                      <w:szCs w:val="21"/>
                    </w:rPr>
                    <w:t>位于厂区的北</w:t>
                  </w:r>
                  <w:r>
                    <w:rPr>
                      <w:rFonts w:hint="eastAsia"/>
                      <w:szCs w:val="21"/>
                      <w:lang w:eastAsia="zh-CN"/>
                    </w:rPr>
                    <w:t>侧</w:t>
                  </w:r>
                  <w:r>
                    <w:rPr>
                      <w:rFonts w:hint="eastAsia"/>
                      <w:szCs w:val="21"/>
                    </w:rPr>
                    <w:t>，</w:t>
                  </w:r>
                  <w:r>
                    <w:rPr>
                      <w:rFonts w:hint="eastAsia"/>
                      <w:szCs w:val="21"/>
                      <w:lang w:val="en-US" w:eastAsia="zh-CN"/>
                    </w:rPr>
                    <w:t>1</w:t>
                  </w:r>
                  <w:r>
                    <w:rPr>
                      <w:rFonts w:hint="eastAsia"/>
                      <w:szCs w:val="21"/>
                    </w:rPr>
                    <w:t>F，建筑面积</w:t>
                  </w:r>
                  <w:r>
                    <w:rPr>
                      <w:rFonts w:hint="eastAsia"/>
                      <w:szCs w:val="21"/>
                      <w:lang w:val="en-US" w:eastAsia="zh-CN"/>
                    </w:rPr>
                    <w:t>80</w:t>
                  </w:r>
                  <w:r>
                    <w:rPr>
                      <w:rFonts w:hint="eastAsia"/>
                      <w:sz w:val="24"/>
                      <w:szCs w:val="24"/>
                    </w:rPr>
                    <w:t>m</w:t>
                  </w:r>
                  <w:r>
                    <w:rPr>
                      <w:rFonts w:hint="eastAsia"/>
                      <w:sz w:val="24"/>
                      <w:szCs w:val="24"/>
                      <w:vertAlign w:val="superscript"/>
                    </w:rPr>
                    <w:t>2</w:t>
                  </w:r>
                  <w:r>
                    <w:rPr>
                      <w:rFonts w:hint="eastAsia"/>
                      <w:szCs w:val="21"/>
                    </w:rPr>
                    <w:t>，用于</w:t>
                  </w:r>
                  <w:r>
                    <w:rPr>
                      <w:rFonts w:hint="eastAsia"/>
                      <w:szCs w:val="21"/>
                      <w:lang w:eastAsia="zh-CN"/>
                    </w:rPr>
                    <w:t>堂食</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废油污</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辅助工程</w:t>
                  </w: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辅助车间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1F，空压机房、变电站，建筑面积237</w:t>
                  </w:r>
                  <w:r>
                    <w:rPr>
                      <w:rFonts w:hint="eastAsia"/>
                      <w:sz w:val="24"/>
                      <w:szCs w:val="24"/>
                    </w:rPr>
                    <w:t>m</w:t>
                  </w:r>
                  <w:r>
                    <w:rPr>
                      <w:rFonts w:hint="eastAsia"/>
                      <w:sz w:val="24"/>
                      <w:szCs w:val="24"/>
                      <w:vertAlign w:val="superscript"/>
                    </w:rPr>
                    <w:t>2</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噪声</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机修间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lang w:val="en-US" w:eastAsia="zh-CN"/>
                    </w:rPr>
                    <w:t>占地面积为15</w:t>
                  </w:r>
                  <w:r>
                    <w:rPr>
                      <w:rFonts w:hint="eastAsia"/>
                      <w:sz w:val="24"/>
                      <w:szCs w:val="24"/>
                    </w:rPr>
                    <w:t>m</w:t>
                  </w:r>
                  <w:r>
                    <w:rPr>
                      <w:rFonts w:hint="eastAsia"/>
                      <w:sz w:val="24"/>
                      <w:szCs w:val="24"/>
                      <w:vertAlign w:val="superscript"/>
                    </w:rPr>
                    <w:t>2</w:t>
                  </w:r>
                  <w:r>
                    <w:rPr>
                      <w:rFonts w:hint="eastAsia" w:ascii="Times New Roman" w:hAnsi="Times New Roman" w:eastAsia="宋体"/>
                      <w:sz w:val="21"/>
                      <w:szCs w:val="21"/>
                      <w:lang w:val="en-US" w:eastAsia="zh-CN"/>
                    </w:rPr>
                    <w:t>，用于存放维修设备等。</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噪声</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lang w:eastAsia="zh-CN"/>
                    </w:rPr>
                    <w:t>丁基胶等暂存间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占地面积为30</w:t>
                  </w:r>
                  <w:r>
                    <w:rPr>
                      <w:rFonts w:hint="eastAsia"/>
                      <w:sz w:val="24"/>
                      <w:szCs w:val="24"/>
                    </w:rPr>
                    <w:t>m</w:t>
                  </w:r>
                  <w:r>
                    <w:rPr>
                      <w:rFonts w:hint="eastAsia"/>
                      <w:sz w:val="24"/>
                      <w:szCs w:val="24"/>
                      <w:vertAlign w:val="superscript"/>
                    </w:rPr>
                    <w:t>2</w:t>
                  </w:r>
                  <w:r>
                    <w:rPr>
                      <w:rFonts w:hint="eastAsia" w:ascii="Times New Roman" w:hAnsi="Times New Roman" w:eastAsia="宋体"/>
                      <w:sz w:val="21"/>
                      <w:szCs w:val="21"/>
                      <w:lang w:val="en-US" w:eastAsia="zh-CN"/>
                    </w:rPr>
                    <w:t>，用于存放丁基胶、隔热剂等。</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噪声</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sz w:val="21"/>
                      <w:szCs w:val="21"/>
                      <w:lang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公用工程</w:t>
                  </w: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供电</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园区电网</w:t>
                  </w:r>
                  <w:r>
                    <w:rPr>
                      <w:rFonts w:ascii="Times New Roman" w:hAnsi="Times New Roman" w:eastAsia="宋体"/>
                      <w:sz w:val="21"/>
                      <w:szCs w:val="21"/>
                    </w:rPr>
                    <w:t>供电</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w:t>
                  </w:r>
                </w:p>
              </w:tc>
              <w:tc>
                <w:tcPr>
                  <w:tcW w:w="28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供水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园区给水</w:t>
                  </w:r>
                  <w:r>
                    <w:rPr>
                      <w:rFonts w:ascii="Times New Roman" w:hAnsi="Times New Roman" w:eastAsia="宋体"/>
                      <w:sz w:val="21"/>
                      <w:szCs w:val="21"/>
                    </w:rPr>
                    <w:t>管网供</w:t>
                  </w:r>
                  <w:r>
                    <w:rPr>
                      <w:rFonts w:hint="eastAsia" w:ascii="Times New Roman" w:hAnsi="Times New Roman" w:eastAsia="宋体"/>
                      <w:sz w:val="21"/>
                      <w:szCs w:val="21"/>
                    </w:rPr>
                    <w:t>水</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w:t>
                  </w:r>
                </w:p>
              </w:tc>
              <w:tc>
                <w:tcPr>
                  <w:tcW w:w="2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环保</w:t>
                  </w:r>
                  <w:r>
                    <w:rPr>
                      <w:rFonts w:ascii="Times New Roman" w:hAnsi="Times New Roman" w:eastAsia="宋体"/>
                      <w:sz w:val="21"/>
                      <w:szCs w:val="21"/>
                    </w:rPr>
                    <w:t>工程</w:t>
                  </w:r>
                </w:p>
              </w:tc>
              <w:tc>
                <w:tcPr>
                  <w:tcW w:w="26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废气</w:t>
                  </w:r>
                </w:p>
              </w:tc>
              <w:tc>
                <w:tcPr>
                  <w:tcW w:w="26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有机废气</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sz w:val="21"/>
                      <w:szCs w:val="21"/>
                      <w:lang w:val="en-US" w:eastAsia="zh-CN"/>
                    </w:rPr>
                  </w:pPr>
                  <w:r>
                    <w:rPr>
                      <w:rFonts w:hint="eastAsia"/>
                      <w:bCs/>
                      <w:szCs w:val="21"/>
                      <w:lang w:val="en-US" w:eastAsia="zh-CN"/>
                    </w:rPr>
                    <w:t>中空玻璃生产线合片段至压片段（含打胶机）、丁基胶涂布过程，夹胶玻璃生产线PVB胶片贴片区过程产生少量有机废气呈无组织排放</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val="0"/>
                      <w:bCs/>
                      <w:sz w:val="21"/>
                      <w:szCs w:val="21"/>
                      <w:lang w:val="en-US"/>
                    </w:rPr>
                  </w:pPr>
                  <w:r>
                    <w:rPr>
                      <w:rFonts w:hint="eastAsia" w:ascii="Times New Roman" w:hAnsi="Times New Roman" w:eastAsia="宋体"/>
                      <w:sz w:val="21"/>
                      <w:szCs w:val="21"/>
                      <w:lang w:eastAsia="zh-CN"/>
                    </w:rPr>
                    <w:t>在</w:t>
                  </w:r>
                  <w:r>
                    <w:rPr>
                      <w:rFonts w:hint="eastAsia"/>
                      <w:sz w:val="21"/>
                      <w:szCs w:val="21"/>
                      <w:lang w:val="en-US" w:eastAsia="zh-CN"/>
                    </w:rPr>
                    <w:t>2#厂房</w:t>
                  </w:r>
                  <w:r>
                    <w:rPr>
                      <w:rFonts w:hint="eastAsia"/>
                      <w:sz w:val="21"/>
                      <w:szCs w:val="21"/>
                      <w:lang w:eastAsia="zh-CN"/>
                    </w:rPr>
                    <w:t>中空玻璃生产线施胶位置</w:t>
                  </w:r>
                  <w:r>
                    <w:rPr>
                      <w:rFonts w:hint="eastAsia" w:ascii="Times New Roman" w:hAnsi="Times New Roman" w:eastAsia="宋体"/>
                      <w:sz w:val="21"/>
                      <w:szCs w:val="21"/>
                      <w:lang w:eastAsia="zh-CN"/>
                    </w:rPr>
                    <w:t>设置</w:t>
                  </w:r>
                  <w:r>
                    <w:rPr>
                      <w:rFonts w:hint="eastAsia"/>
                      <w:sz w:val="21"/>
                      <w:szCs w:val="21"/>
                      <w:lang w:eastAsia="zh-CN"/>
                    </w:rPr>
                    <w:t>集气罩</w:t>
                  </w:r>
                  <w:r>
                    <w:rPr>
                      <w:rFonts w:hint="eastAsia" w:eastAsia="宋体"/>
                      <w:lang w:val="en-US" w:eastAsia="zh-CN"/>
                    </w:rPr>
                    <w:t>+软帘</w:t>
                  </w:r>
                  <w:r>
                    <w:rPr>
                      <w:rFonts w:hint="eastAsia"/>
                      <w:sz w:val="21"/>
                      <w:szCs w:val="21"/>
                      <w:lang w:val="en-US" w:eastAsia="zh-CN"/>
                    </w:rPr>
                    <w:t>+</w:t>
                  </w:r>
                  <w:r>
                    <w:rPr>
                      <w:rFonts w:hint="eastAsia" w:ascii="Times New Roman" w:hAnsi="Times New Roman" w:eastAsia="宋体"/>
                      <w:sz w:val="21"/>
                      <w:szCs w:val="21"/>
                      <w:lang w:eastAsia="zh-CN"/>
                    </w:rPr>
                    <w:t>二级活性炭</w:t>
                  </w:r>
                  <w:r>
                    <w:rPr>
                      <w:rFonts w:hint="eastAsia"/>
                      <w:sz w:val="21"/>
                      <w:szCs w:val="21"/>
                      <w:lang w:eastAsia="zh-CN"/>
                    </w:rPr>
                    <w:t>装置</w:t>
                  </w:r>
                  <w:r>
                    <w:rPr>
                      <w:rFonts w:hint="eastAsia" w:ascii="Times New Roman" w:hAnsi="Times New Roman" w:eastAsia="宋体"/>
                      <w:sz w:val="21"/>
                      <w:szCs w:val="21"/>
                      <w:lang w:eastAsia="zh-CN"/>
                    </w:rPr>
                    <w:t>+15m排气筒</w:t>
                  </w:r>
                  <w:r>
                    <w:rPr>
                      <w:rFonts w:hint="eastAsia"/>
                      <w:sz w:val="21"/>
                      <w:szCs w:val="21"/>
                      <w:lang w:eastAsia="zh-CN"/>
                    </w:rPr>
                    <w:t>（</w:t>
                  </w:r>
                  <w:r>
                    <w:rPr>
                      <w:rFonts w:hint="eastAsia"/>
                      <w:sz w:val="21"/>
                      <w:szCs w:val="21"/>
                      <w:lang w:val="en-US" w:eastAsia="zh-CN"/>
                    </w:rPr>
                    <w:t>DA002</w:t>
                  </w:r>
                  <w:r>
                    <w:rPr>
                      <w:rFonts w:hint="eastAsia"/>
                      <w:sz w:val="21"/>
                      <w:szCs w:val="21"/>
                      <w:lang w:eastAsia="zh-CN"/>
                    </w:rPr>
                    <w:t>）</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val="0"/>
                      <w:bCs/>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sz w:val="21"/>
                      <w:szCs w:val="21"/>
                      <w:lang w:val="en-US" w:eastAsia="zh-CN"/>
                    </w:rPr>
                  </w:pPr>
                  <w:r>
                    <w:rPr>
                      <w:rFonts w:hint="eastAsia" w:ascii="Times New Roman" w:hAnsi="Times New Roman" w:eastAsia="宋体"/>
                      <w:b w:val="0"/>
                      <w:bCs/>
                      <w:sz w:val="21"/>
                      <w:szCs w:val="21"/>
                      <w:lang w:val="en-US" w:eastAsia="zh-CN"/>
                    </w:rPr>
                    <w:t>/</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sz w:val="21"/>
                      <w:szCs w:val="21"/>
                      <w:lang w:val="en-US" w:eastAsia="zh-CN"/>
                    </w:rPr>
                  </w:pPr>
                  <w:r>
                    <w:rPr>
                      <w:rFonts w:hint="eastAsia"/>
                      <w:b w:val="0"/>
                      <w:bCs/>
                      <w:sz w:val="21"/>
                      <w:szCs w:val="21"/>
                      <w:lang w:val="en-US" w:eastAsia="zh-CN"/>
                    </w:rPr>
                    <w:t>整改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Cs w:val="21"/>
                      <w:lang w:val="en-US" w:eastAsia="zh-CN"/>
                    </w:rPr>
                  </w:pPr>
                  <w:r>
                    <w:rPr>
                      <w:rFonts w:hint="eastAsia"/>
                      <w:bCs/>
                      <w:szCs w:val="21"/>
                      <w:lang w:val="en-US" w:eastAsia="zh-CN"/>
                    </w:rPr>
                    <w:t>/</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sz w:val="21"/>
                      <w:szCs w:val="21"/>
                      <w:lang w:val="en-US" w:eastAsia="zh-CN"/>
                    </w:rPr>
                  </w:pPr>
                  <w:r>
                    <w:rPr>
                      <w:rFonts w:hint="eastAsia"/>
                      <w:b/>
                      <w:bCs w:val="0"/>
                      <w:sz w:val="21"/>
                      <w:szCs w:val="21"/>
                      <w:lang w:val="en-US" w:eastAsia="zh-CN"/>
                    </w:rPr>
                    <w:t>镀膜废气：</w:t>
                  </w:r>
                  <w:r>
                    <w:rPr>
                      <w:rFonts w:hint="eastAsia" w:ascii="Times New Roman" w:hAnsi="Times New Roman" w:eastAsia="宋体"/>
                      <w:b w:val="0"/>
                      <w:bCs/>
                      <w:sz w:val="21"/>
                      <w:szCs w:val="21"/>
                      <w:lang w:val="en-US" w:eastAsia="zh-CN"/>
                    </w:rPr>
                    <w:t>在本项目涂膜车间</w:t>
                  </w:r>
                  <w:r>
                    <w:rPr>
                      <w:rFonts w:hint="eastAsia"/>
                      <w:b w:val="0"/>
                      <w:bCs/>
                      <w:sz w:val="21"/>
                      <w:szCs w:val="21"/>
                      <w:lang w:val="en-US" w:eastAsia="zh-CN"/>
                    </w:rPr>
                    <w:t>设置集气罩+软帘+</w:t>
                  </w:r>
                  <w:r>
                    <w:rPr>
                      <w:rFonts w:hint="eastAsia" w:ascii="Times New Roman" w:hAnsi="Times New Roman" w:eastAsia="宋体"/>
                      <w:b w:val="0"/>
                      <w:bCs/>
                      <w:sz w:val="21"/>
                      <w:szCs w:val="21"/>
                      <w:lang w:val="en-US" w:eastAsia="zh-CN"/>
                    </w:rPr>
                    <w:t>一套二级活性炭装置+15m高排气筒</w:t>
                  </w:r>
                  <w:r>
                    <w:rPr>
                      <w:rFonts w:hint="eastAsia"/>
                      <w:lang w:eastAsia="zh-CN"/>
                    </w:rPr>
                    <w:t>（</w:t>
                  </w:r>
                  <w:r>
                    <w:rPr>
                      <w:rFonts w:hint="eastAsia"/>
                      <w:lang w:val="en-US" w:eastAsia="zh-CN"/>
                    </w:rPr>
                    <w:t>DA001</w:t>
                  </w:r>
                  <w:r>
                    <w:rPr>
                      <w:rFonts w:hint="eastAsia"/>
                      <w:lang w:eastAsia="zh-CN"/>
                    </w:rPr>
                    <w:t>）</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val="0"/>
                      <w:bCs/>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sz w:val="21"/>
                      <w:szCs w:val="21"/>
                      <w:lang w:val="en-US" w:eastAsia="zh-CN"/>
                    </w:rPr>
                  </w:pP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sz w:val="21"/>
                      <w:szCs w:val="21"/>
                      <w:lang w:val="en-US" w:eastAsia="zh-CN"/>
                    </w:rPr>
                  </w:pPr>
                  <w:r>
                    <w:rPr>
                      <w:rFonts w:hint="eastAsia" w:ascii="Times New Roman" w:hAnsi="Times New Roman" w:eastAsia="宋体"/>
                      <w:b w:val="0"/>
                      <w:bCs/>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p>
              </w:tc>
              <w:tc>
                <w:tcPr>
                  <w:tcW w:w="2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eastAsia="zh-CN"/>
                    </w:rPr>
                    <w:t>粉尘</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Cs w:val="21"/>
                      <w:lang w:val="en-US" w:eastAsia="zh-CN"/>
                    </w:rPr>
                  </w:pPr>
                  <w:r>
                    <w:rPr>
                      <w:rFonts w:hint="eastAsia"/>
                      <w:bCs/>
                      <w:color w:val="auto"/>
                      <w:szCs w:val="21"/>
                      <w:lang w:val="en-US" w:eastAsia="zh-CN"/>
                    </w:rPr>
                    <w:t>湿水法进行除尘，通过该措施后，所产生的打磨粉尘量较小，对外环境影响较小</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FF0000"/>
                      <w:sz w:val="21"/>
                      <w:szCs w:val="21"/>
                      <w:lang w:val="en-US" w:eastAsia="zh-CN"/>
                    </w:rPr>
                  </w:pPr>
                  <w:r>
                    <w:rPr>
                      <w:rFonts w:hint="eastAsia"/>
                      <w:bCs/>
                      <w:color w:val="auto"/>
                      <w:sz w:val="21"/>
                      <w:szCs w:val="21"/>
                      <w:lang w:val="en-US"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sz w:val="21"/>
                      <w:szCs w:val="21"/>
                      <w:lang w:val="en-US" w:eastAsia="zh-CN"/>
                    </w:rPr>
                  </w:pPr>
                  <w:r>
                    <w:rPr>
                      <w:rFonts w:hint="eastAsia"/>
                      <w:bCs/>
                      <w:sz w:val="21"/>
                      <w:szCs w:val="21"/>
                      <w:lang w:val="en-US" w:eastAsia="zh-CN"/>
                    </w:rPr>
                    <w:t>/</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p>
              </w:tc>
              <w:tc>
                <w:tcPr>
                  <w:tcW w:w="2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油烟</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Cs w:val="21"/>
                      <w:lang w:val="en-US" w:eastAsia="zh-CN"/>
                    </w:rPr>
                  </w:pPr>
                  <w:r>
                    <w:rPr>
                      <w:rFonts w:hint="eastAsia"/>
                      <w:bCs/>
                      <w:szCs w:val="21"/>
                      <w:lang w:val="en-US" w:eastAsia="zh-CN"/>
                    </w:rPr>
                    <w:t>食堂油烟废气通过食堂厨房抽油烟机抽出后，直接排放</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26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废水</w:t>
                  </w:r>
                </w:p>
              </w:tc>
              <w:tc>
                <w:tcPr>
                  <w:tcW w:w="2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生活污水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1个</w:t>
                  </w:r>
                  <w:r>
                    <w:rPr>
                      <w:rFonts w:ascii="Times New Roman" w:hAnsi="Times New Roman" w:eastAsia="宋体"/>
                      <w:sz w:val="21"/>
                      <w:szCs w:val="21"/>
                    </w:rPr>
                    <w:t>预处理池</w:t>
                  </w:r>
                  <w:r>
                    <w:rPr>
                      <w:rFonts w:hint="eastAsia" w:ascii="Times New Roman" w:hAnsi="Times New Roman" w:eastAsia="宋体"/>
                      <w:sz w:val="21"/>
                      <w:szCs w:val="21"/>
                    </w:rPr>
                    <w:t>，容积</w:t>
                  </w:r>
                  <w:r>
                    <w:rPr>
                      <w:rFonts w:hint="eastAsia" w:ascii="Times New Roman" w:hAnsi="Times New Roman" w:eastAsia="宋体"/>
                      <w:sz w:val="21"/>
                      <w:szCs w:val="21"/>
                      <w:lang w:val="en-US" w:eastAsia="zh-CN"/>
                    </w:rPr>
                    <w:t>16</w:t>
                  </w:r>
                  <w:r>
                    <w:rPr>
                      <w:rFonts w:hint="eastAsia" w:ascii="Times New Roman" w:hAnsi="Times New Roman" w:eastAsia="宋体"/>
                      <w:sz w:val="21"/>
                      <w:szCs w:val="21"/>
                    </w:rPr>
                    <w:t>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，用于生活污水预处理</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p>
              </w:tc>
              <w:tc>
                <w:tcPr>
                  <w:tcW w:w="26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生产废水</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b/>
                      <w:bCs/>
                      <w:sz w:val="21"/>
                      <w:szCs w:val="21"/>
                      <w:lang w:eastAsia="zh-CN"/>
                    </w:rPr>
                    <w:t>一期清洗废水：</w:t>
                  </w:r>
                  <w:r>
                    <w:rPr>
                      <w:rFonts w:hint="eastAsia" w:ascii="Times New Roman" w:hAnsi="Times New Roman" w:eastAsia="宋体"/>
                      <w:sz w:val="21"/>
                      <w:szCs w:val="21"/>
                    </w:rPr>
                    <w:t>沉淀池位于项目1#和2#生产车间之间，有效容积为40m</w:t>
                  </w:r>
                  <w:r>
                    <w:rPr>
                      <w:rFonts w:hint="eastAsia"/>
                      <w:sz w:val="21"/>
                      <w:szCs w:val="21"/>
                      <w:vertAlign w:val="superscript"/>
                      <w:lang w:val="en-US" w:eastAsia="zh-CN"/>
                    </w:rPr>
                    <w:t>3</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eastAsia="zh-CN"/>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1"/>
                      <w:szCs w:val="21"/>
                      <w:vertAlign w:val="baseline"/>
                      <w:lang w:val="en-US" w:eastAsia="zh-CN"/>
                    </w:rPr>
                  </w:pPr>
                  <w:r>
                    <w:rPr>
                      <w:rFonts w:hint="eastAsia"/>
                      <w:b/>
                      <w:bCs/>
                      <w:sz w:val="21"/>
                      <w:szCs w:val="21"/>
                      <w:lang w:eastAsia="zh-CN"/>
                    </w:rPr>
                    <w:t>清洗废水：</w:t>
                  </w:r>
                  <w:r>
                    <w:rPr>
                      <w:rFonts w:hint="eastAsia"/>
                      <w:b w:val="0"/>
                      <w:bCs w:val="0"/>
                      <w:sz w:val="21"/>
                      <w:szCs w:val="21"/>
                      <w:lang w:eastAsia="zh-CN"/>
                    </w:rPr>
                    <w:t>本项目新增</w:t>
                  </w:r>
                  <w:r>
                    <w:rPr>
                      <w:rFonts w:hint="eastAsia"/>
                      <w:b w:val="0"/>
                      <w:bCs w:val="0"/>
                      <w:sz w:val="21"/>
                      <w:szCs w:val="21"/>
                      <w:lang w:val="en-US" w:eastAsia="zh-CN"/>
                    </w:rPr>
                    <w:t>1个10m</w:t>
                  </w:r>
                  <w:r>
                    <w:rPr>
                      <w:rFonts w:hint="eastAsia"/>
                      <w:b w:val="0"/>
                      <w:bCs w:val="0"/>
                      <w:sz w:val="21"/>
                      <w:szCs w:val="21"/>
                      <w:vertAlign w:val="superscript"/>
                      <w:lang w:val="en-US" w:eastAsia="zh-CN"/>
                    </w:rPr>
                    <w:t>3</w:t>
                  </w:r>
                  <w:r>
                    <w:rPr>
                      <w:rFonts w:hint="eastAsia"/>
                      <w:b w:val="0"/>
                      <w:bCs w:val="0"/>
                      <w:sz w:val="21"/>
                      <w:szCs w:val="21"/>
                      <w:lang w:val="en-US" w:eastAsia="zh-CN"/>
                    </w:rPr>
                    <w:t>沉淀池处理本项目清洗废水，处理后回用于玻璃清洗，不外排。</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52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噪声</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合理布局，设备基础减振，优选低噪声设备、墙体隔声、距离衰减</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r>
                    <w:rPr>
                      <w:rFonts w:hint="eastAsia" w:ascii="Times New Roman" w:hAnsi="Times New Roman" w:eastAsia="宋体"/>
                      <w:sz w:val="21"/>
                      <w:szCs w:val="21"/>
                    </w:rPr>
                    <w:t>合理布局，设备基础减振，优选低噪声设备、墙体隔声、距离衰减</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26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固体废物</w:t>
                  </w:r>
                </w:p>
              </w:tc>
              <w:tc>
                <w:tcPr>
                  <w:tcW w:w="2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一般固废</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lang w:eastAsia="zh-CN"/>
                    </w:rPr>
                    <w:t>一般固废暂存区</w:t>
                  </w:r>
                  <w:r>
                    <w:rPr>
                      <w:rFonts w:hint="eastAsia" w:ascii="Times New Roman" w:hAnsi="Times New Roman" w:eastAsia="宋体"/>
                      <w:sz w:val="21"/>
                      <w:szCs w:val="21"/>
                      <w:lang w:val="en-US" w:eastAsia="zh-CN"/>
                    </w:rPr>
                    <w:t>2</w:t>
                  </w:r>
                  <w:r>
                    <w:rPr>
                      <w:rFonts w:hint="eastAsia" w:ascii="Times New Roman" w:hAnsi="Times New Roman" w:eastAsia="宋体"/>
                      <w:sz w:val="21"/>
                      <w:szCs w:val="21"/>
                      <w:lang w:eastAsia="zh-CN"/>
                    </w:rPr>
                    <w:t>处</w:t>
                  </w:r>
                  <w:r>
                    <w:rPr>
                      <w:rFonts w:hint="eastAsia" w:ascii="Times New Roman" w:hAnsi="Times New Roman" w:eastAsia="宋体"/>
                      <w:sz w:val="21"/>
                      <w:szCs w:val="21"/>
                    </w:rPr>
                    <w:t>，设于</w:t>
                  </w:r>
                  <w:r>
                    <w:rPr>
                      <w:rFonts w:hint="eastAsia" w:ascii="Times New Roman" w:hAnsi="Times New Roman" w:eastAsia="宋体"/>
                      <w:sz w:val="21"/>
                      <w:szCs w:val="21"/>
                      <w:lang w:eastAsia="zh-CN"/>
                    </w:rPr>
                    <w:t>项目</w:t>
                  </w:r>
                  <w:r>
                    <w:rPr>
                      <w:rFonts w:hint="eastAsia" w:ascii="Times New Roman" w:hAnsi="Times New Roman" w:eastAsia="宋体"/>
                      <w:sz w:val="21"/>
                      <w:szCs w:val="21"/>
                    </w:rPr>
                    <w:t>西</w:t>
                  </w:r>
                  <w:r>
                    <w:rPr>
                      <w:rFonts w:hint="eastAsia" w:ascii="Times New Roman" w:hAnsi="Times New Roman" w:eastAsia="宋体"/>
                      <w:sz w:val="21"/>
                      <w:szCs w:val="21"/>
                      <w:lang w:eastAsia="zh-CN"/>
                    </w:rPr>
                    <w:t>北</w:t>
                  </w:r>
                  <w:r>
                    <w:rPr>
                      <w:rFonts w:hint="eastAsia" w:ascii="Times New Roman" w:hAnsi="Times New Roman" w:eastAsia="宋体"/>
                      <w:sz w:val="21"/>
                      <w:szCs w:val="21"/>
                    </w:rPr>
                    <w:t>侧，</w:t>
                  </w:r>
                  <w:r>
                    <w:rPr>
                      <w:rFonts w:hint="eastAsia" w:ascii="Times New Roman" w:hAnsi="Times New Roman" w:eastAsia="宋体"/>
                      <w:sz w:val="21"/>
                      <w:szCs w:val="21"/>
                      <w:lang w:eastAsia="zh-CN"/>
                    </w:rPr>
                    <w:t>总</w:t>
                  </w:r>
                  <w:r>
                    <w:rPr>
                      <w:rFonts w:hint="eastAsia" w:ascii="Times New Roman" w:hAnsi="Times New Roman" w:eastAsia="宋体"/>
                      <w:sz w:val="21"/>
                      <w:szCs w:val="21"/>
                    </w:rPr>
                    <w:t>占地面积约</w:t>
                  </w:r>
                  <w:r>
                    <w:rPr>
                      <w:rFonts w:hint="eastAsia" w:ascii="Times New Roman" w:hAnsi="Times New Roman" w:eastAsia="宋体"/>
                      <w:sz w:val="21"/>
                      <w:szCs w:val="21"/>
                      <w:lang w:val="en-US" w:eastAsia="zh-CN"/>
                    </w:rPr>
                    <w:t>30</w:t>
                  </w:r>
                  <w:r>
                    <w:rPr>
                      <w:rFonts w:hint="eastAsia"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，用于</w:t>
                  </w:r>
                  <w:r>
                    <w:rPr>
                      <w:rFonts w:hint="eastAsia" w:ascii="Times New Roman" w:hAnsi="Times New Roman" w:eastAsia="宋体"/>
                      <w:sz w:val="21"/>
                      <w:szCs w:val="21"/>
                      <w:lang w:eastAsia="zh-CN"/>
                    </w:rPr>
                    <w:t>一般固废暂存</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r>
                    <w:rPr>
                      <w:rFonts w:hint="default" w:ascii="Times New Roman" w:hAnsi="Times New Roman" w:cs="Times New Roman"/>
                      <w:color w:val="auto"/>
                      <w:szCs w:val="21"/>
                      <w:highlight w:val="none"/>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一般固废</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c>
                <w:tcPr>
                  <w:tcW w:w="2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危险废物</w:t>
                  </w:r>
                </w:p>
              </w:tc>
              <w:tc>
                <w:tcPr>
                  <w:tcW w:w="15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危废暂存间1间，设于</w:t>
                  </w:r>
                  <w:r>
                    <w:rPr>
                      <w:rFonts w:hint="eastAsia" w:ascii="Times New Roman" w:hAnsi="Times New Roman" w:eastAsia="宋体"/>
                      <w:sz w:val="21"/>
                      <w:szCs w:val="21"/>
                      <w:lang w:eastAsia="zh-CN"/>
                    </w:rPr>
                    <w:t>项目</w:t>
                  </w:r>
                  <w:r>
                    <w:rPr>
                      <w:rFonts w:hint="eastAsia" w:ascii="Times New Roman" w:hAnsi="Times New Roman" w:eastAsia="宋体"/>
                      <w:sz w:val="21"/>
                      <w:szCs w:val="21"/>
                    </w:rPr>
                    <w:t>西</w:t>
                  </w:r>
                  <w:r>
                    <w:rPr>
                      <w:rFonts w:hint="eastAsia" w:ascii="Times New Roman" w:hAnsi="Times New Roman" w:eastAsia="宋体"/>
                      <w:sz w:val="21"/>
                      <w:szCs w:val="21"/>
                      <w:lang w:eastAsia="zh-CN"/>
                    </w:rPr>
                    <w:t>北</w:t>
                  </w:r>
                  <w:r>
                    <w:rPr>
                      <w:rFonts w:hint="eastAsia" w:ascii="Times New Roman" w:hAnsi="Times New Roman" w:eastAsia="宋体"/>
                      <w:sz w:val="21"/>
                      <w:szCs w:val="21"/>
                    </w:rPr>
                    <w:t>侧，占地面积约</w:t>
                  </w:r>
                  <w:r>
                    <w:rPr>
                      <w:rFonts w:hint="eastAsia" w:ascii="Times New Roman" w:hAnsi="Times New Roman" w:eastAsia="宋体"/>
                      <w:sz w:val="21"/>
                      <w:szCs w:val="21"/>
                      <w:lang w:val="en-US" w:eastAsia="zh-CN"/>
                    </w:rPr>
                    <w:t>15</w:t>
                  </w:r>
                  <w:r>
                    <w:rPr>
                      <w:rFonts w:hint="eastAsia"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，用于危险废物贮存</w:t>
                  </w:r>
                </w:p>
              </w:tc>
              <w:tc>
                <w:tcPr>
                  <w:tcW w:w="134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r>
                    <w:rPr>
                      <w:rFonts w:hint="default" w:ascii="Times New Roman" w:hAnsi="Times New Roman" w:cs="Times New Roman"/>
                      <w:color w:val="auto"/>
                      <w:szCs w:val="21"/>
                      <w:highlight w:val="none"/>
                    </w:rPr>
                    <w:t>与现有项目一致</w:t>
                  </w:r>
                </w:p>
              </w:tc>
              <w:tc>
                <w:tcPr>
                  <w:tcW w:w="41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sz w:val="21"/>
                      <w:szCs w:val="21"/>
                    </w:rPr>
                  </w:pPr>
                </w:p>
              </w:tc>
              <w:tc>
                <w:tcPr>
                  <w:tcW w:w="4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危险废物</w:t>
                  </w:r>
                </w:p>
              </w:tc>
              <w:tc>
                <w:tcPr>
                  <w:tcW w:w="2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eastAsia="zh-CN"/>
                    </w:rPr>
                    <w:t>依托</w:t>
                  </w:r>
                </w:p>
              </w:tc>
            </w:tr>
          </w:tbl>
          <w:p>
            <w:pPr>
              <w:adjustRightInd w:val="0"/>
              <w:snapToGrid w:val="0"/>
              <w:spacing w:before="120" w:beforeLines="50" w:line="360" w:lineRule="auto"/>
              <w:ind w:firstLine="480" w:firstLineChars="200"/>
              <w:rPr>
                <w:bCs/>
                <w:color w:val="auto"/>
                <w:sz w:val="24"/>
              </w:rPr>
            </w:pPr>
            <w:r>
              <w:rPr>
                <w:bCs/>
                <w:color w:val="auto"/>
                <w:sz w:val="24"/>
              </w:rPr>
              <w:t>根据现场踏勘，本项目依托厂区已建设施情况及可行性分析见下表。</w:t>
            </w:r>
          </w:p>
          <w:p>
            <w:pPr>
              <w:jc w:val="center"/>
              <w:rPr>
                <w:b/>
                <w:color w:val="auto"/>
                <w:szCs w:val="21"/>
              </w:rPr>
            </w:pPr>
            <w:r>
              <w:rPr>
                <w:b/>
                <w:color w:val="auto"/>
                <w:szCs w:val="21"/>
              </w:rPr>
              <w:t>表2-</w:t>
            </w:r>
            <w:r>
              <w:rPr>
                <w:rFonts w:hint="eastAsia"/>
                <w:b/>
                <w:color w:val="auto"/>
                <w:szCs w:val="21"/>
                <w:lang w:val="en-US" w:eastAsia="zh-CN"/>
              </w:rPr>
              <w:t>5</w:t>
            </w:r>
            <w:r>
              <w:rPr>
                <w:b/>
                <w:color w:val="auto"/>
                <w:szCs w:val="21"/>
              </w:rPr>
              <w:t xml:space="preserve">  项目公辅设施依托情况及可行性一览表</w:t>
            </w:r>
          </w:p>
          <w:tbl>
            <w:tblPr>
              <w:tblStyle w:val="24"/>
              <w:tblW w:w="498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11"/>
              <w:gridCol w:w="1426"/>
              <w:gridCol w:w="3415"/>
              <w:gridCol w:w="25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restart"/>
                  <w:noWrap w:val="0"/>
                  <w:vAlign w:val="center"/>
                </w:tcPr>
                <w:p>
                  <w:pPr>
                    <w:jc w:val="center"/>
                    <w:rPr>
                      <w:b/>
                      <w:color w:val="auto"/>
                      <w:szCs w:val="21"/>
                    </w:rPr>
                  </w:pPr>
                  <w:r>
                    <w:rPr>
                      <w:b/>
                      <w:color w:val="auto"/>
                      <w:szCs w:val="21"/>
                    </w:rPr>
                    <w:t>分类</w:t>
                  </w:r>
                </w:p>
              </w:tc>
              <w:tc>
                <w:tcPr>
                  <w:tcW w:w="874" w:type="pct"/>
                  <w:vMerge w:val="restart"/>
                  <w:noWrap w:val="0"/>
                  <w:vAlign w:val="center"/>
                </w:tcPr>
                <w:p>
                  <w:pPr>
                    <w:jc w:val="center"/>
                    <w:rPr>
                      <w:b/>
                      <w:color w:val="auto"/>
                      <w:szCs w:val="21"/>
                    </w:rPr>
                  </w:pPr>
                  <w:r>
                    <w:rPr>
                      <w:b/>
                      <w:color w:val="auto"/>
                      <w:szCs w:val="21"/>
                    </w:rPr>
                    <w:t>项目组成</w:t>
                  </w:r>
                </w:p>
              </w:tc>
              <w:tc>
                <w:tcPr>
                  <w:tcW w:w="2093" w:type="pct"/>
                  <w:vMerge w:val="restart"/>
                  <w:noWrap w:val="0"/>
                  <w:vAlign w:val="center"/>
                </w:tcPr>
                <w:p>
                  <w:pPr>
                    <w:jc w:val="center"/>
                    <w:rPr>
                      <w:b/>
                      <w:color w:val="auto"/>
                      <w:szCs w:val="21"/>
                    </w:rPr>
                  </w:pPr>
                  <w:r>
                    <w:rPr>
                      <w:b/>
                      <w:color w:val="auto"/>
                      <w:szCs w:val="21"/>
                    </w:rPr>
                    <w:t>工程内容及规模</w:t>
                  </w:r>
                </w:p>
              </w:tc>
              <w:tc>
                <w:tcPr>
                  <w:tcW w:w="1534" w:type="pct"/>
                  <w:vMerge w:val="restart"/>
                  <w:noWrap w:val="0"/>
                  <w:vAlign w:val="center"/>
                </w:tcPr>
                <w:p>
                  <w:pPr>
                    <w:jc w:val="center"/>
                    <w:rPr>
                      <w:b/>
                      <w:color w:val="auto"/>
                      <w:szCs w:val="21"/>
                    </w:rPr>
                  </w:pPr>
                  <w:r>
                    <w:rPr>
                      <w:rFonts w:hint="eastAsia"/>
                      <w:b/>
                      <w:color w:val="auto"/>
                      <w:szCs w:val="21"/>
                    </w:rPr>
                    <w:t>依托可行性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continue"/>
                  <w:noWrap w:val="0"/>
                  <w:vAlign w:val="center"/>
                </w:tcPr>
                <w:p>
                  <w:pPr>
                    <w:jc w:val="center"/>
                    <w:rPr>
                      <w:b/>
                      <w:color w:val="auto"/>
                      <w:szCs w:val="21"/>
                    </w:rPr>
                  </w:pPr>
                </w:p>
              </w:tc>
              <w:tc>
                <w:tcPr>
                  <w:tcW w:w="874" w:type="pct"/>
                  <w:vMerge w:val="continue"/>
                  <w:noWrap w:val="0"/>
                  <w:vAlign w:val="center"/>
                </w:tcPr>
                <w:p>
                  <w:pPr>
                    <w:jc w:val="center"/>
                    <w:rPr>
                      <w:b/>
                      <w:color w:val="auto"/>
                      <w:szCs w:val="21"/>
                    </w:rPr>
                  </w:pPr>
                </w:p>
              </w:tc>
              <w:tc>
                <w:tcPr>
                  <w:tcW w:w="2093" w:type="pct"/>
                  <w:vMerge w:val="continue"/>
                  <w:noWrap w:val="0"/>
                  <w:vAlign w:val="center"/>
                </w:tcPr>
                <w:p>
                  <w:pPr>
                    <w:jc w:val="center"/>
                    <w:rPr>
                      <w:b/>
                      <w:color w:val="auto"/>
                      <w:szCs w:val="21"/>
                    </w:rPr>
                  </w:pPr>
                </w:p>
              </w:tc>
              <w:tc>
                <w:tcPr>
                  <w:tcW w:w="1534" w:type="pct"/>
                  <w:vMerge w:val="continue"/>
                  <w:noWrap w:val="0"/>
                  <w:vAlign w:val="center"/>
                </w:tcPr>
                <w:p>
                  <w:pPr>
                    <w:jc w:val="center"/>
                    <w:rPr>
                      <w:b/>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restart"/>
                  <w:noWrap w:val="0"/>
                  <w:vAlign w:val="center"/>
                </w:tcPr>
                <w:p>
                  <w:pPr>
                    <w:jc w:val="center"/>
                    <w:rPr>
                      <w:color w:val="auto"/>
                      <w:szCs w:val="21"/>
                    </w:rPr>
                  </w:pPr>
                  <w:r>
                    <w:rPr>
                      <w:color w:val="auto"/>
                      <w:szCs w:val="21"/>
                    </w:rPr>
                    <w:t>辅助工程</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辅助车间</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1F，空压机房、变电站，建筑面积237</w:t>
                  </w:r>
                  <w:r>
                    <w:rPr>
                      <w:rFonts w:hint="eastAsia"/>
                      <w:sz w:val="24"/>
                      <w:szCs w:val="24"/>
                    </w:rPr>
                    <w:t>m</w:t>
                  </w:r>
                  <w:r>
                    <w:rPr>
                      <w:rFonts w:hint="eastAsia"/>
                      <w:sz w:val="24"/>
                      <w:szCs w:val="24"/>
                      <w:vertAlign w:val="superscript"/>
                    </w:rPr>
                    <w:t>2</w:t>
                  </w:r>
                </w:p>
              </w:tc>
              <w:tc>
                <w:tcPr>
                  <w:tcW w:w="1534" w:type="pct"/>
                  <w:vMerge w:val="restart"/>
                  <w:noWrap w:val="0"/>
                  <w:vAlign w:val="center"/>
                </w:tcPr>
                <w:p>
                  <w:pPr>
                    <w:jc w:val="center"/>
                    <w:rPr>
                      <w:color w:val="auto"/>
                      <w:szCs w:val="21"/>
                    </w:rPr>
                  </w:pPr>
                  <w:r>
                    <w:rPr>
                      <w:rFonts w:hint="eastAsia"/>
                      <w:color w:val="auto"/>
                      <w:szCs w:val="21"/>
                    </w:rPr>
                    <w:t>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continue"/>
                  <w:noWrap w:val="0"/>
                  <w:vAlign w:val="center"/>
                </w:tcPr>
                <w:p>
                  <w:pPr>
                    <w:jc w:val="center"/>
                    <w:rPr>
                      <w:color w:val="auto"/>
                      <w:szCs w:val="21"/>
                    </w:rPr>
                  </w:pP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lang w:eastAsia="zh-CN"/>
                    </w:rPr>
                    <w:t>机修间</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lang w:val="en-US" w:eastAsia="zh-CN"/>
                    </w:rPr>
                    <w:t>占地面积为15</w:t>
                  </w:r>
                  <w:r>
                    <w:rPr>
                      <w:rFonts w:hint="eastAsia"/>
                      <w:sz w:val="24"/>
                      <w:szCs w:val="24"/>
                    </w:rPr>
                    <w:t>m</w:t>
                  </w:r>
                  <w:r>
                    <w:rPr>
                      <w:rFonts w:hint="eastAsia"/>
                      <w:sz w:val="24"/>
                      <w:szCs w:val="24"/>
                      <w:vertAlign w:val="superscript"/>
                    </w:rPr>
                    <w:t>2</w:t>
                  </w:r>
                  <w:r>
                    <w:rPr>
                      <w:rFonts w:hint="eastAsia" w:ascii="Times New Roman" w:hAnsi="Times New Roman" w:eastAsia="宋体"/>
                      <w:sz w:val="21"/>
                      <w:szCs w:val="21"/>
                      <w:lang w:val="en-US" w:eastAsia="zh-CN"/>
                    </w:rPr>
                    <w:t>，用于存放维修设备等。</w:t>
                  </w:r>
                </w:p>
              </w:tc>
              <w:tc>
                <w:tcPr>
                  <w:tcW w:w="1534" w:type="pct"/>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continue"/>
                  <w:noWrap w:val="0"/>
                  <w:vAlign w:val="center"/>
                </w:tcPr>
                <w:p>
                  <w:pPr>
                    <w:jc w:val="center"/>
                    <w:rPr>
                      <w:color w:val="auto"/>
                      <w:szCs w:val="21"/>
                    </w:rPr>
                  </w:pP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lang w:eastAsia="zh-CN"/>
                    </w:rPr>
                    <w:t>丁基胶等暂存间</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lang w:val="en-US" w:eastAsia="zh-CN"/>
                    </w:rPr>
                    <w:t>占地面积为30</w:t>
                  </w:r>
                  <w:r>
                    <w:rPr>
                      <w:rFonts w:hint="eastAsia"/>
                      <w:sz w:val="24"/>
                      <w:szCs w:val="24"/>
                    </w:rPr>
                    <w:t>m</w:t>
                  </w:r>
                  <w:r>
                    <w:rPr>
                      <w:rFonts w:hint="eastAsia"/>
                      <w:sz w:val="24"/>
                      <w:szCs w:val="24"/>
                      <w:vertAlign w:val="superscript"/>
                    </w:rPr>
                    <w:t>2</w:t>
                  </w:r>
                  <w:r>
                    <w:rPr>
                      <w:rFonts w:hint="eastAsia" w:ascii="Times New Roman" w:hAnsi="Times New Roman" w:eastAsia="宋体"/>
                      <w:sz w:val="21"/>
                      <w:szCs w:val="21"/>
                      <w:lang w:val="en-US" w:eastAsia="zh-CN"/>
                    </w:rPr>
                    <w:t>，用于存放丁基胶、隔热剂等。</w:t>
                  </w:r>
                </w:p>
              </w:tc>
              <w:tc>
                <w:tcPr>
                  <w:tcW w:w="1534" w:type="pct"/>
                  <w:vMerge w:val="continue"/>
                  <w:noWrap w:val="0"/>
                  <w:vAlign w:val="center"/>
                </w:tcPr>
                <w:p>
                  <w:pPr>
                    <w:ind w:firstLine="420" w:firstLineChars="20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restart"/>
                  <w:noWrap w:val="0"/>
                  <w:vAlign w:val="center"/>
                </w:tcPr>
                <w:p>
                  <w:pPr>
                    <w:jc w:val="center"/>
                    <w:rPr>
                      <w:color w:val="auto"/>
                      <w:szCs w:val="21"/>
                    </w:rPr>
                  </w:pPr>
                  <w:r>
                    <w:rPr>
                      <w:color w:val="auto"/>
                      <w:szCs w:val="21"/>
                    </w:rPr>
                    <w:t>公用工程</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供电</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园区电网</w:t>
                  </w:r>
                  <w:r>
                    <w:rPr>
                      <w:rFonts w:ascii="Times New Roman" w:hAnsi="Times New Roman" w:eastAsia="宋体"/>
                      <w:sz w:val="21"/>
                      <w:szCs w:val="21"/>
                    </w:rPr>
                    <w:t>供电</w:t>
                  </w:r>
                </w:p>
              </w:tc>
              <w:tc>
                <w:tcPr>
                  <w:tcW w:w="1534" w:type="pct"/>
                  <w:noWrap w:val="0"/>
                  <w:vAlign w:val="center"/>
                </w:tcPr>
                <w:p>
                  <w:pPr>
                    <w:jc w:val="center"/>
                    <w:rPr>
                      <w:color w:val="auto"/>
                      <w:szCs w:val="21"/>
                    </w:rPr>
                  </w:pPr>
                  <w:r>
                    <w:rPr>
                      <w:rFonts w:hint="eastAsia"/>
                      <w:color w:val="auto"/>
                      <w:szCs w:val="21"/>
                    </w:rPr>
                    <w:t>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continue"/>
                  <w:noWrap w:val="0"/>
                  <w:vAlign w:val="center"/>
                </w:tcPr>
                <w:p>
                  <w:pPr>
                    <w:jc w:val="center"/>
                    <w:rPr>
                      <w:color w:val="auto"/>
                      <w:szCs w:val="21"/>
                    </w:rPr>
                  </w:pP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供水</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园区给水</w:t>
                  </w:r>
                  <w:r>
                    <w:rPr>
                      <w:rFonts w:ascii="Times New Roman" w:hAnsi="Times New Roman" w:eastAsia="宋体"/>
                      <w:sz w:val="21"/>
                      <w:szCs w:val="21"/>
                    </w:rPr>
                    <w:t>管网供</w:t>
                  </w:r>
                  <w:r>
                    <w:rPr>
                      <w:rFonts w:hint="eastAsia" w:ascii="Times New Roman" w:hAnsi="Times New Roman" w:eastAsia="宋体"/>
                      <w:sz w:val="21"/>
                      <w:szCs w:val="21"/>
                    </w:rPr>
                    <w:t>水</w:t>
                  </w:r>
                </w:p>
              </w:tc>
              <w:tc>
                <w:tcPr>
                  <w:tcW w:w="1534" w:type="pct"/>
                  <w:noWrap w:val="0"/>
                  <w:vAlign w:val="center"/>
                </w:tcPr>
                <w:p>
                  <w:pPr>
                    <w:jc w:val="center"/>
                    <w:rPr>
                      <w:color w:val="auto"/>
                      <w:szCs w:val="21"/>
                    </w:rPr>
                  </w:pPr>
                  <w:r>
                    <w:rPr>
                      <w:rFonts w:hint="eastAsia"/>
                      <w:color w:val="auto"/>
                      <w:szCs w:val="21"/>
                    </w:rPr>
                    <w:t>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noWrap w:val="0"/>
                  <w:vAlign w:val="center"/>
                </w:tcPr>
                <w:p>
                  <w:pPr>
                    <w:ind w:left="-105" w:leftChars="-50" w:right="-105" w:rightChars="-50"/>
                    <w:jc w:val="center"/>
                    <w:rPr>
                      <w:color w:val="auto"/>
                      <w:szCs w:val="21"/>
                    </w:rPr>
                  </w:pPr>
                  <w:r>
                    <w:rPr>
                      <w:color w:val="auto"/>
                      <w:szCs w:val="21"/>
                    </w:rPr>
                    <w:t>生活及办公设施</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综合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办公楼</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位于厂区的东北角，5F，建筑面积 2829.90</w:t>
                  </w:r>
                  <w:r>
                    <w:rPr>
                      <w:rFonts w:hint="eastAsia"/>
                      <w:sz w:val="24"/>
                      <w:szCs w:val="24"/>
                    </w:rPr>
                    <w:t>m</w:t>
                  </w:r>
                  <w:r>
                    <w:rPr>
                      <w:rFonts w:hint="eastAsia"/>
                      <w:sz w:val="24"/>
                      <w:szCs w:val="24"/>
                      <w:vertAlign w:val="superscript"/>
                    </w:rPr>
                    <w:t>2</w:t>
                  </w:r>
                  <w:r>
                    <w:rPr>
                      <w:rFonts w:hint="eastAsia" w:ascii="Times New Roman" w:hAnsi="Times New Roman" w:eastAsia="宋体"/>
                      <w:sz w:val="21"/>
                      <w:szCs w:val="21"/>
                    </w:rPr>
                    <w:t>，用于办公</w:t>
                  </w:r>
                </w:p>
              </w:tc>
              <w:tc>
                <w:tcPr>
                  <w:tcW w:w="1534" w:type="pct"/>
                  <w:noWrap w:val="0"/>
                  <w:vAlign w:val="center"/>
                </w:tcPr>
                <w:p>
                  <w:pPr>
                    <w:jc w:val="center"/>
                    <w:rPr>
                      <w:color w:val="auto"/>
                      <w:szCs w:val="21"/>
                    </w:rPr>
                  </w:pPr>
                  <w:r>
                    <w:rPr>
                      <w:rFonts w:hint="eastAsia"/>
                      <w:color w:val="auto"/>
                      <w:szCs w:val="21"/>
                    </w:rPr>
                    <w:t>人员新增</w:t>
                  </w:r>
                  <w:r>
                    <w:rPr>
                      <w:rFonts w:hint="eastAsia"/>
                      <w:color w:val="auto"/>
                      <w:szCs w:val="21"/>
                      <w:lang w:val="en-US" w:eastAsia="zh-CN"/>
                    </w:rPr>
                    <w:t>4</w:t>
                  </w:r>
                  <w:r>
                    <w:rPr>
                      <w:rFonts w:hint="eastAsia"/>
                      <w:color w:val="auto"/>
                      <w:szCs w:val="21"/>
                    </w:rPr>
                    <w:t>人，负荷量较小，可行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restart"/>
                  <w:noWrap w:val="0"/>
                  <w:vAlign w:val="center"/>
                </w:tcPr>
                <w:p>
                  <w:pPr>
                    <w:jc w:val="center"/>
                    <w:rPr>
                      <w:color w:val="auto"/>
                      <w:szCs w:val="21"/>
                    </w:rPr>
                  </w:pPr>
                  <w:r>
                    <w:rPr>
                      <w:color w:val="auto"/>
                      <w:szCs w:val="21"/>
                    </w:rPr>
                    <w:t>环保</w:t>
                  </w:r>
                </w:p>
                <w:p>
                  <w:pPr>
                    <w:jc w:val="center"/>
                    <w:rPr>
                      <w:color w:val="auto"/>
                      <w:szCs w:val="21"/>
                    </w:rPr>
                  </w:pPr>
                  <w:r>
                    <w:rPr>
                      <w:color w:val="auto"/>
                      <w:szCs w:val="21"/>
                    </w:rPr>
                    <w:t>措施</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ascii="Times New Roman" w:hAnsi="Times New Roman" w:eastAsia="宋体"/>
                      <w:sz w:val="21"/>
                      <w:szCs w:val="21"/>
                    </w:rPr>
                    <w:t>预处理池</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rPr>
                    <w:t>1个，容积</w:t>
                  </w:r>
                  <w:r>
                    <w:rPr>
                      <w:rFonts w:hint="eastAsia" w:ascii="Times New Roman" w:hAnsi="Times New Roman" w:eastAsia="宋体"/>
                      <w:sz w:val="21"/>
                      <w:szCs w:val="21"/>
                      <w:lang w:val="en-US" w:eastAsia="zh-CN"/>
                    </w:rPr>
                    <w:t>16</w:t>
                  </w:r>
                  <w:r>
                    <w:rPr>
                      <w:rFonts w:hint="eastAsia" w:ascii="Times New Roman" w:hAnsi="Times New Roman" w:eastAsia="宋体"/>
                      <w:sz w:val="21"/>
                      <w:szCs w:val="21"/>
                    </w:rPr>
                    <w:t>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，用于生活污水预处理</w:t>
                  </w:r>
                </w:p>
              </w:tc>
              <w:tc>
                <w:tcPr>
                  <w:tcW w:w="1534" w:type="pct"/>
                  <w:noWrap w:val="0"/>
                  <w:vAlign w:val="center"/>
                </w:tcPr>
                <w:p>
                  <w:pPr>
                    <w:jc w:val="center"/>
                    <w:rPr>
                      <w:color w:val="auto"/>
                      <w:szCs w:val="21"/>
                    </w:rPr>
                  </w:pPr>
                  <w:r>
                    <w:rPr>
                      <w:rFonts w:hint="eastAsia"/>
                      <w:color w:val="auto"/>
                      <w:szCs w:val="21"/>
                    </w:rPr>
                    <w:t>一期废水总量为3.23</w:t>
                  </w:r>
                  <w:r>
                    <w:rPr>
                      <w:rFonts w:hint="eastAsia" w:ascii="Times New Roman" w:hAnsi="Times New Roman" w:eastAsia="宋体"/>
                      <w:sz w:val="21"/>
                      <w:szCs w:val="21"/>
                    </w:rPr>
                    <w:t>m</w:t>
                  </w:r>
                  <w:r>
                    <w:rPr>
                      <w:rFonts w:hint="eastAsia" w:ascii="Times New Roman" w:hAnsi="Times New Roman" w:eastAsia="宋体"/>
                      <w:sz w:val="21"/>
                      <w:szCs w:val="21"/>
                      <w:vertAlign w:val="superscript"/>
                    </w:rPr>
                    <w:t>3</w:t>
                  </w:r>
                  <w:r>
                    <w:rPr>
                      <w:rFonts w:hint="eastAsia"/>
                      <w:color w:val="auto"/>
                      <w:szCs w:val="21"/>
                    </w:rPr>
                    <w:t>/d，剩余处理能力12.77m³/d，本项目废水总量为</w:t>
                  </w:r>
                  <w:r>
                    <w:rPr>
                      <w:rFonts w:hint="eastAsia"/>
                      <w:color w:val="auto"/>
                      <w:szCs w:val="21"/>
                      <w:lang w:val="en-US" w:eastAsia="zh-CN"/>
                    </w:rPr>
                    <w:t>0.97</w:t>
                  </w:r>
                  <w:r>
                    <w:rPr>
                      <w:rFonts w:hint="eastAsia" w:ascii="Times New Roman" w:hAnsi="Times New Roman" w:eastAsia="宋体"/>
                      <w:sz w:val="21"/>
                      <w:szCs w:val="21"/>
                    </w:rPr>
                    <w:t>m</w:t>
                  </w:r>
                  <w:r>
                    <w:rPr>
                      <w:rFonts w:hint="eastAsia" w:ascii="Times New Roman" w:hAnsi="Times New Roman" w:eastAsia="宋体"/>
                      <w:sz w:val="21"/>
                      <w:szCs w:val="21"/>
                      <w:vertAlign w:val="superscript"/>
                    </w:rPr>
                    <w:t>3</w:t>
                  </w:r>
                  <w:r>
                    <w:rPr>
                      <w:rFonts w:hint="eastAsia"/>
                      <w:color w:val="auto"/>
                      <w:szCs w:val="21"/>
                    </w:rPr>
                    <w:t>/d，故本项目依托已建预处理池可行。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continue"/>
                  <w:noWrap w:val="0"/>
                  <w:vAlign w:val="center"/>
                </w:tcPr>
                <w:p>
                  <w:pPr>
                    <w:jc w:val="center"/>
                    <w:rPr>
                      <w:color w:val="auto"/>
                      <w:szCs w:val="21"/>
                    </w:rPr>
                  </w:pP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lang w:eastAsia="zh-CN"/>
                    </w:rPr>
                    <w:t>一般固废暂存区</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ascii="Times New Roman" w:hAnsi="Times New Roman" w:eastAsia="宋体"/>
                      <w:sz w:val="21"/>
                      <w:szCs w:val="21"/>
                      <w:lang w:val="en-US" w:eastAsia="zh-CN"/>
                    </w:rPr>
                    <w:t>2</w:t>
                  </w:r>
                  <w:r>
                    <w:rPr>
                      <w:rFonts w:hint="eastAsia" w:ascii="Times New Roman" w:hAnsi="Times New Roman" w:eastAsia="宋体"/>
                      <w:sz w:val="21"/>
                      <w:szCs w:val="21"/>
                      <w:lang w:eastAsia="zh-CN"/>
                    </w:rPr>
                    <w:t>处</w:t>
                  </w:r>
                  <w:r>
                    <w:rPr>
                      <w:rFonts w:hint="eastAsia" w:ascii="Times New Roman" w:hAnsi="Times New Roman" w:eastAsia="宋体"/>
                      <w:sz w:val="21"/>
                      <w:szCs w:val="21"/>
                    </w:rPr>
                    <w:t>，设于</w:t>
                  </w:r>
                  <w:r>
                    <w:rPr>
                      <w:rFonts w:hint="eastAsia" w:ascii="Times New Roman" w:hAnsi="Times New Roman" w:eastAsia="宋体"/>
                      <w:sz w:val="21"/>
                      <w:szCs w:val="21"/>
                      <w:lang w:eastAsia="zh-CN"/>
                    </w:rPr>
                    <w:t>项目</w:t>
                  </w:r>
                  <w:r>
                    <w:rPr>
                      <w:rFonts w:hint="eastAsia" w:ascii="Times New Roman" w:hAnsi="Times New Roman" w:eastAsia="宋体"/>
                      <w:sz w:val="21"/>
                      <w:szCs w:val="21"/>
                    </w:rPr>
                    <w:t>西</w:t>
                  </w:r>
                  <w:r>
                    <w:rPr>
                      <w:rFonts w:hint="eastAsia" w:ascii="Times New Roman" w:hAnsi="Times New Roman" w:eastAsia="宋体"/>
                      <w:sz w:val="21"/>
                      <w:szCs w:val="21"/>
                      <w:lang w:eastAsia="zh-CN"/>
                    </w:rPr>
                    <w:t>北</w:t>
                  </w:r>
                  <w:r>
                    <w:rPr>
                      <w:rFonts w:hint="eastAsia" w:ascii="Times New Roman" w:hAnsi="Times New Roman" w:eastAsia="宋体"/>
                      <w:sz w:val="21"/>
                      <w:szCs w:val="21"/>
                    </w:rPr>
                    <w:t>侧，</w:t>
                  </w:r>
                  <w:r>
                    <w:rPr>
                      <w:rFonts w:hint="eastAsia" w:ascii="Times New Roman" w:hAnsi="Times New Roman" w:eastAsia="宋体"/>
                      <w:sz w:val="21"/>
                      <w:szCs w:val="21"/>
                      <w:lang w:eastAsia="zh-CN"/>
                    </w:rPr>
                    <w:t>总</w:t>
                  </w:r>
                  <w:r>
                    <w:rPr>
                      <w:rFonts w:hint="eastAsia" w:ascii="Times New Roman" w:hAnsi="Times New Roman" w:eastAsia="宋体"/>
                      <w:sz w:val="21"/>
                      <w:szCs w:val="21"/>
                    </w:rPr>
                    <w:t>占地面积约</w:t>
                  </w:r>
                  <w:r>
                    <w:rPr>
                      <w:rFonts w:hint="eastAsia" w:ascii="Times New Roman" w:hAnsi="Times New Roman" w:eastAsia="宋体"/>
                      <w:sz w:val="21"/>
                      <w:szCs w:val="21"/>
                      <w:lang w:val="en-US" w:eastAsia="zh-CN"/>
                    </w:rPr>
                    <w:t>30</w:t>
                  </w:r>
                  <w:r>
                    <w:rPr>
                      <w:rFonts w:hint="eastAsia"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，用于</w:t>
                  </w:r>
                  <w:r>
                    <w:rPr>
                      <w:rFonts w:hint="eastAsia" w:ascii="Times New Roman" w:hAnsi="Times New Roman" w:eastAsia="宋体"/>
                      <w:sz w:val="21"/>
                      <w:szCs w:val="21"/>
                      <w:lang w:eastAsia="zh-CN"/>
                    </w:rPr>
                    <w:t>一般固废暂存</w:t>
                  </w:r>
                </w:p>
              </w:tc>
              <w:tc>
                <w:tcPr>
                  <w:tcW w:w="1534" w:type="pct"/>
                  <w:noWrap w:val="0"/>
                  <w:vAlign w:val="center"/>
                </w:tcPr>
                <w:p>
                  <w:pPr>
                    <w:jc w:val="center"/>
                    <w:rPr>
                      <w:color w:val="auto"/>
                      <w:szCs w:val="21"/>
                    </w:rPr>
                  </w:pPr>
                  <w:r>
                    <w:rPr>
                      <w:rFonts w:hint="eastAsia"/>
                      <w:color w:val="auto"/>
                      <w:szCs w:val="21"/>
                    </w:rPr>
                    <w:t>固废处理处置妥当，无二次污染物产生，可行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98" w:type="pct"/>
                  <w:vMerge w:val="continue"/>
                  <w:noWrap w:val="0"/>
                  <w:vAlign w:val="center"/>
                </w:tcPr>
                <w:p>
                  <w:pPr>
                    <w:jc w:val="center"/>
                    <w:rPr>
                      <w:color w:val="auto"/>
                      <w:szCs w:val="21"/>
                    </w:rPr>
                  </w:pP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ascii="Times New Roman" w:hAnsi="Times New Roman" w:eastAsia="宋体"/>
                      <w:sz w:val="21"/>
                      <w:szCs w:val="21"/>
                    </w:rPr>
                    <w:t>危废暂存间</w:t>
                  </w:r>
                </w:p>
              </w:tc>
              <w:tc>
                <w:tcPr>
                  <w:tcW w:w="2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ascii="Times New Roman" w:hAnsi="Times New Roman" w:eastAsia="宋体"/>
                      <w:sz w:val="21"/>
                      <w:szCs w:val="21"/>
                    </w:rPr>
                    <w:t>1间，设于</w:t>
                  </w:r>
                  <w:r>
                    <w:rPr>
                      <w:rFonts w:hint="eastAsia" w:ascii="Times New Roman" w:hAnsi="Times New Roman" w:eastAsia="宋体"/>
                      <w:sz w:val="21"/>
                      <w:szCs w:val="21"/>
                      <w:lang w:eastAsia="zh-CN"/>
                    </w:rPr>
                    <w:t>项目</w:t>
                  </w:r>
                  <w:r>
                    <w:rPr>
                      <w:rFonts w:hint="eastAsia" w:ascii="Times New Roman" w:hAnsi="Times New Roman" w:eastAsia="宋体"/>
                      <w:sz w:val="21"/>
                      <w:szCs w:val="21"/>
                    </w:rPr>
                    <w:t>西</w:t>
                  </w:r>
                  <w:r>
                    <w:rPr>
                      <w:rFonts w:hint="eastAsia" w:ascii="Times New Roman" w:hAnsi="Times New Roman" w:eastAsia="宋体"/>
                      <w:sz w:val="21"/>
                      <w:szCs w:val="21"/>
                      <w:lang w:eastAsia="zh-CN"/>
                    </w:rPr>
                    <w:t>北</w:t>
                  </w:r>
                  <w:r>
                    <w:rPr>
                      <w:rFonts w:hint="eastAsia" w:ascii="Times New Roman" w:hAnsi="Times New Roman" w:eastAsia="宋体"/>
                      <w:sz w:val="21"/>
                      <w:szCs w:val="21"/>
                    </w:rPr>
                    <w:t>侧，占地面积约</w:t>
                  </w:r>
                  <w:r>
                    <w:rPr>
                      <w:rFonts w:hint="eastAsia" w:ascii="Times New Roman" w:hAnsi="Times New Roman" w:eastAsia="宋体"/>
                      <w:sz w:val="21"/>
                      <w:szCs w:val="21"/>
                      <w:lang w:val="en-US" w:eastAsia="zh-CN"/>
                    </w:rPr>
                    <w:t>15</w:t>
                  </w:r>
                  <w:r>
                    <w:rPr>
                      <w:rFonts w:hint="eastAsia"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，用于危险废物贮存</w:t>
                  </w:r>
                </w:p>
              </w:tc>
              <w:tc>
                <w:tcPr>
                  <w:tcW w:w="1534" w:type="pct"/>
                  <w:noWrap w:val="0"/>
                  <w:vAlign w:val="center"/>
                </w:tcPr>
                <w:p>
                  <w:pPr>
                    <w:jc w:val="center"/>
                    <w:rPr>
                      <w:rFonts w:hint="eastAsia" w:eastAsia="宋体"/>
                      <w:color w:val="auto"/>
                      <w:szCs w:val="21"/>
                      <w:lang w:val="en-US" w:eastAsia="zh-CN"/>
                    </w:rPr>
                  </w:pPr>
                  <w:r>
                    <w:rPr>
                      <w:rFonts w:hint="eastAsia"/>
                      <w:color w:val="auto"/>
                      <w:szCs w:val="21"/>
                      <w:lang w:eastAsia="zh-CN"/>
                    </w:rPr>
                    <w:t>厂区内已建</w:t>
                  </w:r>
                  <w:r>
                    <w:rPr>
                      <w:rFonts w:hint="eastAsia"/>
                      <w:color w:val="auto"/>
                      <w:szCs w:val="21"/>
                    </w:rPr>
                    <w:t>危险废物堆存量约</w:t>
                  </w:r>
                  <w:r>
                    <w:rPr>
                      <w:rFonts w:hint="eastAsia"/>
                      <w:color w:val="auto"/>
                      <w:szCs w:val="21"/>
                      <w:lang w:val="en-US" w:eastAsia="zh-CN"/>
                    </w:rPr>
                    <w:t>10</w:t>
                  </w:r>
                  <w:r>
                    <w:rPr>
                      <w:rFonts w:hint="eastAsia"/>
                      <w:color w:val="auto"/>
                      <w:szCs w:val="21"/>
                    </w:rPr>
                    <w:t>t/a</w:t>
                  </w:r>
                  <w:r>
                    <w:rPr>
                      <w:rFonts w:hint="eastAsia"/>
                      <w:color w:val="auto"/>
                      <w:szCs w:val="21"/>
                      <w:lang w:eastAsia="zh-CN"/>
                    </w:rPr>
                    <w:t>，</w:t>
                  </w:r>
                  <w:r>
                    <w:rPr>
                      <w:rFonts w:hint="eastAsia"/>
                      <w:color w:val="auto"/>
                      <w:szCs w:val="21"/>
                      <w:lang w:val="en-US" w:eastAsia="zh-CN"/>
                    </w:rPr>
                    <w:t>危废间与本项目距离近，且尚有堆存容量，依托可行。</w:t>
                  </w:r>
                </w:p>
              </w:tc>
            </w:tr>
          </w:tbl>
          <w:p>
            <w:pPr>
              <w:spacing w:line="360" w:lineRule="auto"/>
              <w:ind w:firstLine="482" w:firstLineChars="200"/>
              <w:rPr>
                <w:rFonts w:cs="Times New Roman"/>
                <w:b/>
                <w:sz w:val="24"/>
                <w:szCs w:val="24"/>
              </w:rPr>
            </w:pPr>
            <w:r>
              <w:rPr>
                <w:rFonts w:cs="Times New Roman"/>
                <w:b/>
                <w:sz w:val="24"/>
                <w:szCs w:val="24"/>
              </w:rPr>
              <w:t>5</w:t>
            </w:r>
            <w:r>
              <w:rPr>
                <w:rFonts w:hint="eastAsia" w:cs="Times New Roman"/>
                <w:b/>
                <w:sz w:val="24"/>
                <w:szCs w:val="24"/>
              </w:rPr>
              <w:t>、</w:t>
            </w:r>
            <w:r>
              <w:rPr>
                <w:rFonts w:cs="Times New Roman"/>
                <w:b/>
                <w:sz w:val="24"/>
                <w:szCs w:val="24"/>
              </w:rPr>
              <w:t>主要生产</w:t>
            </w:r>
            <w:r>
              <w:rPr>
                <w:rFonts w:hint="eastAsia" w:cs="Times New Roman"/>
                <w:b/>
                <w:sz w:val="24"/>
                <w:szCs w:val="24"/>
              </w:rPr>
              <w:t>设施信息</w:t>
            </w:r>
          </w:p>
          <w:p>
            <w:pPr>
              <w:spacing w:line="360" w:lineRule="auto"/>
              <w:ind w:firstLine="480" w:firstLineChars="200"/>
              <w:rPr>
                <w:kern w:val="24"/>
                <w:sz w:val="24"/>
                <w:szCs w:val="24"/>
              </w:rPr>
            </w:pPr>
            <w:r>
              <w:rPr>
                <w:rFonts w:hint="eastAsia" w:ascii="Times New Roman" w:hAnsi="Times New Roman" w:cs="Times New Roman"/>
                <w:snapToGrid w:val="0"/>
                <w:color w:val="auto"/>
                <w:kern w:val="0"/>
                <w:sz w:val="24"/>
                <w:lang w:eastAsia="zh-CN"/>
              </w:rPr>
              <w:t>本</w:t>
            </w:r>
            <w:r>
              <w:rPr>
                <w:rFonts w:hint="default" w:ascii="Times New Roman" w:hAnsi="Times New Roman" w:cs="Times New Roman"/>
                <w:snapToGrid w:val="0"/>
                <w:color w:val="auto"/>
                <w:kern w:val="0"/>
                <w:sz w:val="24"/>
                <w:lang w:val="en-US" w:eastAsia="zh-CN"/>
              </w:rPr>
              <w:t>项目建成前与建成后厂区</w:t>
            </w:r>
            <w:r>
              <w:rPr>
                <w:rFonts w:hint="default" w:ascii="Times New Roman" w:hAnsi="Times New Roman" w:cs="Times New Roman"/>
                <w:snapToGrid w:val="0"/>
                <w:color w:val="auto"/>
                <w:kern w:val="0"/>
                <w:sz w:val="24"/>
              </w:rPr>
              <w:t>主要设备清单见下表。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w:t>
            </w:r>
            <w:r>
              <w:rPr>
                <w:rFonts w:hint="eastAsia" w:cs="Times New Roman"/>
                <w:b/>
                <w:bCs/>
                <w:color w:val="000000"/>
                <w:kern w:val="2"/>
                <w:sz w:val="21"/>
                <w:szCs w:val="21"/>
                <w:lang w:val="en-US" w:eastAsia="zh-CN" w:bidi="ar-SA"/>
              </w:rPr>
              <w:t>6</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主要生产设施信息表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7"/>
              <w:gridCol w:w="777"/>
              <w:gridCol w:w="2147"/>
              <w:gridCol w:w="1473"/>
              <w:gridCol w:w="1079"/>
              <w:gridCol w:w="960"/>
              <w:gridCol w:w="9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475" w:type="pct"/>
                  <w:vMerge w:val="restart"/>
                  <w:tcBorders>
                    <w:tl2br w:val="nil"/>
                    <w:tr2bl w:val="nil"/>
                  </w:tcBorders>
                  <w:vAlign w:val="center"/>
                </w:tcPr>
                <w:p>
                  <w:pPr>
                    <w:pStyle w:val="43"/>
                    <w:rPr>
                      <w:rFonts w:hint="eastAsia" w:eastAsia="宋体"/>
                      <w:lang w:eastAsia="zh-CN"/>
                    </w:rPr>
                  </w:pPr>
                  <w:r>
                    <w:rPr>
                      <w:rFonts w:hint="eastAsia"/>
                      <w:lang w:eastAsia="zh-CN"/>
                    </w:rPr>
                    <w:t>类型</w:t>
                  </w:r>
                </w:p>
              </w:tc>
              <w:tc>
                <w:tcPr>
                  <w:tcW w:w="475" w:type="pct"/>
                  <w:vMerge w:val="restart"/>
                  <w:tcBorders>
                    <w:tl2br w:val="nil"/>
                    <w:tr2bl w:val="nil"/>
                  </w:tcBorders>
                  <w:vAlign w:val="center"/>
                </w:tcPr>
                <w:p>
                  <w:pPr>
                    <w:pStyle w:val="43"/>
                  </w:pPr>
                  <w:r>
                    <w:t>序号</w:t>
                  </w:r>
                </w:p>
              </w:tc>
              <w:tc>
                <w:tcPr>
                  <w:tcW w:w="1313" w:type="pct"/>
                  <w:vMerge w:val="restart"/>
                  <w:tcBorders>
                    <w:tl2br w:val="nil"/>
                    <w:tr2bl w:val="nil"/>
                  </w:tcBorders>
                  <w:shd w:val="clear" w:color="auto" w:fill="auto"/>
                  <w:vAlign w:val="center"/>
                </w:tcPr>
                <w:p>
                  <w:pPr>
                    <w:pStyle w:val="43"/>
                  </w:pPr>
                  <w:r>
                    <w:t>设施名称</w:t>
                  </w:r>
                </w:p>
              </w:tc>
              <w:tc>
                <w:tcPr>
                  <w:tcW w:w="901" w:type="pct"/>
                  <w:vMerge w:val="restart"/>
                  <w:tcBorders>
                    <w:tl2br w:val="nil"/>
                    <w:tr2bl w:val="nil"/>
                  </w:tcBorders>
                  <w:shd w:val="clear" w:color="auto" w:fill="auto"/>
                  <w:vAlign w:val="center"/>
                </w:tcPr>
                <w:p>
                  <w:pPr>
                    <w:pStyle w:val="43"/>
                  </w:pPr>
                  <w:r>
                    <w:rPr>
                      <w:rFonts w:hint="eastAsia"/>
                    </w:rPr>
                    <w:t>设施</w:t>
                  </w:r>
                  <w:r>
                    <w:t>型号</w:t>
                  </w:r>
                </w:p>
              </w:tc>
              <w:tc>
                <w:tcPr>
                  <w:tcW w:w="1834" w:type="pct"/>
                  <w:gridSpan w:val="3"/>
                  <w:tcBorders>
                    <w:tl2br w:val="nil"/>
                    <w:tr2bl w:val="nil"/>
                  </w:tcBorders>
                  <w:vAlign w:val="center"/>
                </w:tcPr>
                <w:p>
                  <w:pPr>
                    <w:pStyle w:val="43"/>
                    <w:rPr>
                      <w:rFonts w:hint="eastAsia" w:eastAsia="宋体"/>
                      <w:lang w:eastAsia="zh-CN"/>
                    </w:rPr>
                  </w:pPr>
                  <w:r>
                    <w:rPr>
                      <w:rFonts w:hint="eastAsia"/>
                    </w:rPr>
                    <w:t>数量</w:t>
                  </w:r>
                  <w:r>
                    <w:rPr>
                      <w:rFonts w:hint="eastAsia"/>
                      <w:lang w:eastAsia="zh-CN"/>
                    </w:rPr>
                    <w:t>（台</w:t>
                  </w:r>
                  <w:r>
                    <w:rPr>
                      <w:rFonts w:hint="eastAsia"/>
                      <w:lang w:val="en-US" w:eastAsia="zh-CN"/>
                    </w:rPr>
                    <w:t>/套</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475" w:type="pct"/>
                  <w:vMerge w:val="continue"/>
                  <w:tcBorders>
                    <w:tl2br w:val="nil"/>
                    <w:tr2bl w:val="nil"/>
                  </w:tcBorders>
                  <w:vAlign w:val="center"/>
                </w:tcPr>
                <w:p>
                  <w:pPr>
                    <w:pStyle w:val="43"/>
                  </w:pPr>
                </w:p>
              </w:tc>
              <w:tc>
                <w:tcPr>
                  <w:tcW w:w="475" w:type="pct"/>
                  <w:vMerge w:val="continue"/>
                  <w:tcBorders>
                    <w:tl2br w:val="nil"/>
                    <w:tr2bl w:val="nil"/>
                  </w:tcBorders>
                  <w:vAlign w:val="center"/>
                </w:tcPr>
                <w:p>
                  <w:pPr>
                    <w:pStyle w:val="43"/>
                  </w:pPr>
                </w:p>
              </w:tc>
              <w:tc>
                <w:tcPr>
                  <w:tcW w:w="1313" w:type="pct"/>
                  <w:vMerge w:val="continue"/>
                  <w:tcBorders>
                    <w:tl2br w:val="nil"/>
                    <w:tr2bl w:val="nil"/>
                  </w:tcBorders>
                  <w:shd w:val="clear" w:color="auto" w:fill="auto"/>
                  <w:vAlign w:val="center"/>
                </w:tcPr>
                <w:p>
                  <w:pPr>
                    <w:pStyle w:val="43"/>
                  </w:pPr>
                </w:p>
              </w:tc>
              <w:tc>
                <w:tcPr>
                  <w:tcW w:w="901" w:type="pct"/>
                  <w:vMerge w:val="continue"/>
                  <w:tcBorders>
                    <w:tl2br w:val="nil"/>
                    <w:tr2bl w:val="nil"/>
                  </w:tcBorders>
                  <w:shd w:val="clear" w:color="auto" w:fill="auto"/>
                  <w:vAlign w:val="center"/>
                </w:tcPr>
                <w:p>
                  <w:pPr>
                    <w:pStyle w:val="43"/>
                  </w:pPr>
                </w:p>
              </w:tc>
              <w:tc>
                <w:tcPr>
                  <w:tcW w:w="660" w:type="pct"/>
                  <w:tcBorders>
                    <w:tl2br w:val="nil"/>
                    <w:tr2bl w:val="nil"/>
                  </w:tcBorders>
                  <w:vAlign w:val="center"/>
                </w:tcPr>
                <w:p>
                  <w:pPr>
                    <w:jc w:val="center"/>
                    <w:rPr>
                      <w:rFonts w:hint="eastAsia"/>
                    </w:rPr>
                  </w:pPr>
                  <w:r>
                    <w:rPr>
                      <w:rFonts w:hint="eastAsia" w:cs="Times New Roman"/>
                      <w:b/>
                      <w:bCs/>
                      <w:color w:val="auto"/>
                      <w:kern w:val="2"/>
                      <w:sz w:val="21"/>
                      <w:szCs w:val="21"/>
                      <w:lang w:val="en-US" w:eastAsia="zh-CN" w:bidi="ar-SA"/>
                    </w:rPr>
                    <w:t>现有项目</w:t>
                  </w:r>
                </w:p>
              </w:tc>
              <w:tc>
                <w:tcPr>
                  <w:tcW w:w="587" w:type="pct"/>
                  <w:tcBorders>
                    <w:tl2br w:val="nil"/>
                    <w:tr2bl w:val="nil"/>
                  </w:tcBorders>
                  <w:vAlign w:val="center"/>
                </w:tcPr>
                <w:p>
                  <w:pPr>
                    <w:jc w:val="center"/>
                    <w:rPr>
                      <w:rFonts w:hint="eastAsia"/>
                    </w:rPr>
                  </w:pPr>
                  <w:r>
                    <w:rPr>
                      <w:rFonts w:hint="eastAsia" w:cs="Times New Roman"/>
                      <w:b/>
                      <w:bCs/>
                      <w:color w:val="auto"/>
                      <w:kern w:val="2"/>
                      <w:sz w:val="21"/>
                      <w:szCs w:val="21"/>
                      <w:lang w:val="en-US" w:eastAsia="zh-CN" w:bidi="ar-SA"/>
                    </w:rPr>
                    <w:t>本项目建成后全厂</w:t>
                  </w:r>
                </w:p>
              </w:tc>
              <w:tc>
                <w:tcPr>
                  <w:tcW w:w="587" w:type="pct"/>
                  <w:tcBorders>
                    <w:tl2br w:val="nil"/>
                    <w:tr2bl w:val="nil"/>
                  </w:tcBorders>
                  <w:vAlign w:val="center"/>
                </w:tcPr>
                <w:p>
                  <w:pPr>
                    <w:jc w:val="center"/>
                    <w:rPr>
                      <w:rFonts w:hint="eastAsia"/>
                    </w:rPr>
                  </w:pPr>
                  <w:r>
                    <w:rPr>
                      <w:rFonts w:hint="eastAsia" w:ascii="Times New Roman" w:hAnsi="Times New Roman" w:eastAsia="宋体" w:cs="Times New Roman"/>
                      <w:b/>
                      <w:bCs/>
                      <w:color w:val="auto"/>
                      <w:sz w:val="21"/>
                      <w:szCs w:val="21"/>
                      <w:lang w:val="en-US" w:eastAsia="zh-CN"/>
                    </w:rPr>
                    <w:t>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restart"/>
                  <w:tcBorders>
                    <w:tl2br w:val="nil"/>
                    <w:tr2bl w:val="nil"/>
                  </w:tcBorders>
                  <w:vAlign w:val="center"/>
                </w:tcPr>
                <w:p>
                  <w:pPr>
                    <w:pStyle w:val="43"/>
                    <w:rPr>
                      <w:rFonts w:hint="default"/>
                      <w:lang w:val="en-US" w:eastAsia="zh-CN"/>
                    </w:rPr>
                  </w:pPr>
                  <w:r>
                    <w:rPr>
                      <w:rFonts w:hint="eastAsia"/>
                      <w:lang w:eastAsia="zh-CN"/>
                    </w:rPr>
                    <w:t>中空玻璃</w:t>
                  </w:r>
                </w:p>
              </w:tc>
              <w:tc>
                <w:tcPr>
                  <w:tcW w:w="475" w:type="pct"/>
                  <w:tcBorders>
                    <w:tl2br w:val="nil"/>
                    <w:tr2bl w:val="nil"/>
                  </w:tcBorders>
                  <w:vAlign w:val="center"/>
                </w:tcPr>
                <w:p>
                  <w:pPr>
                    <w:widowControl/>
                    <w:jc w:val="center"/>
                  </w:pPr>
                  <w:r>
                    <w:rPr>
                      <w:rFonts w:hint="eastAsia"/>
                      <w:szCs w:val="21"/>
                    </w:rPr>
                    <w:t>1</w:t>
                  </w:r>
                </w:p>
              </w:tc>
              <w:tc>
                <w:tcPr>
                  <w:tcW w:w="1313" w:type="pct"/>
                  <w:tcBorders>
                    <w:tl2br w:val="nil"/>
                    <w:tr2bl w:val="nil"/>
                  </w:tcBorders>
                  <w:shd w:val="clear" w:color="auto" w:fill="auto"/>
                  <w:vAlign w:val="center"/>
                </w:tcPr>
                <w:p>
                  <w:pPr>
                    <w:widowControl/>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rPr>
                    <w:t>丁基胶涂胶机</w:t>
                  </w:r>
                </w:p>
              </w:tc>
              <w:tc>
                <w:tcPr>
                  <w:tcW w:w="90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pPr>
                  <w:r>
                    <w:rPr>
                      <w:rFonts w:hint="eastAsia"/>
                      <w:szCs w:val="21"/>
                    </w:rPr>
                    <w:t>2</w:t>
                  </w:r>
                </w:p>
              </w:tc>
              <w:tc>
                <w:tcPr>
                  <w:tcW w:w="1313" w:type="pct"/>
                  <w:tcBorders>
                    <w:tl2br w:val="nil"/>
                    <w:tr2bl w:val="nil"/>
                  </w:tcBorders>
                  <w:shd w:val="clear" w:color="auto" w:fill="auto"/>
                  <w:vAlign w:val="center"/>
                </w:tcPr>
                <w:p>
                  <w:pPr>
                    <w:widowControl/>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rPr>
                    <w:t>双组份打胶机</w:t>
                  </w:r>
                </w:p>
              </w:tc>
              <w:tc>
                <w:tcPr>
                  <w:tcW w:w="90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pPr>
                  <w:r>
                    <w:rPr>
                      <w:rFonts w:hint="eastAsia"/>
                      <w:szCs w:val="21"/>
                    </w:rPr>
                    <w:t>3</w:t>
                  </w:r>
                </w:p>
              </w:tc>
              <w:tc>
                <w:tcPr>
                  <w:tcW w:w="1313" w:type="pct"/>
                  <w:tcBorders>
                    <w:tl2br w:val="nil"/>
                    <w:tr2bl w:val="nil"/>
                  </w:tcBorders>
                  <w:shd w:val="clear" w:color="auto" w:fill="auto"/>
                  <w:vAlign w:val="center"/>
                </w:tcPr>
                <w:p>
                  <w:pPr>
                    <w:widowControl/>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rPr>
                    <w:t>砂磨边机</w:t>
                  </w:r>
                </w:p>
              </w:tc>
              <w:tc>
                <w:tcPr>
                  <w:tcW w:w="90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pPr>
                  <w:r>
                    <w:rPr>
                      <w:rFonts w:hint="eastAsia"/>
                      <w:szCs w:val="21"/>
                    </w:rPr>
                    <w:t>4</w:t>
                  </w:r>
                </w:p>
              </w:tc>
              <w:tc>
                <w:tcPr>
                  <w:tcW w:w="1313" w:type="pct"/>
                  <w:tcBorders>
                    <w:tl2br w:val="nil"/>
                    <w:tr2bl w:val="nil"/>
                  </w:tcBorders>
                  <w:shd w:val="clear" w:color="auto" w:fill="auto"/>
                  <w:vAlign w:val="center"/>
                </w:tcPr>
                <w:p>
                  <w:pPr>
                    <w:widowControl/>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rPr>
                    <w:t>分子筛罐装机</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pPr>
                  <w:r>
                    <w:rPr>
                      <w:rFonts w:hint="eastAsia"/>
                      <w:szCs w:val="21"/>
                    </w:rPr>
                    <w:t>5</w:t>
                  </w:r>
                </w:p>
              </w:tc>
              <w:tc>
                <w:tcPr>
                  <w:tcW w:w="1313" w:type="pct"/>
                  <w:tcBorders>
                    <w:tl2br w:val="nil"/>
                    <w:tr2bl w:val="nil"/>
                  </w:tcBorders>
                  <w:shd w:val="clear" w:color="auto" w:fill="auto"/>
                  <w:vAlign w:val="center"/>
                </w:tcPr>
                <w:p>
                  <w:pPr>
                    <w:widowControl/>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rPr>
                    <w:t>铝条切割机</w:t>
                  </w:r>
                </w:p>
              </w:tc>
              <w:tc>
                <w:tcPr>
                  <w:tcW w:w="90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pPr>
                  <w:r>
                    <w:rPr>
                      <w:rFonts w:hint="eastAsia"/>
                      <w:szCs w:val="21"/>
                    </w:rPr>
                    <w:t>6</w:t>
                  </w:r>
                </w:p>
              </w:tc>
              <w:tc>
                <w:tcPr>
                  <w:tcW w:w="1313" w:type="pct"/>
                  <w:tcBorders>
                    <w:tl2br w:val="nil"/>
                    <w:tr2bl w:val="nil"/>
                  </w:tcBorders>
                  <w:shd w:val="clear" w:color="auto" w:fill="auto"/>
                  <w:vAlign w:val="center"/>
                </w:tcPr>
                <w:p>
                  <w:pPr>
                    <w:widowControl/>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rPr>
                    <w:t>旋转涂胶台</w:t>
                  </w:r>
                </w:p>
              </w:tc>
              <w:tc>
                <w:tcPr>
                  <w:tcW w:w="90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restart"/>
                  <w:tcBorders>
                    <w:tl2br w:val="nil"/>
                    <w:tr2bl w:val="nil"/>
                  </w:tcBorders>
                  <w:vAlign w:val="center"/>
                </w:tcPr>
                <w:p>
                  <w:pPr>
                    <w:pStyle w:val="43"/>
                    <w:rPr>
                      <w:rFonts w:hint="eastAsia"/>
                      <w:lang w:eastAsia="zh-CN"/>
                    </w:rPr>
                  </w:pPr>
                  <w:r>
                    <w:rPr>
                      <w:rFonts w:hint="eastAsia"/>
                      <w:lang w:eastAsia="zh-CN"/>
                    </w:rPr>
                    <w:t>钢化玻璃</w:t>
                  </w: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1</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平弯钢化炉</w:t>
                  </w:r>
                </w:p>
              </w:tc>
              <w:tc>
                <w:tcPr>
                  <w:tcW w:w="901" w:type="pct"/>
                  <w:tcBorders>
                    <w:tl2br w:val="nil"/>
                    <w:tr2bl w:val="nil"/>
                  </w:tcBorders>
                  <w:shd w:val="clear" w:color="auto" w:fill="auto"/>
                  <w:vAlign w:val="center"/>
                </w:tcPr>
                <w:p>
                  <w:pPr>
                    <w:spacing w:line="400" w:lineRule="exact"/>
                    <w:jc w:val="center"/>
                    <w:rPr>
                      <w:rFonts w:hint="eastAsia"/>
                    </w:rPr>
                  </w:pPr>
                  <w:r>
                    <w:rPr>
                      <w:rFonts w:hint="eastAsia"/>
                      <w:w w:val="90"/>
                      <w:szCs w:val="21"/>
                    </w:rPr>
                    <w:t>ZXK05L</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2</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清洗机</w:t>
                  </w:r>
                </w:p>
              </w:tc>
              <w:tc>
                <w:tcPr>
                  <w:tcW w:w="901" w:type="pct"/>
                  <w:tcBorders>
                    <w:tl2br w:val="nil"/>
                    <w:tr2bl w:val="nil"/>
                  </w:tcBorders>
                  <w:shd w:val="clear" w:color="auto" w:fill="auto"/>
                  <w:vAlign w:val="center"/>
                </w:tcPr>
                <w:p>
                  <w:pPr>
                    <w:spacing w:line="400" w:lineRule="exact"/>
                    <w:jc w:val="center"/>
                    <w:rPr>
                      <w:rFonts w:hint="eastAsia" w:eastAsia="宋体"/>
                      <w:lang w:val="en-US" w:eastAsia="zh-CN"/>
                    </w:rPr>
                  </w:pPr>
                  <w:r>
                    <w:rPr>
                      <w:rFonts w:hint="eastAsia"/>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3</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直线磨边机</w:t>
                  </w:r>
                </w:p>
              </w:tc>
              <w:tc>
                <w:tcPr>
                  <w:tcW w:w="901" w:type="pct"/>
                  <w:tcBorders>
                    <w:tl2br w:val="nil"/>
                    <w:tr2bl w:val="nil"/>
                  </w:tcBorders>
                  <w:shd w:val="clear" w:color="auto" w:fill="auto"/>
                  <w:vAlign w:val="center"/>
                </w:tcPr>
                <w:p>
                  <w:pPr>
                    <w:spacing w:line="400" w:lineRule="exact"/>
                    <w:jc w:val="center"/>
                    <w:rPr>
                      <w:rFonts w:hint="eastAsia"/>
                    </w:rPr>
                  </w:pPr>
                  <w:r>
                    <w:rPr>
                      <w:spacing w:val="1"/>
                      <w:kern w:val="0"/>
                      <w:szCs w:val="21"/>
                    </w:rPr>
                    <w:t>FZ</w:t>
                  </w:r>
                  <w:r>
                    <w:rPr>
                      <w:spacing w:val="-1"/>
                      <w:kern w:val="0"/>
                      <w:szCs w:val="21"/>
                    </w:rPr>
                    <w:t>M</w:t>
                  </w:r>
                  <w:r>
                    <w:rPr>
                      <w:spacing w:val="1"/>
                      <w:kern w:val="0"/>
                      <w:szCs w:val="21"/>
                    </w:rPr>
                    <w:t>832</w:t>
                  </w:r>
                  <w:r>
                    <w:rPr>
                      <w:kern w:val="0"/>
                      <w:szCs w:val="21"/>
                    </w:rPr>
                    <w:t>5</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4</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双边磨边机</w:t>
                  </w:r>
                </w:p>
              </w:tc>
              <w:tc>
                <w:tcPr>
                  <w:tcW w:w="901" w:type="pct"/>
                  <w:tcBorders>
                    <w:tl2br w:val="nil"/>
                    <w:tr2bl w:val="nil"/>
                  </w:tcBorders>
                  <w:shd w:val="clear" w:color="auto" w:fill="auto"/>
                  <w:vAlign w:val="center"/>
                </w:tcPr>
                <w:p>
                  <w:pPr>
                    <w:spacing w:line="400" w:lineRule="exact"/>
                    <w:jc w:val="center"/>
                    <w:rPr>
                      <w:rFonts w:hint="eastAsia"/>
                    </w:rPr>
                  </w:pPr>
                  <w:r>
                    <w:rPr>
                      <w:spacing w:val="1"/>
                      <w:kern w:val="0"/>
                      <w:szCs w:val="21"/>
                    </w:rPr>
                    <w:t>AGS</w:t>
                  </w:r>
                  <w:r>
                    <w:rPr>
                      <w:spacing w:val="-1"/>
                      <w:kern w:val="0"/>
                      <w:szCs w:val="21"/>
                    </w:rPr>
                    <w:t>-</w:t>
                  </w:r>
                  <w:r>
                    <w:rPr>
                      <w:spacing w:val="1"/>
                      <w:kern w:val="0"/>
                      <w:szCs w:val="21"/>
                    </w:rPr>
                    <w:t>932</w:t>
                  </w:r>
                  <w:r>
                    <w:rPr>
                      <w:kern w:val="0"/>
                      <w:szCs w:val="21"/>
                    </w:rPr>
                    <w:t>5</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5</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异型磨边机</w:t>
                  </w:r>
                </w:p>
              </w:tc>
              <w:tc>
                <w:tcPr>
                  <w:tcW w:w="901" w:type="pct"/>
                  <w:tcBorders>
                    <w:tl2br w:val="nil"/>
                    <w:tr2bl w:val="nil"/>
                  </w:tcBorders>
                  <w:shd w:val="clear" w:color="auto" w:fill="auto"/>
                  <w:vAlign w:val="center"/>
                </w:tcPr>
                <w:p>
                  <w:pPr>
                    <w:spacing w:line="400" w:lineRule="exact"/>
                    <w:jc w:val="center"/>
                    <w:rPr>
                      <w:rFonts w:hint="eastAsia"/>
                    </w:rPr>
                  </w:pPr>
                  <w:r>
                    <w:rPr>
                      <w:spacing w:val="1"/>
                      <w:w w:val="99"/>
                      <w:kern w:val="0"/>
                      <w:szCs w:val="21"/>
                    </w:rPr>
                    <w:t>DB</w:t>
                  </w:r>
                  <w:r>
                    <w:rPr>
                      <w:spacing w:val="-1"/>
                      <w:w w:val="99"/>
                      <w:kern w:val="0"/>
                      <w:szCs w:val="21"/>
                    </w:rPr>
                    <w:t>2</w:t>
                  </w:r>
                  <w:r>
                    <w:rPr>
                      <w:spacing w:val="1"/>
                      <w:w w:val="99"/>
                      <w:kern w:val="0"/>
                      <w:szCs w:val="21"/>
                    </w:rPr>
                    <w:t>51</w:t>
                  </w:r>
                  <w:r>
                    <w:rPr>
                      <w:w w:val="99"/>
                      <w:kern w:val="0"/>
                      <w:szCs w:val="21"/>
                    </w:rPr>
                    <w:t>D</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6</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水平钻孔机</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pStyle w:val="43"/>
                    <w:rPr>
                      <w:rFonts w:hint="eastAsia" w:eastAsia="宋体"/>
                      <w:lang w:val="en-US" w:eastAsia="zh-CN"/>
                    </w:rPr>
                  </w:pPr>
                  <w:r>
                    <w:rPr>
                      <w:rFonts w:hint="eastAsia"/>
                      <w:b w:val="0"/>
                      <w:bCs/>
                      <w:lang w:val="en-US" w:eastAsia="zh-CN"/>
                    </w:rPr>
                    <w:t>7</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立式钻孔机</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pStyle w:val="43"/>
                    <w:rPr>
                      <w:rFonts w:hint="eastAsia" w:eastAsia="宋体"/>
                      <w:b w:val="0"/>
                      <w:bCs/>
                      <w:lang w:val="en-US" w:eastAsia="zh-CN"/>
                    </w:rPr>
                  </w:pPr>
                  <w:r>
                    <w:rPr>
                      <w:rFonts w:hint="eastAsia"/>
                      <w:b w:val="0"/>
                      <w:bCs/>
                      <w:lang w:val="en-US" w:eastAsia="zh-CN"/>
                    </w:rPr>
                    <w:t>8</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电脑切割机</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pStyle w:val="43"/>
                    <w:rPr>
                      <w:rFonts w:hint="eastAsia" w:eastAsia="宋体"/>
                      <w:b w:val="0"/>
                      <w:bCs/>
                      <w:lang w:val="en-US" w:eastAsia="zh-CN"/>
                    </w:rPr>
                  </w:pPr>
                  <w:r>
                    <w:rPr>
                      <w:rFonts w:hint="eastAsia"/>
                      <w:b w:val="0"/>
                      <w:bCs/>
                      <w:lang w:val="en-US" w:eastAsia="zh-CN"/>
                    </w:rPr>
                    <w:t>9</w:t>
                  </w:r>
                </w:p>
              </w:tc>
              <w:tc>
                <w:tcPr>
                  <w:tcW w:w="1313" w:type="pct"/>
                  <w:tcBorders>
                    <w:tl2br w:val="nil"/>
                    <w:tr2bl w:val="nil"/>
                  </w:tcBorders>
                  <w:shd w:val="clear" w:color="auto" w:fill="auto"/>
                  <w:vAlign w:val="center"/>
                </w:tcPr>
                <w:p>
                  <w:pPr>
                    <w:spacing w:line="400" w:lineRule="exact"/>
                    <w:jc w:val="center"/>
                    <w:rPr>
                      <w:rFonts w:hint="eastAsia" w:ascii="Times New Roman" w:hAnsi="宋体" w:eastAsia="宋体" w:cs="黑体"/>
                      <w:kern w:val="0"/>
                      <w:sz w:val="21"/>
                      <w:szCs w:val="21"/>
                      <w:lang w:val="en-US" w:eastAsia="zh-CN" w:bidi="ar-SA"/>
                    </w:rPr>
                  </w:pPr>
                  <w:r>
                    <w:rPr>
                      <w:rFonts w:hint="eastAsia" w:hAnsi="宋体"/>
                      <w:kern w:val="0"/>
                      <w:szCs w:val="21"/>
                    </w:rPr>
                    <w:t>检测设</w:t>
                  </w:r>
                  <w:r>
                    <w:rPr>
                      <w:rFonts w:hint="eastAsia" w:hAnsi="宋体"/>
                      <w:kern w:val="0"/>
                      <w:szCs w:val="21"/>
                      <w:lang w:eastAsia="zh-CN"/>
                    </w:rPr>
                    <w:t>备</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restart"/>
                  <w:tcBorders>
                    <w:tl2br w:val="nil"/>
                    <w:tr2bl w:val="nil"/>
                  </w:tcBorders>
                  <w:vAlign w:val="center"/>
                </w:tcPr>
                <w:p>
                  <w:pPr>
                    <w:pStyle w:val="43"/>
                    <w:rPr>
                      <w:rFonts w:hint="eastAsia"/>
                      <w:lang w:eastAsia="zh-CN"/>
                    </w:rPr>
                  </w:pPr>
                  <w:r>
                    <w:rPr>
                      <w:rFonts w:hint="eastAsia"/>
                      <w:lang w:eastAsia="zh-CN"/>
                    </w:rPr>
                    <w:t>夹胶玻璃</w:t>
                  </w: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1</w:t>
                  </w:r>
                </w:p>
              </w:tc>
              <w:tc>
                <w:tcPr>
                  <w:tcW w:w="1313" w:type="pct"/>
                  <w:tcBorders>
                    <w:tl2br w:val="nil"/>
                    <w:tr2bl w:val="nil"/>
                  </w:tcBorders>
                  <w:shd w:val="clear" w:color="auto" w:fill="auto"/>
                  <w:vAlign w:val="center"/>
                </w:tcPr>
                <w:p>
                  <w:pPr>
                    <w:spacing w:line="400" w:lineRule="exact"/>
                    <w:jc w:val="center"/>
                  </w:pPr>
                  <w:r>
                    <w:rPr>
                      <w:rFonts w:hint="eastAsia" w:hAnsi="宋体"/>
                      <w:kern w:val="0"/>
                      <w:szCs w:val="21"/>
                    </w:rPr>
                    <w:t>上片台</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2</w:t>
                  </w:r>
                </w:p>
              </w:tc>
              <w:tc>
                <w:tcPr>
                  <w:tcW w:w="1313" w:type="pct"/>
                  <w:tcBorders>
                    <w:tl2br w:val="nil"/>
                    <w:tr2bl w:val="nil"/>
                  </w:tcBorders>
                  <w:shd w:val="clear" w:color="auto" w:fill="auto"/>
                  <w:vAlign w:val="center"/>
                </w:tcPr>
                <w:p>
                  <w:pPr>
                    <w:spacing w:line="400" w:lineRule="exact"/>
                    <w:jc w:val="center"/>
                  </w:pPr>
                  <w:r>
                    <w:rPr>
                      <w:rFonts w:hint="eastAsia" w:hAnsi="宋体"/>
                      <w:kern w:val="0"/>
                      <w:szCs w:val="21"/>
                    </w:rPr>
                    <w:t>切割机</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3</w:t>
                  </w:r>
                </w:p>
              </w:tc>
              <w:tc>
                <w:tcPr>
                  <w:tcW w:w="1313" w:type="pct"/>
                  <w:tcBorders>
                    <w:tl2br w:val="nil"/>
                    <w:tr2bl w:val="nil"/>
                  </w:tcBorders>
                  <w:shd w:val="clear" w:color="auto" w:fill="auto"/>
                  <w:vAlign w:val="center"/>
                </w:tcPr>
                <w:p>
                  <w:pPr>
                    <w:spacing w:line="400" w:lineRule="exact"/>
                    <w:jc w:val="center"/>
                  </w:pPr>
                  <w:r>
                    <w:rPr>
                      <w:rFonts w:hint="eastAsia" w:hAnsi="宋体"/>
                      <w:kern w:val="0"/>
                      <w:szCs w:val="21"/>
                    </w:rPr>
                    <w:t>磨边机</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pStyle w:val="43"/>
                    <w:rPr>
                      <w:rFonts w:hint="eastAsia"/>
                      <w:lang w:eastAsia="zh-CN"/>
                    </w:rPr>
                  </w:pPr>
                </w:p>
              </w:tc>
              <w:tc>
                <w:tcPr>
                  <w:tcW w:w="475" w:type="pct"/>
                  <w:tcBorders>
                    <w:tl2br w:val="nil"/>
                    <w:tr2bl w:val="nil"/>
                  </w:tcBorders>
                  <w:vAlign w:val="center"/>
                </w:tcPr>
                <w:p>
                  <w:pPr>
                    <w:widowControl/>
                    <w:jc w:val="center"/>
                    <w:rPr>
                      <w:rFonts w:ascii="Times New Roman" w:hAnsi="Times New Roman" w:eastAsia="宋体" w:cs="黑体"/>
                      <w:kern w:val="2"/>
                      <w:sz w:val="21"/>
                      <w:szCs w:val="22"/>
                      <w:lang w:val="en-US" w:eastAsia="zh-CN" w:bidi="ar-SA"/>
                    </w:rPr>
                  </w:pPr>
                  <w:r>
                    <w:rPr>
                      <w:rFonts w:hint="eastAsia"/>
                      <w:szCs w:val="21"/>
                    </w:rPr>
                    <w:t>4</w:t>
                  </w:r>
                </w:p>
              </w:tc>
              <w:tc>
                <w:tcPr>
                  <w:tcW w:w="1313" w:type="pct"/>
                  <w:tcBorders>
                    <w:tl2br w:val="nil"/>
                    <w:tr2bl w:val="nil"/>
                  </w:tcBorders>
                  <w:shd w:val="clear" w:color="auto" w:fill="auto"/>
                  <w:vAlign w:val="center"/>
                </w:tcPr>
                <w:p>
                  <w:pPr>
                    <w:spacing w:line="400" w:lineRule="exact"/>
                    <w:jc w:val="center"/>
                  </w:pPr>
                  <w:r>
                    <w:rPr>
                      <w:rFonts w:hint="eastAsia" w:hAnsi="宋体"/>
                      <w:kern w:val="0"/>
                      <w:szCs w:val="21"/>
                    </w:rPr>
                    <w:t>夹胶玻璃设备</w:t>
                  </w:r>
                </w:p>
              </w:tc>
              <w:tc>
                <w:tcPr>
                  <w:tcW w:w="901" w:type="pct"/>
                  <w:tcBorders>
                    <w:tl2br w:val="nil"/>
                    <w:tr2bl w:val="nil"/>
                  </w:tcBorders>
                  <w:shd w:val="clear" w:color="auto" w:fill="auto"/>
                  <w:vAlign w:val="center"/>
                </w:tcPr>
                <w:p>
                  <w:pPr>
                    <w:jc w:val="center"/>
                    <w:rPr>
                      <w:rFonts w:hint="eastAsia"/>
                    </w:rPr>
                  </w:pPr>
                  <w:r>
                    <w:rPr>
                      <w:rFonts w:hint="eastAsia" w:cs="Times New Roman"/>
                      <w:color w:val="auto"/>
                      <w:kern w:val="0"/>
                      <w:sz w:val="21"/>
                      <w:szCs w:val="21"/>
                      <w:lang w:val="en-US" w:eastAsia="zh-CN"/>
                    </w:rPr>
                    <w:t>/</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jc w:val="center"/>
                    <w:rPr>
                      <w:rFonts w:hint="eastAsia"/>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restart"/>
                  <w:tcBorders>
                    <w:tl2br w:val="nil"/>
                    <w:tr2bl w:val="nil"/>
                  </w:tcBorders>
                  <w:vAlign w:val="center"/>
                </w:tcPr>
                <w:p>
                  <w:pPr>
                    <w:widowControl/>
                    <w:jc w:val="center"/>
                    <w:rPr>
                      <w:rFonts w:hint="eastAsia" w:eastAsia="宋体"/>
                      <w:szCs w:val="21"/>
                      <w:lang w:eastAsia="zh-CN"/>
                    </w:rPr>
                  </w:pPr>
                  <w:r>
                    <w:rPr>
                      <w:rFonts w:hint="eastAsia"/>
                      <w:b/>
                      <w:bCs/>
                      <w:szCs w:val="21"/>
                      <w:lang w:eastAsia="zh-CN"/>
                    </w:rPr>
                    <w:t>纳米镀膜玻璃</w:t>
                  </w:r>
                </w:p>
              </w:tc>
              <w:tc>
                <w:tcPr>
                  <w:tcW w:w="475" w:type="pct"/>
                  <w:tcBorders>
                    <w:tl2br w:val="nil"/>
                    <w:tr2bl w:val="nil"/>
                  </w:tcBorders>
                  <w:vAlign w:val="center"/>
                </w:tcPr>
                <w:p>
                  <w:pPr>
                    <w:widowControl/>
                    <w:jc w:val="center"/>
                    <w:rPr>
                      <w:szCs w:val="21"/>
                    </w:rPr>
                  </w:pPr>
                  <w:r>
                    <w:rPr>
                      <w:rFonts w:hint="eastAsia"/>
                      <w:szCs w:val="21"/>
                    </w:rPr>
                    <w:t>1</w:t>
                  </w:r>
                </w:p>
              </w:tc>
              <w:tc>
                <w:tcPr>
                  <w:tcW w:w="1313" w:type="pct"/>
                  <w:tcBorders>
                    <w:tl2br w:val="nil"/>
                    <w:tr2bl w:val="nil"/>
                  </w:tcBorders>
                  <w:shd w:val="clear" w:color="auto" w:fill="auto"/>
                  <w:vAlign w:val="center"/>
                </w:tcPr>
                <w:p>
                  <w:pPr>
                    <w:pStyle w:val="41"/>
                    <w:rPr>
                      <w:bCs/>
                    </w:rPr>
                  </w:pPr>
                  <w:r>
                    <w:rPr>
                      <w:rFonts w:hint="eastAsia" w:ascii="宋体" w:hAnsi="宋体" w:eastAsia="宋体" w:cs="宋体"/>
                      <w:lang w:bidi="ar"/>
                    </w:rPr>
                    <w:t>下片台</w:t>
                  </w:r>
                </w:p>
              </w:tc>
              <w:tc>
                <w:tcPr>
                  <w:tcW w:w="901" w:type="pct"/>
                  <w:tcBorders>
                    <w:tl2br w:val="nil"/>
                    <w:tr2bl w:val="nil"/>
                  </w:tcBorders>
                  <w:shd w:val="clear" w:color="auto" w:fill="auto"/>
                  <w:vAlign w:val="center"/>
                </w:tcPr>
                <w:p>
                  <w:pPr>
                    <w:jc w:val="center"/>
                    <w:rPr>
                      <w:rFonts w:cs="Times New Roman"/>
                      <w:szCs w:val="21"/>
                    </w:rPr>
                  </w:pPr>
                  <w:r>
                    <w:rPr>
                      <w:rFonts w:cs="Times New Roman"/>
                      <w:color w:val="000000"/>
                      <w:kern w:val="0"/>
                      <w:szCs w:val="21"/>
                      <w:lang w:bidi="ar"/>
                    </w:rPr>
                    <w:t>XPJ-2000</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widowControl/>
                    <w:jc w:val="center"/>
                    <w:rPr>
                      <w:rFonts w:hint="default" w:eastAsia="宋体" w:cs="Times New Roman"/>
                      <w:bCs/>
                      <w:kern w:val="0"/>
                      <w:szCs w:val="21"/>
                      <w:lang w:val="en-US" w:eastAsia="zh-CN"/>
                    </w:rPr>
                  </w:pPr>
                  <w:r>
                    <w:rPr>
                      <w:rFonts w:hint="eastAsia" w:cs="Times New Roman"/>
                      <w:bCs/>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widowControl/>
                    <w:jc w:val="center"/>
                    <w:rPr>
                      <w:rFonts w:hint="eastAsia"/>
                      <w:szCs w:val="21"/>
                    </w:rPr>
                  </w:pPr>
                </w:p>
              </w:tc>
              <w:tc>
                <w:tcPr>
                  <w:tcW w:w="475" w:type="pct"/>
                  <w:tcBorders>
                    <w:tl2br w:val="nil"/>
                    <w:tr2bl w:val="nil"/>
                  </w:tcBorders>
                  <w:vAlign w:val="center"/>
                </w:tcPr>
                <w:p>
                  <w:pPr>
                    <w:widowControl/>
                    <w:jc w:val="center"/>
                    <w:rPr>
                      <w:szCs w:val="21"/>
                    </w:rPr>
                  </w:pPr>
                  <w:r>
                    <w:rPr>
                      <w:rFonts w:hint="eastAsia"/>
                      <w:szCs w:val="21"/>
                    </w:rPr>
                    <w:t>2</w:t>
                  </w:r>
                </w:p>
              </w:tc>
              <w:tc>
                <w:tcPr>
                  <w:tcW w:w="1313" w:type="pct"/>
                  <w:tcBorders>
                    <w:tl2br w:val="nil"/>
                    <w:tr2bl w:val="nil"/>
                  </w:tcBorders>
                  <w:shd w:val="clear" w:color="auto" w:fill="auto"/>
                  <w:vAlign w:val="center"/>
                </w:tcPr>
                <w:p>
                  <w:pPr>
                    <w:pStyle w:val="41"/>
                  </w:pPr>
                  <w:r>
                    <w:rPr>
                      <w:rFonts w:hint="eastAsia" w:ascii="宋体" w:hAnsi="宋体" w:eastAsia="宋体" w:cs="宋体"/>
                      <w:lang w:bidi="ar"/>
                    </w:rPr>
                    <w:t>风冷输送机</w:t>
                  </w:r>
                </w:p>
              </w:tc>
              <w:tc>
                <w:tcPr>
                  <w:tcW w:w="901" w:type="pct"/>
                  <w:tcBorders>
                    <w:tl2br w:val="nil"/>
                    <w:tr2bl w:val="nil"/>
                  </w:tcBorders>
                  <w:shd w:val="clear" w:color="auto" w:fill="auto"/>
                  <w:vAlign w:val="center"/>
                </w:tcPr>
                <w:p>
                  <w:pPr>
                    <w:jc w:val="center"/>
                    <w:rPr>
                      <w:rFonts w:cs="Times New Roman"/>
                      <w:szCs w:val="21"/>
                    </w:rPr>
                  </w:pPr>
                  <w:r>
                    <w:rPr>
                      <w:rFonts w:cs="Times New Roman"/>
                      <w:color w:val="000000"/>
                      <w:kern w:val="0"/>
                      <w:szCs w:val="21"/>
                      <w:lang w:bidi="ar"/>
                    </w:rPr>
                    <w:t>FZJ-4000</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widowControl/>
                    <w:jc w:val="center"/>
                    <w:rPr>
                      <w:rFonts w:cs="Times New Roman"/>
                      <w:bCs/>
                      <w:kern w:val="0"/>
                      <w:szCs w:val="21"/>
                    </w:rPr>
                  </w:pPr>
                  <w:r>
                    <w:rPr>
                      <w:rFonts w:hint="eastAsia" w:cs="Times New Roman"/>
                      <w:bCs/>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widowControl/>
                    <w:jc w:val="center"/>
                    <w:rPr>
                      <w:rFonts w:hint="eastAsia"/>
                      <w:szCs w:val="21"/>
                    </w:rPr>
                  </w:pPr>
                </w:p>
              </w:tc>
              <w:tc>
                <w:tcPr>
                  <w:tcW w:w="475" w:type="pct"/>
                  <w:tcBorders>
                    <w:tl2br w:val="nil"/>
                    <w:tr2bl w:val="nil"/>
                  </w:tcBorders>
                  <w:vAlign w:val="center"/>
                </w:tcPr>
                <w:p>
                  <w:pPr>
                    <w:widowControl/>
                    <w:jc w:val="center"/>
                    <w:rPr>
                      <w:szCs w:val="21"/>
                    </w:rPr>
                  </w:pPr>
                  <w:r>
                    <w:rPr>
                      <w:rFonts w:hint="eastAsia"/>
                      <w:szCs w:val="21"/>
                    </w:rPr>
                    <w:t>3</w:t>
                  </w:r>
                </w:p>
              </w:tc>
              <w:tc>
                <w:tcPr>
                  <w:tcW w:w="1313" w:type="pct"/>
                  <w:tcBorders>
                    <w:tl2br w:val="nil"/>
                    <w:tr2bl w:val="nil"/>
                  </w:tcBorders>
                  <w:shd w:val="clear" w:color="auto" w:fill="auto"/>
                  <w:vAlign w:val="center"/>
                </w:tcPr>
                <w:p>
                  <w:pPr>
                    <w:pStyle w:val="41"/>
                    <w:rPr>
                      <w:bCs/>
                    </w:rPr>
                  </w:pPr>
                  <w:r>
                    <w:rPr>
                      <w:rFonts w:hint="eastAsia" w:ascii="宋体" w:hAnsi="宋体" w:eastAsia="宋体" w:cs="宋体"/>
                      <w:lang w:bidi="ar"/>
                    </w:rPr>
                    <w:t>精密闪干流平机－后翻转</w:t>
                  </w:r>
                </w:p>
              </w:tc>
              <w:tc>
                <w:tcPr>
                  <w:tcW w:w="901" w:type="pct"/>
                  <w:tcBorders>
                    <w:tl2br w:val="nil"/>
                    <w:tr2bl w:val="nil"/>
                  </w:tcBorders>
                  <w:shd w:val="clear" w:color="auto" w:fill="auto"/>
                  <w:vAlign w:val="center"/>
                </w:tcPr>
                <w:p>
                  <w:pPr>
                    <w:jc w:val="center"/>
                    <w:rPr>
                      <w:rFonts w:cs="Times New Roman"/>
                      <w:szCs w:val="21"/>
                    </w:rPr>
                  </w:pPr>
                  <w:r>
                    <w:rPr>
                      <w:rFonts w:cs="Times New Roman"/>
                      <w:color w:val="000000"/>
                      <w:kern w:val="0"/>
                      <w:szCs w:val="21"/>
                      <w:lang w:bidi="ar"/>
                    </w:rPr>
                    <w:t>SGJ-3500</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widowControl/>
                    <w:jc w:val="center"/>
                    <w:rPr>
                      <w:rFonts w:cs="Times New Roman"/>
                      <w:bCs/>
                      <w:kern w:val="0"/>
                      <w:szCs w:val="21"/>
                    </w:rPr>
                  </w:pPr>
                  <w:r>
                    <w:rPr>
                      <w:rFonts w:hint="eastAsia" w:cs="Times New Roman"/>
                      <w:bCs/>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widowControl/>
                    <w:jc w:val="center"/>
                    <w:rPr>
                      <w:rFonts w:hint="eastAsia"/>
                      <w:szCs w:val="21"/>
                    </w:rPr>
                  </w:pPr>
                </w:p>
              </w:tc>
              <w:tc>
                <w:tcPr>
                  <w:tcW w:w="475" w:type="pct"/>
                  <w:tcBorders>
                    <w:tl2br w:val="nil"/>
                    <w:tr2bl w:val="nil"/>
                  </w:tcBorders>
                  <w:vAlign w:val="center"/>
                </w:tcPr>
                <w:p>
                  <w:pPr>
                    <w:widowControl/>
                    <w:jc w:val="center"/>
                    <w:rPr>
                      <w:szCs w:val="21"/>
                    </w:rPr>
                  </w:pPr>
                  <w:r>
                    <w:rPr>
                      <w:rFonts w:hint="eastAsia"/>
                      <w:szCs w:val="21"/>
                    </w:rPr>
                    <w:t>4</w:t>
                  </w:r>
                </w:p>
              </w:tc>
              <w:tc>
                <w:tcPr>
                  <w:tcW w:w="1313" w:type="pct"/>
                  <w:tcBorders>
                    <w:tl2br w:val="nil"/>
                    <w:tr2bl w:val="nil"/>
                  </w:tcBorders>
                  <w:shd w:val="clear" w:color="auto" w:fill="auto"/>
                  <w:vAlign w:val="center"/>
                </w:tcPr>
                <w:p>
                  <w:pPr>
                    <w:pStyle w:val="41"/>
                  </w:pPr>
                  <w:r>
                    <w:rPr>
                      <w:rFonts w:hint="eastAsia" w:ascii="宋体" w:hAnsi="宋体" w:eastAsia="宋体" w:cs="宋体"/>
                      <w:lang w:bidi="ar"/>
                    </w:rPr>
                    <w:t>精密激光镭射镀膜机</w:t>
                  </w:r>
                </w:p>
              </w:tc>
              <w:tc>
                <w:tcPr>
                  <w:tcW w:w="901" w:type="pct"/>
                  <w:tcBorders>
                    <w:tl2br w:val="nil"/>
                    <w:tr2bl w:val="nil"/>
                  </w:tcBorders>
                  <w:shd w:val="clear" w:color="auto" w:fill="auto"/>
                  <w:vAlign w:val="center"/>
                </w:tcPr>
                <w:p>
                  <w:pPr>
                    <w:jc w:val="center"/>
                    <w:rPr>
                      <w:rFonts w:cs="Times New Roman"/>
                      <w:szCs w:val="21"/>
                    </w:rPr>
                  </w:pPr>
                  <w:r>
                    <w:rPr>
                      <w:rFonts w:cs="Times New Roman"/>
                      <w:color w:val="000000"/>
                      <w:kern w:val="0"/>
                      <w:szCs w:val="21"/>
                      <w:lang w:bidi="ar"/>
                    </w:rPr>
                    <w:t>DMJ-2000</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widowControl/>
                    <w:jc w:val="center"/>
                    <w:rPr>
                      <w:rFonts w:cs="Times New Roman"/>
                      <w:bCs/>
                      <w:kern w:val="0"/>
                      <w:szCs w:val="21"/>
                    </w:rPr>
                  </w:pPr>
                  <w:r>
                    <w:rPr>
                      <w:rFonts w:hint="eastAsia" w:cs="Times New Roman"/>
                      <w:bCs/>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widowControl/>
                    <w:jc w:val="center"/>
                    <w:rPr>
                      <w:rFonts w:hint="eastAsia"/>
                      <w:szCs w:val="21"/>
                    </w:rPr>
                  </w:pPr>
                </w:p>
              </w:tc>
              <w:tc>
                <w:tcPr>
                  <w:tcW w:w="475" w:type="pct"/>
                  <w:tcBorders>
                    <w:tl2br w:val="nil"/>
                    <w:tr2bl w:val="nil"/>
                  </w:tcBorders>
                  <w:vAlign w:val="center"/>
                </w:tcPr>
                <w:p>
                  <w:pPr>
                    <w:widowControl/>
                    <w:jc w:val="center"/>
                    <w:rPr>
                      <w:szCs w:val="21"/>
                    </w:rPr>
                  </w:pPr>
                  <w:r>
                    <w:rPr>
                      <w:rFonts w:hint="eastAsia"/>
                      <w:szCs w:val="21"/>
                    </w:rPr>
                    <w:t>5</w:t>
                  </w:r>
                </w:p>
              </w:tc>
              <w:tc>
                <w:tcPr>
                  <w:tcW w:w="1313" w:type="pct"/>
                  <w:tcBorders>
                    <w:tl2br w:val="nil"/>
                    <w:tr2bl w:val="nil"/>
                  </w:tcBorders>
                  <w:shd w:val="clear" w:color="auto" w:fill="auto"/>
                  <w:vAlign w:val="center"/>
                </w:tcPr>
                <w:p>
                  <w:pPr>
                    <w:pStyle w:val="41"/>
                  </w:pPr>
                  <w:r>
                    <w:rPr>
                      <w:rFonts w:hint="eastAsia" w:ascii="宋体" w:hAnsi="宋体" w:eastAsia="宋体" w:cs="宋体"/>
                      <w:lang w:bidi="ar"/>
                    </w:rPr>
                    <w:t>清洗机</w:t>
                  </w:r>
                </w:p>
              </w:tc>
              <w:tc>
                <w:tcPr>
                  <w:tcW w:w="901" w:type="pct"/>
                  <w:tcBorders>
                    <w:tl2br w:val="nil"/>
                    <w:tr2bl w:val="nil"/>
                  </w:tcBorders>
                  <w:shd w:val="clear" w:color="auto" w:fill="auto"/>
                  <w:vAlign w:val="center"/>
                </w:tcPr>
                <w:p>
                  <w:pPr>
                    <w:jc w:val="center"/>
                    <w:rPr>
                      <w:rFonts w:cs="Times New Roman"/>
                      <w:szCs w:val="21"/>
                    </w:rPr>
                  </w:pPr>
                  <w:r>
                    <w:rPr>
                      <w:rFonts w:cs="Times New Roman"/>
                      <w:color w:val="000000"/>
                      <w:kern w:val="0"/>
                      <w:szCs w:val="21"/>
                      <w:lang w:bidi="ar"/>
                    </w:rPr>
                    <w:t>QXJ-5000</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widowControl/>
                    <w:jc w:val="center"/>
                    <w:rPr>
                      <w:rFonts w:cs="Times New Roman"/>
                      <w:bCs/>
                      <w:kern w:val="0"/>
                      <w:szCs w:val="21"/>
                    </w:rPr>
                  </w:pPr>
                  <w:r>
                    <w:rPr>
                      <w:rFonts w:hint="eastAsia" w:cs="Times New Roman"/>
                      <w:bCs/>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widowControl/>
                    <w:jc w:val="center"/>
                    <w:rPr>
                      <w:rFonts w:hint="eastAsia"/>
                      <w:szCs w:val="21"/>
                    </w:rPr>
                  </w:pPr>
                </w:p>
              </w:tc>
              <w:tc>
                <w:tcPr>
                  <w:tcW w:w="475" w:type="pct"/>
                  <w:tcBorders>
                    <w:tl2br w:val="nil"/>
                    <w:tr2bl w:val="nil"/>
                  </w:tcBorders>
                  <w:vAlign w:val="center"/>
                </w:tcPr>
                <w:p>
                  <w:pPr>
                    <w:widowControl/>
                    <w:jc w:val="center"/>
                    <w:rPr>
                      <w:szCs w:val="21"/>
                    </w:rPr>
                  </w:pPr>
                  <w:r>
                    <w:rPr>
                      <w:rFonts w:hint="eastAsia"/>
                      <w:szCs w:val="21"/>
                    </w:rPr>
                    <w:t>6</w:t>
                  </w:r>
                </w:p>
              </w:tc>
              <w:tc>
                <w:tcPr>
                  <w:tcW w:w="1313" w:type="pct"/>
                  <w:tcBorders>
                    <w:tl2br w:val="nil"/>
                    <w:tr2bl w:val="nil"/>
                  </w:tcBorders>
                  <w:shd w:val="clear" w:color="auto" w:fill="auto"/>
                  <w:vAlign w:val="center"/>
                </w:tcPr>
                <w:p>
                  <w:pPr>
                    <w:pStyle w:val="41"/>
                  </w:pPr>
                  <w:r>
                    <w:rPr>
                      <w:rFonts w:hint="eastAsia" w:ascii="宋体" w:hAnsi="宋体" w:eastAsia="宋体" w:cs="宋体"/>
                    </w:rPr>
                    <w:t>精密紫外固化机</w:t>
                  </w:r>
                </w:p>
              </w:tc>
              <w:tc>
                <w:tcPr>
                  <w:tcW w:w="901" w:type="pct"/>
                  <w:tcBorders>
                    <w:tl2br w:val="nil"/>
                    <w:tr2bl w:val="nil"/>
                  </w:tcBorders>
                  <w:shd w:val="clear" w:color="auto" w:fill="auto"/>
                  <w:vAlign w:val="center"/>
                </w:tcPr>
                <w:p>
                  <w:pPr>
                    <w:jc w:val="center"/>
                    <w:rPr>
                      <w:rFonts w:cs="Times New Roman"/>
                      <w:szCs w:val="21"/>
                    </w:rPr>
                  </w:pPr>
                  <w:r>
                    <w:rPr>
                      <w:rFonts w:cs="Times New Roman"/>
                      <w:szCs w:val="21"/>
                    </w:rPr>
                    <w:t>GHJ-5000</w:t>
                  </w:r>
                </w:p>
              </w:tc>
              <w:tc>
                <w:tcPr>
                  <w:tcW w:w="6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8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7" w:type="pct"/>
                  <w:tcBorders>
                    <w:tl2br w:val="nil"/>
                    <w:tr2bl w:val="nil"/>
                  </w:tcBorders>
                  <w:vAlign w:val="center"/>
                </w:tcPr>
                <w:p>
                  <w:pPr>
                    <w:widowControl/>
                    <w:jc w:val="center"/>
                    <w:rPr>
                      <w:rFonts w:cs="Times New Roman"/>
                      <w:bCs/>
                      <w:kern w:val="0"/>
                      <w:szCs w:val="21"/>
                    </w:rPr>
                  </w:pPr>
                  <w:r>
                    <w:rPr>
                      <w:rFonts w:hint="eastAsia" w:cs="Times New Roman"/>
                      <w:bCs/>
                      <w:kern w:val="0"/>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5" w:type="pct"/>
                  <w:vMerge w:val="continue"/>
                  <w:tcBorders>
                    <w:tl2br w:val="nil"/>
                    <w:tr2bl w:val="nil"/>
                  </w:tcBorders>
                  <w:vAlign w:val="center"/>
                </w:tcPr>
                <w:p>
                  <w:pPr>
                    <w:widowControl/>
                    <w:jc w:val="center"/>
                    <w:rPr>
                      <w:rFonts w:hint="eastAsia"/>
                      <w:szCs w:val="21"/>
                    </w:rPr>
                  </w:pPr>
                </w:p>
              </w:tc>
              <w:tc>
                <w:tcPr>
                  <w:tcW w:w="475" w:type="pct"/>
                  <w:tcBorders>
                    <w:tl2br w:val="nil"/>
                    <w:tr2bl w:val="nil"/>
                  </w:tcBorders>
                  <w:vAlign w:val="center"/>
                </w:tcPr>
                <w:p>
                  <w:pPr>
                    <w:widowControl/>
                    <w:jc w:val="center"/>
                    <w:rPr>
                      <w:rFonts w:hint="eastAsia" w:eastAsia="宋体"/>
                      <w:color w:val="auto"/>
                      <w:szCs w:val="21"/>
                      <w:lang w:val="en-US" w:eastAsia="zh-CN"/>
                    </w:rPr>
                  </w:pPr>
                  <w:r>
                    <w:rPr>
                      <w:rFonts w:hint="eastAsia"/>
                      <w:color w:val="auto"/>
                      <w:szCs w:val="21"/>
                      <w:lang w:val="en-US" w:eastAsia="zh-CN"/>
                    </w:rPr>
                    <w:t>7</w:t>
                  </w:r>
                </w:p>
              </w:tc>
              <w:tc>
                <w:tcPr>
                  <w:tcW w:w="1313" w:type="pct"/>
                  <w:tcBorders>
                    <w:tl2br w:val="nil"/>
                    <w:tr2bl w:val="nil"/>
                  </w:tcBorders>
                  <w:shd w:val="clear" w:color="auto" w:fill="auto"/>
                  <w:vAlign w:val="center"/>
                </w:tcPr>
                <w:p>
                  <w:pPr>
                    <w:pStyle w:val="41"/>
                    <w:rPr>
                      <w:rFonts w:hint="eastAsia" w:ascii="宋体" w:hAnsi="宋体" w:eastAsia="宋体" w:cs="宋体"/>
                      <w:color w:val="auto"/>
                      <w:lang w:eastAsia="zh-CN"/>
                    </w:rPr>
                  </w:pPr>
                  <w:r>
                    <w:rPr>
                      <w:rFonts w:hint="eastAsia" w:ascii="宋体" w:hAnsi="宋体" w:eastAsia="宋体" w:cs="宋体"/>
                      <w:color w:val="auto"/>
                      <w:lang w:eastAsia="zh-CN"/>
                    </w:rPr>
                    <w:t>超纯水机</w:t>
                  </w:r>
                </w:p>
              </w:tc>
              <w:tc>
                <w:tcPr>
                  <w:tcW w:w="901" w:type="pct"/>
                  <w:tcBorders>
                    <w:tl2br w:val="nil"/>
                    <w:tr2bl w:val="nil"/>
                  </w:tcBorders>
                  <w:shd w:val="clear" w:color="auto" w:fill="auto"/>
                  <w:vAlign w:val="center"/>
                </w:tcPr>
                <w:p>
                  <w:pPr>
                    <w:jc w:val="center"/>
                    <w:rPr>
                      <w:rFonts w:hint="eastAsia" w:eastAsia="宋体" w:cs="Times New Roman"/>
                      <w:color w:val="auto"/>
                      <w:szCs w:val="21"/>
                      <w:lang w:val="en-US" w:eastAsia="zh-CN"/>
                    </w:rPr>
                  </w:pPr>
                  <w:r>
                    <w:rPr>
                      <w:rFonts w:hint="eastAsia" w:cs="Times New Roman"/>
                      <w:color w:val="auto"/>
                      <w:szCs w:val="21"/>
                      <w:lang w:val="en-US" w:eastAsia="zh-CN"/>
                    </w:rPr>
                    <w:t>/</w:t>
                  </w:r>
                </w:p>
              </w:tc>
              <w:tc>
                <w:tcPr>
                  <w:tcW w:w="660"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58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587" w:type="pct"/>
                  <w:tcBorders>
                    <w:tl2br w:val="nil"/>
                    <w:tr2bl w:val="nil"/>
                  </w:tcBorders>
                  <w:vAlign w:val="center"/>
                </w:tcPr>
                <w:p>
                  <w:pPr>
                    <w:widowControl/>
                    <w:jc w:val="center"/>
                    <w:rPr>
                      <w:rFonts w:hint="default" w:cs="Times New Roman"/>
                      <w:bCs/>
                      <w:color w:val="auto"/>
                      <w:kern w:val="0"/>
                      <w:szCs w:val="21"/>
                      <w:lang w:val="en-US" w:eastAsia="zh-CN"/>
                    </w:rPr>
                  </w:pPr>
                  <w:r>
                    <w:rPr>
                      <w:rFonts w:hint="eastAsia" w:cs="Times New Roman"/>
                      <w:bCs/>
                      <w:color w:val="auto"/>
                      <w:kern w:val="0"/>
                      <w:szCs w:val="21"/>
                      <w:lang w:val="en-US" w:eastAsia="zh-CN"/>
                    </w:rPr>
                    <w:t>+1</w:t>
                  </w:r>
                </w:p>
              </w:tc>
            </w:tr>
          </w:tbl>
          <w:p>
            <w:pPr>
              <w:spacing w:line="360" w:lineRule="auto"/>
              <w:ind w:firstLine="422" w:firstLineChars="200"/>
              <w:rPr>
                <w:rFonts w:cs="Times New Roman"/>
                <w:b/>
                <w:szCs w:val="21"/>
              </w:rPr>
            </w:pPr>
            <w:r>
              <w:rPr>
                <w:rFonts w:cs="Times New Roman"/>
                <w:b/>
                <w:szCs w:val="21"/>
              </w:rPr>
              <w:t>6</w:t>
            </w:r>
            <w:r>
              <w:rPr>
                <w:rFonts w:hint="eastAsia" w:cs="Times New Roman"/>
                <w:b/>
                <w:szCs w:val="21"/>
              </w:rPr>
              <w:t>、</w:t>
            </w:r>
            <w:r>
              <w:rPr>
                <w:rFonts w:cs="Times New Roman"/>
                <w:b/>
                <w:szCs w:val="21"/>
              </w:rPr>
              <w:t>主要</w:t>
            </w:r>
            <w:r>
              <w:rPr>
                <w:rFonts w:hint="eastAsia" w:cs="Times New Roman"/>
                <w:b/>
                <w:szCs w:val="21"/>
              </w:rPr>
              <w:t>原辅材料</w:t>
            </w:r>
            <w:r>
              <w:rPr>
                <w:rFonts w:cs="Times New Roman"/>
                <w:b/>
                <w:szCs w:val="21"/>
              </w:rPr>
              <w:t>及</w:t>
            </w:r>
            <w:r>
              <w:rPr>
                <w:rFonts w:hint="eastAsia" w:cs="Times New Roman"/>
                <w:b/>
                <w:szCs w:val="21"/>
              </w:rPr>
              <w:t>能耗</w:t>
            </w:r>
          </w:p>
          <w:p>
            <w:pPr>
              <w:spacing w:line="360" w:lineRule="auto"/>
              <w:ind w:firstLine="480" w:firstLineChars="200"/>
              <w:rPr>
                <w:kern w:val="24"/>
                <w:sz w:val="24"/>
                <w:szCs w:val="24"/>
              </w:rPr>
            </w:pPr>
            <w:r>
              <w:rPr>
                <w:rFonts w:hint="eastAsia"/>
                <w:kern w:val="24"/>
                <w:sz w:val="24"/>
                <w:szCs w:val="24"/>
              </w:rPr>
              <w:t>项目主要原辅材料及能耗见下表。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w:t>
            </w:r>
            <w:r>
              <w:rPr>
                <w:rFonts w:hint="eastAsia" w:cs="Times New Roman"/>
                <w:b/>
                <w:bCs/>
                <w:color w:val="000000"/>
                <w:kern w:val="2"/>
                <w:sz w:val="21"/>
                <w:szCs w:val="21"/>
                <w:lang w:val="en-US" w:eastAsia="zh-CN" w:bidi="ar-SA"/>
              </w:rPr>
              <w:t>7</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主要原辅材料及</w:t>
            </w:r>
            <w:r>
              <w:rPr>
                <w:rFonts w:hint="default" w:ascii="Times New Roman" w:hAnsi="Times New Roman" w:eastAsia="宋体" w:cs="Times New Roman"/>
                <w:b/>
                <w:bCs/>
                <w:color w:val="000000"/>
                <w:kern w:val="2"/>
                <w:sz w:val="21"/>
                <w:szCs w:val="21"/>
                <w:lang w:val="en-US" w:eastAsia="zh-CN" w:bidi="ar-SA"/>
              </w:rPr>
              <w:t>能耗</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8"/>
              <w:gridCol w:w="1314"/>
              <w:gridCol w:w="778"/>
              <w:gridCol w:w="716"/>
              <w:gridCol w:w="866"/>
              <w:gridCol w:w="807"/>
              <w:gridCol w:w="1808"/>
              <w:gridCol w:w="10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524" w:type="pct"/>
                  <w:tcBorders>
                    <w:tl2br w:val="nil"/>
                    <w:tr2bl w:val="nil"/>
                  </w:tcBorders>
                  <w:vAlign w:val="center"/>
                </w:tcPr>
                <w:p>
                  <w:pPr>
                    <w:pStyle w:val="43"/>
                    <w:rPr>
                      <w:rFonts w:hint="eastAsia" w:eastAsia="宋体"/>
                      <w:sz w:val="21"/>
                      <w:szCs w:val="21"/>
                      <w:lang w:eastAsia="zh-CN"/>
                    </w:rPr>
                  </w:pPr>
                  <w:r>
                    <w:rPr>
                      <w:rFonts w:hint="eastAsia"/>
                      <w:sz w:val="21"/>
                      <w:szCs w:val="21"/>
                      <w:lang w:eastAsia="zh-CN"/>
                    </w:rPr>
                    <w:t>类别</w:t>
                  </w:r>
                </w:p>
              </w:tc>
              <w:tc>
                <w:tcPr>
                  <w:tcW w:w="802" w:type="pct"/>
                  <w:tcBorders>
                    <w:tl2br w:val="nil"/>
                    <w:tr2bl w:val="nil"/>
                  </w:tcBorders>
                  <w:vAlign w:val="center"/>
                </w:tcPr>
                <w:p>
                  <w:pPr>
                    <w:pStyle w:val="43"/>
                    <w:rPr>
                      <w:sz w:val="21"/>
                      <w:szCs w:val="21"/>
                    </w:rPr>
                  </w:pPr>
                  <w:r>
                    <w:rPr>
                      <w:sz w:val="21"/>
                      <w:szCs w:val="21"/>
                    </w:rPr>
                    <w:t>名称</w:t>
                  </w:r>
                </w:p>
              </w:tc>
              <w:tc>
                <w:tcPr>
                  <w:tcW w:w="475" w:type="pct"/>
                  <w:tcBorders>
                    <w:tl2br w:val="nil"/>
                    <w:tr2bl w:val="nil"/>
                  </w:tcBorders>
                  <w:vAlign w:val="center"/>
                </w:tcPr>
                <w:p>
                  <w:pPr>
                    <w:pStyle w:val="43"/>
                    <w:rPr>
                      <w:rFonts w:hint="eastAsia" w:eastAsia="宋体"/>
                      <w:sz w:val="21"/>
                      <w:szCs w:val="21"/>
                      <w:lang w:eastAsia="zh-CN"/>
                    </w:rPr>
                  </w:pPr>
                  <w:r>
                    <w:rPr>
                      <w:rFonts w:hint="eastAsia"/>
                      <w:sz w:val="21"/>
                      <w:szCs w:val="21"/>
                      <w:lang w:eastAsia="zh-CN"/>
                    </w:rPr>
                    <w:t>包装方式</w:t>
                  </w:r>
                </w:p>
              </w:tc>
              <w:tc>
                <w:tcPr>
                  <w:tcW w:w="437" w:type="pct"/>
                  <w:tcBorders>
                    <w:tl2br w:val="nil"/>
                    <w:tr2bl w:val="nil"/>
                  </w:tcBorders>
                  <w:vAlign w:val="center"/>
                </w:tcPr>
                <w:p>
                  <w:pPr>
                    <w:pStyle w:val="43"/>
                    <w:rPr>
                      <w:sz w:val="21"/>
                      <w:szCs w:val="21"/>
                    </w:rPr>
                  </w:pPr>
                  <w:r>
                    <w:rPr>
                      <w:sz w:val="21"/>
                      <w:szCs w:val="21"/>
                    </w:rPr>
                    <w:t>单位</w:t>
                  </w:r>
                </w:p>
              </w:tc>
              <w:tc>
                <w:tcPr>
                  <w:tcW w:w="529" w:type="pct"/>
                  <w:tcBorders>
                    <w:tl2br w:val="nil"/>
                    <w:tr2bl w:val="nil"/>
                  </w:tcBorders>
                  <w:vAlign w:val="center"/>
                </w:tcPr>
                <w:p>
                  <w:pPr>
                    <w:pStyle w:val="43"/>
                    <w:rPr>
                      <w:sz w:val="21"/>
                      <w:szCs w:val="21"/>
                    </w:rPr>
                  </w:pPr>
                  <w:r>
                    <w:rPr>
                      <w:sz w:val="21"/>
                      <w:szCs w:val="21"/>
                    </w:rPr>
                    <w:t>年用量</w:t>
                  </w:r>
                </w:p>
              </w:tc>
              <w:tc>
                <w:tcPr>
                  <w:tcW w:w="493" w:type="pct"/>
                  <w:tcBorders>
                    <w:tl2br w:val="nil"/>
                    <w:tr2bl w:val="nil"/>
                  </w:tcBorders>
                  <w:vAlign w:val="center"/>
                </w:tcPr>
                <w:p>
                  <w:pPr>
                    <w:pStyle w:val="43"/>
                    <w:rPr>
                      <w:sz w:val="21"/>
                      <w:szCs w:val="21"/>
                    </w:rPr>
                  </w:pPr>
                  <w:r>
                    <w:rPr>
                      <w:rFonts w:hint="eastAsia"/>
                      <w:sz w:val="21"/>
                      <w:szCs w:val="21"/>
                    </w:rPr>
                    <w:t>储存量</w:t>
                  </w:r>
                </w:p>
              </w:tc>
              <w:tc>
                <w:tcPr>
                  <w:tcW w:w="1104" w:type="pct"/>
                  <w:tcBorders>
                    <w:tl2br w:val="nil"/>
                    <w:tr2bl w:val="nil"/>
                  </w:tcBorders>
                  <w:vAlign w:val="center"/>
                </w:tcPr>
                <w:p>
                  <w:pPr>
                    <w:pStyle w:val="43"/>
                    <w:rPr>
                      <w:sz w:val="21"/>
                      <w:szCs w:val="21"/>
                    </w:rPr>
                  </w:pPr>
                  <w:r>
                    <w:rPr>
                      <w:sz w:val="21"/>
                      <w:szCs w:val="21"/>
                    </w:rPr>
                    <w:t>来源</w:t>
                  </w:r>
                </w:p>
              </w:tc>
              <w:tc>
                <w:tcPr>
                  <w:tcW w:w="631" w:type="pct"/>
                  <w:tcBorders>
                    <w:tl2br w:val="nil"/>
                    <w:tr2bl w:val="nil"/>
                  </w:tcBorders>
                  <w:vAlign w:val="center"/>
                </w:tcPr>
                <w:p>
                  <w:pPr>
                    <w:pStyle w:val="43"/>
                    <w:rPr>
                      <w:rFonts w:hint="default" w:eastAsia="宋体"/>
                      <w:sz w:val="21"/>
                      <w:szCs w:val="21"/>
                      <w:lang w:val="en-US" w:eastAsia="zh-CN"/>
                    </w:rPr>
                  </w:pPr>
                  <w:r>
                    <w:rPr>
                      <w:rFonts w:hint="eastAsia"/>
                      <w:sz w:val="21"/>
                      <w:szCs w:val="21"/>
                      <w:lang w:eastAsia="zh-CN"/>
                    </w:rPr>
                    <w:t>备注</w:t>
                  </w:r>
                  <w:r>
                    <w:rPr>
                      <w:rFonts w:hint="eastAsia"/>
                      <w:sz w:val="21"/>
                      <w:szCs w:val="21"/>
                      <w:lang w:val="en-US" w:eastAsia="zh-CN"/>
                    </w:rPr>
                    <w:t>/用途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4" w:type="pct"/>
                  <w:vMerge w:val="restart"/>
                  <w:tcBorders>
                    <w:tl2br w:val="nil"/>
                    <w:tr2bl w:val="nil"/>
                  </w:tcBorders>
                  <w:vAlign w:val="center"/>
                </w:tcPr>
                <w:p>
                  <w:pPr>
                    <w:numPr>
                      <w:ilvl w:val="0"/>
                      <w:numId w:val="0"/>
                    </w:numPr>
                    <w:ind w:leftChars="0"/>
                    <w:jc w:val="center"/>
                    <w:rPr>
                      <w:rFonts w:hint="eastAsia" w:eastAsia="宋体" w:cstheme="minorHAnsi"/>
                      <w:sz w:val="21"/>
                      <w:szCs w:val="21"/>
                      <w:lang w:eastAsia="zh-CN"/>
                    </w:rPr>
                  </w:pPr>
                  <w:r>
                    <w:rPr>
                      <w:rFonts w:hint="eastAsia" w:cstheme="minorHAnsi"/>
                      <w:sz w:val="21"/>
                      <w:szCs w:val="21"/>
                      <w:lang w:eastAsia="zh-CN"/>
                    </w:rPr>
                    <w:t>原料</w:t>
                  </w:r>
                </w:p>
              </w:tc>
              <w:tc>
                <w:tcPr>
                  <w:tcW w:w="802" w:type="pct"/>
                  <w:tcBorders>
                    <w:tl2br w:val="nil"/>
                    <w:tr2bl w:val="nil"/>
                  </w:tcBorders>
                  <w:vAlign w:val="center"/>
                </w:tcPr>
                <w:p>
                  <w:pPr>
                    <w:jc w:val="center"/>
                    <w:rPr>
                      <w:rFonts w:cstheme="minorHAnsi"/>
                      <w:sz w:val="21"/>
                      <w:szCs w:val="21"/>
                    </w:rPr>
                  </w:pPr>
                  <w:r>
                    <w:rPr>
                      <w:rFonts w:hint="eastAsia"/>
                      <w:sz w:val="21"/>
                      <w:szCs w:val="21"/>
                    </w:rPr>
                    <w:t>UV蓝色纳米隔热剂</w:t>
                  </w:r>
                </w:p>
              </w:tc>
              <w:tc>
                <w:tcPr>
                  <w:tcW w:w="475" w:type="pct"/>
                  <w:tcBorders>
                    <w:tl2br w:val="nil"/>
                    <w:tr2bl w:val="nil"/>
                  </w:tcBorders>
                  <w:vAlign w:val="center"/>
                </w:tcPr>
                <w:p>
                  <w:pPr>
                    <w:jc w:val="center"/>
                    <w:rPr>
                      <w:rFonts w:hint="eastAsia" w:eastAsia="宋体" w:cstheme="minorHAnsi"/>
                      <w:sz w:val="21"/>
                      <w:szCs w:val="21"/>
                      <w:lang w:eastAsia="zh-CN"/>
                    </w:rPr>
                  </w:pPr>
                  <w:r>
                    <w:rPr>
                      <w:rFonts w:hint="eastAsia" w:cstheme="minorHAnsi"/>
                      <w:sz w:val="21"/>
                      <w:szCs w:val="21"/>
                      <w:lang w:eastAsia="zh-CN"/>
                    </w:rPr>
                    <w:t>桶装</w:t>
                  </w:r>
                </w:p>
              </w:tc>
              <w:tc>
                <w:tcPr>
                  <w:tcW w:w="437" w:type="pct"/>
                  <w:tcBorders>
                    <w:tl2br w:val="nil"/>
                    <w:tr2bl w:val="nil"/>
                  </w:tcBorders>
                  <w:vAlign w:val="center"/>
                </w:tcPr>
                <w:p>
                  <w:pPr>
                    <w:jc w:val="center"/>
                    <w:rPr>
                      <w:rFonts w:hint="eastAsia" w:eastAsia="宋体" w:cstheme="minorHAnsi"/>
                      <w:sz w:val="21"/>
                      <w:szCs w:val="21"/>
                      <w:lang w:eastAsia="zh-CN"/>
                    </w:rPr>
                  </w:pPr>
                  <w:r>
                    <w:rPr>
                      <w:rFonts w:hint="eastAsia" w:cstheme="minorHAnsi"/>
                      <w:sz w:val="21"/>
                      <w:szCs w:val="21"/>
                      <w:lang w:val="en-US" w:eastAsia="zh-CN"/>
                    </w:rPr>
                    <w:t>t</w:t>
                  </w:r>
                </w:p>
              </w:tc>
              <w:tc>
                <w:tcPr>
                  <w:tcW w:w="529" w:type="pct"/>
                  <w:tcBorders>
                    <w:tl2br w:val="nil"/>
                    <w:tr2bl w:val="nil"/>
                  </w:tcBorders>
                  <w:vAlign w:val="center"/>
                </w:tcPr>
                <w:p>
                  <w:pPr>
                    <w:jc w:val="center"/>
                    <w:rPr>
                      <w:rFonts w:hint="default" w:cstheme="minorHAnsi"/>
                      <w:sz w:val="21"/>
                      <w:szCs w:val="21"/>
                      <w:lang w:val="en-US"/>
                    </w:rPr>
                  </w:pPr>
                  <w:r>
                    <w:rPr>
                      <w:rFonts w:hint="eastAsia" w:cstheme="minorHAnsi"/>
                      <w:sz w:val="21"/>
                      <w:szCs w:val="21"/>
                      <w:lang w:val="en-US" w:eastAsia="zh-CN"/>
                    </w:rPr>
                    <w:t>15</w:t>
                  </w:r>
                </w:p>
              </w:tc>
              <w:tc>
                <w:tcPr>
                  <w:tcW w:w="493" w:type="pct"/>
                  <w:tcBorders>
                    <w:tl2br w:val="nil"/>
                    <w:tr2bl w:val="nil"/>
                  </w:tcBorders>
                  <w:vAlign w:val="center"/>
                </w:tcPr>
                <w:p>
                  <w:pPr>
                    <w:jc w:val="center"/>
                    <w:rPr>
                      <w:rFonts w:hint="default" w:eastAsia="宋体" w:cstheme="minorHAnsi"/>
                      <w:sz w:val="21"/>
                      <w:szCs w:val="21"/>
                      <w:lang w:val="en-US" w:eastAsia="zh-CN"/>
                    </w:rPr>
                  </w:pPr>
                  <w:r>
                    <w:rPr>
                      <w:rFonts w:hint="eastAsia" w:cstheme="minorHAnsi"/>
                      <w:sz w:val="21"/>
                      <w:szCs w:val="21"/>
                      <w:lang w:val="en-US" w:eastAsia="zh-CN"/>
                    </w:rPr>
                    <w:t>2</w:t>
                  </w:r>
                </w:p>
              </w:tc>
              <w:tc>
                <w:tcPr>
                  <w:tcW w:w="1104" w:type="pct"/>
                  <w:tcBorders>
                    <w:tl2br w:val="nil"/>
                    <w:tr2bl w:val="nil"/>
                  </w:tcBorders>
                  <w:vAlign w:val="center"/>
                </w:tcPr>
                <w:p>
                  <w:pPr>
                    <w:jc w:val="center"/>
                    <w:rPr>
                      <w:rFonts w:hint="eastAsia" w:eastAsia="宋体" w:cstheme="minorHAnsi"/>
                      <w:sz w:val="21"/>
                      <w:szCs w:val="21"/>
                      <w:lang w:eastAsia="zh-CN"/>
                    </w:rPr>
                  </w:pPr>
                  <w:r>
                    <w:rPr>
                      <w:rFonts w:hint="eastAsia" w:cstheme="minorHAnsi"/>
                      <w:sz w:val="21"/>
                      <w:szCs w:val="21"/>
                    </w:rPr>
                    <w:t>外购</w:t>
                  </w:r>
                </w:p>
              </w:tc>
              <w:tc>
                <w:tcPr>
                  <w:tcW w:w="631" w:type="pct"/>
                  <w:tcBorders>
                    <w:tl2br w:val="nil"/>
                    <w:tr2bl w:val="nil"/>
                  </w:tcBorders>
                  <w:vAlign w:val="center"/>
                </w:tcPr>
                <w:p>
                  <w:pPr>
                    <w:jc w:val="center"/>
                    <w:rPr>
                      <w:rFonts w:hint="eastAsia" w:eastAsia="宋体" w:cstheme="minorHAnsi"/>
                      <w:sz w:val="21"/>
                      <w:szCs w:val="21"/>
                      <w:lang w:eastAsia="zh-CN"/>
                    </w:rPr>
                  </w:pPr>
                  <w:r>
                    <w:rPr>
                      <w:rFonts w:hint="eastAsia" w:cstheme="minorHAnsi"/>
                      <w:sz w:val="21"/>
                      <w:szCs w:val="21"/>
                      <w:lang w:eastAsia="zh-CN"/>
                    </w:rPr>
                    <w:t>玻璃隔热涂料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4" w:type="pct"/>
                  <w:vMerge w:val="continue"/>
                  <w:tcBorders>
                    <w:tl2br w:val="nil"/>
                    <w:tr2bl w:val="nil"/>
                  </w:tcBorders>
                  <w:vAlign w:val="center"/>
                </w:tcPr>
                <w:p>
                  <w:pPr>
                    <w:numPr>
                      <w:ilvl w:val="0"/>
                      <w:numId w:val="0"/>
                    </w:numPr>
                    <w:ind w:left="425" w:leftChars="0" w:hanging="425" w:firstLineChars="0"/>
                    <w:jc w:val="center"/>
                    <w:rPr>
                      <w:rFonts w:cstheme="minorHAnsi"/>
                      <w:b w:val="0"/>
                      <w:bCs w:val="0"/>
                      <w:sz w:val="21"/>
                      <w:szCs w:val="21"/>
                      <w:highlight w:val="none"/>
                    </w:rPr>
                  </w:pPr>
                </w:p>
              </w:tc>
              <w:tc>
                <w:tcPr>
                  <w:tcW w:w="802" w:type="pct"/>
                  <w:tcBorders>
                    <w:tl2br w:val="nil"/>
                    <w:tr2bl w:val="nil"/>
                  </w:tcBorders>
                  <w:vAlign w:val="center"/>
                </w:tcPr>
                <w:p>
                  <w:pPr>
                    <w:jc w:val="center"/>
                    <w:rPr>
                      <w:rFonts w:hint="eastAsia" w:eastAsia="宋体" w:cstheme="minorHAnsi"/>
                      <w:b w:val="0"/>
                      <w:bCs w:val="0"/>
                      <w:sz w:val="21"/>
                      <w:szCs w:val="21"/>
                      <w:highlight w:val="none"/>
                      <w:lang w:eastAsia="zh-CN"/>
                    </w:rPr>
                  </w:pPr>
                  <w:r>
                    <w:rPr>
                      <w:rFonts w:hint="eastAsia" w:cstheme="minorHAnsi"/>
                      <w:b w:val="0"/>
                      <w:bCs w:val="0"/>
                      <w:sz w:val="21"/>
                      <w:szCs w:val="21"/>
                      <w:highlight w:val="none"/>
                      <w:lang w:eastAsia="zh-CN"/>
                    </w:rPr>
                    <w:t>钢化玻璃</w:t>
                  </w:r>
                </w:p>
              </w:tc>
              <w:tc>
                <w:tcPr>
                  <w:tcW w:w="475" w:type="pct"/>
                  <w:tcBorders>
                    <w:tl2br w:val="nil"/>
                    <w:tr2bl w:val="nil"/>
                  </w:tcBorders>
                  <w:vAlign w:val="center"/>
                </w:tcPr>
                <w:p>
                  <w:pPr>
                    <w:jc w:val="center"/>
                    <w:rPr>
                      <w:rFonts w:hint="eastAsia" w:eastAsia="宋体" w:cstheme="minorHAnsi"/>
                      <w:b w:val="0"/>
                      <w:bCs w:val="0"/>
                      <w:sz w:val="21"/>
                      <w:szCs w:val="21"/>
                      <w:highlight w:val="none"/>
                      <w:lang w:val="en-US" w:eastAsia="zh-CN"/>
                    </w:rPr>
                  </w:pPr>
                  <w:r>
                    <w:rPr>
                      <w:rFonts w:hint="eastAsia" w:cstheme="minorHAnsi"/>
                      <w:b w:val="0"/>
                      <w:bCs w:val="0"/>
                      <w:sz w:val="21"/>
                      <w:szCs w:val="21"/>
                      <w:highlight w:val="none"/>
                      <w:lang w:val="en-US" w:eastAsia="zh-CN"/>
                    </w:rPr>
                    <w:t>/</w:t>
                  </w:r>
                </w:p>
              </w:tc>
              <w:tc>
                <w:tcPr>
                  <w:tcW w:w="437" w:type="pct"/>
                  <w:tcBorders>
                    <w:tl2br w:val="nil"/>
                    <w:tr2bl w:val="nil"/>
                  </w:tcBorders>
                  <w:vAlign w:val="center"/>
                </w:tcPr>
                <w:p>
                  <w:pPr>
                    <w:jc w:val="center"/>
                    <w:rPr>
                      <w:rFonts w:hint="default" w:eastAsia="宋体" w:cstheme="minorHAnsi"/>
                      <w:b w:val="0"/>
                      <w:bCs w:val="0"/>
                      <w:sz w:val="21"/>
                      <w:szCs w:val="21"/>
                      <w:highlight w:val="none"/>
                      <w:lang w:val="en-US" w:eastAsia="zh-CN"/>
                    </w:rPr>
                  </w:pPr>
                  <w:r>
                    <w:rPr>
                      <w:rFonts w:hint="eastAsia" w:cstheme="minorHAnsi"/>
                      <w:b w:val="0"/>
                      <w:bCs w:val="0"/>
                      <w:sz w:val="21"/>
                      <w:szCs w:val="21"/>
                      <w:highlight w:val="none"/>
                      <w:lang w:eastAsia="zh-CN"/>
                    </w:rPr>
                    <w:t>万</w:t>
                  </w:r>
                  <w:r>
                    <w:rPr>
                      <w:rFonts w:hint="eastAsia" w:cstheme="minorHAnsi"/>
                      <w:b w:val="0"/>
                      <w:bCs w:val="0"/>
                      <w:sz w:val="21"/>
                      <w:szCs w:val="21"/>
                      <w:highlight w:val="none"/>
                      <w:lang w:val="en-US" w:eastAsia="zh-CN"/>
                    </w:rPr>
                    <w:t>m</w:t>
                  </w:r>
                  <w:r>
                    <w:rPr>
                      <w:rFonts w:hint="eastAsia" w:cstheme="minorHAnsi"/>
                      <w:b w:val="0"/>
                      <w:bCs w:val="0"/>
                      <w:sz w:val="21"/>
                      <w:szCs w:val="21"/>
                      <w:highlight w:val="none"/>
                      <w:vertAlign w:val="superscript"/>
                      <w:lang w:val="en-US" w:eastAsia="zh-CN"/>
                    </w:rPr>
                    <w:t>2</w:t>
                  </w:r>
                </w:p>
              </w:tc>
              <w:tc>
                <w:tcPr>
                  <w:tcW w:w="529" w:type="pct"/>
                  <w:tcBorders>
                    <w:tl2br w:val="nil"/>
                    <w:tr2bl w:val="nil"/>
                  </w:tcBorders>
                  <w:vAlign w:val="center"/>
                </w:tcPr>
                <w:p>
                  <w:pPr>
                    <w:jc w:val="center"/>
                    <w:rPr>
                      <w:rFonts w:hint="default" w:eastAsia="宋体" w:cstheme="minorHAnsi"/>
                      <w:b w:val="0"/>
                      <w:bCs w:val="0"/>
                      <w:sz w:val="21"/>
                      <w:szCs w:val="21"/>
                      <w:highlight w:val="none"/>
                      <w:lang w:val="en-US" w:eastAsia="zh-CN"/>
                    </w:rPr>
                  </w:pPr>
                  <w:r>
                    <w:rPr>
                      <w:rFonts w:hint="eastAsia" w:cstheme="minorHAnsi"/>
                      <w:b w:val="0"/>
                      <w:bCs w:val="0"/>
                      <w:sz w:val="21"/>
                      <w:szCs w:val="21"/>
                      <w:highlight w:val="none"/>
                      <w:lang w:val="en-US" w:eastAsia="zh-CN"/>
                    </w:rPr>
                    <w:t>60</w:t>
                  </w:r>
                </w:p>
              </w:tc>
              <w:tc>
                <w:tcPr>
                  <w:tcW w:w="493" w:type="pct"/>
                  <w:tcBorders>
                    <w:tl2br w:val="nil"/>
                    <w:tr2bl w:val="nil"/>
                  </w:tcBorders>
                  <w:vAlign w:val="center"/>
                </w:tcPr>
                <w:p>
                  <w:pPr>
                    <w:jc w:val="center"/>
                    <w:rPr>
                      <w:rFonts w:hint="eastAsia" w:eastAsia="宋体" w:cstheme="minorHAnsi"/>
                      <w:b w:val="0"/>
                      <w:bCs w:val="0"/>
                      <w:color w:val="auto"/>
                      <w:sz w:val="21"/>
                      <w:szCs w:val="21"/>
                      <w:highlight w:val="none"/>
                      <w:lang w:val="en-US" w:eastAsia="zh-CN"/>
                    </w:rPr>
                  </w:pPr>
                  <w:r>
                    <w:rPr>
                      <w:rFonts w:hint="eastAsia" w:cstheme="minorHAnsi"/>
                      <w:b w:val="0"/>
                      <w:bCs w:val="0"/>
                      <w:color w:val="auto"/>
                      <w:sz w:val="21"/>
                      <w:szCs w:val="21"/>
                      <w:highlight w:val="none"/>
                      <w:lang w:val="en-US" w:eastAsia="zh-CN"/>
                    </w:rPr>
                    <w:t>/</w:t>
                  </w:r>
                </w:p>
              </w:tc>
              <w:tc>
                <w:tcPr>
                  <w:tcW w:w="1104" w:type="pct"/>
                  <w:tcBorders>
                    <w:tl2br w:val="nil"/>
                    <w:tr2bl w:val="nil"/>
                  </w:tcBorders>
                  <w:vAlign w:val="center"/>
                </w:tcPr>
                <w:p>
                  <w:pPr>
                    <w:jc w:val="center"/>
                    <w:rPr>
                      <w:rFonts w:hint="default" w:eastAsia="宋体" w:cstheme="minorHAnsi"/>
                      <w:b w:val="0"/>
                      <w:bCs w:val="0"/>
                      <w:color w:val="auto"/>
                      <w:sz w:val="21"/>
                      <w:szCs w:val="21"/>
                      <w:highlight w:val="none"/>
                      <w:lang w:val="en-US" w:eastAsia="zh-CN"/>
                    </w:rPr>
                  </w:pPr>
                  <w:r>
                    <w:rPr>
                      <w:rFonts w:hint="eastAsia" w:cstheme="minorHAnsi"/>
                      <w:b w:val="0"/>
                      <w:bCs w:val="0"/>
                      <w:color w:val="auto"/>
                      <w:sz w:val="21"/>
                      <w:szCs w:val="21"/>
                      <w:highlight w:val="none"/>
                      <w:lang w:val="en-US" w:eastAsia="zh-CN"/>
                    </w:rPr>
                    <w:t>35万m</w:t>
                  </w:r>
                  <w:r>
                    <w:rPr>
                      <w:rFonts w:hint="eastAsia" w:cstheme="minorHAnsi"/>
                      <w:b w:val="0"/>
                      <w:bCs w:val="0"/>
                      <w:color w:val="auto"/>
                      <w:sz w:val="21"/>
                      <w:szCs w:val="21"/>
                      <w:highlight w:val="none"/>
                      <w:vertAlign w:val="superscript"/>
                      <w:lang w:val="en-US" w:eastAsia="zh-CN"/>
                    </w:rPr>
                    <w:t>2</w:t>
                  </w:r>
                  <w:r>
                    <w:rPr>
                      <w:rFonts w:hint="eastAsia" w:cstheme="minorHAnsi"/>
                      <w:b w:val="0"/>
                      <w:bCs w:val="0"/>
                      <w:color w:val="auto"/>
                      <w:sz w:val="21"/>
                      <w:szCs w:val="21"/>
                      <w:highlight w:val="none"/>
                      <w:lang w:val="en-US" w:eastAsia="zh-CN"/>
                    </w:rPr>
                    <w:t>来自现有项目，25万m</w:t>
                  </w:r>
                  <w:r>
                    <w:rPr>
                      <w:rFonts w:hint="eastAsia" w:cstheme="minorHAnsi"/>
                      <w:b w:val="0"/>
                      <w:bCs w:val="0"/>
                      <w:color w:val="auto"/>
                      <w:sz w:val="21"/>
                      <w:szCs w:val="21"/>
                      <w:highlight w:val="none"/>
                      <w:vertAlign w:val="superscript"/>
                      <w:lang w:val="en-US" w:eastAsia="zh-CN"/>
                    </w:rPr>
                    <w:t>2</w:t>
                  </w:r>
                  <w:r>
                    <w:rPr>
                      <w:rFonts w:hint="eastAsia" w:cstheme="minorHAnsi"/>
                      <w:b w:val="0"/>
                      <w:bCs w:val="0"/>
                      <w:color w:val="auto"/>
                      <w:sz w:val="21"/>
                      <w:szCs w:val="21"/>
                      <w:highlight w:val="none"/>
                      <w:lang w:val="en-US" w:eastAsia="zh-CN"/>
                    </w:rPr>
                    <w:t>来自其他企业</w:t>
                  </w:r>
                </w:p>
              </w:tc>
              <w:tc>
                <w:tcPr>
                  <w:tcW w:w="631" w:type="pct"/>
                  <w:tcBorders>
                    <w:tl2br w:val="nil"/>
                    <w:tr2bl w:val="nil"/>
                  </w:tcBorders>
                  <w:vAlign w:val="center"/>
                </w:tcPr>
                <w:p>
                  <w:pPr>
                    <w:jc w:val="center"/>
                    <w:rPr>
                      <w:rFonts w:hint="default" w:cstheme="minorHAnsi"/>
                      <w:b w:val="0"/>
                      <w:bCs w:val="0"/>
                      <w:sz w:val="21"/>
                      <w:szCs w:val="21"/>
                      <w:highlight w:val="none"/>
                      <w:lang w:val="en-US" w:eastAsia="zh-CN"/>
                    </w:rPr>
                  </w:pPr>
                  <w:r>
                    <w:rPr>
                      <w:rFonts w:hint="eastAsia" w:cstheme="minorHAnsi"/>
                      <w:b w:val="0"/>
                      <w:bCs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4" w:type="pct"/>
                  <w:tcBorders>
                    <w:tl2br w:val="nil"/>
                    <w:tr2bl w:val="nil"/>
                  </w:tcBorders>
                  <w:vAlign w:val="center"/>
                </w:tcPr>
                <w:p>
                  <w:pPr>
                    <w:numPr>
                      <w:ilvl w:val="0"/>
                      <w:numId w:val="0"/>
                    </w:numPr>
                    <w:ind w:left="425" w:leftChars="0" w:hanging="425" w:firstLineChars="0"/>
                    <w:jc w:val="center"/>
                    <w:rPr>
                      <w:rFonts w:hint="eastAsia" w:eastAsia="宋体" w:cstheme="minorHAnsi"/>
                      <w:sz w:val="21"/>
                      <w:szCs w:val="21"/>
                      <w:highlight w:val="none"/>
                      <w:lang w:val="en-US" w:eastAsia="zh-CN"/>
                    </w:rPr>
                  </w:pPr>
                  <w:r>
                    <w:rPr>
                      <w:rFonts w:hint="eastAsia" w:cstheme="minorHAnsi"/>
                      <w:sz w:val="21"/>
                      <w:szCs w:val="21"/>
                      <w:highlight w:val="none"/>
                      <w:lang w:val="en-US" w:eastAsia="zh-CN"/>
                    </w:rPr>
                    <w:t>水耗</w:t>
                  </w:r>
                </w:p>
              </w:tc>
              <w:tc>
                <w:tcPr>
                  <w:tcW w:w="802" w:type="pct"/>
                  <w:tcBorders>
                    <w:tl2br w:val="nil"/>
                    <w:tr2bl w:val="nil"/>
                  </w:tcBorders>
                  <w:vAlign w:val="center"/>
                </w:tcPr>
                <w:p>
                  <w:pPr>
                    <w:jc w:val="center"/>
                    <w:rPr>
                      <w:rFonts w:hint="eastAsia" w:eastAsia="宋体"/>
                      <w:sz w:val="21"/>
                      <w:szCs w:val="21"/>
                      <w:highlight w:val="none"/>
                      <w:lang w:eastAsia="zh-CN"/>
                    </w:rPr>
                  </w:pPr>
                  <w:r>
                    <w:rPr>
                      <w:rFonts w:hint="eastAsia"/>
                      <w:sz w:val="21"/>
                      <w:szCs w:val="21"/>
                      <w:highlight w:val="none"/>
                      <w:lang w:eastAsia="zh-CN"/>
                    </w:rPr>
                    <w:t>水</w:t>
                  </w:r>
                </w:p>
              </w:tc>
              <w:tc>
                <w:tcPr>
                  <w:tcW w:w="475" w:type="pct"/>
                  <w:tcBorders>
                    <w:tl2br w:val="nil"/>
                    <w:tr2bl w:val="nil"/>
                  </w:tcBorders>
                  <w:vAlign w:val="center"/>
                </w:tcPr>
                <w:p>
                  <w:pPr>
                    <w:jc w:val="center"/>
                    <w:rPr>
                      <w:rFonts w:hint="eastAsia" w:eastAsia="宋体" w:cstheme="minorHAnsi"/>
                      <w:sz w:val="21"/>
                      <w:szCs w:val="21"/>
                      <w:highlight w:val="none"/>
                      <w:lang w:val="en-US" w:eastAsia="zh-CN"/>
                    </w:rPr>
                  </w:pPr>
                  <w:r>
                    <w:rPr>
                      <w:rFonts w:hint="eastAsia" w:cstheme="minorHAnsi"/>
                      <w:sz w:val="21"/>
                      <w:szCs w:val="21"/>
                      <w:highlight w:val="none"/>
                      <w:lang w:val="en-US" w:eastAsia="zh-CN"/>
                    </w:rPr>
                    <w:t>/</w:t>
                  </w:r>
                </w:p>
              </w:tc>
              <w:tc>
                <w:tcPr>
                  <w:tcW w:w="437" w:type="pct"/>
                  <w:tcBorders>
                    <w:tl2br w:val="nil"/>
                    <w:tr2bl w:val="nil"/>
                  </w:tcBorders>
                  <w:vAlign w:val="center"/>
                </w:tcPr>
                <w:p>
                  <w:pPr>
                    <w:jc w:val="center"/>
                    <w:rPr>
                      <w:rFonts w:hint="default" w:eastAsia="宋体" w:cstheme="minorHAnsi"/>
                      <w:sz w:val="21"/>
                      <w:szCs w:val="21"/>
                      <w:highlight w:val="none"/>
                      <w:lang w:val="en-US" w:eastAsia="zh-CN"/>
                    </w:rPr>
                  </w:pPr>
                  <w:r>
                    <w:rPr>
                      <w:rFonts w:hint="eastAsia" w:cstheme="minorHAnsi"/>
                      <w:sz w:val="21"/>
                      <w:szCs w:val="21"/>
                      <w:highlight w:val="none"/>
                      <w:lang w:val="en-US" w:eastAsia="zh-CN"/>
                    </w:rPr>
                    <w:t>m</w:t>
                  </w:r>
                  <w:r>
                    <w:rPr>
                      <w:rFonts w:hint="eastAsia" w:cstheme="minorHAnsi"/>
                      <w:sz w:val="21"/>
                      <w:szCs w:val="21"/>
                      <w:highlight w:val="none"/>
                      <w:vertAlign w:val="superscript"/>
                      <w:lang w:val="en-US" w:eastAsia="zh-CN"/>
                    </w:rPr>
                    <w:t>3</w:t>
                  </w:r>
                </w:p>
              </w:tc>
              <w:tc>
                <w:tcPr>
                  <w:tcW w:w="529" w:type="pct"/>
                  <w:tcBorders>
                    <w:tl2br w:val="nil"/>
                    <w:tr2bl w:val="nil"/>
                  </w:tcBorders>
                  <w:vAlign w:val="center"/>
                </w:tcPr>
                <w:p>
                  <w:pPr>
                    <w:jc w:val="center"/>
                    <w:rPr>
                      <w:rFonts w:hint="default" w:eastAsia="宋体" w:cstheme="minorHAnsi"/>
                      <w:sz w:val="21"/>
                      <w:szCs w:val="21"/>
                      <w:highlight w:val="yellow"/>
                      <w:lang w:val="en-US" w:eastAsia="zh-CN"/>
                    </w:rPr>
                  </w:pPr>
                  <w:r>
                    <w:rPr>
                      <w:rFonts w:hint="eastAsia" w:cstheme="minorHAnsi"/>
                      <w:sz w:val="21"/>
                      <w:szCs w:val="21"/>
                      <w:highlight w:val="none"/>
                      <w:lang w:val="en-US" w:eastAsia="zh-CN"/>
                    </w:rPr>
                    <w:t>2872.5</w:t>
                  </w:r>
                </w:p>
              </w:tc>
              <w:tc>
                <w:tcPr>
                  <w:tcW w:w="493" w:type="pct"/>
                  <w:tcBorders>
                    <w:tl2br w:val="nil"/>
                    <w:tr2bl w:val="nil"/>
                  </w:tcBorders>
                  <w:vAlign w:val="center"/>
                </w:tcPr>
                <w:p>
                  <w:pPr>
                    <w:jc w:val="center"/>
                    <w:rPr>
                      <w:rFonts w:hint="eastAsia" w:eastAsia="宋体" w:cstheme="minorHAnsi"/>
                      <w:sz w:val="21"/>
                      <w:szCs w:val="21"/>
                      <w:highlight w:val="none"/>
                      <w:lang w:val="en-US" w:eastAsia="zh-CN"/>
                    </w:rPr>
                  </w:pPr>
                  <w:r>
                    <w:rPr>
                      <w:rFonts w:hint="eastAsia" w:cstheme="minorHAnsi"/>
                      <w:sz w:val="21"/>
                      <w:szCs w:val="21"/>
                      <w:highlight w:val="none"/>
                      <w:lang w:val="en-US" w:eastAsia="zh-CN"/>
                    </w:rPr>
                    <w:t>/</w:t>
                  </w:r>
                </w:p>
              </w:tc>
              <w:tc>
                <w:tcPr>
                  <w:tcW w:w="1104" w:type="pct"/>
                  <w:tcBorders>
                    <w:tl2br w:val="nil"/>
                    <w:tr2bl w:val="nil"/>
                  </w:tcBorders>
                  <w:vAlign w:val="center"/>
                </w:tcPr>
                <w:p>
                  <w:pPr>
                    <w:jc w:val="center"/>
                    <w:rPr>
                      <w:rFonts w:hint="eastAsia" w:eastAsia="宋体" w:cstheme="minorHAnsi"/>
                      <w:sz w:val="21"/>
                      <w:szCs w:val="21"/>
                      <w:highlight w:val="none"/>
                      <w:lang w:eastAsia="zh-CN"/>
                    </w:rPr>
                  </w:pPr>
                  <w:r>
                    <w:rPr>
                      <w:rFonts w:hint="eastAsia" w:cstheme="minorHAnsi"/>
                      <w:sz w:val="21"/>
                      <w:szCs w:val="21"/>
                      <w:highlight w:val="none"/>
                      <w:lang w:eastAsia="zh-CN"/>
                    </w:rPr>
                    <w:t>园区供水</w:t>
                  </w:r>
                </w:p>
              </w:tc>
              <w:tc>
                <w:tcPr>
                  <w:tcW w:w="631" w:type="pct"/>
                  <w:tcBorders>
                    <w:tl2br w:val="nil"/>
                    <w:tr2bl w:val="nil"/>
                  </w:tcBorders>
                  <w:vAlign w:val="center"/>
                </w:tcPr>
                <w:p>
                  <w:pPr>
                    <w:jc w:val="center"/>
                    <w:rPr>
                      <w:rFonts w:hint="eastAsia" w:cstheme="minorHAnsi"/>
                      <w:sz w:val="21"/>
                      <w:szCs w:val="21"/>
                      <w:highlight w:val="none"/>
                      <w:lang w:eastAsia="zh-CN"/>
                    </w:rPr>
                  </w:pPr>
                  <w:r>
                    <w:rPr>
                      <w:rFonts w:hint="eastAsia" w:cstheme="minorHAnsi"/>
                      <w:sz w:val="21"/>
                      <w:szCs w:val="21"/>
                      <w:highlight w:val="none"/>
                      <w:lang w:eastAsia="zh-CN"/>
                    </w:rPr>
                    <w:t>生产生活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24" w:type="pct"/>
                  <w:tcBorders>
                    <w:tl2br w:val="nil"/>
                    <w:tr2bl w:val="nil"/>
                  </w:tcBorders>
                  <w:vAlign w:val="center"/>
                </w:tcPr>
                <w:p>
                  <w:pPr>
                    <w:numPr>
                      <w:ilvl w:val="0"/>
                      <w:numId w:val="0"/>
                    </w:numPr>
                    <w:ind w:leftChars="0"/>
                    <w:jc w:val="center"/>
                    <w:rPr>
                      <w:rFonts w:hint="eastAsia" w:eastAsia="宋体" w:cstheme="minorHAnsi"/>
                      <w:sz w:val="21"/>
                      <w:szCs w:val="21"/>
                      <w:highlight w:val="none"/>
                      <w:lang w:val="en-US" w:eastAsia="zh-CN"/>
                    </w:rPr>
                  </w:pPr>
                  <w:r>
                    <w:rPr>
                      <w:rFonts w:hint="eastAsia" w:cstheme="minorHAnsi"/>
                      <w:sz w:val="21"/>
                      <w:szCs w:val="21"/>
                      <w:highlight w:val="none"/>
                      <w:lang w:val="en-US" w:eastAsia="zh-CN"/>
                    </w:rPr>
                    <w:t>能耗</w:t>
                  </w:r>
                </w:p>
              </w:tc>
              <w:tc>
                <w:tcPr>
                  <w:tcW w:w="802" w:type="pct"/>
                  <w:tcBorders>
                    <w:tl2br w:val="nil"/>
                    <w:tr2bl w:val="nil"/>
                  </w:tcBorders>
                  <w:vAlign w:val="center"/>
                </w:tcPr>
                <w:p>
                  <w:pPr>
                    <w:jc w:val="center"/>
                    <w:rPr>
                      <w:rFonts w:hint="eastAsia" w:eastAsia="宋体"/>
                      <w:sz w:val="21"/>
                      <w:szCs w:val="21"/>
                      <w:highlight w:val="none"/>
                      <w:lang w:eastAsia="zh-CN"/>
                    </w:rPr>
                  </w:pPr>
                  <w:r>
                    <w:rPr>
                      <w:rFonts w:hint="eastAsia"/>
                      <w:sz w:val="21"/>
                      <w:szCs w:val="21"/>
                      <w:highlight w:val="none"/>
                      <w:lang w:eastAsia="zh-CN"/>
                    </w:rPr>
                    <w:t>电</w:t>
                  </w:r>
                </w:p>
              </w:tc>
              <w:tc>
                <w:tcPr>
                  <w:tcW w:w="475" w:type="pct"/>
                  <w:tcBorders>
                    <w:tl2br w:val="nil"/>
                    <w:tr2bl w:val="nil"/>
                  </w:tcBorders>
                  <w:vAlign w:val="center"/>
                </w:tcPr>
                <w:p>
                  <w:pPr>
                    <w:jc w:val="center"/>
                    <w:rPr>
                      <w:rFonts w:hint="eastAsia" w:eastAsia="宋体" w:cstheme="minorHAnsi"/>
                      <w:sz w:val="21"/>
                      <w:szCs w:val="21"/>
                      <w:highlight w:val="none"/>
                      <w:lang w:val="en-US" w:eastAsia="zh-CN"/>
                    </w:rPr>
                  </w:pPr>
                  <w:r>
                    <w:rPr>
                      <w:rFonts w:hint="eastAsia" w:cstheme="minorHAnsi"/>
                      <w:sz w:val="21"/>
                      <w:szCs w:val="21"/>
                      <w:highlight w:val="none"/>
                      <w:lang w:val="en-US" w:eastAsia="zh-CN"/>
                    </w:rPr>
                    <w:t>/</w:t>
                  </w:r>
                </w:p>
              </w:tc>
              <w:tc>
                <w:tcPr>
                  <w:tcW w:w="437" w:type="pct"/>
                  <w:tcBorders>
                    <w:tl2br w:val="nil"/>
                    <w:tr2bl w:val="nil"/>
                  </w:tcBorders>
                  <w:vAlign w:val="center"/>
                </w:tcPr>
                <w:p>
                  <w:pPr>
                    <w:jc w:val="center"/>
                    <w:rPr>
                      <w:rFonts w:hint="default" w:eastAsia="宋体" w:cstheme="minorHAnsi"/>
                      <w:sz w:val="21"/>
                      <w:szCs w:val="21"/>
                      <w:highlight w:val="none"/>
                      <w:lang w:val="en-US" w:eastAsia="zh-CN"/>
                    </w:rPr>
                  </w:pPr>
                  <w:r>
                    <w:rPr>
                      <w:rFonts w:hint="eastAsia" w:cstheme="minorHAnsi"/>
                      <w:sz w:val="21"/>
                      <w:szCs w:val="21"/>
                      <w:highlight w:val="none"/>
                      <w:lang w:eastAsia="zh-CN"/>
                    </w:rPr>
                    <w:t>万</w:t>
                  </w:r>
                  <w:r>
                    <w:rPr>
                      <w:rFonts w:hint="eastAsia" w:cstheme="minorHAnsi"/>
                      <w:sz w:val="21"/>
                      <w:szCs w:val="21"/>
                      <w:highlight w:val="none"/>
                      <w:lang w:val="en-US" w:eastAsia="zh-CN"/>
                    </w:rPr>
                    <w:t>kw.h</w:t>
                  </w:r>
                </w:p>
              </w:tc>
              <w:tc>
                <w:tcPr>
                  <w:tcW w:w="529" w:type="pct"/>
                  <w:tcBorders>
                    <w:tl2br w:val="nil"/>
                    <w:tr2bl w:val="nil"/>
                  </w:tcBorders>
                  <w:vAlign w:val="center"/>
                </w:tcPr>
                <w:p>
                  <w:pPr>
                    <w:jc w:val="center"/>
                    <w:rPr>
                      <w:rFonts w:hint="default" w:eastAsia="宋体" w:cstheme="minorHAnsi"/>
                      <w:sz w:val="21"/>
                      <w:szCs w:val="21"/>
                      <w:highlight w:val="yellow"/>
                      <w:lang w:val="en-US" w:eastAsia="zh-CN"/>
                    </w:rPr>
                  </w:pPr>
                  <w:r>
                    <w:rPr>
                      <w:rFonts w:hint="eastAsia" w:cstheme="minorHAnsi"/>
                      <w:sz w:val="21"/>
                      <w:szCs w:val="21"/>
                      <w:highlight w:val="none"/>
                      <w:lang w:val="en-US" w:eastAsia="zh-CN"/>
                    </w:rPr>
                    <w:t>50</w:t>
                  </w:r>
                </w:p>
              </w:tc>
              <w:tc>
                <w:tcPr>
                  <w:tcW w:w="493" w:type="pct"/>
                  <w:tcBorders>
                    <w:tl2br w:val="nil"/>
                    <w:tr2bl w:val="nil"/>
                  </w:tcBorders>
                  <w:vAlign w:val="center"/>
                </w:tcPr>
                <w:p>
                  <w:pPr>
                    <w:jc w:val="center"/>
                    <w:rPr>
                      <w:rFonts w:hint="eastAsia" w:eastAsia="宋体" w:cstheme="minorHAnsi"/>
                      <w:sz w:val="21"/>
                      <w:szCs w:val="21"/>
                      <w:highlight w:val="none"/>
                      <w:lang w:val="en-US" w:eastAsia="zh-CN"/>
                    </w:rPr>
                  </w:pPr>
                  <w:r>
                    <w:rPr>
                      <w:rFonts w:hint="eastAsia" w:cstheme="minorHAnsi"/>
                      <w:sz w:val="21"/>
                      <w:szCs w:val="21"/>
                      <w:highlight w:val="none"/>
                      <w:lang w:val="en-US" w:eastAsia="zh-CN"/>
                    </w:rPr>
                    <w:t>/</w:t>
                  </w:r>
                </w:p>
              </w:tc>
              <w:tc>
                <w:tcPr>
                  <w:tcW w:w="1104" w:type="pct"/>
                  <w:tcBorders>
                    <w:tl2br w:val="nil"/>
                    <w:tr2bl w:val="nil"/>
                  </w:tcBorders>
                  <w:vAlign w:val="center"/>
                </w:tcPr>
                <w:p>
                  <w:pPr>
                    <w:jc w:val="center"/>
                    <w:rPr>
                      <w:rFonts w:hint="eastAsia" w:eastAsia="宋体" w:cstheme="minorHAnsi"/>
                      <w:sz w:val="21"/>
                      <w:szCs w:val="21"/>
                      <w:highlight w:val="none"/>
                      <w:lang w:eastAsia="zh-CN"/>
                    </w:rPr>
                  </w:pPr>
                  <w:r>
                    <w:rPr>
                      <w:rFonts w:hint="eastAsia" w:cstheme="minorHAnsi"/>
                      <w:sz w:val="21"/>
                      <w:szCs w:val="21"/>
                      <w:highlight w:val="none"/>
                      <w:lang w:eastAsia="zh-CN"/>
                    </w:rPr>
                    <w:t>国家电网</w:t>
                  </w:r>
                </w:p>
              </w:tc>
              <w:tc>
                <w:tcPr>
                  <w:tcW w:w="631" w:type="pct"/>
                  <w:tcBorders>
                    <w:tl2br w:val="nil"/>
                    <w:tr2bl w:val="nil"/>
                  </w:tcBorders>
                  <w:vAlign w:val="center"/>
                </w:tcPr>
                <w:p>
                  <w:pPr>
                    <w:jc w:val="center"/>
                    <w:rPr>
                      <w:rFonts w:hint="eastAsia" w:cstheme="minorHAnsi"/>
                      <w:sz w:val="21"/>
                      <w:szCs w:val="21"/>
                      <w:highlight w:val="none"/>
                      <w:lang w:eastAsia="zh-CN"/>
                    </w:rPr>
                  </w:pPr>
                  <w:r>
                    <w:rPr>
                      <w:rFonts w:hint="eastAsia"/>
                      <w:color w:val="auto"/>
                      <w:sz w:val="21"/>
                      <w:szCs w:val="21"/>
                      <w:highlight w:val="none"/>
                      <w:lang w:val="en-US" w:eastAsia="zh-CN"/>
                    </w:rPr>
                    <w:t>新增用电设备</w:t>
                  </w:r>
                </w:p>
              </w:tc>
            </w:tr>
          </w:tbl>
          <w:p>
            <w:pPr>
              <w:spacing w:line="360" w:lineRule="auto"/>
              <w:rPr>
                <w:rFonts w:hint="default" w:ascii="Times New Roman" w:hAnsi="Times New Roman" w:eastAsia="宋体" w:cs="Times New Roman"/>
                <w:snapToGrid w:val="0"/>
                <w:color w:val="auto"/>
                <w:kern w:val="0"/>
                <w:sz w:val="24"/>
                <w:lang w:val="en-US" w:eastAsia="zh-CN"/>
              </w:rPr>
            </w:pPr>
            <w:r>
              <w:rPr>
                <w:rFonts w:hint="default" w:ascii="Times New Roman" w:hAnsi="Times New Roman" w:cs="Times New Roman"/>
                <w:snapToGrid w:val="0"/>
                <w:color w:val="auto"/>
                <w:kern w:val="0"/>
                <w:sz w:val="24"/>
                <w:lang w:val="en-US" w:eastAsia="zh-CN"/>
              </w:rPr>
              <w:t>本项</w:t>
            </w:r>
            <w:r>
              <w:rPr>
                <w:rFonts w:hint="default" w:ascii="Times New Roman" w:hAnsi="Times New Roman" w:eastAsia="宋体" w:cs="Times New Roman"/>
                <w:snapToGrid w:val="0"/>
                <w:color w:val="auto"/>
                <w:kern w:val="0"/>
                <w:sz w:val="24"/>
                <w:lang w:val="en-US" w:eastAsia="zh-CN"/>
              </w:rPr>
              <w:t>目建成后与目前厂区主要原辅材料消耗情况见下表</w:t>
            </w:r>
          </w:p>
          <w:p>
            <w:pPr>
              <w:spacing w:line="240" w:lineRule="auto"/>
              <w:jc w:val="center"/>
              <w:rPr>
                <w:rFonts w:hint="eastAsia"/>
                <w:b/>
                <w:sz w:val="24"/>
                <w:szCs w:val="24"/>
              </w:rPr>
            </w:pPr>
            <w:r>
              <w:rPr>
                <w:rFonts w:hint="default" w:ascii="Times New Roman" w:hAnsi="Times New Roman" w:cs="Times New Roman"/>
                <w:b/>
                <w:bCs/>
                <w:color w:val="auto"/>
                <w:szCs w:val="21"/>
              </w:rPr>
              <w:t>表2-</w:t>
            </w:r>
            <w:r>
              <w:rPr>
                <w:rFonts w:hint="eastAsia" w:cs="Times New Roman"/>
                <w:b/>
                <w:bCs/>
                <w:color w:val="auto"/>
                <w:szCs w:val="21"/>
                <w:lang w:val="en-US" w:eastAsia="zh-CN"/>
              </w:rPr>
              <w:t>8</w:t>
            </w:r>
            <w:r>
              <w:rPr>
                <w:rFonts w:hint="default" w:ascii="Times New Roman" w:hAnsi="Times New Roman" w:cs="Times New Roman"/>
                <w:b/>
                <w:bCs/>
                <w:color w:val="auto"/>
                <w:szCs w:val="21"/>
              </w:rPr>
              <w:t xml:space="preserve">  本项目建设前后</w:t>
            </w:r>
            <w:r>
              <w:rPr>
                <w:rFonts w:hint="eastAsia" w:ascii="Times New Roman" w:hAnsi="Times New Roman" w:cs="Times New Roman"/>
                <w:b/>
                <w:bCs/>
                <w:color w:val="auto"/>
                <w:szCs w:val="21"/>
                <w:lang w:eastAsia="zh-CN"/>
              </w:rPr>
              <w:t>全厂</w:t>
            </w:r>
            <w:r>
              <w:rPr>
                <w:rFonts w:hint="default" w:ascii="Times New Roman" w:hAnsi="Times New Roman" w:cs="Times New Roman"/>
                <w:b/>
                <w:bCs/>
                <w:color w:val="auto"/>
                <w:szCs w:val="21"/>
              </w:rPr>
              <w:t>主要原辅材料一览表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946"/>
              <w:gridCol w:w="2621"/>
              <w:gridCol w:w="1317"/>
              <w:gridCol w:w="1168"/>
              <w:gridCol w:w="11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576" w:type="pct"/>
                  <w:vMerge w:val="restart"/>
                  <w:tcBorders>
                    <w:tl2br w:val="nil"/>
                    <w:tr2bl w:val="nil"/>
                  </w:tcBorders>
                  <w:vAlign w:val="center"/>
                </w:tcPr>
                <w:p>
                  <w:pPr>
                    <w:pStyle w:val="43"/>
                    <w:rPr>
                      <w:rFonts w:hint="eastAsia" w:eastAsia="宋体"/>
                      <w:lang w:eastAsia="zh-CN"/>
                    </w:rPr>
                  </w:pPr>
                  <w:r>
                    <w:rPr>
                      <w:rFonts w:hint="eastAsia"/>
                      <w:lang w:eastAsia="zh-CN"/>
                    </w:rPr>
                    <w:t>类型</w:t>
                  </w:r>
                </w:p>
              </w:tc>
              <w:tc>
                <w:tcPr>
                  <w:tcW w:w="578" w:type="pct"/>
                  <w:vMerge w:val="restart"/>
                  <w:tcBorders>
                    <w:tl2br w:val="nil"/>
                    <w:tr2bl w:val="nil"/>
                  </w:tcBorders>
                  <w:vAlign w:val="center"/>
                </w:tcPr>
                <w:p>
                  <w:pPr>
                    <w:pStyle w:val="43"/>
                    <w:rPr>
                      <w:rFonts w:hint="eastAsia" w:eastAsia="宋体"/>
                      <w:lang w:eastAsia="zh-CN"/>
                    </w:rPr>
                  </w:pPr>
                  <w:r>
                    <w:rPr>
                      <w:rFonts w:hint="eastAsia"/>
                      <w:lang w:eastAsia="zh-CN"/>
                    </w:rPr>
                    <w:t>名称</w:t>
                  </w:r>
                </w:p>
              </w:tc>
              <w:tc>
                <w:tcPr>
                  <w:tcW w:w="1602" w:type="pct"/>
                  <w:vMerge w:val="restart"/>
                  <w:tcBorders>
                    <w:tl2br w:val="nil"/>
                    <w:tr2bl w:val="nil"/>
                  </w:tcBorders>
                  <w:shd w:val="clear" w:color="auto" w:fill="auto"/>
                  <w:vAlign w:val="center"/>
                </w:tcPr>
                <w:p>
                  <w:pPr>
                    <w:pStyle w:val="43"/>
                    <w:rPr>
                      <w:rFonts w:hint="eastAsia" w:eastAsia="宋体"/>
                      <w:lang w:eastAsia="zh-CN"/>
                    </w:rPr>
                  </w:pPr>
                  <w:r>
                    <w:rPr>
                      <w:rFonts w:hint="eastAsia"/>
                      <w:lang w:eastAsia="zh-CN"/>
                    </w:rPr>
                    <w:t>单位</w:t>
                  </w:r>
                </w:p>
              </w:tc>
              <w:tc>
                <w:tcPr>
                  <w:tcW w:w="2242" w:type="pct"/>
                  <w:gridSpan w:val="3"/>
                  <w:tcBorders>
                    <w:tl2br w:val="nil"/>
                    <w:tr2bl w:val="nil"/>
                  </w:tcBorders>
                  <w:vAlign w:val="center"/>
                </w:tcPr>
                <w:p>
                  <w:pPr>
                    <w:pStyle w:val="43"/>
                    <w:rPr>
                      <w:rFonts w:hint="eastAsia" w:eastAsia="宋体"/>
                      <w:lang w:eastAsia="zh-CN"/>
                    </w:rPr>
                  </w:pPr>
                  <w:r>
                    <w:rPr>
                      <w:rFonts w:hint="eastAsia"/>
                      <w:lang w:eastAsia="zh-CN"/>
                    </w:rPr>
                    <w:t>年用量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576" w:type="pct"/>
                  <w:vMerge w:val="continue"/>
                  <w:tcBorders>
                    <w:tl2br w:val="nil"/>
                    <w:tr2bl w:val="nil"/>
                  </w:tcBorders>
                  <w:vAlign w:val="center"/>
                </w:tcPr>
                <w:p>
                  <w:pPr>
                    <w:pStyle w:val="43"/>
                  </w:pPr>
                </w:p>
              </w:tc>
              <w:tc>
                <w:tcPr>
                  <w:tcW w:w="578" w:type="pct"/>
                  <w:vMerge w:val="continue"/>
                  <w:tcBorders>
                    <w:tl2br w:val="nil"/>
                    <w:tr2bl w:val="nil"/>
                  </w:tcBorders>
                  <w:vAlign w:val="center"/>
                </w:tcPr>
                <w:p>
                  <w:pPr>
                    <w:pStyle w:val="43"/>
                  </w:pPr>
                </w:p>
              </w:tc>
              <w:tc>
                <w:tcPr>
                  <w:tcW w:w="1602" w:type="pct"/>
                  <w:vMerge w:val="continue"/>
                  <w:tcBorders>
                    <w:tl2br w:val="nil"/>
                    <w:tr2bl w:val="nil"/>
                  </w:tcBorders>
                  <w:shd w:val="clear" w:color="auto" w:fill="auto"/>
                  <w:vAlign w:val="center"/>
                </w:tcPr>
                <w:p>
                  <w:pPr>
                    <w:pStyle w:val="43"/>
                  </w:pPr>
                </w:p>
              </w:tc>
              <w:tc>
                <w:tcPr>
                  <w:tcW w:w="805" w:type="pct"/>
                  <w:tcBorders>
                    <w:tl2br w:val="nil"/>
                    <w:tr2bl w:val="nil"/>
                  </w:tcBorders>
                  <w:vAlign w:val="center"/>
                </w:tcPr>
                <w:p>
                  <w:pPr>
                    <w:jc w:val="center"/>
                    <w:rPr>
                      <w:rFonts w:hint="eastAsia"/>
                    </w:rPr>
                  </w:pPr>
                  <w:r>
                    <w:rPr>
                      <w:rFonts w:hint="eastAsia" w:cs="Times New Roman"/>
                      <w:b/>
                      <w:bCs/>
                      <w:color w:val="auto"/>
                      <w:kern w:val="2"/>
                      <w:sz w:val="21"/>
                      <w:szCs w:val="21"/>
                      <w:lang w:val="en-US" w:eastAsia="zh-CN" w:bidi="ar-SA"/>
                    </w:rPr>
                    <w:t>现有项目</w:t>
                  </w:r>
                </w:p>
              </w:tc>
              <w:tc>
                <w:tcPr>
                  <w:tcW w:w="714" w:type="pct"/>
                  <w:tcBorders>
                    <w:tl2br w:val="nil"/>
                    <w:tr2bl w:val="nil"/>
                  </w:tcBorders>
                  <w:vAlign w:val="center"/>
                </w:tcPr>
                <w:p>
                  <w:pPr>
                    <w:jc w:val="center"/>
                    <w:rPr>
                      <w:rFonts w:hint="eastAsia"/>
                    </w:rPr>
                  </w:pPr>
                  <w:r>
                    <w:rPr>
                      <w:rFonts w:hint="eastAsia" w:cs="Times New Roman"/>
                      <w:b/>
                      <w:bCs/>
                      <w:color w:val="auto"/>
                      <w:kern w:val="2"/>
                      <w:sz w:val="21"/>
                      <w:szCs w:val="21"/>
                      <w:lang w:val="en-US" w:eastAsia="zh-CN" w:bidi="ar-SA"/>
                    </w:rPr>
                    <w:t>本项目建成后全厂</w:t>
                  </w:r>
                </w:p>
              </w:tc>
              <w:tc>
                <w:tcPr>
                  <w:tcW w:w="722" w:type="pct"/>
                  <w:tcBorders>
                    <w:tl2br w:val="nil"/>
                    <w:tr2bl w:val="nil"/>
                  </w:tcBorders>
                  <w:vAlign w:val="center"/>
                </w:tcPr>
                <w:p>
                  <w:pPr>
                    <w:jc w:val="center"/>
                    <w:rPr>
                      <w:rFonts w:hint="eastAsia"/>
                    </w:rPr>
                  </w:pPr>
                  <w:r>
                    <w:rPr>
                      <w:rFonts w:hint="eastAsia" w:ascii="Times New Roman" w:hAnsi="Times New Roman" w:eastAsia="宋体" w:cs="Times New Roman"/>
                      <w:b/>
                      <w:bCs/>
                      <w:color w:val="auto"/>
                      <w:sz w:val="21"/>
                      <w:szCs w:val="21"/>
                      <w:lang w:val="en-US" w:eastAsia="zh-CN"/>
                    </w:rPr>
                    <w:t>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43"/>
                    <w:rPr>
                      <w:rFonts w:hint="default"/>
                      <w:color w:val="auto"/>
                      <w:lang w:val="en-US" w:eastAsia="zh-CN"/>
                    </w:rPr>
                  </w:pPr>
                  <w:r>
                    <w:rPr>
                      <w:rFonts w:hint="eastAsia"/>
                      <w:color w:val="auto"/>
                      <w:lang w:eastAsia="zh-CN"/>
                    </w:rPr>
                    <w:t>中空玻璃</w:t>
                  </w:r>
                </w:p>
              </w:tc>
              <w:tc>
                <w:tcPr>
                  <w:tcW w:w="578" w:type="pct"/>
                  <w:tcBorders>
                    <w:tl2br w:val="nil"/>
                    <w:tr2bl w:val="nil"/>
                  </w:tcBorders>
                  <w:vAlign w:val="center"/>
                </w:tcPr>
                <w:p>
                  <w:pPr>
                    <w:spacing w:line="240" w:lineRule="auto"/>
                    <w:jc w:val="center"/>
                    <w:rPr>
                      <w:rFonts w:ascii="宋体" w:hAnsi="宋体" w:eastAsia="宋体" w:cs="黑体"/>
                      <w:color w:val="auto"/>
                      <w:kern w:val="2"/>
                      <w:sz w:val="21"/>
                      <w:szCs w:val="21"/>
                      <w:lang w:val="en-US" w:eastAsia="zh-CN" w:bidi="ar-SA"/>
                    </w:rPr>
                  </w:pPr>
                  <w:r>
                    <w:rPr>
                      <w:rFonts w:hint="eastAsia" w:ascii="宋体" w:hAnsi="宋体"/>
                      <w:color w:val="auto"/>
                      <w:szCs w:val="21"/>
                    </w:rPr>
                    <w:t>玻璃原片</w:t>
                  </w:r>
                </w:p>
              </w:tc>
              <w:tc>
                <w:tcPr>
                  <w:tcW w:w="1602" w:type="pct"/>
                  <w:tcBorders>
                    <w:tl2br w:val="nil"/>
                    <w:tr2bl w:val="nil"/>
                  </w:tcBorders>
                  <w:shd w:val="clear" w:color="auto" w:fill="auto"/>
                  <w:vAlign w:val="center"/>
                </w:tcPr>
                <w:p>
                  <w:pPr>
                    <w:spacing w:line="360" w:lineRule="auto"/>
                    <w:jc w:val="center"/>
                    <w:rPr>
                      <w:rFonts w:hint="eastAsia" w:ascii="Times New Roman" w:hAnsi="Times New Roman" w:eastAsia="宋体" w:cs="黑体"/>
                      <w:color w:val="auto"/>
                      <w:kern w:val="2"/>
                      <w:sz w:val="21"/>
                      <w:szCs w:val="21"/>
                      <w:lang w:val="en-US" w:eastAsia="zh-CN" w:bidi="ar-SA"/>
                    </w:rPr>
                  </w:pPr>
                  <w:r>
                    <w:rPr>
                      <w:rFonts w:hint="eastAsia"/>
                      <w:color w:val="auto"/>
                      <w:szCs w:val="21"/>
                    </w:rPr>
                    <w:t>t/a</w:t>
                  </w:r>
                </w:p>
              </w:tc>
              <w:tc>
                <w:tcPr>
                  <w:tcW w:w="805"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szCs w:val="21"/>
                    </w:rPr>
                    <w:t>7000</w:t>
                  </w:r>
                </w:p>
              </w:tc>
              <w:tc>
                <w:tcPr>
                  <w:tcW w:w="714"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szCs w:val="21"/>
                    </w:rPr>
                    <w:t>7000</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43"/>
                    <w:rPr>
                      <w:rFonts w:hint="eastAsia"/>
                      <w:color w:val="auto"/>
                      <w:lang w:eastAsia="zh-CN"/>
                    </w:rPr>
                  </w:pPr>
                </w:p>
              </w:tc>
              <w:tc>
                <w:tcPr>
                  <w:tcW w:w="578" w:type="pct"/>
                  <w:tcBorders>
                    <w:tl2br w:val="nil"/>
                    <w:tr2bl w:val="nil"/>
                  </w:tcBorders>
                  <w:vAlign w:val="center"/>
                </w:tcPr>
                <w:p>
                  <w:pPr>
                    <w:spacing w:line="360" w:lineRule="auto"/>
                    <w:jc w:val="center"/>
                    <w:rPr>
                      <w:rFonts w:hint="eastAsia" w:ascii="宋体" w:hAnsi="宋体" w:eastAsia="宋体" w:cs="黑体"/>
                      <w:color w:val="auto"/>
                      <w:kern w:val="2"/>
                      <w:sz w:val="21"/>
                      <w:szCs w:val="21"/>
                      <w:lang w:val="en-US" w:eastAsia="zh-CN" w:bidi="ar-SA"/>
                    </w:rPr>
                  </w:pPr>
                  <w:r>
                    <w:rPr>
                      <w:rFonts w:hint="eastAsia" w:ascii="宋体" w:hAnsi="宋体"/>
                      <w:color w:val="auto"/>
                      <w:szCs w:val="21"/>
                    </w:rPr>
                    <w:t>丁基胶</w:t>
                  </w:r>
                </w:p>
              </w:tc>
              <w:tc>
                <w:tcPr>
                  <w:tcW w:w="1602" w:type="pct"/>
                  <w:tcBorders>
                    <w:tl2br w:val="nil"/>
                    <w:tr2bl w:val="nil"/>
                  </w:tcBorders>
                  <w:shd w:val="clear" w:color="auto" w:fill="auto"/>
                  <w:vAlign w:val="center"/>
                </w:tcPr>
                <w:p>
                  <w:pPr>
                    <w:spacing w:line="360" w:lineRule="auto"/>
                    <w:jc w:val="center"/>
                    <w:rPr>
                      <w:rFonts w:hint="eastAsia" w:ascii="Times New Roman" w:hAnsi="Times New Roman" w:eastAsia="宋体" w:cs="黑体"/>
                      <w:color w:val="auto"/>
                      <w:kern w:val="2"/>
                      <w:sz w:val="21"/>
                      <w:szCs w:val="21"/>
                      <w:lang w:val="en-US" w:eastAsia="zh-CN" w:bidi="ar-SA"/>
                    </w:rPr>
                  </w:pPr>
                  <w:r>
                    <w:rPr>
                      <w:rFonts w:hint="eastAsia"/>
                      <w:color w:val="auto"/>
                      <w:szCs w:val="21"/>
                    </w:rPr>
                    <w:t>t/a</w:t>
                  </w:r>
                </w:p>
              </w:tc>
              <w:tc>
                <w:tcPr>
                  <w:tcW w:w="80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714"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43"/>
                    <w:rPr>
                      <w:rFonts w:hint="eastAsia"/>
                      <w:color w:val="auto"/>
                      <w:lang w:eastAsia="zh-CN"/>
                    </w:rPr>
                  </w:pPr>
                </w:p>
              </w:tc>
              <w:tc>
                <w:tcPr>
                  <w:tcW w:w="578" w:type="pct"/>
                  <w:tcBorders>
                    <w:tl2br w:val="nil"/>
                    <w:tr2bl w:val="nil"/>
                  </w:tcBorders>
                  <w:vAlign w:val="center"/>
                </w:tcPr>
                <w:p>
                  <w:pPr>
                    <w:spacing w:line="360" w:lineRule="auto"/>
                    <w:jc w:val="center"/>
                    <w:rPr>
                      <w:rFonts w:hint="eastAsia" w:ascii="宋体" w:hAnsi="宋体" w:eastAsia="宋体"/>
                      <w:color w:val="auto"/>
                      <w:szCs w:val="21"/>
                      <w:lang w:eastAsia="zh-CN"/>
                    </w:rPr>
                  </w:pPr>
                  <w:r>
                    <w:rPr>
                      <w:rFonts w:hint="eastAsia" w:ascii="宋体" w:hAnsi="宋体"/>
                      <w:color w:val="auto"/>
                      <w:szCs w:val="21"/>
                      <w:lang w:eastAsia="zh-CN"/>
                    </w:rPr>
                    <w:t>硅酮胶</w:t>
                  </w:r>
                </w:p>
              </w:tc>
              <w:tc>
                <w:tcPr>
                  <w:tcW w:w="1602" w:type="pct"/>
                  <w:tcBorders>
                    <w:tl2br w:val="nil"/>
                    <w:tr2bl w:val="nil"/>
                  </w:tcBorders>
                  <w:shd w:val="clear" w:color="auto" w:fill="auto"/>
                  <w:vAlign w:val="center"/>
                </w:tcPr>
                <w:p>
                  <w:pPr>
                    <w:spacing w:line="360" w:lineRule="auto"/>
                    <w:jc w:val="center"/>
                    <w:rPr>
                      <w:rFonts w:hint="default" w:eastAsia="宋体"/>
                      <w:color w:val="auto"/>
                      <w:szCs w:val="21"/>
                      <w:lang w:val="en-US" w:eastAsia="zh-CN"/>
                    </w:rPr>
                  </w:pPr>
                  <w:r>
                    <w:rPr>
                      <w:rFonts w:hint="eastAsia"/>
                      <w:color w:val="auto"/>
                      <w:szCs w:val="21"/>
                      <w:lang w:val="en-US" w:eastAsia="zh-CN"/>
                    </w:rPr>
                    <w:t>t/a</w:t>
                  </w:r>
                </w:p>
              </w:tc>
              <w:tc>
                <w:tcPr>
                  <w:tcW w:w="80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540</w:t>
                  </w:r>
                </w:p>
              </w:tc>
              <w:tc>
                <w:tcPr>
                  <w:tcW w:w="714"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540</w:t>
                  </w:r>
                </w:p>
              </w:tc>
              <w:tc>
                <w:tcPr>
                  <w:tcW w:w="722" w:type="pct"/>
                  <w:tcBorders>
                    <w:tl2br w:val="nil"/>
                    <w:tr2bl w:val="nil"/>
                  </w:tcBorders>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43"/>
                    <w:rPr>
                      <w:rFonts w:hint="eastAsia"/>
                      <w:color w:val="auto"/>
                      <w:lang w:eastAsia="zh-CN"/>
                    </w:rPr>
                  </w:pPr>
                </w:p>
              </w:tc>
              <w:tc>
                <w:tcPr>
                  <w:tcW w:w="578" w:type="pct"/>
                  <w:tcBorders>
                    <w:tl2br w:val="nil"/>
                    <w:tr2bl w:val="nil"/>
                  </w:tcBorders>
                  <w:vAlign w:val="center"/>
                </w:tcPr>
                <w:p>
                  <w:pPr>
                    <w:spacing w:line="360" w:lineRule="auto"/>
                    <w:jc w:val="center"/>
                    <w:rPr>
                      <w:rFonts w:hint="eastAsia" w:ascii="宋体" w:hAnsi="宋体" w:eastAsia="宋体" w:cs="黑体"/>
                      <w:color w:val="auto"/>
                      <w:kern w:val="2"/>
                      <w:sz w:val="21"/>
                      <w:szCs w:val="21"/>
                      <w:lang w:val="en-US" w:eastAsia="zh-CN" w:bidi="ar-SA"/>
                    </w:rPr>
                  </w:pPr>
                  <w:r>
                    <w:rPr>
                      <w:rFonts w:hint="eastAsia" w:ascii="宋体" w:hAnsi="宋体"/>
                      <w:color w:val="auto"/>
                      <w:szCs w:val="21"/>
                    </w:rPr>
                    <w:t>干燥剂</w:t>
                  </w:r>
                </w:p>
              </w:tc>
              <w:tc>
                <w:tcPr>
                  <w:tcW w:w="1602" w:type="pct"/>
                  <w:tcBorders>
                    <w:tl2br w:val="nil"/>
                    <w:tr2bl w:val="nil"/>
                  </w:tcBorders>
                  <w:shd w:val="clear" w:color="auto" w:fill="auto"/>
                  <w:vAlign w:val="center"/>
                </w:tcPr>
                <w:p>
                  <w:pPr>
                    <w:spacing w:line="360" w:lineRule="auto"/>
                    <w:jc w:val="center"/>
                    <w:rPr>
                      <w:rFonts w:hint="eastAsia" w:ascii="Times New Roman" w:hAnsi="Times New Roman" w:eastAsia="宋体" w:cs="黑体"/>
                      <w:color w:val="auto"/>
                      <w:kern w:val="2"/>
                      <w:sz w:val="21"/>
                      <w:szCs w:val="21"/>
                      <w:lang w:val="en-US" w:eastAsia="zh-CN" w:bidi="ar-SA"/>
                    </w:rPr>
                  </w:pPr>
                  <w:r>
                    <w:rPr>
                      <w:rFonts w:hint="eastAsia"/>
                      <w:color w:val="auto"/>
                      <w:szCs w:val="21"/>
                    </w:rPr>
                    <w:t>t/a</w:t>
                  </w:r>
                </w:p>
              </w:tc>
              <w:tc>
                <w:tcPr>
                  <w:tcW w:w="805"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14"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43"/>
                    <w:rPr>
                      <w:rFonts w:hint="eastAsia"/>
                      <w:color w:val="auto"/>
                      <w:lang w:eastAsia="zh-CN"/>
                    </w:rPr>
                  </w:pPr>
                </w:p>
              </w:tc>
              <w:tc>
                <w:tcPr>
                  <w:tcW w:w="578" w:type="pct"/>
                  <w:tcBorders>
                    <w:tl2br w:val="nil"/>
                    <w:tr2bl w:val="nil"/>
                  </w:tcBorders>
                  <w:vAlign w:val="center"/>
                </w:tcPr>
                <w:p>
                  <w:pPr>
                    <w:spacing w:line="360" w:lineRule="auto"/>
                    <w:jc w:val="center"/>
                    <w:rPr>
                      <w:rFonts w:hint="eastAsia" w:ascii="宋体" w:hAnsi="宋体" w:eastAsia="宋体" w:cs="黑体"/>
                      <w:color w:val="auto"/>
                      <w:kern w:val="2"/>
                      <w:sz w:val="21"/>
                      <w:szCs w:val="21"/>
                      <w:lang w:val="en-US" w:eastAsia="zh-CN" w:bidi="ar-SA"/>
                    </w:rPr>
                  </w:pPr>
                  <w:r>
                    <w:rPr>
                      <w:rFonts w:hint="eastAsia" w:ascii="宋体" w:hAnsi="宋体"/>
                      <w:color w:val="auto"/>
                      <w:szCs w:val="21"/>
                    </w:rPr>
                    <w:t>铝条</w:t>
                  </w:r>
                </w:p>
              </w:tc>
              <w:tc>
                <w:tcPr>
                  <w:tcW w:w="1602" w:type="pct"/>
                  <w:tcBorders>
                    <w:tl2br w:val="nil"/>
                    <w:tr2bl w:val="nil"/>
                  </w:tcBorders>
                  <w:shd w:val="clear" w:color="auto" w:fill="auto"/>
                  <w:vAlign w:val="center"/>
                </w:tcPr>
                <w:p>
                  <w:pPr>
                    <w:spacing w:line="360" w:lineRule="auto"/>
                    <w:jc w:val="center"/>
                    <w:rPr>
                      <w:rFonts w:hint="eastAsia" w:ascii="Times New Roman" w:hAnsi="Times New Roman" w:eastAsia="宋体" w:cs="黑体"/>
                      <w:color w:val="auto"/>
                      <w:kern w:val="2"/>
                      <w:sz w:val="21"/>
                      <w:szCs w:val="21"/>
                      <w:lang w:val="en-US" w:eastAsia="zh-CN" w:bidi="ar-SA"/>
                    </w:rPr>
                  </w:pPr>
                  <w:r>
                    <w:rPr>
                      <w:rFonts w:hint="eastAsia"/>
                      <w:color w:val="auto"/>
                      <w:szCs w:val="21"/>
                    </w:rPr>
                    <w:t>t/a</w:t>
                  </w:r>
                </w:p>
              </w:tc>
              <w:tc>
                <w:tcPr>
                  <w:tcW w:w="80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714"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tcBorders>
                    <w:tl2br w:val="nil"/>
                    <w:tr2bl w:val="nil"/>
                  </w:tcBorders>
                  <w:vAlign w:val="center"/>
                </w:tcPr>
                <w:p>
                  <w:pPr>
                    <w:pStyle w:val="43"/>
                    <w:rPr>
                      <w:rFonts w:hint="eastAsia"/>
                      <w:color w:val="auto"/>
                      <w:lang w:eastAsia="zh-CN"/>
                    </w:rPr>
                  </w:pPr>
                  <w:r>
                    <w:rPr>
                      <w:rFonts w:hint="eastAsia"/>
                      <w:color w:val="auto"/>
                      <w:lang w:eastAsia="zh-CN"/>
                    </w:rPr>
                    <w:t>钢化玻璃</w:t>
                  </w:r>
                </w:p>
              </w:tc>
              <w:tc>
                <w:tcPr>
                  <w:tcW w:w="578" w:type="pct"/>
                  <w:tcBorders>
                    <w:tl2br w:val="nil"/>
                    <w:tr2bl w:val="nil"/>
                  </w:tcBorders>
                  <w:vAlign w:val="center"/>
                </w:tcPr>
                <w:p>
                  <w:pPr>
                    <w:spacing w:line="240" w:lineRule="auto"/>
                    <w:jc w:val="center"/>
                    <w:rPr>
                      <w:rFonts w:ascii="Times New Roman" w:hAnsi="Times New Roman" w:eastAsia="宋体" w:cs="黑体"/>
                      <w:color w:val="auto"/>
                      <w:kern w:val="2"/>
                      <w:sz w:val="21"/>
                      <w:szCs w:val="22"/>
                      <w:lang w:val="en-US" w:eastAsia="zh-CN" w:bidi="ar-SA"/>
                    </w:rPr>
                  </w:pPr>
                  <w:r>
                    <w:rPr>
                      <w:rFonts w:hint="eastAsia" w:ascii="宋体" w:hAnsi="宋体"/>
                      <w:color w:val="auto"/>
                      <w:szCs w:val="21"/>
                    </w:rPr>
                    <w:t>玻璃原片</w:t>
                  </w:r>
                </w:p>
              </w:tc>
              <w:tc>
                <w:tcPr>
                  <w:tcW w:w="1602" w:type="pct"/>
                  <w:tcBorders>
                    <w:tl2br w:val="nil"/>
                    <w:tr2bl w:val="nil"/>
                  </w:tcBorders>
                  <w:shd w:val="clear" w:color="auto" w:fill="auto"/>
                  <w:vAlign w:val="center"/>
                </w:tcPr>
                <w:p>
                  <w:pPr>
                    <w:spacing w:line="360" w:lineRule="auto"/>
                    <w:jc w:val="center"/>
                    <w:rPr>
                      <w:rFonts w:hint="eastAsia" w:ascii="Times New Roman" w:hAnsi="宋体" w:eastAsia="宋体" w:cs="黑体"/>
                      <w:color w:val="auto"/>
                      <w:kern w:val="0"/>
                      <w:sz w:val="21"/>
                      <w:szCs w:val="21"/>
                      <w:lang w:val="en-US" w:eastAsia="zh-CN" w:bidi="ar-SA"/>
                    </w:rPr>
                  </w:pPr>
                  <w:r>
                    <w:rPr>
                      <w:rFonts w:hint="eastAsia"/>
                      <w:color w:val="auto"/>
                      <w:szCs w:val="21"/>
                    </w:rPr>
                    <w:t>t/a</w:t>
                  </w:r>
                </w:p>
              </w:tc>
              <w:tc>
                <w:tcPr>
                  <w:tcW w:w="805"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szCs w:val="21"/>
                    </w:rPr>
                    <w:t>4000</w:t>
                  </w:r>
                </w:p>
              </w:tc>
              <w:tc>
                <w:tcPr>
                  <w:tcW w:w="714"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szCs w:val="21"/>
                    </w:rPr>
                    <w:t>4000</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pStyle w:val="43"/>
                    <w:rPr>
                      <w:rFonts w:hint="eastAsia"/>
                      <w:color w:val="auto"/>
                      <w:lang w:eastAsia="zh-CN"/>
                    </w:rPr>
                  </w:pPr>
                  <w:r>
                    <w:rPr>
                      <w:rFonts w:hint="eastAsia"/>
                      <w:color w:val="auto"/>
                      <w:lang w:eastAsia="zh-CN"/>
                    </w:rPr>
                    <w:t>夹胶玻璃</w:t>
                  </w:r>
                </w:p>
              </w:tc>
              <w:tc>
                <w:tcPr>
                  <w:tcW w:w="578" w:type="pct"/>
                  <w:tcBorders>
                    <w:tl2br w:val="nil"/>
                    <w:tr2bl w:val="nil"/>
                  </w:tcBorders>
                  <w:vAlign w:val="center"/>
                </w:tcPr>
                <w:p>
                  <w:pPr>
                    <w:spacing w:line="240" w:lineRule="auto"/>
                    <w:jc w:val="center"/>
                    <w:rPr>
                      <w:rFonts w:ascii="Times New Roman" w:hAnsi="Times New Roman" w:eastAsia="宋体" w:cs="黑体"/>
                      <w:color w:val="auto"/>
                      <w:kern w:val="2"/>
                      <w:sz w:val="21"/>
                      <w:szCs w:val="22"/>
                      <w:lang w:val="en-US" w:eastAsia="zh-CN" w:bidi="ar-SA"/>
                    </w:rPr>
                  </w:pPr>
                  <w:r>
                    <w:rPr>
                      <w:rFonts w:hint="eastAsia" w:ascii="宋体" w:hAnsi="宋体"/>
                      <w:color w:val="auto"/>
                      <w:szCs w:val="21"/>
                    </w:rPr>
                    <w:t>玻璃原片</w:t>
                  </w:r>
                </w:p>
              </w:tc>
              <w:tc>
                <w:tcPr>
                  <w:tcW w:w="1602" w:type="pct"/>
                  <w:tcBorders>
                    <w:tl2br w:val="nil"/>
                    <w:tr2bl w:val="nil"/>
                  </w:tcBorders>
                  <w:shd w:val="clear" w:color="auto" w:fill="auto"/>
                  <w:vAlign w:val="center"/>
                </w:tcPr>
                <w:p>
                  <w:pPr>
                    <w:spacing w:line="360" w:lineRule="auto"/>
                    <w:jc w:val="center"/>
                    <w:rPr>
                      <w:color w:val="auto"/>
                    </w:rPr>
                  </w:pPr>
                  <w:r>
                    <w:rPr>
                      <w:rFonts w:hint="eastAsia"/>
                      <w:color w:val="auto"/>
                      <w:szCs w:val="21"/>
                    </w:rPr>
                    <w:t>t/a</w:t>
                  </w:r>
                </w:p>
              </w:tc>
              <w:tc>
                <w:tcPr>
                  <w:tcW w:w="80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1100</w:t>
                  </w:r>
                </w:p>
              </w:tc>
              <w:tc>
                <w:tcPr>
                  <w:tcW w:w="714"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1100</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pStyle w:val="43"/>
                    <w:rPr>
                      <w:rFonts w:hint="eastAsia"/>
                      <w:color w:val="auto"/>
                      <w:lang w:eastAsia="zh-CN"/>
                    </w:rPr>
                  </w:pPr>
                </w:p>
              </w:tc>
              <w:tc>
                <w:tcPr>
                  <w:tcW w:w="578" w:type="pct"/>
                  <w:tcBorders>
                    <w:tl2br w:val="nil"/>
                    <w:tr2bl w:val="nil"/>
                  </w:tcBorders>
                  <w:vAlign w:val="center"/>
                </w:tcPr>
                <w:p>
                  <w:pPr>
                    <w:widowControl/>
                    <w:jc w:val="center"/>
                    <w:rPr>
                      <w:rFonts w:hint="default" w:ascii="Times New Roman" w:hAnsi="Times New Roman" w:eastAsia="宋体" w:cs="黑体"/>
                      <w:color w:val="auto"/>
                      <w:kern w:val="2"/>
                      <w:sz w:val="21"/>
                      <w:szCs w:val="22"/>
                      <w:lang w:val="en-US" w:eastAsia="zh-CN" w:bidi="ar-SA"/>
                    </w:rPr>
                  </w:pPr>
                  <w:r>
                    <w:rPr>
                      <w:rFonts w:hint="eastAsia" w:eastAsia="宋体"/>
                      <w:color w:val="auto"/>
                      <w:szCs w:val="21"/>
                      <w:lang w:val="en-US" w:eastAsia="zh-CN"/>
                    </w:rPr>
                    <w:t>PVB胶片</w:t>
                  </w:r>
                </w:p>
              </w:tc>
              <w:tc>
                <w:tcPr>
                  <w:tcW w:w="1602" w:type="pct"/>
                  <w:tcBorders>
                    <w:tl2br w:val="nil"/>
                    <w:tr2bl w:val="nil"/>
                  </w:tcBorders>
                  <w:shd w:val="clear" w:color="auto" w:fill="auto"/>
                  <w:vAlign w:val="center"/>
                </w:tcPr>
                <w:p>
                  <w:pPr>
                    <w:spacing w:line="400" w:lineRule="exact"/>
                    <w:jc w:val="center"/>
                    <w:rPr>
                      <w:rFonts w:hint="default" w:eastAsia="宋体"/>
                      <w:color w:val="auto"/>
                      <w:lang w:val="en-US" w:eastAsia="zh-CN"/>
                    </w:rPr>
                  </w:pPr>
                  <w:r>
                    <w:rPr>
                      <w:rFonts w:hint="eastAsia" w:hAnsi="宋体"/>
                      <w:color w:val="auto"/>
                      <w:kern w:val="0"/>
                      <w:szCs w:val="21"/>
                      <w:lang w:val="en-US" w:eastAsia="zh-CN"/>
                    </w:rPr>
                    <w:t>m</w:t>
                  </w:r>
                  <w:r>
                    <w:rPr>
                      <w:rFonts w:hint="eastAsia" w:hAnsi="宋体"/>
                      <w:color w:val="auto"/>
                      <w:kern w:val="0"/>
                      <w:szCs w:val="21"/>
                      <w:vertAlign w:val="superscript"/>
                      <w:lang w:val="en-US" w:eastAsia="zh-CN"/>
                    </w:rPr>
                    <w:t>2</w:t>
                  </w:r>
                </w:p>
              </w:tc>
              <w:tc>
                <w:tcPr>
                  <w:tcW w:w="80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0000</w:t>
                  </w:r>
                </w:p>
              </w:tc>
              <w:tc>
                <w:tcPr>
                  <w:tcW w:w="714"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0000</w:t>
                  </w:r>
                </w:p>
              </w:tc>
              <w:tc>
                <w:tcPr>
                  <w:tcW w:w="722" w:type="pct"/>
                  <w:tcBorders>
                    <w:tl2br w:val="nil"/>
                    <w:tr2bl w:val="nil"/>
                  </w:tcBorders>
                  <w:vAlign w:val="center"/>
                </w:tcPr>
                <w:p>
                  <w:pPr>
                    <w:jc w:val="center"/>
                    <w:rPr>
                      <w:rFonts w:hint="eastAsia"/>
                      <w:color w:val="auto"/>
                    </w:rPr>
                  </w:pPr>
                  <w:r>
                    <w:rPr>
                      <w:rFonts w:hint="eastAsia"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restart"/>
                  <w:tcBorders>
                    <w:tl2br w:val="nil"/>
                    <w:tr2bl w:val="nil"/>
                  </w:tcBorders>
                  <w:vAlign w:val="center"/>
                </w:tcPr>
                <w:p>
                  <w:pPr>
                    <w:widowControl/>
                    <w:jc w:val="center"/>
                    <w:rPr>
                      <w:rFonts w:hint="eastAsia" w:eastAsia="宋体"/>
                      <w:szCs w:val="21"/>
                      <w:lang w:eastAsia="zh-CN"/>
                    </w:rPr>
                  </w:pPr>
                  <w:r>
                    <w:rPr>
                      <w:rFonts w:hint="eastAsia"/>
                      <w:b/>
                      <w:bCs/>
                      <w:szCs w:val="21"/>
                      <w:lang w:eastAsia="zh-CN"/>
                    </w:rPr>
                    <w:t>纳米涂膜玻璃</w:t>
                  </w:r>
                </w:p>
              </w:tc>
              <w:tc>
                <w:tcPr>
                  <w:tcW w:w="578" w:type="pct"/>
                  <w:tcBorders>
                    <w:tl2br w:val="nil"/>
                    <w:tr2bl w:val="nil"/>
                  </w:tcBorders>
                  <w:vAlign w:val="center"/>
                </w:tcPr>
                <w:p>
                  <w:pPr>
                    <w:jc w:val="center"/>
                    <w:rPr>
                      <w:rFonts w:ascii="Times New Roman" w:hAnsi="Times New Roman" w:eastAsia="宋体" w:cstheme="minorHAnsi"/>
                      <w:kern w:val="2"/>
                      <w:sz w:val="21"/>
                      <w:szCs w:val="21"/>
                      <w:lang w:val="en-US" w:eastAsia="zh-CN" w:bidi="ar-SA"/>
                    </w:rPr>
                  </w:pPr>
                  <w:r>
                    <w:rPr>
                      <w:rFonts w:hint="eastAsia"/>
                      <w:sz w:val="21"/>
                      <w:szCs w:val="21"/>
                    </w:rPr>
                    <w:t>UV蓝色纳米隔热剂</w:t>
                  </w:r>
                </w:p>
              </w:tc>
              <w:tc>
                <w:tcPr>
                  <w:tcW w:w="1602" w:type="pct"/>
                  <w:tcBorders>
                    <w:tl2br w:val="nil"/>
                    <w:tr2bl w:val="nil"/>
                  </w:tcBorders>
                  <w:shd w:val="clear" w:color="auto" w:fill="auto"/>
                  <w:vAlign w:val="center"/>
                </w:tcPr>
                <w:p>
                  <w:pPr>
                    <w:jc w:val="center"/>
                    <w:rPr>
                      <w:rFonts w:hint="eastAsia" w:ascii="Times New Roman" w:hAnsi="Times New Roman" w:eastAsia="宋体" w:cstheme="minorHAnsi"/>
                      <w:kern w:val="2"/>
                      <w:sz w:val="21"/>
                      <w:szCs w:val="21"/>
                      <w:lang w:val="en-US" w:eastAsia="zh-CN" w:bidi="ar-SA"/>
                    </w:rPr>
                  </w:pPr>
                  <w:r>
                    <w:rPr>
                      <w:rFonts w:hint="eastAsia" w:cstheme="minorHAnsi"/>
                      <w:sz w:val="21"/>
                      <w:szCs w:val="21"/>
                      <w:lang w:val="en-US" w:eastAsia="zh-CN"/>
                    </w:rPr>
                    <w:t>t</w:t>
                  </w:r>
                </w:p>
              </w:tc>
              <w:tc>
                <w:tcPr>
                  <w:tcW w:w="805" w:type="pct"/>
                  <w:tcBorders>
                    <w:tl2br w:val="nil"/>
                    <w:tr2bl w:val="nil"/>
                  </w:tcBorders>
                  <w:vAlign w:val="center"/>
                </w:tcPr>
                <w:p>
                  <w:pPr>
                    <w:jc w:val="center"/>
                    <w:rPr>
                      <w:rFonts w:hint="default" w:ascii="Times New Roman" w:hAnsi="Times New Roman" w:eastAsia="宋体" w:cstheme="minorHAnsi"/>
                      <w:kern w:val="2"/>
                      <w:sz w:val="21"/>
                      <w:szCs w:val="21"/>
                      <w:lang w:val="en-US" w:eastAsia="zh-CN" w:bidi="ar-SA"/>
                    </w:rPr>
                  </w:pPr>
                  <w:r>
                    <w:rPr>
                      <w:rFonts w:hint="eastAsia" w:ascii="Times New Roman" w:hAnsi="Times New Roman" w:eastAsia="宋体" w:cstheme="minorHAnsi"/>
                      <w:kern w:val="2"/>
                      <w:sz w:val="21"/>
                      <w:szCs w:val="21"/>
                      <w:lang w:val="en-US" w:eastAsia="zh-CN" w:bidi="ar-SA"/>
                    </w:rPr>
                    <w:t>0</w:t>
                  </w:r>
                </w:p>
              </w:tc>
              <w:tc>
                <w:tcPr>
                  <w:tcW w:w="714" w:type="pct"/>
                  <w:tcBorders>
                    <w:tl2br w:val="nil"/>
                    <w:tr2bl w:val="nil"/>
                  </w:tcBorders>
                  <w:vAlign w:val="center"/>
                </w:tcPr>
                <w:p>
                  <w:pPr>
                    <w:jc w:val="center"/>
                    <w:rPr>
                      <w:rFonts w:hint="default" w:ascii="Times New Roman" w:hAnsi="Times New Roman" w:eastAsia="宋体" w:cstheme="minorHAnsi"/>
                      <w:kern w:val="2"/>
                      <w:sz w:val="21"/>
                      <w:szCs w:val="21"/>
                      <w:lang w:val="en-US" w:eastAsia="zh-CN" w:bidi="ar-SA"/>
                    </w:rPr>
                  </w:pPr>
                  <w:r>
                    <w:rPr>
                      <w:rFonts w:hint="eastAsia" w:cstheme="minorHAnsi"/>
                      <w:sz w:val="21"/>
                      <w:szCs w:val="21"/>
                      <w:lang w:val="en-US" w:eastAsia="zh-CN"/>
                    </w:rPr>
                    <w:t>15</w:t>
                  </w:r>
                </w:p>
              </w:tc>
              <w:tc>
                <w:tcPr>
                  <w:tcW w:w="722" w:type="pct"/>
                  <w:tcBorders>
                    <w:tl2br w:val="nil"/>
                    <w:tr2bl w:val="nil"/>
                  </w:tcBorders>
                  <w:vAlign w:val="center"/>
                </w:tcPr>
                <w:p>
                  <w:pPr>
                    <w:widowControl/>
                    <w:jc w:val="center"/>
                    <w:rPr>
                      <w:rFonts w:hint="default" w:eastAsia="宋体" w:cs="Times New Roman"/>
                      <w:bCs/>
                      <w:kern w:val="0"/>
                      <w:szCs w:val="21"/>
                      <w:lang w:val="en-US" w:eastAsia="zh-CN"/>
                    </w:rPr>
                  </w:pPr>
                  <w:r>
                    <w:rPr>
                      <w:rFonts w:hint="eastAsia" w:cs="Times New Roman"/>
                      <w:bCs/>
                      <w:kern w:val="0"/>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76" w:type="pct"/>
                  <w:vMerge w:val="continue"/>
                  <w:tcBorders>
                    <w:tl2br w:val="nil"/>
                    <w:tr2bl w:val="nil"/>
                  </w:tcBorders>
                  <w:vAlign w:val="center"/>
                </w:tcPr>
                <w:p>
                  <w:pPr>
                    <w:widowControl/>
                    <w:jc w:val="center"/>
                    <w:rPr>
                      <w:rFonts w:hint="eastAsia"/>
                      <w:szCs w:val="21"/>
                    </w:rPr>
                  </w:pPr>
                </w:p>
              </w:tc>
              <w:tc>
                <w:tcPr>
                  <w:tcW w:w="578" w:type="pct"/>
                  <w:tcBorders>
                    <w:tl2br w:val="nil"/>
                    <w:tr2bl w:val="nil"/>
                  </w:tcBorders>
                  <w:vAlign w:val="center"/>
                </w:tcPr>
                <w:p>
                  <w:pPr>
                    <w:jc w:val="center"/>
                    <w:rPr>
                      <w:rFonts w:hint="eastAsia" w:ascii="Times New Roman" w:hAnsi="Times New Roman" w:eastAsia="宋体" w:cstheme="minorHAnsi"/>
                      <w:b w:val="0"/>
                      <w:bCs w:val="0"/>
                      <w:kern w:val="2"/>
                      <w:sz w:val="21"/>
                      <w:szCs w:val="21"/>
                      <w:highlight w:val="none"/>
                      <w:lang w:val="en-US" w:eastAsia="zh-CN" w:bidi="ar-SA"/>
                    </w:rPr>
                  </w:pPr>
                  <w:r>
                    <w:rPr>
                      <w:rFonts w:hint="eastAsia" w:cstheme="minorHAnsi"/>
                      <w:b w:val="0"/>
                      <w:bCs w:val="0"/>
                      <w:sz w:val="21"/>
                      <w:szCs w:val="21"/>
                      <w:highlight w:val="none"/>
                      <w:lang w:eastAsia="zh-CN"/>
                    </w:rPr>
                    <w:t>钢化玻璃</w:t>
                  </w:r>
                </w:p>
              </w:tc>
              <w:tc>
                <w:tcPr>
                  <w:tcW w:w="1602" w:type="pct"/>
                  <w:tcBorders>
                    <w:tl2br w:val="nil"/>
                    <w:tr2bl w:val="nil"/>
                  </w:tcBorders>
                  <w:shd w:val="clear" w:color="auto" w:fill="auto"/>
                  <w:vAlign w:val="center"/>
                </w:tcPr>
                <w:p>
                  <w:pPr>
                    <w:jc w:val="center"/>
                    <w:rPr>
                      <w:rFonts w:hint="eastAsia" w:ascii="Times New Roman" w:hAnsi="Times New Roman" w:eastAsia="宋体" w:cstheme="minorHAnsi"/>
                      <w:b w:val="0"/>
                      <w:bCs w:val="0"/>
                      <w:kern w:val="2"/>
                      <w:sz w:val="21"/>
                      <w:szCs w:val="21"/>
                      <w:highlight w:val="none"/>
                      <w:lang w:val="en-US" w:eastAsia="zh-CN" w:bidi="ar-SA"/>
                    </w:rPr>
                  </w:pPr>
                  <w:r>
                    <w:rPr>
                      <w:rFonts w:hint="eastAsia" w:cstheme="minorHAnsi"/>
                      <w:b w:val="0"/>
                      <w:bCs w:val="0"/>
                      <w:sz w:val="21"/>
                      <w:szCs w:val="21"/>
                      <w:highlight w:val="none"/>
                      <w:lang w:eastAsia="zh-CN"/>
                    </w:rPr>
                    <w:t>万</w:t>
                  </w:r>
                  <w:r>
                    <w:rPr>
                      <w:rFonts w:hint="eastAsia" w:cstheme="minorHAnsi"/>
                      <w:b w:val="0"/>
                      <w:bCs w:val="0"/>
                      <w:sz w:val="21"/>
                      <w:szCs w:val="21"/>
                      <w:highlight w:val="none"/>
                      <w:lang w:val="en-US" w:eastAsia="zh-CN"/>
                    </w:rPr>
                    <w:t>m</w:t>
                  </w:r>
                  <w:r>
                    <w:rPr>
                      <w:rFonts w:hint="eastAsia" w:cstheme="minorHAnsi"/>
                      <w:b w:val="0"/>
                      <w:bCs w:val="0"/>
                      <w:sz w:val="21"/>
                      <w:szCs w:val="21"/>
                      <w:highlight w:val="none"/>
                      <w:vertAlign w:val="superscript"/>
                      <w:lang w:val="en-US" w:eastAsia="zh-CN"/>
                    </w:rPr>
                    <w:t>2</w:t>
                  </w:r>
                </w:p>
              </w:tc>
              <w:tc>
                <w:tcPr>
                  <w:tcW w:w="805" w:type="pct"/>
                  <w:tcBorders>
                    <w:tl2br w:val="nil"/>
                    <w:tr2bl w:val="nil"/>
                  </w:tcBorders>
                  <w:vAlign w:val="center"/>
                </w:tcPr>
                <w:p>
                  <w:pPr>
                    <w:jc w:val="center"/>
                    <w:rPr>
                      <w:rFonts w:hint="default" w:ascii="Times New Roman" w:hAnsi="Times New Roman" w:eastAsia="宋体" w:cstheme="minorHAnsi"/>
                      <w:b w:val="0"/>
                      <w:bCs w:val="0"/>
                      <w:kern w:val="2"/>
                      <w:sz w:val="21"/>
                      <w:szCs w:val="21"/>
                      <w:highlight w:val="none"/>
                      <w:lang w:val="en-US" w:eastAsia="zh-CN" w:bidi="ar-SA"/>
                    </w:rPr>
                  </w:pPr>
                  <w:r>
                    <w:rPr>
                      <w:rFonts w:hint="eastAsia" w:ascii="Times New Roman" w:hAnsi="Times New Roman" w:eastAsia="宋体" w:cstheme="minorHAnsi"/>
                      <w:b w:val="0"/>
                      <w:bCs w:val="0"/>
                      <w:kern w:val="2"/>
                      <w:sz w:val="21"/>
                      <w:szCs w:val="21"/>
                      <w:highlight w:val="none"/>
                      <w:lang w:val="en-US" w:eastAsia="zh-CN" w:bidi="ar-SA"/>
                    </w:rPr>
                    <w:t>0</w:t>
                  </w:r>
                </w:p>
              </w:tc>
              <w:tc>
                <w:tcPr>
                  <w:tcW w:w="714" w:type="pct"/>
                  <w:tcBorders>
                    <w:tl2br w:val="nil"/>
                    <w:tr2bl w:val="nil"/>
                  </w:tcBorders>
                  <w:vAlign w:val="center"/>
                </w:tcPr>
                <w:p>
                  <w:pPr>
                    <w:jc w:val="center"/>
                    <w:rPr>
                      <w:rFonts w:hint="eastAsia" w:ascii="Times New Roman" w:hAnsi="Times New Roman" w:eastAsia="宋体" w:cstheme="minorHAnsi"/>
                      <w:b w:val="0"/>
                      <w:bCs w:val="0"/>
                      <w:kern w:val="2"/>
                      <w:sz w:val="21"/>
                      <w:szCs w:val="21"/>
                      <w:highlight w:val="none"/>
                      <w:lang w:val="en-US" w:eastAsia="zh-CN" w:bidi="ar-SA"/>
                    </w:rPr>
                  </w:pPr>
                  <w:r>
                    <w:rPr>
                      <w:rFonts w:hint="eastAsia" w:cstheme="minorHAnsi"/>
                      <w:b w:val="0"/>
                      <w:bCs w:val="0"/>
                      <w:sz w:val="21"/>
                      <w:szCs w:val="21"/>
                      <w:highlight w:val="none"/>
                      <w:lang w:val="en-US" w:eastAsia="zh-CN"/>
                    </w:rPr>
                    <w:t>60</w:t>
                  </w:r>
                </w:p>
              </w:tc>
              <w:tc>
                <w:tcPr>
                  <w:tcW w:w="722" w:type="pct"/>
                  <w:tcBorders>
                    <w:tl2br w:val="nil"/>
                    <w:tr2bl w:val="nil"/>
                  </w:tcBorders>
                  <w:vAlign w:val="center"/>
                </w:tcPr>
                <w:p>
                  <w:pPr>
                    <w:widowControl/>
                    <w:jc w:val="center"/>
                    <w:rPr>
                      <w:rFonts w:hint="default" w:cs="Times New Roman"/>
                      <w:bCs/>
                      <w:kern w:val="0"/>
                      <w:szCs w:val="21"/>
                      <w:lang w:val="en-US"/>
                    </w:rPr>
                  </w:pPr>
                  <w:r>
                    <w:rPr>
                      <w:rFonts w:hint="eastAsia" w:cs="Times New Roman"/>
                      <w:bCs/>
                      <w:kern w:val="0"/>
                      <w:szCs w:val="21"/>
                      <w:lang w:val="en-US" w:eastAsia="zh-CN"/>
                    </w:rPr>
                    <w:t>+60（35万平方米来自厂内自产，25万平方米外购）</w:t>
                  </w:r>
                </w:p>
              </w:tc>
            </w:tr>
          </w:tbl>
          <w:p>
            <w:pPr>
              <w:spacing w:line="360" w:lineRule="auto"/>
              <w:ind w:firstLine="482" w:firstLineChars="200"/>
              <w:rPr>
                <w:rFonts w:hint="eastAsia" w:eastAsia="宋体"/>
                <w:b/>
                <w:sz w:val="24"/>
                <w:szCs w:val="24"/>
                <w:lang w:eastAsia="zh-CN"/>
              </w:rPr>
            </w:pPr>
            <w:r>
              <w:rPr>
                <w:rFonts w:hint="eastAsia"/>
                <w:b/>
                <w:sz w:val="24"/>
                <w:szCs w:val="24"/>
                <w:lang w:eastAsia="zh-CN"/>
              </w:rPr>
              <w:t>原料理化性质：</w:t>
            </w:r>
          </w:p>
          <w:p>
            <w:pPr>
              <w:spacing w:line="360" w:lineRule="auto"/>
              <w:ind w:firstLine="482" w:firstLineChars="200"/>
              <w:rPr>
                <w:b/>
                <w:sz w:val="24"/>
                <w:szCs w:val="24"/>
              </w:rPr>
            </w:pPr>
            <w:r>
              <w:rPr>
                <w:rFonts w:hint="eastAsia"/>
                <w:b/>
                <w:sz w:val="24"/>
                <w:szCs w:val="24"/>
              </w:rPr>
              <w:t>UV蓝色纳米隔热剂主要特性</w:t>
            </w:r>
            <w:r>
              <w:rPr>
                <w:b/>
                <w:sz w:val="24"/>
                <w:szCs w:val="24"/>
              </w:rPr>
              <w:t>：</w:t>
            </w:r>
          </w:p>
          <w:p>
            <w:pPr>
              <w:numPr>
                <w:ilvl w:val="0"/>
                <w:numId w:val="0"/>
              </w:numPr>
              <w:spacing w:line="360" w:lineRule="auto"/>
              <w:ind w:firstLine="482" w:firstLineChars="200"/>
              <w:rPr>
                <w:rFonts w:hint="eastAsia" w:cs="Times New Roman"/>
                <w:b/>
                <w:sz w:val="24"/>
                <w:szCs w:val="24"/>
                <w:lang w:eastAsia="zh-CN"/>
              </w:rPr>
            </w:pPr>
            <w:r>
              <w:rPr>
                <w:rFonts w:hint="default" w:ascii="Times New Roman" w:hAnsi="Times New Roman" w:eastAsia="宋体" w:cs="Times New Roman"/>
                <w:b/>
                <w:bCs/>
                <w:kern w:val="2"/>
                <w:sz w:val="24"/>
                <w:szCs w:val="24"/>
                <w:lang w:val="en-US" w:eastAsia="zh-CN" w:bidi="ar-SA"/>
              </w:rPr>
              <w:t>（1）</w:t>
            </w:r>
            <w:r>
              <w:rPr>
                <w:rFonts w:hint="eastAsia" w:cs="Times New Roman"/>
                <w:b/>
                <w:sz w:val="24"/>
                <w:szCs w:val="24"/>
              </w:rPr>
              <w:t>主要成分为：</w:t>
            </w:r>
            <w:r>
              <w:rPr>
                <w:rFonts w:hint="eastAsia" w:cs="Times New Roman"/>
                <w:b w:val="0"/>
                <w:bCs/>
                <w:sz w:val="24"/>
                <w:szCs w:val="24"/>
                <w:lang w:eastAsia="zh-CN"/>
              </w:rPr>
              <w:t>无机纳米功能材料、纳米树脂、助剂、醇醚溶剂；</w:t>
            </w:r>
          </w:p>
          <w:p>
            <w:pPr>
              <w:numPr>
                <w:ilvl w:val="0"/>
                <w:numId w:val="0"/>
              </w:numPr>
              <w:spacing w:line="360" w:lineRule="auto"/>
              <w:ind w:firstLine="482" w:firstLineChars="200"/>
              <w:rPr>
                <w:rFonts w:cs="Times New Roman"/>
                <w:b w:val="0"/>
                <w:bCs/>
                <w:sz w:val="24"/>
                <w:szCs w:val="24"/>
              </w:rPr>
            </w:pPr>
            <w:r>
              <w:rPr>
                <w:rFonts w:hint="default" w:ascii="Times New Roman" w:hAnsi="Times New Roman" w:eastAsia="宋体" w:cs="Times New Roman"/>
                <w:b/>
                <w:bCs/>
                <w:kern w:val="2"/>
                <w:sz w:val="24"/>
                <w:szCs w:val="24"/>
                <w:lang w:val="en-US" w:eastAsia="zh-CN" w:bidi="ar-SA"/>
              </w:rPr>
              <w:t>（2）</w:t>
            </w:r>
            <w:r>
              <w:rPr>
                <w:rFonts w:hint="eastAsia" w:cs="Times New Roman"/>
                <w:b/>
                <w:sz w:val="24"/>
                <w:szCs w:val="24"/>
                <w:lang w:eastAsia="zh-CN"/>
              </w:rPr>
              <w:t>理化性质：</w:t>
            </w:r>
            <w:r>
              <w:rPr>
                <w:rFonts w:hint="eastAsia" w:cs="Times New Roman"/>
                <w:b w:val="0"/>
                <w:bCs/>
                <w:sz w:val="24"/>
                <w:szCs w:val="24"/>
                <w:lang w:eastAsia="zh-CN"/>
              </w:rPr>
              <w:t>蓝色液体，不溶于水，闪点为</w:t>
            </w:r>
            <w:r>
              <w:rPr>
                <w:rFonts w:hint="eastAsia" w:cs="Times New Roman"/>
                <w:b w:val="0"/>
                <w:bCs/>
                <w:sz w:val="24"/>
                <w:szCs w:val="24"/>
                <w:lang w:val="en-US" w:eastAsia="zh-CN"/>
              </w:rPr>
              <w:t>50℃，稳定，避光、防潮，常温储存，</w:t>
            </w:r>
            <w:r>
              <w:rPr>
                <w:rFonts w:hint="eastAsia"/>
                <w:lang w:eastAsia="zh-CN"/>
              </w:rPr>
              <w:t>可燃</w:t>
            </w:r>
            <w:r>
              <w:rPr>
                <w:rFonts w:hint="eastAsia" w:cs="Times New Roman"/>
                <w:b w:val="0"/>
                <w:bCs/>
                <w:sz w:val="24"/>
                <w:szCs w:val="24"/>
              </w:rPr>
              <w:t>，作为玻璃隔热涂料。</w:t>
            </w:r>
          </w:p>
          <w:p>
            <w:pPr>
              <w:numPr>
                <w:ilvl w:val="0"/>
                <w:numId w:val="0"/>
              </w:numPr>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eastAsia" w:cs="Times New Roman"/>
                <w:sz w:val="24"/>
                <w:szCs w:val="24"/>
                <w:lang w:eastAsia="zh-CN"/>
              </w:rPr>
              <w:t>根据70型UV蓝色纳米隔热剂MSDS成分报告，</w:t>
            </w:r>
            <w:r>
              <w:rPr>
                <w:rFonts w:hint="eastAsia"/>
                <w:sz w:val="24"/>
                <w:szCs w:val="28"/>
                <w:lang w:val="en-US" w:eastAsia="zh-CN"/>
              </w:rPr>
              <w:t>醇醚溶剂为15%~30%，助剂成分未知，含量为0%~10%，</w:t>
            </w:r>
            <w:r>
              <w:rPr>
                <w:rFonts w:hint="eastAsia" w:cs="Times New Roman"/>
                <w:sz w:val="24"/>
                <w:szCs w:val="24"/>
                <w:lang w:eastAsia="zh-CN"/>
              </w:rPr>
              <w:t>本项目</w:t>
            </w:r>
            <w:r>
              <w:rPr>
                <w:rFonts w:hint="eastAsia" w:cs="Times New Roman"/>
                <w:sz w:val="24"/>
                <w:szCs w:val="24"/>
                <w:lang w:val="en-US" w:eastAsia="zh-CN"/>
              </w:rPr>
              <w:t>VOC</w:t>
            </w:r>
            <w:r>
              <w:rPr>
                <w:rFonts w:hint="eastAsia" w:cs="Times New Roman"/>
                <w:sz w:val="24"/>
                <w:szCs w:val="24"/>
                <w:vertAlign w:val="subscript"/>
                <w:lang w:val="en-US" w:eastAsia="zh-CN"/>
              </w:rPr>
              <w:t>S</w:t>
            </w:r>
            <w:r>
              <w:rPr>
                <w:rFonts w:hint="eastAsia" w:cs="Times New Roman"/>
                <w:sz w:val="24"/>
                <w:szCs w:val="24"/>
                <w:lang w:eastAsia="zh-CN"/>
              </w:rPr>
              <w:t>含量取最大值为</w:t>
            </w:r>
            <w:r>
              <w:rPr>
                <w:rFonts w:hint="eastAsia" w:cs="Times New Roman"/>
                <w:sz w:val="24"/>
                <w:szCs w:val="24"/>
                <w:lang w:val="en-US" w:eastAsia="zh-CN"/>
              </w:rPr>
              <w:t>40%，则</w:t>
            </w:r>
            <w:r>
              <w:rPr>
                <w:rFonts w:hint="eastAsia" w:cs="Times New Roman"/>
                <w:sz w:val="24"/>
                <w:szCs w:val="24"/>
                <w:lang w:eastAsia="zh-CN"/>
              </w:rPr>
              <w:t>70型UV蓝色纳米隔热剂</w:t>
            </w:r>
            <w:r>
              <w:rPr>
                <w:rFonts w:hint="default" w:ascii="Times New Roman" w:hAnsi="Times New Roman" w:eastAsia="宋体" w:cs="Times New Roman"/>
                <w:color w:val="auto"/>
                <w:sz w:val="24"/>
                <w:szCs w:val="22"/>
              </w:rPr>
              <w:t>总挥发性有机物的含量为</w:t>
            </w:r>
            <w:r>
              <w:rPr>
                <w:rFonts w:hint="eastAsia" w:ascii="Times New Roman" w:hAnsi="Times New Roman" w:eastAsia="宋体" w:cs="Times New Roman"/>
                <w:color w:val="auto"/>
                <w:sz w:val="24"/>
                <w:szCs w:val="22"/>
                <w:lang w:val="en-US" w:eastAsia="zh-CN"/>
              </w:rPr>
              <w:t>400</w:t>
            </w:r>
            <w:r>
              <w:rPr>
                <w:rFonts w:hint="default" w:ascii="Times New Roman" w:hAnsi="Times New Roman" w:eastAsia="宋体" w:cs="Times New Roman"/>
                <w:color w:val="auto"/>
                <w:sz w:val="24"/>
                <w:szCs w:val="22"/>
              </w:rPr>
              <w:t>g/L</w:t>
            </w:r>
            <w:r>
              <w:rPr>
                <w:rFonts w:hint="default" w:ascii="Times New Roman" w:hAnsi="Times New Roman" w:eastAsia="宋体" w:cs="Times New Roman"/>
                <w:color w:val="auto"/>
                <w:sz w:val="24"/>
                <w:szCs w:val="22"/>
                <w:lang w:eastAsia="zh-CN"/>
              </w:rPr>
              <w:t>，</w:t>
            </w:r>
            <w:r>
              <w:rPr>
                <w:rFonts w:hint="eastAsia" w:ascii="Times New Roman" w:hAnsi="Times New Roman" w:eastAsia="宋体"/>
                <w:color w:val="auto"/>
                <w:sz w:val="24"/>
                <w:szCs w:val="24"/>
              </w:rPr>
              <w:t>符合《低挥发性有机化合物含量涂料产品技术要求》（GB/T38597-2020）</w:t>
            </w:r>
            <w:r>
              <w:rPr>
                <w:rFonts w:hint="default" w:ascii="Times New Roman" w:hAnsi="Times New Roman" w:eastAsia="宋体" w:cs="Times New Roman"/>
                <w:color w:val="auto"/>
                <w:sz w:val="24"/>
                <w:szCs w:val="22"/>
              </w:rPr>
              <w:t>。</w:t>
            </w:r>
          </w:p>
          <w:p>
            <w:pPr>
              <w:numPr>
                <w:ilvl w:val="0"/>
                <w:numId w:val="0"/>
              </w:num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kern w:val="2"/>
                <w:sz w:val="24"/>
                <w:szCs w:val="22"/>
                <w:lang w:val="en-US" w:eastAsia="zh-CN" w:bidi="ar-SA"/>
              </w:rPr>
              <w:t>（3）</w:t>
            </w:r>
            <w:r>
              <w:rPr>
                <w:rFonts w:hint="eastAsia" w:ascii="Times New Roman" w:hAnsi="Times New Roman" w:cs="Times New Roman"/>
                <w:color w:val="auto"/>
                <w:kern w:val="2"/>
                <w:sz w:val="24"/>
                <w:szCs w:val="22"/>
                <w:lang w:val="en-US" w:eastAsia="zh-CN" w:bidi="ar-SA"/>
              </w:rPr>
              <w:t>本项目</w:t>
            </w:r>
            <w:r>
              <w:rPr>
                <w:rFonts w:hint="default" w:ascii="Times New Roman" w:hAnsi="Times New Roman" w:cs="Times New Roman"/>
                <w:color w:val="auto"/>
                <w:sz w:val="24"/>
                <w:highlight w:val="none"/>
                <w:lang w:val="en-US" w:eastAsia="zh-CN"/>
              </w:rPr>
              <w:t>VOCs</w:t>
            </w:r>
            <w:r>
              <w:rPr>
                <w:rFonts w:hint="default" w:ascii="Times New Roman" w:hAnsi="Times New Roman" w:cs="Times New Roman"/>
                <w:color w:val="auto"/>
                <w:sz w:val="24"/>
                <w:highlight w:val="none"/>
                <w:lang w:eastAsia="zh-CN"/>
              </w:rPr>
              <w:t>平衡</w:t>
            </w:r>
          </w:p>
          <w:p>
            <w:pPr>
              <w:pStyle w:val="2"/>
              <w:rPr>
                <w:rFonts w:hint="default" w:ascii="Times New Roman" w:hAnsi="Times New Roman" w:cs="Times New Roman"/>
                <w:color w:val="auto"/>
                <w:sz w:val="24"/>
                <w:highlight w:val="none"/>
                <w:lang w:eastAsia="zh-CN"/>
              </w:rPr>
            </w:pPr>
          </w:p>
          <w:p>
            <w:pPr>
              <w:rPr>
                <w:rFonts w:hint="default" w:ascii="Times New Roman" w:hAnsi="Times New Roman" w:cs="Times New Roman"/>
                <w:color w:val="auto"/>
                <w:sz w:val="24"/>
                <w:highlight w:val="none"/>
                <w:lang w:eastAsia="zh-CN"/>
              </w:rPr>
            </w:pPr>
          </w:p>
          <w:p>
            <w:pPr>
              <w:pStyle w:val="2"/>
              <w:rPr>
                <w:rFonts w:hint="default" w:ascii="Times New Roman" w:hAnsi="Times New Roman" w:cs="Times New Roman"/>
                <w:color w:val="auto"/>
                <w:sz w:val="24"/>
                <w:highlight w:val="none"/>
                <w:lang w:eastAsia="zh-CN"/>
              </w:rPr>
            </w:pPr>
          </w:p>
          <w:p>
            <w:pPr>
              <w:rPr>
                <w:rFonts w:hint="default" w:ascii="Times New Roman" w:hAnsi="Times New Roman" w:cs="Times New Roman"/>
                <w:color w:val="auto"/>
                <w:sz w:val="24"/>
                <w:highlight w:val="none"/>
                <w:lang w:eastAsia="zh-CN"/>
              </w:rPr>
            </w:pPr>
          </w:p>
          <w:p>
            <w:pPr>
              <w:pStyle w:val="2"/>
              <w:rPr>
                <w:rFonts w:hint="default"/>
                <w:lang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object>
                <v:shape id="_x0000_i1026" o:spt="75" type="#_x0000_t75" style="height:219.1pt;width:347.8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图</w:t>
            </w:r>
            <w:r>
              <w:rPr>
                <w:rFonts w:hint="default" w:ascii="Times New Roman" w:hAnsi="Times New Roman" w:eastAsia="宋体" w:cs="Times New Roman"/>
                <w:b/>
                <w:bCs/>
                <w:color w:val="auto"/>
                <w:sz w:val="21"/>
                <w:szCs w:val="21"/>
                <w:highlight w:val="none"/>
              </w:rPr>
              <w:t>2-</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VOCs</w:t>
            </w:r>
            <w:r>
              <w:rPr>
                <w:rFonts w:hint="default" w:ascii="Times New Roman" w:hAnsi="Times New Roman" w:eastAsia="宋体" w:cs="Times New Roman"/>
                <w:b/>
                <w:bCs/>
                <w:color w:val="auto"/>
                <w:sz w:val="21"/>
                <w:szCs w:val="21"/>
                <w:highlight w:val="none"/>
              </w:rPr>
              <w:t>平衡</w:t>
            </w:r>
            <w:r>
              <w:rPr>
                <w:rFonts w:hint="default" w:ascii="Times New Roman" w:hAnsi="Times New Roman" w:eastAsia="宋体" w:cs="Times New Roman"/>
                <w:b/>
                <w:bCs/>
                <w:color w:val="auto"/>
                <w:sz w:val="21"/>
                <w:szCs w:val="21"/>
                <w:highlight w:val="none"/>
                <w:lang w:eastAsia="zh-CN"/>
              </w:rPr>
              <w:t>图</w:t>
            </w:r>
          </w:p>
          <w:p>
            <w:pPr>
              <w:spacing w:line="360" w:lineRule="auto"/>
              <w:rPr>
                <w:rFonts w:cs="Times New Roman"/>
                <w:b/>
                <w:color w:val="auto"/>
                <w:sz w:val="24"/>
                <w:szCs w:val="24"/>
              </w:rPr>
            </w:pPr>
            <w:r>
              <w:rPr>
                <w:rFonts w:cs="Times New Roman"/>
                <w:b/>
                <w:color w:val="auto"/>
                <w:sz w:val="24"/>
                <w:szCs w:val="24"/>
              </w:rPr>
              <w:t>7</w:t>
            </w:r>
            <w:r>
              <w:rPr>
                <w:rFonts w:hint="eastAsia" w:cs="Times New Roman"/>
                <w:b/>
                <w:color w:val="auto"/>
                <w:sz w:val="24"/>
                <w:szCs w:val="24"/>
              </w:rPr>
              <w:t>、水平衡</w:t>
            </w:r>
          </w:p>
          <w:p>
            <w:pPr>
              <w:spacing w:line="360" w:lineRule="auto"/>
              <w:ind w:firstLine="482" w:firstLineChars="200"/>
              <w:rPr>
                <w:b/>
                <w:color w:val="auto"/>
                <w:kern w:val="24"/>
                <w:sz w:val="24"/>
                <w:szCs w:val="24"/>
              </w:rPr>
            </w:pPr>
            <w:r>
              <w:rPr>
                <w:rFonts w:hint="eastAsia"/>
                <w:b/>
                <w:color w:val="auto"/>
                <w:kern w:val="24"/>
                <w:sz w:val="24"/>
                <w:szCs w:val="24"/>
              </w:rPr>
              <w:t>（</w:t>
            </w:r>
            <w:r>
              <w:rPr>
                <w:b/>
                <w:color w:val="auto"/>
                <w:kern w:val="24"/>
                <w:sz w:val="24"/>
                <w:szCs w:val="24"/>
              </w:rPr>
              <w:t>1</w:t>
            </w:r>
            <w:r>
              <w:rPr>
                <w:rFonts w:hint="eastAsia"/>
                <w:b/>
                <w:color w:val="auto"/>
                <w:kern w:val="24"/>
                <w:sz w:val="24"/>
                <w:szCs w:val="24"/>
              </w:rPr>
              <w:t>）给水</w:t>
            </w:r>
          </w:p>
          <w:p>
            <w:pPr>
              <w:spacing w:line="360" w:lineRule="auto"/>
              <w:ind w:firstLine="480" w:firstLineChars="200"/>
              <w:rPr>
                <w:rFonts w:hint="eastAsia"/>
                <w:color w:val="auto"/>
                <w:sz w:val="24"/>
                <w:szCs w:val="24"/>
              </w:rPr>
            </w:pPr>
            <w:r>
              <w:rPr>
                <w:rFonts w:hint="eastAsia"/>
                <w:color w:val="auto"/>
                <w:kern w:val="24"/>
                <w:sz w:val="24"/>
                <w:szCs w:val="24"/>
              </w:rPr>
              <w:t>本项目</w:t>
            </w:r>
            <w:r>
              <w:rPr>
                <w:rFonts w:hint="eastAsia"/>
                <w:color w:val="auto"/>
                <w:sz w:val="24"/>
                <w:szCs w:val="24"/>
              </w:rPr>
              <w:t>给水由</w:t>
            </w:r>
            <w:r>
              <w:rPr>
                <w:rFonts w:hint="eastAsia"/>
                <w:color w:val="auto"/>
                <w:sz w:val="24"/>
                <w:szCs w:val="24"/>
                <w:lang w:eastAsia="zh-CN"/>
              </w:rPr>
              <w:t>四川巴中</w:t>
            </w:r>
            <w:r>
              <w:rPr>
                <w:rFonts w:hint="eastAsia"/>
                <w:color w:val="auto"/>
                <w:sz w:val="24"/>
                <w:szCs w:val="24"/>
              </w:rPr>
              <w:t>经济开发区供水系统提供，水量和水质可满足项目需</w:t>
            </w:r>
            <w:r>
              <w:rPr>
                <w:rFonts w:hint="eastAsia"/>
                <w:color w:val="auto"/>
                <w:sz w:val="24"/>
                <w:szCs w:val="24"/>
                <w:lang w:eastAsia="zh-CN"/>
              </w:rPr>
              <w:t>求</w:t>
            </w:r>
            <w:r>
              <w:rPr>
                <w:rFonts w:hint="eastAsia"/>
                <w:color w:val="auto"/>
                <w:sz w:val="24"/>
                <w:szCs w:val="24"/>
              </w:rPr>
              <w:t>，项目生产车间采用干式清洁，运营期用水主要为</w:t>
            </w:r>
            <w:r>
              <w:rPr>
                <w:rFonts w:hint="eastAsia"/>
                <w:color w:val="auto"/>
                <w:sz w:val="24"/>
                <w:szCs w:val="24"/>
                <w:lang w:eastAsia="zh-CN"/>
              </w:rPr>
              <w:t>纯水制备用水、玻璃原片清洗</w:t>
            </w:r>
            <w:r>
              <w:rPr>
                <w:rFonts w:hint="eastAsia"/>
                <w:color w:val="auto"/>
                <w:sz w:val="24"/>
                <w:szCs w:val="24"/>
              </w:rPr>
              <w:t>用水</w:t>
            </w:r>
            <w:r>
              <w:rPr>
                <w:rFonts w:hint="eastAsia"/>
                <w:color w:val="auto"/>
                <w:sz w:val="24"/>
                <w:szCs w:val="24"/>
                <w:lang w:eastAsia="zh-CN"/>
              </w:rPr>
              <w:t>（纯水）</w:t>
            </w:r>
            <w:r>
              <w:rPr>
                <w:rFonts w:hint="eastAsia"/>
                <w:color w:val="auto"/>
                <w:sz w:val="24"/>
                <w:szCs w:val="24"/>
              </w:rPr>
              <w:t>、生活用水，根据《四川省用水定额》（川府函〔2021〕8号），项目用水量及分配情况</w:t>
            </w:r>
            <w:r>
              <w:rPr>
                <w:rFonts w:hint="eastAsia"/>
                <w:color w:val="auto"/>
                <w:sz w:val="24"/>
                <w:szCs w:val="24"/>
                <w:lang w:eastAsia="zh-CN"/>
              </w:rPr>
              <w:t>如下</w:t>
            </w:r>
            <w:r>
              <w:rPr>
                <w:rFonts w:hint="eastAsia"/>
                <w:color w:val="auto"/>
                <w:sz w:val="24"/>
                <w:szCs w:val="24"/>
              </w:rPr>
              <w:t>。</w:t>
            </w:r>
          </w:p>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w:t>
            </w:r>
            <w:r>
              <w:rPr>
                <w:rFonts w:ascii="Times New Roman" w:hAnsi="Times New Roman" w:cs="Times New Roman"/>
                <w:color w:val="auto"/>
                <w:sz w:val="24"/>
                <w:szCs w:val="24"/>
                <w:lang w:eastAsia="zh-CN"/>
              </w:rPr>
              <w:t>生活用水</w:t>
            </w:r>
          </w:p>
          <w:p>
            <w:pPr>
              <w:spacing w:line="360" w:lineRule="auto"/>
              <w:ind w:firstLine="480" w:firstLineChars="200"/>
              <w:rPr>
                <w:rFonts w:ascii="Times New Roman" w:hAnsi="Times New Roman" w:cs="Times New Roman"/>
                <w:color w:val="auto"/>
                <w:sz w:val="24"/>
                <w:szCs w:val="24"/>
                <w:highlight w:val="cyan"/>
                <w:lang w:eastAsia="zh-CN"/>
              </w:rPr>
            </w:pPr>
            <w:r>
              <w:rPr>
                <w:rFonts w:hint="eastAsia" w:ascii="Times New Roman" w:hAnsi="Times New Roman"/>
                <w:color w:val="auto"/>
                <w:sz w:val="24"/>
                <w:szCs w:val="24"/>
                <w:lang w:eastAsia="zh-CN"/>
              </w:rPr>
              <w:t>本项目新增员工人数为</w:t>
            </w:r>
            <w:r>
              <w:rPr>
                <w:rFonts w:hint="eastAsia" w:ascii="Times New Roman" w:hAnsi="Times New Roman"/>
                <w:color w:val="auto"/>
                <w:sz w:val="24"/>
                <w:szCs w:val="24"/>
                <w:lang w:val="en-US" w:eastAsia="zh-CN"/>
              </w:rPr>
              <w:t>4</w:t>
            </w:r>
            <w:r>
              <w:rPr>
                <w:rFonts w:hint="eastAsia" w:ascii="Times New Roman" w:hAnsi="Times New Roman"/>
                <w:color w:val="auto"/>
                <w:sz w:val="24"/>
                <w:szCs w:val="24"/>
                <w:lang w:eastAsia="zh-CN"/>
              </w:rPr>
              <w:t>人，由于员工仅在项目内办公，不提供食宿，根据《四川省地方标准用水定额》（DB51/T2138-2021）及实际调查情况，办公人员的办公及生活用水按0.05</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/人天计，则本项目新增办公及生活用水量约为</w:t>
            </w:r>
            <w:r>
              <w:rPr>
                <w:rFonts w:hint="eastAsia" w:ascii="Times New Roman" w:hAnsi="Times New Roman"/>
                <w:color w:val="auto"/>
                <w:sz w:val="24"/>
                <w:szCs w:val="24"/>
                <w:lang w:val="en-US" w:eastAsia="zh-CN"/>
              </w:rPr>
              <w:t>0.2</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/d，</w:t>
            </w:r>
            <w:r>
              <w:rPr>
                <w:rFonts w:hint="eastAsia" w:ascii="Times New Roman" w:hAnsi="Times New Roman"/>
                <w:color w:val="auto"/>
                <w:sz w:val="24"/>
                <w:szCs w:val="24"/>
                <w:lang w:val="en-US" w:eastAsia="zh-CN"/>
              </w:rPr>
              <w:t>60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/a。</w:t>
            </w:r>
          </w:p>
          <w:p>
            <w:pPr>
              <w:spacing w:line="360" w:lineRule="auto"/>
              <w:ind w:firstLine="480" w:firstLineChars="200"/>
              <w:rPr>
                <w:rFonts w:hint="eastAsia" w:ascii="Times New Roman" w:hAnsi="Times New Roman" w:cs="Times New Roman"/>
                <w:color w:val="auto"/>
                <w:sz w:val="24"/>
                <w:szCs w:val="24"/>
                <w:lang w:eastAsia="zh-CN"/>
              </w:rPr>
            </w:pP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）玻璃原片</w:t>
            </w:r>
            <w:r>
              <w:rPr>
                <w:rFonts w:hint="eastAsia" w:ascii="Times New Roman" w:hAnsi="Times New Roman" w:cs="Times New Roman"/>
                <w:color w:val="auto"/>
                <w:sz w:val="24"/>
                <w:szCs w:val="24"/>
                <w:lang w:eastAsia="zh-CN"/>
              </w:rPr>
              <w:t xml:space="preserve">清洗用水 </w:t>
            </w:r>
          </w:p>
          <w:p>
            <w:pPr>
              <w:pStyle w:val="11"/>
              <w:spacing w:before="0" w:after="0" w:line="360" w:lineRule="auto"/>
              <w:ind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项目玻璃原片需要达到一定洁净度后才能进行涂膜，故项目玻璃原片使用纯水进行清洗，</w:t>
            </w:r>
            <w:r>
              <w:rPr>
                <w:rFonts w:hint="eastAsia" w:ascii="Times New Roman" w:hAnsi="Times New Roman" w:cs="Times New Roman"/>
                <w:color w:val="auto"/>
                <w:sz w:val="24"/>
                <w:szCs w:val="24"/>
                <w:lang w:val="en-US" w:eastAsia="zh-CN"/>
              </w:rPr>
              <w:t>1</w:t>
            </w:r>
            <w:r>
              <w:rPr>
                <w:rFonts w:ascii="Times New Roman" w:hAnsi="Times New Roman"/>
                <w:color w:val="auto"/>
                <w:sz w:val="24"/>
                <w:szCs w:val="24"/>
                <w:lang w:eastAsia="zh-CN"/>
              </w:rPr>
              <w:t>m</w:t>
            </w:r>
            <w:r>
              <w:rPr>
                <w:rFonts w:hint="eastAsia"/>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玻璃原片需要</w:t>
            </w:r>
            <w:r>
              <w:rPr>
                <w:rFonts w:hint="eastAsia" w:cs="Times New Roman"/>
                <w:color w:val="auto"/>
                <w:sz w:val="24"/>
                <w:szCs w:val="24"/>
                <w:lang w:val="en-US" w:eastAsia="zh-CN"/>
              </w:rPr>
              <w:t>0.005</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val="en-US" w:eastAsia="zh-CN"/>
              </w:rPr>
              <w:t>纯水，</w:t>
            </w:r>
            <w:r>
              <w:rPr>
                <w:rFonts w:hint="eastAsia" w:ascii="Times New Roman" w:hAnsi="Times New Roman" w:cs="Times New Roman"/>
                <w:color w:val="auto"/>
                <w:sz w:val="24"/>
                <w:szCs w:val="24"/>
                <w:lang w:eastAsia="zh-CN"/>
              </w:rPr>
              <w:t>本项目纳米镀膜玻璃产量为</w:t>
            </w:r>
            <w:r>
              <w:rPr>
                <w:rFonts w:hint="eastAsia" w:ascii="Times New Roman" w:hAnsi="Times New Roman" w:cs="Times New Roman"/>
                <w:color w:val="auto"/>
                <w:sz w:val="24"/>
                <w:szCs w:val="24"/>
                <w:lang w:val="en-US" w:eastAsia="zh-CN"/>
              </w:rPr>
              <w:t>60万</w:t>
            </w:r>
            <w:r>
              <w:rPr>
                <w:rFonts w:ascii="Times New Roman" w:hAnsi="Times New Roman"/>
                <w:color w:val="auto"/>
                <w:sz w:val="24"/>
                <w:szCs w:val="24"/>
                <w:lang w:eastAsia="zh-CN"/>
              </w:rPr>
              <w:t>m</w:t>
            </w:r>
            <w:r>
              <w:rPr>
                <w:rFonts w:hint="eastAsia"/>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则玻璃清洗用水为3000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eastAsia="zh-CN"/>
              </w:rPr>
              <w:t>/a</w:t>
            </w:r>
            <w:r>
              <w:rPr>
                <w:rFonts w:hint="eastAsia" w:cs="Times New Roman"/>
                <w:color w:val="auto"/>
                <w:sz w:val="24"/>
                <w:szCs w:val="24"/>
                <w:lang w:eastAsia="zh-CN"/>
              </w:rPr>
              <w:t>，本项目建设</w:t>
            </w:r>
            <w:r>
              <w:rPr>
                <w:rFonts w:hint="eastAsia" w:cs="Times New Roman"/>
                <w:color w:val="auto"/>
                <w:sz w:val="24"/>
                <w:szCs w:val="24"/>
                <w:lang w:val="en-US" w:eastAsia="zh-CN"/>
              </w:rPr>
              <w:t>1座10m</w:t>
            </w:r>
            <w:r>
              <w:rPr>
                <w:rFonts w:hint="eastAsia" w:cs="Times New Roman"/>
                <w:color w:val="auto"/>
                <w:sz w:val="24"/>
                <w:szCs w:val="24"/>
                <w:vertAlign w:val="superscript"/>
                <w:lang w:val="en-US" w:eastAsia="zh-CN"/>
              </w:rPr>
              <w:t>3</w:t>
            </w:r>
            <w:r>
              <w:rPr>
                <w:rFonts w:hint="eastAsia" w:cs="Times New Roman"/>
                <w:color w:val="auto"/>
                <w:sz w:val="24"/>
                <w:szCs w:val="24"/>
                <w:lang w:eastAsia="zh-CN"/>
              </w:rPr>
              <w:t>沉淀池处理玻璃清洗废水，处理后的废水回用于清洗工序，玻璃废水产污按</w:t>
            </w:r>
            <w:r>
              <w:rPr>
                <w:rFonts w:hint="eastAsia" w:cs="Times New Roman"/>
                <w:color w:val="auto"/>
                <w:sz w:val="24"/>
                <w:szCs w:val="24"/>
                <w:lang w:val="en-US" w:eastAsia="zh-CN"/>
              </w:rPr>
              <w:t>80%计，废水产生量为2400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eastAsia="zh-CN"/>
              </w:rPr>
              <w:t>/a</w:t>
            </w:r>
            <w:r>
              <w:rPr>
                <w:rFonts w:hint="eastAsia" w:cs="Times New Roman"/>
                <w:color w:val="auto"/>
                <w:sz w:val="24"/>
                <w:szCs w:val="24"/>
                <w:lang w:eastAsia="zh-CN"/>
              </w:rPr>
              <w:t>，则项目新鲜纯水补充量为</w:t>
            </w:r>
            <w:r>
              <w:rPr>
                <w:rFonts w:hint="eastAsia" w:cs="Times New Roman"/>
                <w:color w:val="auto"/>
                <w:sz w:val="24"/>
                <w:szCs w:val="24"/>
                <w:lang w:val="en-US" w:eastAsia="zh-CN"/>
              </w:rPr>
              <w:t>600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eastAsia="zh-CN"/>
              </w:rPr>
              <w:t>/a</w:t>
            </w:r>
            <w:r>
              <w:rPr>
                <w:rFonts w:hint="eastAsia" w:cs="Times New Roman"/>
                <w:color w:val="auto"/>
                <w:sz w:val="24"/>
                <w:szCs w:val="24"/>
                <w:lang w:eastAsia="zh-CN"/>
              </w:rPr>
              <w:t>。</w:t>
            </w:r>
          </w:p>
          <w:p>
            <w:pPr>
              <w:pStyle w:val="11"/>
              <w:spacing w:before="0" w:after="0" w:line="360" w:lineRule="auto"/>
              <w:ind w:right="0" w:firstLine="480" w:firstLineChars="200"/>
              <w:rPr>
                <w:rFonts w:hint="eastAsia"/>
                <w:color w:val="auto"/>
                <w:sz w:val="24"/>
                <w:szCs w:val="24"/>
                <w:lang w:eastAsia="zh-CN"/>
              </w:rPr>
            </w:pP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w:t>
            </w:r>
            <w:r>
              <w:rPr>
                <w:rFonts w:hint="eastAsia"/>
                <w:color w:val="auto"/>
                <w:sz w:val="24"/>
                <w:szCs w:val="24"/>
                <w:lang w:eastAsia="zh-CN"/>
              </w:rPr>
              <w:t>纯水制备用水</w:t>
            </w:r>
          </w:p>
          <w:p>
            <w:pPr>
              <w:pStyle w:val="11"/>
              <w:spacing w:before="0" w:after="0" w:line="360" w:lineRule="auto"/>
              <w:ind w:right="0"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超纯水机工作原理</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超纯水机的制备纯水有三个主要系统:预处理系统、反渗透系统和后处理系统。预处理系统是利用PP聚丙烯纤维滤芯有效消除水中铁锈和泥沙，然后利用含碳量高达80%的高效柱状活性碳滤芯，对源水中余氯、异色、有机物等杂质可以高效吸附过滤</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通过预处理系统处理后的水再进入反渗透系统进行处理</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自来水进过预处理系统和反渗透系统后进入后处理系统，后处理系统先采用威固紫外线杀菌仪，能有效降低TOC和杀菌。</w:t>
            </w:r>
          </w:p>
          <w:p>
            <w:pPr>
              <w:pStyle w:val="11"/>
              <w:spacing w:before="0" w:after="0" w:line="360" w:lineRule="auto"/>
              <w:ind w:right="0" w:firstLine="480" w:firstLineChars="200"/>
              <w:rPr>
                <w:rFonts w:hint="eastAsia" w:ascii="Times New Roman" w:hAnsi="Times New Roman" w:cs="Times New Roman"/>
                <w:color w:val="auto"/>
                <w:sz w:val="24"/>
                <w:szCs w:val="24"/>
                <w:lang w:eastAsia="zh-CN"/>
              </w:rPr>
            </w:pPr>
            <w:r>
              <w:rPr>
                <w:rFonts w:ascii="Times New Roman" w:hAnsi="Times New Roman"/>
                <w:color w:val="auto"/>
                <w:sz w:val="24"/>
                <w:szCs w:val="24"/>
                <w:lang w:eastAsia="zh-CN"/>
              </w:rPr>
              <w:t>本项目使用的纯水是将自来水直接接入超纯水机中，利用超纯水机制备出纯水。本项目使用的纯水机每制备1m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的纯水需消耗自来水约</w:t>
            </w:r>
            <w:r>
              <w:rPr>
                <w:rFonts w:hint="eastAsia"/>
                <w:color w:val="auto"/>
                <w:sz w:val="24"/>
                <w:szCs w:val="24"/>
                <w:lang w:val="en-US" w:eastAsia="zh-CN"/>
              </w:rPr>
              <w:t>1.4</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，产生的</w:t>
            </w:r>
            <w:r>
              <w:rPr>
                <w:rFonts w:hint="eastAsia"/>
                <w:color w:val="auto"/>
                <w:sz w:val="24"/>
                <w:szCs w:val="24"/>
                <w:lang w:eastAsia="zh-CN"/>
              </w:rPr>
              <w:t>排污水</w:t>
            </w:r>
            <w:r>
              <w:rPr>
                <w:rFonts w:ascii="Times New Roman" w:hAnsi="Times New Roman"/>
                <w:color w:val="auto"/>
                <w:sz w:val="24"/>
                <w:szCs w:val="24"/>
                <w:lang w:eastAsia="zh-CN"/>
              </w:rPr>
              <w:t>约</w:t>
            </w:r>
            <w:r>
              <w:rPr>
                <w:rFonts w:hint="eastAsia"/>
                <w:color w:val="auto"/>
                <w:sz w:val="24"/>
                <w:szCs w:val="24"/>
                <w:lang w:val="en-US" w:eastAsia="zh-CN"/>
              </w:rPr>
              <w:t>0.4</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本项目所需的纯水量约</w:t>
            </w:r>
            <w:r>
              <w:rPr>
                <w:rFonts w:hint="eastAsia"/>
                <w:color w:val="auto"/>
                <w:sz w:val="24"/>
                <w:szCs w:val="24"/>
                <w:lang w:val="en-US" w:eastAsia="zh-CN"/>
              </w:rPr>
              <w:t>600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w:t>
            </w:r>
            <w:r>
              <w:rPr>
                <w:rFonts w:hint="eastAsia"/>
                <w:color w:val="auto"/>
                <w:sz w:val="24"/>
                <w:szCs w:val="24"/>
                <w:lang w:val="en-US" w:eastAsia="zh-CN"/>
              </w:rPr>
              <w:t>a</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故纯水机制备纯水时所需的自来水量约为</w:t>
            </w:r>
            <w:r>
              <w:rPr>
                <w:rFonts w:hint="eastAsia"/>
                <w:color w:val="auto"/>
                <w:sz w:val="24"/>
                <w:szCs w:val="24"/>
                <w:lang w:val="en-US" w:eastAsia="zh-CN"/>
              </w:rPr>
              <w:t>840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w:t>
            </w:r>
            <w:r>
              <w:rPr>
                <w:rFonts w:hint="eastAsia"/>
                <w:color w:val="auto"/>
                <w:sz w:val="24"/>
                <w:szCs w:val="24"/>
                <w:lang w:val="en-US" w:eastAsia="zh-CN"/>
              </w:rPr>
              <w:t>a</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产生的</w:t>
            </w:r>
            <w:r>
              <w:rPr>
                <w:rFonts w:hint="eastAsia"/>
                <w:color w:val="auto"/>
                <w:sz w:val="24"/>
                <w:szCs w:val="24"/>
                <w:lang w:eastAsia="zh-CN"/>
              </w:rPr>
              <w:t>排污水</w:t>
            </w:r>
            <w:r>
              <w:rPr>
                <w:rFonts w:ascii="Times New Roman" w:hAnsi="Times New Roman"/>
                <w:color w:val="auto"/>
                <w:sz w:val="24"/>
                <w:szCs w:val="24"/>
                <w:lang w:eastAsia="zh-CN"/>
              </w:rPr>
              <w:t>为</w:t>
            </w:r>
            <w:r>
              <w:rPr>
                <w:rFonts w:hint="eastAsia"/>
                <w:color w:val="auto"/>
                <w:sz w:val="24"/>
                <w:szCs w:val="24"/>
                <w:lang w:val="en-US" w:eastAsia="zh-CN"/>
              </w:rPr>
              <w:t>240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/a</w:t>
            </w:r>
            <w:r>
              <w:rPr>
                <w:rFonts w:hint="eastAsia"/>
                <w:color w:val="auto"/>
                <w:sz w:val="24"/>
                <w:szCs w:val="24"/>
                <w:lang w:eastAsia="zh-CN"/>
              </w:rPr>
              <w:t>，纯水机排污水通过预处理池处理后与生活污水一起排入园区污水管网</w:t>
            </w:r>
            <w:r>
              <w:rPr>
                <w:rFonts w:ascii="Times New Roman" w:hAnsi="Times New Roman"/>
                <w:color w:val="auto"/>
                <w:sz w:val="24"/>
                <w:szCs w:val="24"/>
                <w:lang w:eastAsia="zh-CN"/>
              </w:rPr>
              <w:t>。</w:t>
            </w:r>
          </w:p>
          <w:p>
            <w:pPr>
              <w:spacing w:line="360" w:lineRule="auto"/>
              <w:ind w:firstLine="482" w:firstLineChars="200"/>
              <w:rPr>
                <w:b/>
                <w:color w:val="auto"/>
                <w:kern w:val="24"/>
                <w:sz w:val="24"/>
                <w:szCs w:val="24"/>
              </w:rPr>
            </w:pPr>
            <w:r>
              <w:rPr>
                <w:rFonts w:hint="eastAsia"/>
                <w:b/>
                <w:color w:val="auto"/>
                <w:kern w:val="24"/>
                <w:sz w:val="24"/>
                <w:szCs w:val="24"/>
              </w:rPr>
              <w:t>（</w:t>
            </w:r>
            <w:r>
              <w:rPr>
                <w:b/>
                <w:color w:val="auto"/>
                <w:kern w:val="24"/>
                <w:sz w:val="24"/>
                <w:szCs w:val="24"/>
              </w:rPr>
              <w:t>2）</w:t>
            </w:r>
            <w:r>
              <w:rPr>
                <w:rFonts w:hint="eastAsia"/>
                <w:b/>
                <w:color w:val="auto"/>
                <w:kern w:val="24"/>
                <w:sz w:val="24"/>
                <w:szCs w:val="24"/>
              </w:rPr>
              <w:t>排水</w:t>
            </w:r>
          </w:p>
          <w:p>
            <w:pPr>
              <w:spacing w:line="360" w:lineRule="auto"/>
              <w:ind w:firstLine="480"/>
              <w:rPr>
                <w:rFonts w:hint="eastAsia"/>
                <w:color w:val="auto"/>
                <w:kern w:val="24"/>
                <w:sz w:val="24"/>
                <w:szCs w:val="24"/>
              </w:rPr>
            </w:pPr>
            <w:r>
              <w:rPr>
                <w:rFonts w:hint="eastAsia"/>
                <w:color w:val="auto"/>
                <w:kern w:val="24"/>
                <w:sz w:val="24"/>
                <w:szCs w:val="24"/>
              </w:rPr>
              <w:t>项目排水</w:t>
            </w:r>
            <w:r>
              <w:rPr>
                <w:color w:val="auto"/>
                <w:kern w:val="24"/>
                <w:sz w:val="24"/>
                <w:szCs w:val="24"/>
              </w:rPr>
              <w:t>采用雨、污分流制</w:t>
            </w:r>
            <w:r>
              <w:rPr>
                <w:rFonts w:hint="eastAsia"/>
                <w:color w:val="auto"/>
                <w:kern w:val="24"/>
                <w:sz w:val="24"/>
                <w:szCs w:val="24"/>
              </w:rPr>
              <w:t>，雨水经厂区雨水管道排入园区雨水管网；运营期</w:t>
            </w:r>
            <w:r>
              <w:rPr>
                <w:rFonts w:hint="eastAsia"/>
                <w:color w:val="auto"/>
                <w:kern w:val="24"/>
                <w:sz w:val="24"/>
                <w:szCs w:val="24"/>
                <w:lang w:eastAsia="zh-CN"/>
              </w:rPr>
              <w:t>玻璃原片清洗废水经沉淀池处理后回用，不外排；纯水制备废水与生活污水一起</w:t>
            </w:r>
            <w:r>
              <w:rPr>
                <w:rFonts w:hint="eastAsia"/>
                <w:color w:val="auto"/>
                <w:kern w:val="24"/>
                <w:sz w:val="24"/>
                <w:szCs w:val="24"/>
              </w:rPr>
              <w:t>经预处理池处理达到《污水综合排放标准》（GB8978-1996）三级标准后排入园区污水管网，经巴中经开区污水处理厂处理达到《城镇污水处理厂污染物排放标准》（GB18918-2002）一级A标准后排入巴河。</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表2-</w:t>
            </w:r>
            <w:r>
              <w:rPr>
                <w:rFonts w:hint="eastAsia" w:cs="Times New Roman"/>
                <w:b/>
                <w:bCs/>
                <w:color w:val="000000"/>
                <w:kern w:val="2"/>
                <w:sz w:val="21"/>
                <w:szCs w:val="21"/>
                <w:lang w:val="en-US" w:eastAsia="zh-CN" w:bidi="ar-SA"/>
              </w:rPr>
              <w:t>9</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项目用水量及分配情况</w:t>
            </w:r>
          </w:p>
          <w:tbl>
            <w:tblPr>
              <w:tblStyle w:val="24"/>
              <w:tblW w:w="4995"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Layout w:type="autofit"/>
              <w:tblCellMar>
                <w:top w:w="0" w:type="dxa"/>
                <w:left w:w="0" w:type="dxa"/>
                <w:bottom w:w="0" w:type="dxa"/>
                <w:right w:w="0" w:type="dxa"/>
              </w:tblCellMar>
            </w:tblPr>
            <w:tblGrid>
              <w:gridCol w:w="1169"/>
              <w:gridCol w:w="543"/>
              <w:gridCol w:w="571"/>
              <w:gridCol w:w="886"/>
              <w:gridCol w:w="1007"/>
              <w:gridCol w:w="751"/>
              <w:gridCol w:w="937"/>
              <w:gridCol w:w="230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715" w:type="pct"/>
                  <w:noWrap w:val="0"/>
                  <w:vAlign w:val="center"/>
                </w:tcPr>
                <w:p>
                  <w:pPr>
                    <w:pStyle w:val="92"/>
                    <w:spacing w:before="119"/>
                    <w:ind w:left="118" w:right="100"/>
                    <w:jc w:val="center"/>
                    <w:rPr>
                      <w:rFonts w:ascii="Times New Roman" w:hAnsi="Times New Roman" w:eastAsia="宋体"/>
                      <w:b/>
                      <w:bCs/>
                      <w:color w:val="auto"/>
                      <w:sz w:val="21"/>
                      <w:lang w:eastAsia="zh-CN"/>
                    </w:rPr>
                  </w:pPr>
                  <w:r>
                    <w:rPr>
                      <w:rFonts w:ascii="Times New Roman" w:hAnsi="Times New Roman" w:eastAsia="宋体"/>
                      <w:b/>
                      <w:bCs/>
                      <w:color w:val="auto"/>
                      <w:sz w:val="21"/>
                      <w:lang w:eastAsia="zh-CN"/>
                    </w:rPr>
                    <w:t>类别</w:t>
                  </w:r>
                </w:p>
              </w:tc>
              <w:tc>
                <w:tcPr>
                  <w:tcW w:w="332" w:type="pct"/>
                  <w:noWrap w:val="0"/>
                  <w:vAlign w:val="center"/>
                </w:tcPr>
                <w:p>
                  <w:pPr>
                    <w:pStyle w:val="92"/>
                    <w:spacing w:before="119"/>
                    <w:ind w:right="100"/>
                    <w:jc w:val="center"/>
                    <w:rPr>
                      <w:rFonts w:ascii="Times New Roman" w:hAnsi="Times New Roman" w:eastAsia="宋体"/>
                      <w:b/>
                      <w:bCs/>
                      <w:color w:val="auto"/>
                      <w:sz w:val="21"/>
                      <w:lang w:eastAsia="zh-CN"/>
                    </w:rPr>
                  </w:pPr>
                  <w:r>
                    <w:rPr>
                      <w:rFonts w:ascii="Times New Roman" w:hAnsi="Times New Roman" w:eastAsia="宋体"/>
                      <w:b/>
                      <w:bCs/>
                      <w:color w:val="auto"/>
                      <w:sz w:val="21"/>
                      <w:lang w:eastAsia="zh-CN"/>
                    </w:rPr>
                    <w:t>单位</w:t>
                  </w:r>
                </w:p>
              </w:tc>
              <w:tc>
                <w:tcPr>
                  <w:tcW w:w="349" w:type="pct"/>
                  <w:noWrap w:val="0"/>
                  <w:vAlign w:val="center"/>
                </w:tcPr>
                <w:p>
                  <w:pPr>
                    <w:pStyle w:val="92"/>
                    <w:spacing w:before="119"/>
                    <w:ind w:right="100"/>
                    <w:jc w:val="center"/>
                    <w:rPr>
                      <w:rFonts w:ascii="Times New Roman" w:hAnsi="Times New Roman" w:eastAsia="宋体"/>
                      <w:b/>
                      <w:bCs/>
                      <w:color w:val="auto"/>
                      <w:sz w:val="21"/>
                      <w:lang w:eastAsia="zh-CN"/>
                    </w:rPr>
                  </w:pPr>
                  <w:r>
                    <w:rPr>
                      <w:rFonts w:ascii="Times New Roman" w:hAnsi="Times New Roman" w:eastAsia="宋体"/>
                      <w:b/>
                      <w:bCs/>
                      <w:color w:val="auto"/>
                      <w:sz w:val="21"/>
                      <w:lang w:eastAsia="zh-CN"/>
                    </w:rPr>
                    <w:t>数量</w:t>
                  </w:r>
                </w:p>
              </w:tc>
              <w:tc>
                <w:tcPr>
                  <w:tcW w:w="539" w:type="pct"/>
                  <w:noWrap w:val="0"/>
                  <w:vAlign w:val="center"/>
                </w:tcPr>
                <w:p>
                  <w:pPr>
                    <w:pStyle w:val="92"/>
                    <w:spacing w:before="119"/>
                    <w:ind w:right="83"/>
                    <w:jc w:val="center"/>
                    <w:rPr>
                      <w:rFonts w:ascii="Times New Roman" w:hAnsi="Times New Roman" w:eastAsia="宋体"/>
                      <w:b/>
                      <w:bCs/>
                      <w:color w:val="auto"/>
                      <w:sz w:val="21"/>
                      <w:lang w:eastAsia="zh-CN"/>
                    </w:rPr>
                  </w:pPr>
                  <w:r>
                    <w:rPr>
                      <w:rFonts w:ascii="Times New Roman" w:hAnsi="Times New Roman" w:eastAsia="宋体"/>
                      <w:b/>
                      <w:bCs/>
                      <w:color w:val="auto"/>
                      <w:sz w:val="21"/>
                      <w:lang w:eastAsia="zh-CN"/>
                    </w:rPr>
                    <w:t>用水标准</w:t>
                  </w:r>
                </w:p>
              </w:tc>
              <w:tc>
                <w:tcPr>
                  <w:tcW w:w="616" w:type="pct"/>
                  <w:noWrap w:val="0"/>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lang w:eastAsia="zh-CN"/>
                    </w:rPr>
                  </w:pPr>
                  <w:r>
                    <w:rPr>
                      <w:rFonts w:ascii="Times New Roman" w:hAnsi="Times New Roman" w:eastAsia="宋体"/>
                      <w:b/>
                      <w:bCs/>
                      <w:color w:val="auto"/>
                      <w:sz w:val="21"/>
                      <w:lang w:eastAsia="zh-CN"/>
                    </w:rPr>
                    <w:t>用水量(</w:t>
                  </w:r>
                  <w:r>
                    <w:rPr>
                      <w:rFonts w:hint="eastAsia" w:ascii="Times New Roman" w:hAnsi="Times New Roman"/>
                      <w:b/>
                      <w:bCs/>
                      <w:color w:val="auto"/>
                      <w:sz w:val="21"/>
                      <w:lang w:val="en-US" w:eastAsia="zh-CN"/>
                    </w:rPr>
                    <w:t>m</w:t>
                  </w:r>
                  <w:r>
                    <w:rPr>
                      <w:rFonts w:hint="eastAsia" w:ascii="Times New Roman" w:hAnsi="Times New Roman"/>
                      <w:b/>
                      <w:bCs/>
                      <w:color w:val="auto"/>
                      <w:sz w:val="21"/>
                      <w:vertAlign w:val="superscript"/>
                      <w:lang w:val="en-US" w:eastAsia="zh-CN"/>
                    </w:rPr>
                    <w:t>3</w:t>
                  </w:r>
                  <w:r>
                    <w:rPr>
                      <w:rFonts w:hint="eastAsia" w:ascii="Times New Roman" w:hAnsi="Times New Roman"/>
                      <w:b/>
                      <w:bCs/>
                      <w:color w:val="auto"/>
                      <w:sz w:val="21"/>
                      <w:vertAlign w:val="baseline"/>
                      <w:lang w:val="en-US" w:eastAsia="zh-CN"/>
                    </w:rPr>
                    <w:t>/a</w:t>
                  </w:r>
                  <w:r>
                    <w:rPr>
                      <w:rFonts w:ascii="Times New Roman" w:hAnsi="Times New Roman" w:eastAsia="宋体"/>
                      <w:b/>
                      <w:bCs/>
                      <w:color w:val="auto"/>
                      <w:sz w:val="21"/>
                      <w:lang w:eastAsia="zh-CN"/>
                    </w:rPr>
                    <w:t>)</w:t>
                  </w:r>
                </w:p>
              </w:tc>
              <w:tc>
                <w:tcPr>
                  <w:tcW w:w="459" w:type="pct"/>
                  <w:noWrap w:val="0"/>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b/>
                      <w:bCs/>
                      <w:color w:val="auto"/>
                      <w:sz w:val="21"/>
                      <w:lang w:eastAsia="zh-CN"/>
                    </w:rPr>
                  </w:pPr>
                  <w:r>
                    <w:rPr>
                      <w:rFonts w:ascii="Times New Roman" w:hAnsi="Times New Roman" w:eastAsia="宋体"/>
                      <w:b/>
                      <w:bCs/>
                      <w:color w:val="auto"/>
                      <w:sz w:val="21"/>
                      <w:lang w:eastAsia="zh-CN"/>
                    </w:rPr>
                    <w:t>排水系数</w:t>
                  </w:r>
                </w:p>
              </w:tc>
              <w:tc>
                <w:tcPr>
                  <w:tcW w:w="573" w:type="pct"/>
                  <w:noWrap w:val="0"/>
                  <w:vAlign w:val="center"/>
                </w:tcPr>
                <w:p>
                  <w:pPr>
                    <w:pStyle w:val="92"/>
                    <w:spacing w:before="37"/>
                    <w:jc w:val="center"/>
                    <w:rPr>
                      <w:rFonts w:ascii="Times New Roman" w:hAnsi="Times New Roman" w:eastAsia="宋体"/>
                      <w:b/>
                      <w:bCs/>
                      <w:color w:val="auto"/>
                      <w:sz w:val="21"/>
                      <w:lang w:eastAsia="zh-CN"/>
                    </w:rPr>
                  </w:pPr>
                  <w:r>
                    <w:rPr>
                      <w:rFonts w:ascii="Times New Roman" w:hAnsi="Times New Roman" w:eastAsia="宋体"/>
                      <w:b/>
                      <w:bCs/>
                      <w:color w:val="auto"/>
                      <w:sz w:val="21"/>
                      <w:lang w:eastAsia="zh-CN"/>
                    </w:rPr>
                    <w:t>排水量</w:t>
                  </w:r>
                  <w:r>
                    <w:rPr>
                      <w:rFonts w:hint="eastAsia" w:ascii="Times New Roman" w:hAnsi="Times New Roman"/>
                      <w:b/>
                      <w:bCs/>
                      <w:color w:val="auto"/>
                      <w:sz w:val="21"/>
                      <w:lang w:eastAsia="zh-CN"/>
                    </w:rPr>
                    <w:t>（</w:t>
                  </w:r>
                  <w:r>
                    <w:rPr>
                      <w:rFonts w:hint="eastAsia" w:ascii="Times New Roman" w:hAnsi="Times New Roman"/>
                      <w:b/>
                      <w:bCs/>
                      <w:color w:val="auto"/>
                      <w:sz w:val="21"/>
                      <w:lang w:val="en-US" w:eastAsia="zh-CN"/>
                    </w:rPr>
                    <w:t>m</w:t>
                  </w:r>
                  <w:r>
                    <w:rPr>
                      <w:rFonts w:hint="eastAsia" w:ascii="Times New Roman" w:hAnsi="Times New Roman"/>
                      <w:b/>
                      <w:bCs/>
                      <w:color w:val="auto"/>
                      <w:sz w:val="21"/>
                      <w:vertAlign w:val="superscript"/>
                      <w:lang w:val="en-US" w:eastAsia="zh-CN"/>
                    </w:rPr>
                    <w:t>3</w:t>
                  </w:r>
                  <w:r>
                    <w:rPr>
                      <w:rFonts w:hint="eastAsia" w:ascii="Times New Roman" w:hAnsi="Times New Roman"/>
                      <w:b/>
                      <w:bCs/>
                      <w:color w:val="auto"/>
                      <w:sz w:val="21"/>
                      <w:vertAlign w:val="baseline"/>
                      <w:lang w:val="en-US" w:eastAsia="zh-CN"/>
                    </w:rPr>
                    <w:t>/a</w:t>
                  </w:r>
                  <w:r>
                    <w:rPr>
                      <w:rFonts w:hint="eastAsia" w:ascii="Times New Roman" w:hAnsi="Times New Roman"/>
                      <w:b/>
                      <w:bCs/>
                      <w:color w:val="auto"/>
                      <w:sz w:val="21"/>
                      <w:lang w:eastAsia="zh-CN"/>
                    </w:rPr>
                    <w:t>）</w:t>
                  </w:r>
                </w:p>
              </w:tc>
              <w:tc>
                <w:tcPr>
                  <w:tcW w:w="1412" w:type="pct"/>
                  <w:noWrap w:val="0"/>
                  <w:vAlign w:val="center"/>
                </w:tcPr>
                <w:p>
                  <w:pPr>
                    <w:pStyle w:val="92"/>
                    <w:spacing w:before="37"/>
                    <w:ind w:left="117" w:firstLine="67"/>
                    <w:jc w:val="center"/>
                    <w:rPr>
                      <w:rFonts w:ascii="Times New Roman" w:hAnsi="Times New Roman" w:eastAsia="宋体"/>
                      <w:b/>
                      <w:bCs/>
                      <w:color w:val="auto"/>
                      <w:sz w:val="21"/>
                      <w:lang w:eastAsia="zh-CN"/>
                    </w:rPr>
                  </w:pPr>
                  <w:r>
                    <w:rPr>
                      <w:rFonts w:ascii="Times New Roman" w:hAnsi="Times New Roman" w:eastAsia="宋体"/>
                      <w:b/>
                      <w:bCs/>
                      <w:color w:val="auto"/>
                      <w:sz w:val="21"/>
                      <w:lang w:eastAsia="zh-CN"/>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715" w:type="pct"/>
                  <w:noWrap w:val="0"/>
                  <w:vAlign w:val="center"/>
                </w:tcPr>
                <w:p>
                  <w:pPr>
                    <w:pStyle w:val="92"/>
                    <w:spacing w:before="90"/>
                    <w:ind w:left="73" w:right="53"/>
                    <w:jc w:val="center"/>
                    <w:rPr>
                      <w:rFonts w:ascii="Times New Roman" w:hAnsi="Times New Roman" w:eastAsia="宋体"/>
                      <w:color w:val="auto"/>
                      <w:sz w:val="21"/>
                      <w:lang w:eastAsia="zh-CN"/>
                    </w:rPr>
                  </w:pPr>
                  <w:r>
                    <w:rPr>
                      <w:rFonts w:ascii="Times New Roman" w:hAnsi="Times New Roman" w:eastAsia="宋体"/>
                      <w:color w:val="auto"/>
                      <w:sz w:val="21"/>
                      <w:lang w:eastAsia="zh-CN"/>
                    </w:rPr>
                    <w:t>生活用水</w:t>
                  </w:r>
                </w:p>
              </w:tc>
              <w:tc>
                <w:tcPr>
                  <w:tcW w:w="332" w:type="pct"/>
                  <w:noWrap w:val="0"/>
                  <w:vAlign w:val="center"/>
                </w:tcPr>
                <w:p>
                  <w:pPr>
                    <w:pStyle w:val="92"/>
                    <w:ind w:left="120" w:right="103"/>
                    <w:jc w:val="center"/>
                    <w:rPr>
                      <w:rFonts w:ascii="Times New Roman" w:hAnsi="Times New Roman" w:eastAsia="宋体"/>
                      <w:color w:val="auto"/>
                      <w:position w:val="-5"/>
                      <w:sz w:val="21"/>
                      <w:lang w:eastAsia="zh-CN"/>
                    </w:rPr>
                  </w:pPr>
                  <w:r>
                    <w:rPr>
                      <w:rFonts w:ascii="Times New Roman" w:hAnsi="Times New Roman" w:eastAsia="宋体"/>
                      <w:color w:val="auto"/>
                      <w:position w:val="-5"/>
                      <w:sz w:val="21"/>
                      <w:lang w:eastAsia="zh-CN"/>
                    </w:rPr>
                    <w:t>人</w:t>
                  </w:r>
                </w:p>
              </w:tc>
              <w:tc>
                <w:tcPr>
                  <w:tcW w:w="349" w:type="pct"/>
                  <w:noWrap w:val="0"/>
                  <w:vAlign w:val="center"/>
                </w:tcPr>
                <w:p>
                  <w:pPr>
                    <w:pStyle w:val="92"/>
                    <w:ind w:left="120" w:right="103"/>
                    <w:jc w:val="center"/>
                    <w:rPr>
                      <w:rFonts w:ascii="Times New Roman" w:hAnsi="Times New Roman" w:eastAsia="宋体"/>
                      <w:color w:val="auto"/>
                      <w:position w:val="-5"/>
                      <w:sz w:val="21"/>
                      <w:lang w:eastAsia="zh-CN"/>
                    </w:rPr>
                  </w:pPr>
                  <w:r>
                    <w:rPr>
                      <w:rFonts w:hint="eastAsia" w:ascii="Times New Roman" w:hAnsi="Times New Roman" w:eastAsia="宋体"/>
                      <w:color w:val="auto"/>
                      <w:position w:val="-5"/>
                      <w:sz w:val="21"/>
                      <w:lang w:val="en-US" w:eastAsia="zh-CN"/>
                    </w:rPr>
                    <w:t>4</w:t>
                  </w:r>
                </w:p>
              </w:tc>
              <w:tc>
                <w:tcPr>
                  <w:tcW w:w="539" w:type="pct"/>
                  <w:noWrap w:val="0"/>
                  <w:vAlign w:val="center"/>
                </w:tcPr>
                <w:p>
                  <w:pPr>
                    <w:pStyle w:val="92"/>
                    <w:spacing w:before="90"/>
                    <w:ind w:left="102" w:right="84"/>
                    <w:jc w:val="center"/>
                    <w:rPr>
                      <w:rFonts w:ascii="Times New Roman" w:hAnsi="Times New Roman" w:eastAsia="宋体"/>
                      <w:color w:val="auto"/>
                      <w:sz w:val="21"/>
                      <w:lang w:eastAsia="zh-CN"/>
                    </w:rPr>
                  </w:pPr>
                  <w:r>
                    <w:rPr>
                      <w:rFonts w:ascii="Times New Roman" w:hAnsi="Times New Roman" w:eastAsia="宋体"/>
                      <w:color w:val="auto"/>
                      <w:sz w:val="21"/>
                      <w:lang w:eastAsia="zh-CN"/>
                    </w:rPr>
                    <w:t>0.0</w:t>
                  </w:r>
                  <w:r>
                    <w:rPr>
                      <w:rFonts w:hint="eastAsia" w:ascii="Times New Roman" w:hAnsi="Times New Roman" w:eastAsia="宋体"/>
                      <w:color w:val="auto"/>
                      <w:sz w:val="21"/>
                      <w:lang w:eastAsia="zh-CN"/>
                    </w:rPr>
                    <w:t>5</w:t>
                  </w:r>
                  <w:r>
                    <w:rPr>
                      <w:rFonts w:ascii="Times New Roman" w:hAnsi="Times New Roman" w:eastAsia="宋体"/>
                      <w:color w:val="auto"/>
                      <w:sz w:val="21"/>
                      <w:lang w:eastAsia="zh-CN"/>
                    </w:rPr>
                    <w:t>m</w:t>
                  </w:r>
                  <w:r>
                    <w:rPr>
                      <w:rFonts w:hint="eastAsia" w:ascii="Times New Roman" w:hAnsi="Times New Roman"/>
                      <w:color w:val="auto"/>
                      <w:sz w:val="21"/>
                      <w:vertAlign w:val="superscript"/>
                      <w:lang w:val="en-US" w:eastAsia="zh-CN"/>
                    </w:rPr>
                    <w:t>3</w:t>
                  </w:r>
                  <w:r>
                    <w:rPr>
                      <w:rFonts w:ascii="Times New Roman" w:hAnsi="Times New Roman" w:eastAsia="宋体"/>
                      <w:color w:val="auto"/>
                      <w:sz w:val="21"/>
                      <w:lang w:eastAsia="zh-CN"/>
                    </w:rPr>
                    <w:t>/人·d</w:t>
                  </w:r>
                </w:p>
              </w:tc>
              <w:tc>
                <w:tcPr>
                  <w:tcW w:w="616" w:type="pct"/>
                  <w:noWrap w:val="0"/>
                  <w:vAlign w:val="center"/>
                </w:tcPr>
                <w:p>
                  <w:pPr>
                    <w:pStyle w:val="92"/>
                    <w:ind w:left="120" w:right="103"/>
                    <w:jc w:val="center"/>
                    <w:rPr>
                      <w:rFonts w:hint="default" w:ascii="Times New Roman" w:hAnsi="Times New Roman" w:eastAsia="宋体"/>
                      <w:color w:val="auto"/>
                      <w:position w:val="-5"/>
                      <w:sz w:val="21"/>
                      <w:lang w:val="en-US" w:eastAsia="zh-CN"/>
                    </w:rPr>
                  </w:pPr>
                  <w:r>
                    <w:rPr>
                      <w:rFonts w:hint="eastAsia" w:ascii="Times New Roman" w:hAnsi="Times New Roman" w:eastAsia="宋体"/>
                      <w:color w:val="auto"/>
                      <w:position w:val="-5"/>
                      <w:sz w:val="21"/>
                      <w:lang w:val="en-US" w:eastAsia="zh-CN"/>
                    </w:rPr>
                    <w:t>60</w:t>
                  </w:r>
                </w:p>
              </w:tc>
              <w:tc>
                <w:tcPr>
                  <w:tcW w:w="459" w:type="pct"/>
                  <w:noWrap w:val="0"/>
                  <w:vAlign w:val="center"/>
                </w:tcPr>
                <w:p>
                  <w:pPr>
                    <w:pStyle w:val="92"/>
                    <w:ind w:left="120" w:right="103"/>
                    <w:jc w:val="center"/>
                    <w:rPr>
                      <w:rFonts w:hint="eastAsia" w:ascii="Times New Roman" w:hAnsi="Times New Roman" w:eastAsia="宋体"/>
                      <w:color w:val="auto"/>
                      <w:position w:val="-5"/>
                      <w:sz w:val="21"/>
                      <w:lang w:eastAsia="zh-CN"/>
                    </w:rPr>
                  </w:pPr>
                  <w:r>
                    <w:rPr>
                      <w:rFonts w:hint="eastAsia" w:ascii="Times New Roman" w:hAnsi="Times New Roman" w:eastAsia="宋体"/>
                      <w:color w:val="auto"/>
                      <w:position w:val="-5"/>
                      <w:sz w:val="21"/>
                      <w:lang w:eastAsia="zh-CN"/>
                    </w:rPr>
                    <w:t>0.85</w:t>
                  </w:r>
                </w:p>
              </w:tc>
              <w:tc>
                <w:tcPr>
                  <w:tcW w:w="573" w:type="pct"/>
                  <w:noWrap w:val="0"/>
                  <w:vAlign w:val="center"/>
                </w:tcPr>
                <w:p>
                  <w:pPr>
                    <w:pStyle w:val="92"/>
                    <w:ind w:left="120" w:right="103"/>
                    <w:jc w:val="center"/>
                    <w:rPr>
                      <w:rFonts w:hint="default" w:ascii="Times New Roman" w:hAnsi="Times New Roman" w:eastAsia="宋体"/>
                      <w:color w:val="auto"/>
                      <w:position w:val="-5"/>
                      <w:sz w:val="21"/>
                      <w:lang w:val="en-US" w:eastAsia="zh-CN"/>
                    </w:rPr>
                  </w:pPr>
                  <w:r>
                    <w:rPr>
                      <w:rFonts w:hint="eastAsia" w:ascii="Times New Roman" w:hAnsi="Times New Roman" w:eastAsia="宋体"/>
                      <w:color w:val="auto"/>
                      <w:position w:val="-5"/>
                      <w:sz w:val="21"/>
                      <w:lang w:val="en-US" w:eastAsia="zh-CN"/>
                    </w:rPr>
                    <w:t>51</w:t>
                  </w:r>
                </w:p>
              </w:tc>
              <w:tc>
                <w:tcPr>
                  <w:tcW w:w="1412" w:type="pct"/>
                  <w:vMerge w:val="restart"/>
                  <w:noWrap w:val="0"/>
                  <w:vAlign w:val="center"/>
                </w:tcPr>
                <w:p>
                  <w:pPr>
                    <w:pStyle w:val="92"/>
                    <w:spacing w:before="58"/>
                    <w:ind w:left="73" w:right="53"/>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生活污水、纯水制备废水一起进入预处理池处理后排入市政污水管网</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1938" w:type="pct"/>
                  <w:gridSpan w:val="4"/>
                  <w:noWrap w:val="0"/>
                  <w:vAlign w:val="center"/>
                </w:tcPr>
                <w:p>
                  <w:pPr>
                    <w:pStyle w:val="92"/>
                    <w:spacing w:before="90"/>
                    <w:ind w:left="102" w:right="84"/>
                    <w:jc w:val="center"/>
                    <w:rPr>
                      <w:rFonts w:hint="eastAsia" w:ascii="Times New Roman" w:hAnsi="Times New Roman" w:eastAsia="宋体"/>
                      <w:color w:val="auto"/>
                      <w:sz w:val="21"/>
                      <w:lang w:eastAsia="zh-CN"/>
                    </w:rPr>
                  </w:pPr>
                  <w:r>
                    <w:rPr>
                      <w:rFonts w:hint="eastAsia" w:ascii="Times New Roman" w:hAnsi="Times New Roman" w:eastAsia="宋体"/>
                      <w:b/>
                      <w:bCs/>
                      <w:color w:val="auto"/>
                      <w:sz w:val="21"/>
                      <w:lang w:eastAsia="zh-CN"/>
                    </w:rPr>
                    <w:t>生活用水及废水排放小计</w:t>
                  </w:r>
                </w:p>
              </w:tc>
              <w:tc>
                <w:tcPr>
                  <w:tcW w:w="616" w:type="pct"/>
                  <w:noWrap w:val="0"/>
                  <w:vAlign w:val="center"/>
                </w:tcPr>
                <w:p>
                  <w:pPr>
                    <w:pStyle w:val="92"/>
                    <w:spacing w:before="99"/>
                    <w:ind w:left="189" w:right="17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60</w:t>
                  </w:r>
                </w:p>
              </w:tc>
              <w:tc>
                <w:tcPr>
                  <w:tcW w:w="459" w:type="pct"/>
                  <w:noWrap w:val="0"/>
                  <w:vAlign w:val="center"/>
                </w:tcPr>
                <w:p>
                  <w:pPr>
                    <w:pStyle w:val="92"/>
                    <w:spacing w:before="99"/>
                    <w:ind w:left="153" w:right="136"/>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w:t>
                  </w:r>
                </w:p>
              </w:tc>
              <w:tc>
                <w:tcPr>
                  <w:tcW w:w="573" w:type="pct"/>
                  <w:noWrap w:val="0"/>
                  <w:vAlign w:val="center"/>
                </w:tcPr>
                <w:p>
                  <w:pPr>
                    <w:pStyle w:val="92"/>
                    <w:ind w:left="120" w:right="103"/>
                    <w:jc w:val="center"/>
                    <w:rPr>
                      <w:rFonts w:hint="default" w:ascii="Times New Roman" w:hAnsi="Times New Roman" w:eastAsia="宋体"/>
                      <w:color w:val="auto"/>
                      <w:position w:val="-5"/>
                      <w:sz w:val="21"/>
                      <w:lang w:val="en-US" w:eastAsia="zh-CN"/>
                    </w:rPr>
                  </w:pPr>
                  <w:r>
                    <w:rPr>
                      <w:rFonts w:hint="eastAsia" w:ascii="Times New Roman" w:hAnsi="Times New Roman" w:eastAsia="宋体"/>
                      <w:color w:val="auto"/>
                      <w:position w:val="-5"/>
                      <w:sz w:val="21"/>
                      <w:lang w:val="en-US" w:eastAsia="zh-CN"/>
                    </w:rPr>
                    <w:t>51</w:t>
                  </w:r>
                </w:p>
              </w:tc>
              <w:tc>
                <w:tcPr>
                  <w:tcW w:w="1412" w:type="pct"/>
                  <w:vMerge w:val="continue"/>
                  <w:noWrap w:val="0"/>
                  <w:vAlign w:val="center"/>
                </w:tcPr>
                <w:p>
                  <w:pPr>
                    <w:pStyle w:val="92"/>
                    <w:spacing w:before="58"/>
                    <w:ind w:left="73" w:right="53"/>
                    <w:jc w:val="center"/>
                    <w:rPr>
                      <w:rFonts w:hint="eastAsia" w:ascii="Times New Roman" w:hAnsi="Times New Roman" w:eastAsia="宋体"/>
                      <w:color w:val="auto"/>
                      <w:sz w:val="21"/>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715" w:type="pct"/>
                  <w:noWrap w:val="0"/>
                  <w:vAlign w:val="center"/>
                </w:tcPr>
                <w:p>
                  <w:pPr>
                    <w:pStyle w:val="92"/>
                    <w:spacing w:before="37" w:line="208" w:lineRule="exact"/>
                    <w:ind w:left="73" w:right="53"/>
                    <w:jc w:val="center"/>
                    <w:rPr>
                      <w:rFonts w:ascii="Times New Roman" w:hAnsi="Times New Roman" w:eastAsia="宋体"/>
                      <w:color w:val="auto"/>
                      <w:sz w:val="21"/>
                    </w:rPr>
                  </w:pPr>
                  <w:r>
                    <w:rPr>
                      <w:rFonts w:ascii="Times New Roman" w:hAnsi="Times New Roman" w:eastAsia="宋体"/>
                      <w:color w:val="auto"/>
                      <w:sz w:val="21"/>
                    </w:rPr>
                    <w:t>纯水制备</w:t>
                  </w:r>
                  <w:r>
                    <w:rPr>
                      <w:rFonts w:hint="eastAsia" w:ascii="Times New Roman" w:hAnsi="Times New Roman" w:eastAsia="宋体"/>
                      <w:color w:val="auto"/>
                      <w:sz w:val="21"/>
                      <w:lang w:eastAsia="zh-CN"/>
                    </w:rPr>
                    <w:t>用</w:t>
                  </w:r>
                  <w:r>
                    <w:rPr>
                      <w:rFonts w:ascii="Times New Roman" w:hAnsi="Times New Roman" w:eastAsia="宋体"/>
                      <w:color w:val="auto"/>
                      <w:sz w:val="21"/>
                    </w:rPr>
                    <w:t>水</w:t>
                  </w:r>
                </w:p>
              </w:tc>
              <w:tc>
                <w:tcPr>
                  <w:tcW w:w="332" w:type="pct"/>
                  <w:noWrap w:val="0"/>
                  <w:vAlign w:val="center"/>
                </w:tcPr>
                <w:p>
                  <w:pPr>
                    <w:pStyle w:val="92"/>
                    <w:ind w:left="120" w:right="103"/>
                    <w:jc w:val="center"/>
                    <w:rPr>
                      <w:rFonts w:ascii="Times New Roman" w:hAnsi="Times New Roman" w:eastAsia="宋体"/>
                      <w:b w:val="0"/>
                      <w:bCs w:val="0"/>
                      <w:color w:val="auto"/>
                      <w:position w:val="-5"/>
                      <w:sz w:val="21"/>
                    </w:rPr>
                  </w:pPr>
                  <w:r>
                    <w:rPr>
                      <w:rFonts w:hint="eastAsia" w:ascii="Times New Roman" w:hAnsi="Times New Roman"/>
                      <w:b w:val="0"/>
                      <w:bCs w:val="0"/>
                      <w:color w:val="auto"/>
                      <w:sz w:val="21"/>
                      <w:lang w:val="en-US" w:eastAsia="zh-CN"/>
                    </w:rPr>
                    <w:t>m</w:t>
                  </w:r>
                  <w:r>
                    <w:rPr>
                      <w:rFonts w:hint="eastAsia" w:ascii="Times New Roman" w:hAnsi="Times New Roman"/>
                      <w:b w:val="0"/>
                      <w:bCs w:val="0"/>
                      <w:color w:val="auto"/>
                      <w:sz w:val="21"/>
                      <w:vertAlign w:val="superscript"/>
                      <w:lang w:val="en-US" w:eastAsia="zh-CN"/>
                    </w:rPr>
                    <w:t>3</w:t>
                  </w:r>
                </w:p>
              </w:tc>
              <w:tc>
                <w:tcPr>
                  <w:tcW w:w="889" w:type="pct"/>
                  <w:gridSpan w:val="2"/>
                  <w:noWrap w:val="0"/>
                  <w:vAlign w:val="center"/>
                </w:tcPr>
                <w:p>
                  <w:pPr>
                    <w:pStyle w:val="92"/>
                    <w:spacing w:before="49" w:line="196" w:lineRule="exact"/>
                    <w:ind w:left="16"/>
                    <w:jc w:val="center"/>
                    <w:rPr>
                      <w:rFonts w:ascii="Times New Roman" w:hAnsi="Times New Roman" w:eastAsia="宋体"/>
                      <w:color w:val="auto"/>
                      <w:sz w:val="21"/>
                    </w:rPr>
                  </w:pPr>
                  <w:r>
                    <w:rPr>
                      <w:rFonts w:hint="eastAsia" w:ascii="Times New Roman" w:hAnsi="Times New Roman" w:eastAsia="宋体" w:cs="Times New Roman"/>
                      <w:color w:val="auto"/>
                      <w:sz w:val="21"/>
                      <w:szCs w:val="21"/>
                      <w:lang w:val="en-US" w:eastAsia="zh-CN"/>
                    </w:rPr>
                    <w:t>/</w:t>
                  </w:r>
                </w:p>
              </w:tc>
              <w:tc>
                <w:tcPr>
                  <w:tcW w:w="616" w:type="pct"/>
                  <w:noWrap w:val="0"/>
                  <w:vAlign w:val="center"/>
                </w:tcPr>
                <w:p>
                  <w:pPr>
                    <w:pStyle w:val="92"/>
                    <w:spacing w:before="49" w:line="196" w:lineRule="exact"/>
                    <w:ind w:left="186" w:right="170"/>
                    <w:jc w:val="center"/>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840</w:t>
                  </w:r>
                </w:p>
              </w:tc>
              <w:tc>
                <w:tcPr>
                  <w:tcW w:w="459" w:type="pct"/>
                  <w:noWrap w:val="0"/>
                  <w:vAlign w:val="center"/>
                </w:tcPr>
                <w:p>
                  <w:pPr>
                    <w:pStyle w:val="92"/>
                    <w:spacing w:before="90"/>
                    <w:ind w:left="73" w:right="53"/>
                    <w:jc w:val="center"/>
                    <w:rPr>
                      <w:rFonts w:ascii="Times New Roman" w:hAnsi="Times New Roman" w:eastAsia="宋体"/>
                      <w:color w:val="auto"/>
                      <w:sz w:val="21"/>
                    </w:rPr>
                  </w:pPr>
                  <w:r>
                    <w:rPr>
                      <w:rFonts w:ascii="Times New Roman" w:hAnsi="Times New Roman" w:eastAsia="宋体"/>
                      <w:color w:val="auto"/>
                      <w:sz w:val="21"/>
                    </w:rPr>
                    <w:t>/</w:t>
                  </w:r>
                </w:p>
              </w:tc>
              <w:tc>
                <w:tcPr>
                  <w:tcW w:w="573" w:type="pct"/>
                  <w:noWrap w:val="0"/>
                  <w:vAlign w:val="center"/>
                </w:tcPr>
                <w:p>
                  <w:pPr>
                    <w:pStyle w:val="92"/>
                    <w:spacing w:before="90"/>
                    <w:ind w:left="73" w:right="53"/>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240</w:t>
                  </w:r>
                </w:p>
              </w:tc>
              <w:tc>
                <w:tcPr>
                  <w:tcW w:w="1412" w:type="pct"/>
                  <w:vMerge w:val="continue"/>
                  <w:noWrap w:val="0"/>
                  <w:vAlign w:val="center"/>
                </w:tcPr>
                <w:p>
                  <w:pPr>
                    <w:pStyle w:val="92"/>
                    <w:spacing w:before="45" w:line="292" w:lineRule="auto"/>
                    <w:ind w:left="192" w:right="170"/>
                    <w:jc w:val="center"/>
                    <w:rPr>
                      <w:rFonts w:ascii="Times New Roman" w:hAnsi="Times New Roman" w:eastAsia="宋体"/>
                      <w:color w:val="auto"/>
                      <w:sz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715" w:type="pct"/>
                  <w:noWrap w:val="0"/>
                  <w:vAlign w:val="center"/>
                </w:tcPr>
                <w:p>
                  <w:pPr>
                    <w:pStyle w:val="92"/>
                    <w:spacing w:before="58"/>
                    <w:ind w:left="73" w:right="53"/>
                    <w:jc w:val="center"/>
                    <w:rPr>
                      <w:rFonts w:hint="eastAsia" w:ascii="Times New Roman" w:hAnsi="Times New Roman" w:eastAsia="宋体"/>
                      <w:color w:val="auto"/>
                      <w:sz w:val="21"/>
                      <w:lang w:eastAsia="zh-CN"/>
                    </w:rPr>
                  </w:pPr>
                  <w:r>
                    <w:rPr>
                      <w:rFonts w:hint="eastAsia" w:ascii="Times New Roman" w:hAnsi="Times New Roman" w:eastAsia="宋体"/>
                      <w:color w:val="auto"/>
                      <w:sz w:val="21"/>
                    </w:rPr>
                    <w:t>玻璃原片清洗用水</w:t>
                  </w:r>
                  <w:r>
                    <w:rPr>
                      <w:rFonts w:hint="eastAsia" w:ascii="Times New Roman" w:hAnsi="Times New Roman" w:eastAsia="宋体"/>
                      <w:color w:val="auto"/>
                      <w:sz w:val="21"/>
                      <w:lang w:eastAsia="zh-CN"/>
                    </w:rPr>
                    <w:t>（纯水）</w:t>
                  </w:r>
                </w:p>
              </w:tc>
              <w:tc>
                <w:tcPr>
                  <w:tcW w:w="332" w:type="pct"/>
                  <w:noWrap w:val="0"/>
                  <w:vAlign w:val="center"/>
                </w:tcPr>
                <w:p>
                  <w:pPr>
                    <w:pStyle w:val="92"/>
                    <w:spacing w:before="58"/>
                    <w:ind w:left="73" w:right="53"/>
                    <w:jc w:val="center"/>
                    <w:rPr>
                      <w:rFonts w:hint="eastAsia" w:ascii="Times New Roman" w:hAnsi="Times New Roman" w:eastAsia="宋体"/>
                      <w:b w:val="0"/>
                      <w:bCs w:val="0"/>
                      <w:color w:val="auto"/>
                      <w:position w:val="-5"/>
                      <w:sz w:val="21"/>
                    </w:rPr>
                  </w:pPr>
                  <w:r>
                    <w:rPr>
                      <w:rFonts w:hint="eastAsia" w:ascii="Times New Roman" w:hAnsi="Times New Roman"/>
                      <w:b w:val="0"/>
                      <w:bCs w:val="0"/>
                      <w:color w:val="auto"/>
                      <w:sz w:val="21"/>
                      <w:lang w:val="en-US" w:eastAsia="zh-CN"/>
                    </w:rPr>
                    <w:t>m</w:t>
                  </w:r>
                  <w:r>
                    <w:rPr>
                      <w:rFonts w:hint="eastAsia" w:ascii="Times New Roman" w:hAnsi="Times New Roman"/>
                      <w:b w:val="0"/>
                      <w:bCs w:val="0"/>
                      <w:color w:val="auto"/>
                      <w:sz w:val="21"/>
                      <w:vertAlign w:val="superscript"/>
                      <w:lang w:val="en-US" w:eastAsia="zh-CN"/>
                    </w:rPr>
                    <w:t>3</w:t>
                  </w:r>
                </w:p>
              </w:tc>
              <w:tc>
                <w:tcPr>
                  <w:tcW w:w="889" w:type="pct"/>
                  <w:gridSpan w:val="2"/>
                  <w:noWrap w:val="0"/>
                  <w:vAlign w:val="center"/>
                </w:tcPr>
                <w:p>
                  <w:pPr>
                    <w:pStyle w:val="92"/>
                    <w:spacing w:before="58"/>
                    <w:ind w:left="73" w:right="53"/>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1</w:t>
                  </w:r>
                  <w:r>
                    <w:rPr>
                      <w:rFonts w:hint="eastAsia" w:ascii="Times New Roman" w:hAnsi="Times New Roman"/>
                      <w:color w:val="auto"/>
                      <w:sz w:val="21"/>
                      <w:lang w:val="en-US" w:eastAsia="zh-CN"/>
                    </w:rPr>
                    <w:t>m</w:t>
                  </w:r>
                  <w:r>
                    <w:rPr>
                      <w:rFonts w:hint="eastAsia" w:ascii="Times New Roman" w:hAnsi="Times New Roman"/>
                      <w:color w:val="auto"/>
                      <w:sz w:val="21"/>
                      <w:vertAlign w:val="superscript"/>
                      <w:lang w:val="en-US" w:eastAsia="zh-CN"/>
                    </w:rPr>
                    <w:t>2</w:t>
                  </w:r>
                  <w:r>
                    <w:rPr>
                      <w:rFonts w:hint="eastAsia" w:ascii="Times New Roman" w:hAnsi="Times New Roman" w:eastAsia="宋体"/>
                      <w:color w:val="auto"/>
                      <w:sz w:val="21"/>
                      <w:lang w:val="en-US" w:eastAsia="zh-CN"/>
                    </w:rPr>
                    <w:t>玻璃原片需要0.0</w:t>
                  </w:r>
                  <w:r>
                    <w:rPr>
                      <w:rFonts w:hint="eastAsia" w:ascii="Times New Roman" w:hAnsi="Times New Roman"/>
                      <w:color w:val="auto"/>
                      <w:sz w:val="21"/>
                      <w:lang w:val="en-US" w:eastAsia="zh-CN"/>
                    </w:rPr>
                    <w:t>05</w:t>
                  </w:r>
                  <w:r>
                    <w:rPr>
                      <w:rFonts w:hint="eastAsia" w:ascii="Times New Roman" w:hAnsi="Times New Roman"/>
                      <w:b w:val="0"/>
                      <w:bCs w:val="0"/>
                      <w:color w:val="auto"/>
                      <w:sz w:val="21"/>
                      <w:lang w:val="en-US" w:eastAsia="zh-CN"/>
                    </w:rPr>
                    <w:t>m</w:t>
                  </w:r>
                  <w:r>
                    <w:rPr>
                      <w:rFonts w:hint="eastAsia" w:ascii="Times New Roman" w:hAnsi="Times New Roman"/>
                      <w:b w:val="0"/>
                      <w:bCs w:val="0"/>
                      <w:color w:val="auto"/>
                      <w:sz w:val="21"/>
                      <w:vertAlign w:val="superscript"/>
                      <w:lang w:val="en-US" w:eastAsia="zh-CN"/>
                    </w:rPr>
                    <w:t>3</w:t>
                  </w:r>
                  <w:r>
                    <w:rPr>
                      <w:rFonts w:hint="eastAsia" w:ascii="Times New Roman" w:hAnsi="Times New Roman" w:eastAsia="宋体"/>
                      <w:color w:val="auto"/>
                      <w:sz w:val="21"/>
                      <w:lang w:val="en-US" w:eastAsia="zh-CN"/>
                    </w:rPr>
                    <w:t>纯水</w:t>
                  </w:r>
                </w:p>
              </w:tc>
              <w:tc>
                <w:tcPr>
                  <w:tcW w:w="616" w:type="pct"/>
                  <w:noWrap w:val="0"/>
                  <w:vAlign w:val="center"/>
                </w:tcPr>
                <w:p>
                  <w:pPr>
                    <w:pStyle w:val="92"/>
                    <w:spacing w:before="58"/>
                    <w:ind w:left="73" w:right="53"/>
                    <w:jc w:val="center"/>
                    <w:rPr>
                      <w:rFonts w:ascii="Times New Roman" w:hAnsi="Times New Roman" w:eastAsia="宋体"/>
                      <w:color w:val="auto"/>
                      <w:sz w:val="21"/>
                    </w:rPr>
                  </w:pPr>
                  <w:r>
                    <w:rPr>
                      <w:rFonts w:hint="eastAsia" w:ascii="Times New Roman" w:hAnsi="Times New Roman"/>
                      <w:color w:val="auto"/>
                      <w:sz w:val="21"/>
                      <w:lang w:val="en-US" w:eastAsia="zh-CN"/>
                    </w:rPr>
                    <w:t>600</w:t>
                  </w:r>
                  <w:r>
                    <w:rPr>
                      <w:rFonts w:ascii="Times New Roman" w:hAnsi="Times New Roman" w:eastAsia="宋体"/>
                      <w:color w:val="auto"/>
                      <w:sz w:val="21"/>
                    </w:rPr>
                    <w:t>(纯水)</w:t>
                  </w:r>
                </w:p>
              </w:tc>
              <w:tc>
                <w:tcPr>
                  <w:tcW w:w="459" w:type="pct"/>
                  <w:noWrap w:val="0"/>
                  <w:vAlign w:val="center"/>
                </w:tcPr>
                <w:p>
                  <w:pPr>
                    <w:pStyle w:val="92"/>
                    <w:spacing w:before="58"/>
                    <w:ind w:left="73" w:right="53"/>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573" w:type="pct"/>
                  <w:noWrap w:val="0"/>
                  <w:vAlign w:val="center"/>
                </w:tcPr>
                <w:p>
                  <w:pPr>
                    <w:pStyle w:val="92"/>
                    <w:spacing w:before="58"/>
                    <w:ind w:left="73" w:right="53"/>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412" w:type="pct"/>
                  <w:noWrap w:val="0"/>
                  <w:vAlign w:val="center"/>
                </w:tcPr>
                <w:p>
                  <w:pPr>
                    <w:pStyle w:val="92"/>
                    <w:spacing w:before="58"/>
                    <w:ind w:right="53"/>
                    <w:jc w:val="center"/>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沉淀池处理后回用，不外排</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1938" w:type="pct"/>
                  <w:gridSpan w:val="4"/>
                  <w:noWrap w:val="0"/>
                  <w:vAlign w:val="center"/>
                </w:tcPr>
                <w:p>
                  <w:pPr>
                    <w:pStyle w:val="92"/>
                    <w:spacing w:before="20" w:line="227" w:lineRule="exact"/>
                    <w:ind w:left="188" w:right="173"/>
                    <w:jc w:val="center"/>
                    <w:rPr>
                      <w:rFonts w:ascii="Times New Roman" w:hAnsi="Times New Roman" w:eastAsia="宋体" w:cs="Times New Roman"/>
                      <w:b/>
                      <w:bCs/>
                      <w:color w:val="auto"/>
                      <w:sz w:val="21"/>
                      <w:lang w:eastAsia="zh-CN"/>
                    </w:rPr>
                  </w:pPr>
                  <w:r>
                    <w:rPr>
                      <w:rFonts w:hint="eastAsia" w:ascii="Times New Roman" w:hAnsi="Times New Roman" w:eastAsia="宋体" w:cs="Times New Roman"/>
                      <w:b/>
                      <w:bCs/>
                      <w:color w:val="auto"/>
                      <w:sz w:val="21"/>
                      <w:lang w:eastAsia="zh-CN"/>
                    </w:rPr>
                    <w:t>纯水</w:t>
                  </w:r>
                  <w:r>
                    <w:rPr>
                      <w:rFonts w:ascii="Times New Roman" w:hAnsi="Times New Roman" w:eastAsia="宋体" w:cs="Times New Roman"/>
                      <w:b/>
                      <w:bCs/>
                      <w:color w:val="auto"/>
                      <w:sz w:val="21"/>
                      <w:lang w:eastAsia="zh-CN"/>
                    </w:rPr>
                    <w:t>小计</w:t>
                  </w:r>
                </w:p>
              </w:tc>
              <w:tc>
                <w:tcPr>
                  <w:tcW w:w="616" w:type="pct"/>
                  <w:noWrap w:val="0"/>
                  <w:vAlign w:val="center"/>
                </w:tcPr>
                <w:p>
                  <w:pPr>
                    <w:pStyle w:val="92"/>
                    <w:spacing w:before="20" w:line="227" w:lineRule="exact"/>
                    <w:ind w:left="188" w:right="173"/>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600</w:t>
                  </w:r>
                </w:p>
              </w:tc>
              <w:tc>
                <w:tcPr>
                  <w:tcW w:w="459" w:type="pct"/>
                  <w:noWrap w:val="0"/>
                  <w:vAlign w:val="center"/>
                </w:tcPr>
                <w:p>
                  <w:pPr>
                    <w:pStyle w:val="92"/>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w:t>
                  </w:r>
                </w:p>
              </w:tc>
              <w:tc>
                <w:tcPr>
                  <w:tcW w:w="573" w:type="pct"/>
                  <w:noWrap w:val="0"/>
                  <w:vAlign w:val="center"/>
                </w:tcPr>
                <w:p>
                  <w:pPr>
                    <w:pStyle w:val="92"/>
                    <w:spacing w:before="64"/>
                    <w:ind w:left="20"/>
                    <w:jc w:val="center"/>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w:t>
                  </w:r>
                </w:p>
              </w:tc>
              <w:tc>
                <w:tcPr>
                  <w:tcW w:w="1412" w:type="pct"/>
                  <w:noWrap w:val="0"/>
                  <w:vAlign w:val="center"/>
                </w:tcPr>
                <w:p>
                  <w:pPr>
                    <w:pStyle w:val="92"/>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1938" w:type="pct"/>
                  <w:gridSpan w:val="4"/>
                  <w:noWrap w:val="0"/>
                  <w:vAlign w:val="center"/>
                </w:tcPr>
                <w:p>
                  <w:pPr>
                    <w:pStyle w:val="92"/>
                    <w:spacing w:before="20" w:line="227" w:lineRule="exact"/>
                    <w:ind w:left="188" w:right="173"/>
                    <w:jc w:val="center"/>
                    <w:rPr>
                      <w:rFonts w:hint="eastAsia" w:ascii="Times New Roman" w:hAnsi="Times New Roman" w:eastAsia="宋体" w:cs="Times New Roman"/>
                      <w:b/>
                      <w:bCs/>
                      <w:color w:val="auto"/>
                      <w:sz w:val="21"/>
                      <w:lang w:eastAsia="zh-CN"/>
                    </w:rPr>
                  </w:pPr>
                  <w:r>
                    <w:rPr>
                      <w:rFonts w:hint="eastAsia" w:ascii="Times New Roman" w:hAnsi="Times New Roman" w:eastAsia="宋体" w:cs="Times New Roman"/>
                      <w:b/>
                      <w:bCs/>
                      <w:color w:val="auto"/>
                      <w:sz w:val="21"/>
                      <w:lang w:eastAsia="zh-CN"/>
                    </w:rPr>
                    <w:t>项目生产用水及废水排放小计</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459" w:type="pct"/>
                  <w:noWrap w:val="0"/>
                  <w:vAlign w:val="center"/>
                </w:tcPr>
                <w:p>
                  <w:pPr>
                    <w:keepNext w:val="0"/>
                    <w:keepLines w:val="0"/>
                    <w:widowControl/>
                    <w:suppressLineNumbers w:val="0"/>
                    <w:jc w:val="center"/>
                    <w:textAlignment w:val="center"/>
                    <w:rPr>
                      <w:rFonts w:hint="eastAsia" w:ascii="Times New Roman" w:hAnsi="Times New Roman" w:eastAsia="宋体"/>
                      <w:color w:val="auto"/>
                      <w:sz w:val="21"/>
                      <w:lang w:eastAsia="zh-CN"/>
                    </w:rPr>
                  </w:pPr>
                  <w:r>
                    <w:rPr>
                      <w:rFonts w:hint="eastAsia" w:ascii="Times New Roman" w:hAnsi="Times New Roman" w:eastAsia="宋体" w:cs="宋体"/>
                      <w:i w:val="0"/>
                      <w:iCs w:val="0"/>
                      <w:color w:val="auto"/>
                      <w:kern w:val="0"/>
                      <w:sz w:val="21"/>
                      <w:szCs w:val="20"/>
                      <w:u w:val="none"/>
                      <w:lang w:val="en-US" w:eastAsia="zh-CN" w:bidi="ar"/>
                    </w:rPr>
                    <w:t>/</w:t>
                  </w:r>
                </w:p>
              </w:tc>
              <w:tc>
                <w:tcPr>
                  <w:tcW w:w="573"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1412" w:type="pct"/>
                  <w:noWrap w:val="0"/>
                  <w:vAlign w:val="center"/>
                </w:tcPr>
                <w:p>
                  <w:pPr>
                    <w:pStyle w:val="92"/>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2" w:space="0"/>
                </w:tblBorders>
                <w:tblCellMar>
                  <w:top w:w="0" w:type="dxa"/>
                  <w:left w:w="0" w:type="dxa"/>
                  <w:bottom w:w="0" w:type="dxa"/>
                  <w:right w:w="0" w:type="dxa"/>
                </w:tblCellMar>
              </w:tblPrEx>
              <w:trPr>
                <w:trHeight w:val="454" w:hRule="atLeast"/>
                <w:jc w:val="center"/>
              </w:trPr>
              <w:tc>
                <w:tcPr>
                  <w:tcW w:w="1938" w:type="pct"/>
                  <w:gridSpan w:val="4"/>
                  <w:noWrap w:val="0"/>
                  <w:vAlign w:val="center"/>
                </w:tcPr>
                <w:p>
                  <w:pPr>
                    <w:pStyle w:val="92"/>
                    <w:spacing w:before="20" w:line="227" w:lineRule="exact"/>
                    <w:ind w:left="188" w:right="173"/>
                    <w:jc w:val="center"/>
                    <w:rPr>
                      <w:rFonts w:ascii="Times New Roman" w:hAnsi="Times New Roman" w:eastAsia="宋体" w:cs="Times New Roman"/>
                      <w:b/>
                      <w:bCs/>
                      <w:color w:val="auto"/>
                      <w:sz w:val="21"/>
                      <w:lang w:eastAsia="zh-CN"/>
                    </w:rPr>
                  </w:pPr>
                  <w:r>
                    <w:rPr>
                      <w:rFonts w:hint="eastAsia" w:ascii="Times New Roman" w:hAnsi="Times New Roman" w:eastAsia="宋体" w:cs="Times New Roman"/>
                      <w:b/>
                      <w:bCs/>
                      <w:color w:val="auto"/>
                      <w:sz w:val="21"/>
                      <w:lang w:eastAsia="zh-CN"/>
                    </w:rPr>
                    <w:t>自来水</w:t>
                  </w:r>
                  <w:r>
                    <w:rPr>
                      <w:rFonts w:ascii="Times New Roman" w:hAnsi="Times New Roman" w:eastAsia="宋体" w:cs="Times New Roman"/>
                      <w:b/>
                      <w:bCs/>
                      <w:color w:val="auto"/>
                      <w:sz w:val="21"/>
                      <w:lang w:eastAsia="zh-CN"/>
                    </w:rPr>
                    <w:t>合计</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900</w:t>
                  </w:r>
                </w:p>
              </w:tc>
              <w:tc>
                <w:tcPr>
                  <w:tcW w:w="459" w:type="pct"/>
                  <w:noWrap w:val="0"/>
                  <w:vAlign w:val="center"/>
                </w:tcPr>
                <w:p>
                  <w:pPr>
                    <w:keepNext w:val="0"/>
                    <w:keepLines w:val="0"/>
                    <w:widowControl/>
                    <w:suppressLineNumbers w:val="0"/>
                    <w:jc w:val="center"/>
                    <w:textAlignment w:val="center"/>
                    <w:rPr>
                      <w:rFonts w:hint="eastAsia" w:ascii="Times New Roman" w:hAnsi="Times New Roman" w:eastAsia="宋体"/>
                      <w:color w:val="auto"/>
                      <w:sz w:val="21"/>
                      <w:lang w:eastAsia="zh-CN"/>
                    </w:rPr>
                  </w:pPr>
                  <w:r>
                    <w:rPr>
                      <w:rFonts w:hint="default" w:ascii="Times New Roman" w:hAnsi="Times New Roman" w:eastAsia="宋体" w:cs="Times New Roman"/>
                      <w:i w:val="0"/>
                      <w:iCs w:val="0"/>
                      <w:color w:val="auto"/>
                      <w:kern w:val="0"/>
                      <w:sz w:val="21"/>
                      <w:szCs w:val="20"/>
                      <w:u w:val="none"/>
                      <w:lang w:val="en-US" w:eastAsia="zh-CN" w:bidi="ar"/>
                    </w:rPr>
                    <w:t>/</w:t>
                  </w:r>
                </w:p>
              </w:tc>
              <w:tc>
                <w:tcPr>
                  <w:tcW w:w="573"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21"/>
                      <w:lang w:val="en-US" w:eastAsia="zh-CN"/>
                    </w:rPr>
                  </w:pPr>
                  <w:r>
                    <w:rPr>
                      <w:rFonts w:hint="eastAsia"/>
                      <w:color w:val="auto"/>
                      <w:sz w:val="21"/>
                      <w:lang w:val="en-US" w:eastAsia="zh-CN"/>
                    </w:rPr>
                    <w:t>291</w:t>
                  </w:r>
                </w:p>
              </w:tc>
              <w:tc>
                <w:tcPr>
                  <w:tcW w:w="1412" w:type="pct"/>
                  <w:noWrap w:val="0"/>
                  <w:vAlign w:val="center"/>
                </w:tcPr>
                <w:p>
                  <w:pPr>
                    <w:pStyle w:val="92"/>
                    <w:jc w:val="center"/>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w:t>
                  </w:r>
                </w:p>
              </w:tc>
            </w:tr>
          </w:tbl>
          <w:p>
            <w:pPr>
              <w:spacing w:line="360" w:lineRule="auto"/>
              <w:ind w:firstLine="482" w:firstLineChars="200"/>
              <w:rPr>
                <w:b/>
                <w:color w:val="auto"/>
                <w:kern w:val="24"/>
                <w:sz w:val="24"/>
                <w:szCs w:val="24"/>
              </w:rPr>
            </w:pPr>
            <w:r>
              <w:rPr>
                <w:rFonts w:hint="eastAsia"/>
                <w:b/>
                <w:color w:val="auto"/>
                <w:kern w:val="24"/>
                <w:sz w:val="24"/>
                <w:szCs w:val="24"/>
              </w:rPr>
              <w:t>③水平衡图</w:t>
            </w:r>
          </w:p>
          <w:p>
            <w:pPr>
              <w:spacing w:line="360" w:lineRule="auto"/>
              <w:ind w:firstLine="480" w:firstLineChars="200"/>
              <w:rPr>
                <w:color w:val="auto"/>
                <w:kern w:val="24"/>
                <w:sz w:val="24"/>
                <w:szCs w:val="24"/>
              </w:rPr>
            </w:pPr>
            <w:r>
              <w:rPr>
                <w:rFonts w:hint="eastAsia"/>
                <w:color w:val="auto"/>
                <w:kern w:val="24"/>
                <w:sz w:val="24"/>
                <w:szCs w:val="24"/>
              </w:rPr>
              <w:t>本项目水量平衡见下图：</w:t>
            </w:r>
          </w:p>
          <w:p>
            <w:pPr>
              <w:spacing w:line="360" w:lineRule="auto"/>
              <w:jc w:val="center"/>
              <w:rPr>
                <w:rFonts w:eastAsia="黑体" w:cstheme="minorHAnsi"/>
                <w:szCs w:val="21"/>
              </w:rPr>
            </w:pPr>
            <w:r>
              <mc:AlternateContent>
                <mc:Choice Requires="wps">
                  <w:drawing>
                    <wp:anchor distT="0" distB="0" distL="114300" distR="114300" simplePos="0" relativeHeight="251663360" behindDoc="0" locked="0" layoutInCell="1" allowOverlap="1">
                      <wp:simplePos x="0" y="0"/>
                      <wp:positionH relativeFrom="column">
                        <wp:posOffset>3070860</wp:posOffset>
                      </wp:positionH>
                      <wp:positionV relativeFrom="paragraph">
                        <wp:posOffset>1344930</wp:posOffset>
                      </wp:positionV>
                      <wp:extent cx="819785" cy="2794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20244" cy="2796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损耗</w:t>
                                  </w:r>
                                  <w:r>
                                    <w:rPr>
                                      <w:rFonts w:hint="eastAsia" w:cs="Times New Roman"/>
                                      <w:lang w:val="en-US" w:eastAsia="zh-CN"/>
                                    </w:rPr>
                                    <w:t>600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pt;margin-top:105.9pt;height:22pt;width:64.55pt;z-index:251663360;mso-width-relative:page;mso-height-relative:page;" filled="f" stroked="f" coordsize="21600,21600" o:gfxdata="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yjVs2wAAAAsBAAAPAAAAAAAAAAEAIAAAACIAAABk&#10;cnMvZG93bnJldi54bWxQSwECFAAUAAAACACHTuJAZt3LgzwCAABnBAAADgAAAAAAAAABACAAAAAq&#10;AQAAZHJzL2Uyb0RvYy54bWxQSwUGAAAAAAYABgBZAQAA2A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损耗</w:t>
                            </w:r>
                            <w:r>
                              <w:rPr>
                                <w:rFonts w:hint="eastAsia" w:cs="Times New Roman"/>
                                <w:lang w:val="en-US" w:eastAsia="zh-CN"/>
                              </w:rPr>
                              <w:t>600</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4409440</wp:posOffset>
                      </wp:positionH>
                      <wp:positionV relativeFrom="paragraph">
                        <wp:posOffset>2101850</wp:posOffset>
                      </wp:positionV>
                      <wp:extent cx="3810" cy="314960"/>
                      <wp:effectExtent l="34925" t="0" r="37465" b="8890"/>
                      <wp:wrapNone/>
                      <wp:docPr id="37" name="直接箭头连接符 21"/>
                      <wp:cNvGraphicFramePr/>
                      <a:graphic xmlns:a="http://schemas.openxmlformats.org/drawingml/2006/main">
                        <a:graphicData uri="http://schemas.microsoft.com/office/word/2010/wordprocessingShape">
                          <wps:wsp>
                            <wps:cNvCnPr/>
                            <wps:spPr>
                              <a:xfrm>
                                <a:off x="0" y="0"/>
                                <a:ext cx="3810" cy="314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1" o:spid="_x0000_s1026" o:spt="32" type="#_x0000_t32" style="position:absolute;left:0pt;margin-left:347.2pt;margin-top:165.5pt;height:24.8pt;width:0.3pt;z-index:251664384;mso-width-relative:page;mso-height-relative:page;" filled="f" stroked="t" coordsize="21600,21600" o:gfxdata="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nnJI2wAAAAsBAAAPAAAA&#10;AAAAAAEAIAAAACIAAABkcnMvZG93bnJldi54bWxQSwECFAAUAAAACACHTuJAFHMEcxICAAD4AwAA&#10;DgAAAAAAAAABACAAAAAqAQAAZHJzL2Uyb0RvYy54bWxQSwUGAAAAAAYABgBZAQAArgUAAAAA&#10;">
                      <v:fill on="f" focussize="0,0"/>
                      <v:stroke color="#000000 [3213]" joinstyle="round" endarrow="block"/>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3538220</wp:posOffset>
                      </wp:positionH>
                      <wp:positionV relativeFrom="paragraph">
                        <wp:posOffset>2125980</wp:posOffset>
                      </wp:positionV>
                      <wp:extent cx="507365" cy="247015"/>
                      <wp:effectExtent l="0" t="0" r="0" b="0"/>
                      <wp:wrapNone/>
                      <wp:docPr id="39" name="文本框 30"/>
                      <wp:cNvGraphicFramePr/>
                      <a:graphic xmlns:a="http://schemas.openxmlformats.org/drawingml/2006/main">
                        <a:graphicData uri="http://schemas.microsoft.com/office/word/2010/wordprocessingShape">
                          <wps:wsp>
                            <wps:cNvSpPr txBox="1"/>
                            <wps:spPr>
                              <a:xfrm>
                                <a:off x="0" y="0"/>
                                <a:ext cx="507361" cy="2471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24000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278.6pt;margin-top:167.4pt;height:19.45pt;width:39.95pt;z-index:251666432;mso-width-relative:page;mso-height-relative:page;" filled="f" stroked="f" coordsize="21600,21600" o:gfxdata="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AQ3d3AAAAAsBAAAPAAAAAAAAAAEAIAAAACIAAABk&#10;cnMvZG93bnJldi54bWxQSwECFAAUAAAACACHTuJA4eldCjsCAABnBAAADgAAAAAAAAABACAAAAAr&#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24000</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3094990</wp:posOffset>
                      </wp:positionH>
                      <wp:positionV relativeFrom="paragraph">
                        <wp:posOffset>2084705</wp:posOffset>
                      </wp:positionV>
                      <wp:extent cx="1323340" cy="309245"/>
                      <wp:effectExtent l="38100" t="0" r="10160" b="14605"/>
                      <wp:wrapNone/>
                      <wp:docPr id="38" name="肘形连接符 38"/>
                      <wp:cNvGraphicFramePr/>
                      <a:graphic xmlns:a="http://schemas.openxmlformats.org/drawingml/2006/main">
                        <a:graphicData uri="http://schemas.microsoft.com/office/word/2010/wordprocessingShape">
                          <wps:wsp>
                            <wps:cNvCnPr>
                              <a:endCxn id="25" idx="2"/>
                            </wps:cNvCnPr>
                            <wps:spPr>
                              <a:xfrm rot="10800000">
                                <a:off x="0" y="0"/>
                                <a:ext cx="1323340" cy="309245"/>
                              </a:xfrm>
                              <a:prstGeom prst="bentConnector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43.7pt;margin-top:164.15pt;height:24.35pt;width:104.2pt;rotation:11796480f;z-index:251665408;mso-width-relative:page;mso-height-relative:page;" filled="f" stroked="t" coordsize="21600,21600" o:gfxdata="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Puy0NoAAAALAQAADwAAAAAAAAABACAAAAAiAAAAZHJzL2Rvd25yZXYueG1sUEsBAhQA&#10;FAAAAAgAh07iQCEfM4gpAgAAKAQAAA4AAAAAAAAAAQAgAAAAKQEAAGRycy9lMm9Eb2MueG1sUEsF&#10;BgAAAAAGAAYAWQEAAMQFAAAAAA==&#10;">
                      <v:fill on="f" focussize="0,0"/>
                      <v:stroke color="#000000 [3213]" joinstyle="round"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3086735</wp:posOffset>
                      </wp:positionH>
                      <wp:positionV relativeFrom="paragraph">
                        <wp:posOffset>1600200</wp:posOffset>
                      </wp:positionV>
                      <wp:extent cx="167640" cy="177800"/>
                      <wp:effectExtent l="4445" t="0" r="8255" b="3810"/>
                      <wp:wrapNone/>
                      <wp:docPr id="10" name="曲线连接符 10"/>
                      <wp:cNvGraphicFramePr/>
                      <a:graphic xmlns:a="http://schemas.openxmlformats.org/drawingml/2006/main">
                        <a:graphicData uri="http://schemas.microsoft.com/office/word/2010/wordprocessingShape">
                          <wps:wsp>
                            <wps:cNvCnPr/>
                            <wps:spPr>
                              <a:xfrm rot="16200000">
                                <a:off x="0" y="0"/>
                                <a:ext cx="168137" cy="177775"/>
                              </a:xfrm>
                              <a:prstGeom prst="curvedConnector3">
                                <a:avLst>
                                  <a:gd name="adj1" fmla="val 4981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margin-left:243.05pt;margin-top:126pt;height:14pt;width:13.2pt;rotation:-5898240f;z-index:251662336;mso-width-relative:page;mso-height-relative:page;" filled="f" stroked="t" coordsize="21600,21600" o:gfxdata="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JSPbAAAACwEAAA8AAAAAAAAAAQAgAAAAIgAAAGRycy9kb3ducmV2Lnht&#10;bFBLAQIUABQAAAAIAIdO4kB9CWeCLwIAAC0EAAAOAAAAAAAAAAEAIAAAACoBAABkcnMvZTJvRG9j&#10;LnhtbFBLBQYAAAAABgAGAFkBAADLBQAAAAA=&#10;" adj="10759">
                      <v:fill on="f" focussize="0,0"/>
                      <v:stroke color="#000000 [3213]" joinstyle="round" dashstyle="dash" endarrow="block"/>
                      <v:imagedata o:title=""/>
                      <o:lock v:ext="edit" aspectratio="f"/>
                    </v:shape>
                  </w:pict>
                </mc:Fallback>
              </mc:AlternateContent>
            </w:r>
            <w:r>
              <w:rPr>
                <w:sz w:val="21"/>
              </w:rPr>
              <mc:AlternateContent>
                <mc:Choice Requires="wpg">
                  <w:drawing>
                    <wp:inline distT="0" distB="0" distL="114300" distR="114300">
                      <wp:extent cx="5058410" cy="2023745"/>
                      <wp:effectExtent l="0" t="0" r="0" b="52705"/>
                      <wp:docPr id="144" name="组合 144"/>
                      <wp:cNvGraphicFramePr/>
                      <a:graphic xmlns:a="http://schemas.openxmlformats.org/drawingml/2006/main">
                        <a:graphicData uri="http://schemas.microsoft.com/office/word/2010/wordprocessingGroup">
                          <wpg:wgp>
                            <wpg:cNvGrpSpPr/>
                            <wpg:grpSpPr>
                              <a:xfrm rot="0">
                                <a:off x="521970" y="1282065"/>
                                <a:ext cx="5058321" cy="2023612"/>
                                <a:chOff x="4708" y="2751"/>
                                <a:chExt cx="9262" cy="2964"/>
                              </a:xfrm>
                            </wpg:grpSpPr>
                            <wps:wsp>
                              <wps:cNvPr id="31" name="肘形连接符 31"/>
                              <wps:cNvCnPr>
                                <a:stCxn id="13" idx="0"/>
                                <a:endCxn id="7" idx="2"/>
                              </wps:cNvCnPr>
                              <wps:spPr>
                                <a:xfrm rot="16200000">
                                  <a:off x="7908" y="3840"/>
                                  <a:ext cx="1362" cy="1408"/>
                                </a:xfrm>
                                <a:prstGeom prst="bentConnector3">
                                  <a:avLst>
                                    <a:gd name="adj1" fmla="val 50000"/>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45" name="组合 37"/>
                              <wpg:cNvGrpSpPr/>
                              <wpg:grpSpPr>
                                <a:xfrm>
                                  <a:off x="4708" y="2751"/>
                                  <a:ext cx="9262" cy="2964"/>
                                  <a:chOff x="4708" y="2751"/>
                                  <a:chExt cx="9262" cy="2964"/>
                                </a:xfrm>
                              </wpg:grpSpPr>
                              <wpg:grpSp>
                                <wpg:cNvPr id="146" name="组合 32"/>
                                <wpg:cNvGrpSpPr/>
                                <wpg:grpSpPr>
                                  <a:xfrm>
                                    <a:off x="4708" y="2751"/>
                                    <a:ext cx="9262" cy="2964"/>
                                    <a:chOff x="6805" y="2751"/>
                                    <a:chExt cx="9262" cy="2964"/>
                                  </a:xfrm>
                                </wpg:grpSpPr>
                                <wpg:grpSp>
                                  <wpg:cNvPr id="147" name="组合 78"/>
                                  <wpg:cNvGrpSpPr/>
                                  <wpg:grpSpPr>
                                    <a:xfrm rot="0">
                                      <a:off x="6805" y="2751"/>
                                      <a:ext cx="9262" cy="2964"/>
                                      <a:chOff x="5844" y="7598"/>
                                      <a:chExt cx="9262" cy="2964"/>
                                    </a:xfrm>
                                  </wpg:grpSpPr>
                                  <wps:wsp>
                                    <wps:cNvPr id="52" name="文本框 52"/>
                                    <wps:cNvSpPr txBox="1"/>
                                    <wps:spPr>
                                      <a:xfrm>
                                        <a:off x="9644" y="9898"/>
                                        <a:ext cx="927"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cs="Times New Roman"/>
                                              <w:lang w:val="en-US" w:eastAsia="zh-CN"/>
                                            </w:rPr>
                                            <w:t>600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8" name="组合 76"/>
                                    <wpg:cNvGrpSpPr/>
                                    <wpg:grpSpPr>
                                      <a:xfrm>
                                        <a:off x="5844" y="7598"/>
                                        <a:ext cx="9262" cy="2964"/>
                                        <a:chOff x="5844" y="7598"/>
                                        <a:chExt cx="9262" cy="2964"/>
                                      </a:xfrm>
                                    </wpg:grpSpPr>
                                    <wps:wsp>
                                      <wps:cNvPr id="51" name="文本框 3"/>
                                      <wps:cNvSpPr txBox="1"/>
                                      <wps:spPr>
                                        <a:xfrm>
                                          <a:off x="5844" y="8833"/>
                                          <a:ext cx="1215" cy="10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default" w:ascii="Times New Roman" w:hAnsi="Times New Roman" w:cs="Times New Roman"/>
                                                <w:lang w:eastAsia="zh-CN"/>
                                              </w:rPr>
                                            </w:pPr>
                                            <w:r>
                                              <w:rPr>
                                                <w:rFonts w:hint="default" w:ascii="Times New Roman" w:hAnsi="Times New Roman" w:cs="Times New Roman"/>
                                                <w:lang w:eastAsia="zh-CN"/>
                                              </w:rPr>
                                              <w:t>自来水</w:t>
                                            </w:r>
                                          </w:p>
                                          <w:p>
                                            <w:pPr>
                                              <w:spacing w:line="360" w:lineRule="auto"/>
                                              <w:jc w:val="center"/>
                                              <w:rPr>
                                                <w:rFonts w:hint="default" w:ascii="Times New Roman" w:hAnsi="Times New Roman" w:cs="Times New Roman" w:eastAsiaTheme="minorEastAsia"/>
                                                <w:lang w:val="en-US" w:eastAsia="zh-CN"/>
                                              </w:rPr>
                                            </w:pPr>
                                            <w:r>
                                              <w:rPr>
                                                <w:rFonts w:hint="eastAsia" w:cs="Times New Roman"/>
                                                <w:lang w:val="en-US" w:eastAsia="zh-CN"/>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4"/>
                                      <wps:cNvCnPr/>
                                      <wps:spPr>
                                        <a:xfrm flipV="1">
                                          <a:off x="5845" y="9373"/>
                                          <a:ext cx="1239" cy="1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 name="直接箭头连接符 6"/>
                                      <wps:cNvCnPr>
                                        <a:stCxn id="5" idx="3"/>
                                        <a:endCxn id="7" idx="1"/>
                                      </wps:cNvCnPr>
                                      <wps:spPr>
                                        <a:xfrm flipV="1">
                                          <a:off x="9004" y="8484"/>
                                          <a:ext cx="831"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 name="文本框 7"/>
                                      <wps:cNvSpPr txBox="1"/>
                                      <wps:spPr>
                                        <a:xfrm>
                                          <a:off x="9835" y="8258"/>
                                          <a:ext cx="1187" cy="45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预处理池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肘形连接符 19"/>
                                      <wps:cNvCnPr>
                                        <a:stCxn id="5" idx="1"/>
                                        <a:endCxn id="13" idx="1"/>
                                      </wps:cNvCnPr>
                                      <wps:spPr>
                                        <a:xfrm rot="10800000" flipH="1" flipV="1">
                                          <a:off x="7847" y="8487"/>
                                          <a:ext cx="457" cy="1830"/>
                                        </a:xfrm>
                                        <a:prstGeom prst="bentConnector3">
                                          <a:avLst>
                                            <a:gd name="adj1" fmla="val -158643"/>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49" name="组合 20"/>
                                      <wpg:cNvGrpSpPr/>
                                      <wpg:grpSpPr>
                                        <a:xfrm>
                                          <a:off x="7815" y="7598"/>
                                          <a:ext cx="1708" cy="1115"/>
                                          <a:chOff x="9600" y="7778"/>
                                          <a:chExt cx="1708" cy="1115"/>
                                        </a:xfrm>
                                      </wpg:grpSpPr>
                                      <wps:wsp>
                                        <wps:cNvPr id="5" name="文本框 5"/>
                                        <wps:cNvSpPr txBox="1"/>
                                        <wps:spPr>
                                          <a:xfrm>
                                            <a:off x="9600" y="8441"/>
                                            <a:ext cx="1206" cy="45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20"/>
                                                  <w:lang w:val="en-US" w:eastAsia="zh-CN"/>
                                                </w:rPr>
                                              </w:pPr>
                                              <w:r>
                                                <w:rPr>
                                                  <w:rFonts w:hint="eastAsia" w:ascii="Times New Roman" w:hAnsi="Times New Roman" w:cs="Times New Roman"/>
                                                  <w:sz w:val="18"/>
                                                  <w:szCs w:val="20"/>
                                                  <w:lang w:eastAsia="zh-CN"/>
                                                </w:rPr>
                                                <w:t>生活用水水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曲线连接符 8"/>
                                        <wps:cNvCnPr>
                                          <a:stCxn id="5" idx="0"/>
                                          <a:endCxn id="9" idx="2"/>
                                        </wps:cNvCnPr>
                                        <wps:spPr>
                                          <a:xfrm rot="16200000">
                                            <a:off x="10284" y="8146"/>
                                            <a:ext cx="214" cy="376"/>
                                          </a:xfrm>
                                          <a:prstGeom prst="curvedConnector3">
                                            <a:avLst>
                                              <a:gd name="adj1" fmla="val 50195"/>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 name="文本框 9"/>
                                        <wps:cNvSpPr txBox="1"/>
                                        <wps:spPr>
                                          <a:xfrm>
                                            <a:off x="9850" y="7778"/>
                                            <a:ext cx="1458" cy="4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损耗9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0" name="组合 44"/>
                                      <wpg:cNvGrpSpPr/>
                                      <wpg:grpSpPr>
                                        <a:xfrm>
                                          <a:off x="8290" y="10072"/>
                                          <a:ext cx="3979" cy="490"/>
                                          <a:chOff x="8290" y="8812"/>
                                          <a:chExt cx="3979" cy="490"/>
                                        </a:xfrm>
                                      </wpg:grpSpPr>
                                      <wps:wsp>
                                        <wps:cNvPr id="56" name="文本框 13"/>
                                        <wps:cNvSpPr txBox="1"/>
                                        <wps:spPr>
                                          <a:xfrm>
                                            <a:off x="8290" y="8812"/>
                                            <a:ext cx="1448" cy="49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default" w:ascii="Times New Roman" w:hAnsi="Times New Roman" w:eastAsia="宋体" w:cs="Times New Roman"/>
                                                  <w:sz w:val="18"/>
                                                  <w:szCs w:val="18"/>
                                                </w:rPr>
                                                <w:t>纯水制备水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箭头连接符 21"/>
                                        <wps:cNvCnPr>
                                          <a:stCxn id="13" idx="3"/>
                                          <a:endCxn id="25" idx="1"/>
                                        </wps:cNvCnPr>
                                        <wps:spPr>
                                          <a:xfrm>
                                            <a:off x="9730" y="9057"/>
                                            <a:ext cx="791"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文本框 25"/>
                                        <wps:cNvSpPr txBox="1"/>
                                        <wps:spPr>
                                          <a:xfrm>
                                            <a:off x="10521" y="8836"/>
                                            <a:ext cx="1748" cy="45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eastAsia="zh-CN"/>
                                                </w:rPr>
                                                <w:t>玻璃原片清洗用水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8" name="文本框 46"/>
                                      <wps:cNvSpPr txBox="1"/>
                                      <wps:spPr>
                                        <a:xfrm>
                                          <a:off x="7058" y="8081"/>
                                          <a:ext cx="735"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49"/>
                                      <wps:cNvSpPr txBox="1"/>
                                      <wps:spPr>
                                        <a:xfrm>
                                          <a:off x="9169" y="8066"/>
                                          <a:ext cx="786"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50"/>
                                      <wps:cNvSpPr txBox="1"/>
                                      <wps:spPr>
                                        <a:xfrm>
                                          <a:off x="7215" y="9914"/>
                                          <a:ext cx="1038"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cs="Times New Roman"/>
                                                <w:lang w:val="en-US" w:eastAsia="zh-CN"/>
                                              </w:rPr>
                                              <w:t>840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13"/>
                                      <wps:cNvSpPr txBox="1"/>
                                      <wps:spPr>
                                        <a:xfrm>
                                          <a:off x="12929" y="10017"/>
                                          <a:ext cx="1668" cy="54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lang w:val="en-US" w:eastAsia="zh-CN"/>
                                              </w:rPr>
                                            </w:pPr>
                                            <w:r>
                                              <w:rPr>
                                                <w:rFonts w:hint="eastAsia"/>
                                                <w:lang w:val="en-US"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13"/>
                                      <wps:cNvSpPr txBox="1"/>
                                      <wps:spPr>
                                        <a:xfrm>
                                          <a:off x="11690" y="8020"/>
                                          <a:ext cx="1821" cy="105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ascii="Times New Roman" w:hAnsi="Times New Roman"/>
                                                <w:b w:val="0"/>
                                                <w:color w:val="auto"/>
                                                <w:sz w:val="18"/>
                                                <w:szCs w:val="18"/>
                                                <w:lang w:val="en-US" w:eastAsia="zh-CN"/>
                                              </w:rPr>
                                              <w:t>市政污水管网（巴中经开区污水处理厂）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13"/>
                                      <wps:cNvSpPr txBox="1"/>
                                      <wps:spPr>
                                        <a:xfrm>
                                          <a:off x="14033" y="8326"/>
                                          <a:ext cx="1073" cy="45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巴河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箭头连接符 65"/>
                                      <wps:cNvCnPr>
                                        <a:stCxn id="7" idx="3"/>
                                      </wps:cNvCnPr>
                                      <wps:spPr>
                                        <a:xfrm>
                                          <a:off x="11022" y="8484"/>
                                          <a:ext cx="730" cy="1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62" idx="3"/>
                                        <a:endCxn id="64" idx="1"/>
                                      </wps:cNvCnPr>
                                      <wps:spPr>
                                        <a:xfrm>
                                          <a:off x="13510" y="8546"/>
                                          <a:ext cx="523"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1" name="文本框 71"/>
                                      <wps:cNvSpPr txBox="1"/>
                                      <wps:spPr>
                                        <a:xfrm>
                                          <a:off x="10951" y="8106"/>
                                          <a:ext cx="888"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cs="Times New Roman"/>
                                                <w:lang w:val="en-US" w:eastAsia="zh-CN"/>
                                              </w:rPr>
                                              <w:t>291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3" name="直接箭头连接符 28"/>
                                  <wps:cNvCnPr>
                                    <a:stCxn id="25" idx="3"/>
                                    <a:endCxn id="57" idx="1"/>
                                  </wps:cNvCnPr>
                                  <wps:spPr>
                                    <a:xfrm>
                                      <a:off x="13230" y="5475"/>
                                      <a:ext cx="660"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7" name="文本框 30"/>
                                  <wps:cNvSpPr txBox="1"/>
                                  <wps:spPr>
                                    <a:xfrm>
                                      <a:off x="13072" y="5117"/>
                                      <a:ext cx="929" cy="3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24000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4" name="文本框 34"/>
                                <wps:cNvSpPr txBox="1"/>
                                <wps:spPr>
                                  <a:xfrm>
                                    <a:off x="8229" y="4161"/>
                                    <a:ext cx="955"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240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59.35pt;width:398.3pt;" coordorigin="4708,2751" coordsize="9262,2964" o:gfxdata="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">
                      <o:lock v:ext="edit" aspectratio="f"/>
                      <v:shape id="_x0000_s1026" o:spid="_x0000_s1026" o:spt="34" type="#_x0000_t34" style="position:absolute;left:7908;top:3840;height:1408;width:1362;rotation:-5898240f;" filled="f" stroked="t" coordsize="21600,21600" o:gfxdata="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i/+vQAA&#10;ANsAAAAPAAAAAAAAAAEAIAAAACIAAABkcnMvZG93bnJldi54bWxQSwECFAAUAAAACACHTuJAMy8F&#10;njsAAAA5AAAAEAAAAAAAAAABACAAAAAMAQAAZHJzL3NoYXBleG1sLnhtbFBLBQYAAAAABgAGAFsB&#10;AAC2AwAAAAA=&#10;" adj="10800">
                        <v:fill on="f" focussize="0,0"/>
                        <v:stroke color="#000000 [3213]" joinstyle="round" endarrow="block"/>
                        <v:imagedata o:title=""/>
                        <o:lock v:ext="edit" aspectratio="f"/>
                      </v:shape>
                      <v:group id="组合 37" o:spid="_x0000_s1026" o:spt="203" style="position:absolute;left:4708;top:2751;height:2964;width:9262;" coordorigin="4708,2751" coordsize="9262,2964"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组合 32" o:spid="_x0000_s1026" o:spt="203" style="position:absolute;left:4708;top:2751;height:2964;width:9262;" coordorigin="6805,2751" coordsize="9262,2964"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group id="组合 78" o:spid="_x0000_s1026" o:spt="203" style="position:absolute;left:6805;top:2751;height:2964;width:9262;" coordorigin="5844,7598" coordsize="9262,2964"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9644;top:9898;height:395;width:927;"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cs="Times New Roman"/>
                                        <w:lang w:val="en-US" w:eastAsia="zh-CN"/>
                                      </w:rPr>
                                      <w:t>600</w:t>
                                    </w:r>
                                  </w:p>
                                </w:txbxContent>
                              </v:textbox>
                            </v:shape>
                            <v:group id="组合 76" o:spid="_x0000_s1026" o:spt="203" style="position:absolute;left:5844;top:7598;height:2964;width:9262;" coordorigin="5844,7598" coordsize="9262,2964"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文本框 3" o:spid="_x0000_s1026" o:spt="202" type="#_x0000_t202" style="position:absolute;left:5844;top:8833;height:1063;width:1215;"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360" w:lineRule="auto"/>
                                        <w:jc w:val="center"/>
                                        <w:rPr>
                                          <w:rFonts w:hint="default" w:ascii="Times New Roman" w:hAnsi="Times New Roman" w:cs="Times New Roman"/>
                                          <w:lang w:eastAsia="zh-CN"/>
                                        </w:rPr>
                                      </w:pPr>
                                      <w:r>
                                        <w:rPr>
                                          <w:rFonts w:hint="default" w:ascii="Times New Roman" w:hAnsi="Times New Roman" w:cs="Times New Roman"/>
                                          <w:lang w:eastAsia="zh-CN"/>
                                        </w:rPr>
                                        <w:t>自来水</w:t>
                                      </w:r>
                                    </w:p>
                                    <w:p>
                                      <w:pPr>
                                        <w:spacing w:line="360" w:lineRule="auto"/>
                                        <w:jc w:val="center"/>
                                        <w:rPr>
                                          <w:rFonts w:hint="default" w:ascii="Times New Roman" w:hAnsi="Times New Roman" w:cs="Times New Roman" w:eastAsiaTheme="minorEastAsia"/>
                                          <w:lang w:val="en-US" w:eastAsia="zh-CN"/>
                                        </w:rPr>
                                      </w:pPr>
                                      <w:r>
                                        <w:rPr>
                                          <w:rFonts w:hint="eastAsia" w:cs="Times New Roman"/>
                                          <w:lang w:val="en-US" w:eastAsia="zh-CN"/>
                                        </w:rPr>
                                        <w:t>900</w:t>
                                      </w:r>
                                    </w:p>
                                  </w:txbxContent>
                                </v:textbox>
                              </v:shape>
                              <v:shape id="直接箭头连接符 4" o:spid="_x0000_s1026" o:spt="32" type="#_x0000_t32" style="position:absolute;left:5845;top:9373;flip:y;height:12;width:1239;" filled="f" stroked="t" coordsize="21600,21600" o:gfxdata="UEsDBAoAAAAAAIdO4kAAAAAAAAAAAAAAAAAEAAAAZHJzL1BLAwQUAAAACACHTuJA7UWb470AAADb&#10;AAAADwAAAGRycy9kb3ducmV2LnhtbEWPT4vCMBTE78J+h/CEvYimK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Zvj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32" type="#_x0000_t32" style="position:absolute;left:9004;top:8484;flip:y;height:3;width:831;" filled="f" stroked="t" coordsize="21600,21600" o:gfxdata="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V4lvQAA&#10;ANo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202" type="#_x0000_t202" style="position:absolute;left:9835;top:8258;height:452;width:1187;" filled="f" stroked="t" coordsize="21600,21600" o:gfxdata="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fIovQAA&#10;ANo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预处理池</w:t>
                                      </w:r>
                                    </w:p>
                                  </w:txbxContent>
                                </v:textbox>
                              </v:shape>
                              <v:shape id="_x0000_s1026" o:spid="_x0000_s1026" o:spt="34" type="#_x0000_t34" style="position:absolute;left:7847;top:8487;flip:x y;height:1830;width:457;rotation:11796480f;" filled="f" stroked="t" coordsize="21600,21600" o:gfxdata="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Gte7sAAADb&#10;AAAADwAAAAAAAAABACAAAAAiAAAAZHJzL2Rvd25yZXYueG1sUEsBAhQAFAAAAAgAh07iQDMvBZ47&#10;AAAAOQAAABAAAAAAAAAAAQAgAAAACgEAAGRycy9zaGFwZXhtbC54bWxQSwUGAAAAAAYABgBbAQAA&#10;tAMAAAAA&#10;" adj="-34267">
                                <v:fill on="f" focussize="0,0"/>
                                <v:stroke color="#000000 [3213]" joinstyle="round" startarrow="block" endarrow="block"/>
                                <v:imagedata o:title=""/>
                                <o:lock v:ext="edit" aspectratio="f"/>
                              </v:shape>
                              <v:group id="组合 20" o:spid="_x0000_s1026" o:spt="203" style="position:absolute;left:7815;top:7598;height:1115;width:1708;" coordorigin="9600,7778" coordsize="1708,1115"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9600;top:8441;height:452;width:1206;" filled="f" stroked="t" coordsize="21600,21600" o:gfxdata="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vJxL4A&#10;AADa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jc w:val="center"/>
                                          <w:rPr>
                                            <w:rFonts w:hint="default" w:ascii="Times New Roman" w:hAnsi="Times New Roman" w:cs="Times New Roman" w:eastAsiaTheme="minorEastAsia"/>
                                            <w:sz w:val="18"/>
                                            <w:szCs w:val="20"/>
                                            <w:lang w:val="en-US" w:eastAsia="zh-CN"/>
                                          </w:rPr>
                                        </w:pPr>
                                        <w:r>
                                          <w:rPr>
                                            <w:rFonts w:hint="eastAsia" w:ascii="Times New Roman" w:hAnsi="Times New Roman" w:cs="Times New Roman"/>
                                            <w:sz w:val="18"/>
                                            <w:szCs w:val="20"/>
                                            <w:lang w:eastAsia="zh-CN"/>
                                          </w:rPr>
                                          <w:t>生活用水水</w:t>
                                        </w:r>
                                      </w:p>
                                    </w:txbxContent>
                                  </v:textbox>
                                </v:shape>
                                <v:shape id="_x0000_s1026" o:spid="_x0000_s1026" o:spt="38" type="#_x0000_t38" style="position:absolute;left:10284;top:8146;height:376;width:214;rotation:-5898240f;" filled="f" stroked="t" coordsize="21600,21600" o:gfxdata="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VpIdtwAAANoAAAAP&#10;AAAAAAAAAAEAIAAAACIAAABkcnMvZG93bnJldi54bWxQSwECFAAUAAAACACHTuJAMy8FnjsAAAA5&#10;AAAAEAAAAAAAAAABACAAAAAGAQAAZHJzL3NoYXBleG1sLnhtbFBLBQYAAAAABgAGAFsBAACwAwAA&#10;AAA=&#10;" adj="10842">
                                  <v:fill on="f" focussize="0,0"/>
                                  <v:stroke color="#000000 [3213]" joinstyle="round" dashstyle="dash" endarrow="block"/>
                                  <v:imagedata o:title=""/>
                                  <o:lock v:ext="edit" aspectratio="f"/>
                                </v:shape>
                                <v:shape id="_x0000_s1026" o:spid="_x0000_s1026" o:spt="202" type="#_x0000_t202" style="position:absolute;left:9850;top:7778;height:449;width:1458;"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损耗9</w:t>
                                        </w:r>
                                      </w:p>
                                    </w:txbxContent>
                                  </v:textbox>
                                </v:shape>
                              </v:group>
                              <v:group id="组合 44" o:spid="_x0000_s1026" o:spt="203" style="position:absolute;left:8290;top:10072;height:490;width:3979;" coordorigin="8290,8812" coordsize="3979,49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文本框 13" o:spid="_x0000_s1026" o:spt="202" type="#_x0000_t202" style="position:absolute;left:8290;top:8812;height:490;width:1448;" filled="f" stroked="t" coordsize="21600,21600" o:gfxdata="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gR4b4A&#10;AADb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jc w:val="center"/>
                                          <w:rPr>
                                            <w:rFonts w:hint="default"/>
                                            <w:lang w:val="en-US" w:eastAsia="zh-CN"/>
                                          </w:rPr>
                                        </w:pPr>
                                        <w:r>
                                          <w:rPr>
                                            <w:rFonts w:hint="default" w:ascii="Times New Roman" w:hAnsi="Times New Roman" w:eastAsia="宋体" w:cs="Times New Roman"/>
                                            <w:sz w:val="18"/>
                                            <w:szCs w:val="18"/>
                                          </w:rPr>
                                          <w:t>纯水制备水</w:t>
                                        </w:r>
                                      </w:p>
                                    </w:txbxContent>
                                  </v:textbox>
                                </v:shape>
                                <v:shape id="直接箭头连接符 21" o:spid="_x0000_s1026" o:spt="32" type="#_x0000_t32" style="position:absolute;left:9730;top:9057;height:5;width:791;"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10521;top:8836;height:452;width:1748;" filled="f" stroked="t" coordsize="21600,21600" o:gfxdata="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c/Ou/&#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eastAsia="zh-CN"/>
                                          </w:rPr>
                                          <w:t>玻璃原片清洗用水</w:t>
                                        </w:r>
                                      </w:p>
                                    </w:txbxContent>
                                  </v:textbox>
                                </v:shape>
                              </v:group>
                              <v:shape id="文本框 46" o:spid="_x0000_s1026" o:spt="202" type="#_x0000_t202" style="position:absolute;left:7058;top:8081;height:395;width:735;"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60</w:t>
                                      </w:r>
                                    </w:p>
                                  </w:txbxContent>
                                </v:textbox>
                              </v:shape>
                              <v:shape id="文本框 49" o:spid="_x0000_s1026" o:spt="202" type="#_x0000_t202" style="position:absolute;left:9169;top:8066;height:395;width:786;"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51</w:t>
                                      </w:r>
                                    </w:p>
                                  </w:txbxContent>
                                </v:textbox>
                              </v:shape>
                              <v:shape id="文本框 50" o:spid="_x0000_s1026" o:spt="202" type="#_x0000_t202" style="position:absolute;left:7215;top:9914;height:496;width:1038;"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cs="Times New Roman"/>
                                          <w:lang w:val="en-US" w:eastAsia="zh-CN"/>
                                        </w:rPr>
                                        <w:t>840</w:t>
                                      </w:r>
                                    </w:p>
                                  </w:txbxContent>
                                </v:textbox>
                              </v:shape>
                              <v:shape id="文本框 13" o:spid="_x0000_s1026" o:spt="202" type="#_x0000_t202" style="position:absolute;left:12929;top:10017;height:542;width:1668;" filled="f" stroked="t" coordsize="21600,21600" o:gfxdata="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Qyi/&#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pPr>
                                        <w:spacing w:line="240" w:lineRule="auto"/>
                                        <w:jc w:val="center"/>
                                        <w:rPr>
                                          <w:rFonts w:hint="default"/>
                                          <w:lang w:val="en-US" w:eastAsia="zh-CN"/>
                                        </w:rPr>
                                      </w:pPr>
                                      <w:r>
                                        <w:rPr>
                                          <w:rFonts w:hint="eastAsia"/>
                                          <w:lang w:val="en-US" w:eastAsia="zh-CN"/>
                                        </w:rPr>
                                        <w:t>沉淀池</w:t>
                                      </w:r>
                                    </w:p>
                                  </w:txbxContent>
                                </v:textbox>
                              </v:shape>
                              <v:shape id="文本框 13" o:spid="_x0000_s1026" o:spt="202" type="#_x0000_t202" style="position:absolute;left:11690;top:8020;height:1052;width:1821;" filled="f" stroked="t" coordsize="21600,21600" o:gfxdata="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f3V+/&#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ascii="Times New Roman" w:hAnsi="Times New Roman"/>
                                          <w:b w:val="0"/>
                                          <w:color w:val="auto"/>
                                          <w:sz w:val="18"/>
                                          <w:szCs w:val="18"/>
                                          <w:lang w:val="en-US" w:eastAsia="zh-CN"/>
                                        </w:rPr>
                                        <w:t>市政污水管网（巴中经开区污水处理厂）</w:t>
                                      </w:r>
                                    </w:p>
                                  </w:txbxContent>
                                </v:textbox>
                              </v:shape>
                              <v:shape id="文本框 13" o:spid="_x0000_s1026" o:spt="202" type="#_x0000_t202" style="position:absolute;left:14033;top:8326;height:452;width:1073;" filled="f" stroked="t" coordsize="21600,21600" o:gfxdata="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64LC/&#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pPr>
                                        <w:jc w:val="center"/>
                                        <w:rPr>
                                          <w:rFonts w:hint="default"/>
                                          <w:lang w:val="en-US" w:eastAsia="zh-CN"/>
                                        </w:rPr>
                                      </w:pPr>
                                      <w:r>
                                        <w:rPr>
                                          <w:rFonts w:hint="eastAsia"/>
                                          <w:lang w:val="en-US" w:eastAsia="zh-CN"/>
                                        </w:rPr>
                                        <w:t>巴河</w:t>
                                      </w:r>
                                    </w:p>
                                  </w:txbxContent>
                                </v:textbox>
                              </v:shape>
                              <v:shape id="_x0000_s1026" o:spid="_x0000_s1026" o:spt="32" type="#_x0000_t32" style="position:absolute;left:11022;top:8484;height:17;width:730;" filled="f" stroked="t" coordsize="21600,21600" o:gfxdata="UEsDBAoAAAAAAIdO4kAAAAAAAAAAAAAAAAAEAAAAZHJzL1BLAwQUAAAACACHTuJAV/05H78AAADb&#10;AAAADwAAAGRycy9kb3ducmV2LnhtbEWPzWrDMBCE74G8g9hAb4nsQE3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OR+/&#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_x0000_s1026" o:spid="_x0000_s1026" o:spt="32" type="#_x0000_t32" style="position:absolute;left:13510;top:8546;height:6;width:523;"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10951;top:8106;height:395;width:888;"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cs="Times New Roman"/>
                                          <w:lang w:val="en-US" w:eastAsia="zh-CN"/>
                                        </w:rPr>
                                        <w:t>291</w:t>
                                      </w:r>
                                    </w:p>
                                  </w:txbxContent>
                                </v:textbox>
                              </v:shape>
                            </v:group>
                          </v:group>
                          <v:shape id="直接箭头连接符 28" o:spid="_x0000_s1026" o:spt="32" type="#_x0000_t32" style="position:absolute;left:13230;top:5475;height:5;width:660;" filled="f" stroked="t" coordsize="21600,21600" o:gfxdata="UEsDBAoAAAAAAIdO4kAAAAAAAAAAAAAAAAAEAAAAZHJzL1BLAwQUAAAACACHTuJAt1gE8L8AAADb&#10;AAAADwAAAGRycy9kb3ducmV2LnhtbEWPzWrDMBCE74G8g9hAb4nsF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YBPC/&#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文本框 30" o:spid="_x0000_s1026" o:spt="202" type="#_x0000_t202" style="position:absolute;left:13072;top:5117;height:362;width:929;"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24000</w:t>
                                  </w:r>
                                </w:p>
                              </w:txbxContent>
                            </v:textbox>
                          </v:shape>
                        </v:group>
                        <v:shape id="_x0000_s1026" o:spid="_x0000_s1026" o:spt="202" type="#_x0000_t202" style="position:absolute;left:8229;top:4161;height:395;width:95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240</w:t>
                                </w:r>
                              </w:p>
                            </w:txbxContent>
                          </v:textbox>
                        </v:shape>
                      </v:group>
                      <w10:wrap type="none"/>
                      <w10:anchorlock/>
                    </v:group>
                  </w:pict>
                </mc:Fallback>
              </mc:AlternateContent>
            </w:r>
          </w:p>
          <w:p>
            <w:pPr>
              <w:numPr>
                <w:ilvl w:val="0"/>
                <w:numId w:val="0"/>
              </w:numPr>
              <w:tabs>
                <w:tab w:val="left" w:pos="0"/>
              </w:tabs>
              <w:spacing w:line="360" w:lineRule="auto"/>
              <w:ind w:left="0" w:leftChars="0" w:firstLine="0" w:firstLineChars="0"/>
              <w:jc w:val="center"/>
              <w:rPr>
                <w:rFonts w:hint="default" w:ascii="Times New Roman" w:hAnsi="Times New Roman" w:eastAsia="宋体" w:cs="宋体"/>
                <w:b/>
                <w:bCs w:val="0"/>
                <w:kern w:val="2"/>
                <w:sz w:val="21"/>
                <w:szCs w:val="21"/>
                <w:lang w:val="en-US" w:eastAsia="zh-CN" w:bidi="ar-SA"/>
              </w:rPr>
            </w:pPr>
          </w:p>
          <w:p>
            <w:pPr>
              <w:numPr>
                <w:ilvl w:val="0"/>
                <w:numId w:val="0"/>
              </w:numPr>
              <w:tabs>
                <w:tab w:val="left" w:pos="0"/>
              </w:tabs>
              <w:spacing w:line="360" w:lineRule="auto"/>
              <w:ind w:left="0" w:leftChars="0" w:firstLine="0" w:firstLineChars="0"/>
              <w:jc w:val="center"/>
              <w:rPr>
                <w:szCs w:val="21"/>
                <w:highlight w:val="none"/>
              </w:rPr>
            </w:pPr>
            <w:r>
              <w:rPr>
                <w:rFonts w:hint="default" w:ascii="Times New Roman" w:hAnsi="Times New Roman" w:eastAsia="宋体" w:cs="宋体"/>
                <w:b/>
                <w:bCs w:val="0"/>
                <w:kern w:val="2"/>
                <w:sz w:val="21"/>
                <w:szCs w:val="21"/>
                <w:lang w:val="en-US" w:eastAsia="zh-CN" w:bidi="ar-SA"/>
              </w:rPr>
              <w:t>图2-</w:t>
            </w:r>
            <w:r>
              <w:rPr>
                <w:rFonts w:hint="eastAsia" w:cs="宋体"/>
                <w:b/>
                <w:bCs w:val="0"/>
                <w:kern w:val="2"/>
                <w:sz w:val="21"/>
                <w:szCs w:val="21"/>
                <w:lang w:val="en-US" w:eastAsia="zh-CN" w:bidi="ar-SA"/>
              </w:rPr>
              <w:t>3</w:t>
            </w:r>
            <w:r>
              <w:rPr>
                <w:rFonts w:hint="default" w:ascii="Times New Roman" w:hAnsi="Times New Roman" w:eastAsia="宋体" w:cs="宋体"/>
                <w:b/>
                <w:bCs w:val="0"/>
                <w:kern w:val="2"/>
                <w:sz w:val="21"/>
                <w:szCs w:val="21"/>
                <w:lang w:val="en-US" w:eastAsia="zh-CN" w:bidi="ar-SA"/>
              </w:rPr>
              <w:t xml:space="preserve">  </w:t>
            </w:r>
            <w:r>
              <w:rPr>
                <w:rFonts w:hint="eastAsia" w:ascii="Times New Roman" w:hAnsi="Times New Roman" w:eastAsia="宋体" w:cstheme="minorHAnsi"/>
                <w:b/>
                <w:bCs w:val="0"/>
                <w:sz w:val="21"/>
                <w:szCs w:val="21"/>
                <w:highlight w:val="none"/>
                <w:lang w:eastAsia="zh-CN"/>
              </w:rPr>
              <w:t>本</w:t>
            </w:r>
            <w:r>
              <w:rPr>
                <w:rFonts w:ascii="Times New Roman" w:hAnsi="Times New Roman" w:eastAsia="宋体" w:cstheme="minorHAnsi"/>
                <w:b/>
                <w:bCs w:val="0"/>
                <w:sz w:val="21"/>
                <w:szCs w:val="21"/>
                <w:highlight w:val="none"/>
              </w:rPr>
              <w:t>项目</w:t>
            </w:r>
            <w:r>
              <w:rPr>
                <w:rFonts w:hint="eastAsia" w:ascii="Times New Roman" w:hAnsi="Times New Roman" w:eastAsia="宋体" w:cstheme="minorHAnsi"/>
                <w:b/>
                <w:bCs w:val="0"/>
                <w:sz w:val="21"/>
                <w:szCs w:val="21"/>
                <w:highlight w:val="none"/>
              </w:rPr>
              <w:t>水量平衡图</w:t>
            </w:r>
            <w:r>
              <w:rPr>
                <w:rFonts w:ascii="Times New Roman" w:hAnsi="Times New Roman" w:eastAsia="宋体"/>
                <w:b/>
                <w:bCs w:val="0"/>
                <w:sz w:val="21"/>
                <w:szCs w:val="21"/>
                <w:highlight w:val="none"/>
              </w:rPr>
              <w:t>（m</w:t>
            </w:r>
            <w:r>
              <w:rPr>
                <w:rFonts w:ascii="Times New Roman" w:hAnsi="Times New Roman" w:eastAsia="宋体"/>
                <w:b/>
                <w:bCs w:val="0"/>
                <w:sz w:val="21"/>
                <w:szCs w:val="21"/>
                <w:highlight w:val="none"/>
                <w:vertAlign w:val="superscript"/>
              </w:rPr>
              <w:t>3</w:t>
            </w:r>
            <w:r>
              <w:rPr>
                <w:rFonts w:ascii="Times New Roman" w:hAnsi="Times New Roman" w:eastAsia="宋体"/>
                <w:b/>
                <w:bCs w:val="0"/>
                <w:sz w:val="21"/>
                <w:szCs w:val="21"/>
                <w:highlight w:val="none"/>
              </w:rPr>
              <w:t>/</w:t>
            </w:r>
            <w:r>
              <w:rPr>
                <w:rFonts w:hint="eastAsia" w:ascii="Times New Roman" w:hAnsi="Times New Roman" w:eastAsia="宋体"/>
                <w:b/>
                <w:bCs w:val="0"/>
                <w:sz w:val="21"/>
                <w:szCs w:val="21"/>
                <w:highlight w:val="none"/>
                <w:lang w:val="en-US" w:eastAsia="zh-CN"/>
              </w:rPr>
              <w:t>a</w:t>
            </w:r>
            <w:r>
              <w:rPr>
                <w:rFonts w:hint="eastAsia" w:ascii="Times New Roman" w:hAnsi="Times New Roman" w:eastAsia="宋体"/>
                <w:b/>
                <w:bCs w:val="0"/>
                <w:sz w:val="21"/>
                <w:szCs w:val="21"/>
                <w:highlight w:val="none"/>
              </w:rPr>
              <w:t>）</w:t>
            </w:r>
          </w:p>
          <w:p>
            <w:pPr>
              <w:spacing w:line="360" w:lineRule="auto"/>
              <w:rPr>
                <w:rFonts w:cs="Times New Roman"/>
                <w:b/>
                <w:sz w:val="24"/>
                <w:szCs w:val="24"/>
              </w:rPr>
            </w:pPr>
            <w:r>
              <w:rPr>
                <w:rFonts w:hint="eastAsia" w:cs="Times New Roman"/>
                <w:b/>
                <w:sz w:val="24"/>
                <w:szCs w:val="24"/>
                <w:lang w:val="en-US" w:eastAsia="zh-CN"/>
              </w:rPr>
              <w:t>9</w:t>
            </w:r>
            <w:r>
              <w:rPr>
                <w:rFonts w:hint="eastAsia" w:cs="Times New Roman"/>
                <w:b/>
                <w:sz w:val="24"/>
                <w:szCs w:val="24"/>
              </w:rPr>
              <w:t>、劳动定员及工作制度</w:t>
            </w:r>
          </w:p>
          <w:p>
            <w:pPr>
              <w:adjustRightInd w:val="0"/>
              <w:snapToGrid w:val="0"/>
              <w:spacing w:line="360" w:lineRule="auto"/>
              <w:ind w:firstLine="480" w:firstLineChars="200"/>
              <w:rPr>
                <w:rFonts w:hint="default" w:ascii="Times New Roman" w:hAnsi="Times New Roman" w:cs="Times New Roman"/>
                <w:bCs/>
                <w:color w:val="auto"/>
                <w:sz w:val="24"/>
                <w:highlight w:val="yellow"/>
              </w:rPr>
            </w:pPr>
            <w:r>
              <w:rPr>
                <w:rFonts w:hint="default" w:ascii="Times New Roman" w:hAnsi="Times New Roman" w:cs="Times New Roman"/>
                <w:bCs/>
                <w:color w:val="auto"/>
                <w:sz w:val="24"/>
              </w:rPr>
              <w:t>劳动定员：</w:t>
            </w:r>
            <w:r>
              <w:rPr>
                <w:rFonts w:hint="default" w:ascii="Times New Roman" w:hAnsi="Times New Roman" w:cs="Times New Roman"/>
                <w:bCs/>
                <w:color w:val="auto"/>
                <w:sz w:val="24"/>
                <w:lang w:eastAsia="zh-CN"/>
              </w:rPr>
              <w:t>现有项目</w:t>
            </w:r>
            <w:r>
              <w:rPr>
                <w:rFonts w:hint="default" w:ascii="Times New Roman" w:hAnsi="Times New Roman" w:cs="Times New Roman"/>
                <w:bCs/>
                <w:color w:val="auto"/>
                <w:sz w:val="24"/>
              </w:rPr>
              <w:t>劳动定员</w:t>
            </w:r>
            <w:r>
              <w:rPr>
                <w:rFonts w:hint="eastAsia" w:cs="Times New Roman"/>
                <w:bCs/>
                <w:color w:val="auto"/>
                <w:sz w:val="24"/>
                <w:lang w:val="en-US" w:eastAsia="zh-CN"/>
              </w:rPr>
              <w:t>60</w:t>
            </w:r>
            <w:r>
              <w:rPr>
                <w:rFonts w:hint="default" w:ascii="Times New Roman" w:hAnsi="Times New Roman" w:cs="Times New Roman"/>
                <w:bCs/>
                <w:color w:val="auto"/>
                <w:sz w:val="24"/>
              </w:rPr>
              <w:t>人</w:t>
            </w:r>
            <w:r>
              <w:rPr>
                <w:rFonts w:hint="default" w:ascii="Times New Roman" w:hAnsi="Times New Roman" w:cs="Times New Roman"/>
                <w:bCs/>
                <w:color w:val="auto"/>
                <w:sz w:val="24"/>
                <w:lang w:eastAsia="zh-CN"/>
              </w:rPr>
              <w:t>，本项目新增</w:t>
            </w:r>
            <w:r>
              <w:rPr>
                <w:rFonts w:hint="eastAsia" w:cs="Times New Roman"/>
                <w:bCs/>
                <w:color w:val="auto"/>
                <w:sz w:val="24"/>
                <w:lang w:val="en-US" w:eastAsia="zh-CN"/>
              </w:rPr>
              <w:t>4</w:t>
            </w:r>
            <w:r>
              <w:rPr>
                <w:rFonts w:hint="default" w:ascii="Times New Roman" w:hAnsi="Times New Roman" w:cs="Times New Roman"/>
                <w:bCs/>
                <w:color w:val="auto"/>
                <w:sz w:val="24"/>
                <w:lang w:val="en-US" w:eastAsia="zh-CN"/>
              </w:rPr>
              <w:t>人，全厂</w:t>
            </w:r>
            <w:r>
              <w:rPr>
                <w:rFonts w:hint="eastAsia" w:cs="Times New Roman"/>
                <w:bCs/>
                <w:color w:val="auto"/>
                <w:sz w:val="24"/>
                <w:lang w:val="en-US" w:eastAsia="zh-CN"/>
              </w:rPr>
              <w:t>64</w:t>
            </w:r>
            <w:r>
              <w:rPr>
                <w:rFonts w:hint="default" w:ascii="Times New Roman" w:hAnsi="Times New Roman" w:cs="Times New Roman"/>
                <w:bCs/>
                <w:color w:val="auto"/>
                <w:sz w:val="24"/>
                <w:lang w:val="en-US" w:eastAsia="zh-CN"/>
              </w:rPr>
              <w:t>人</w:t>
            </w:r>
            <w:r>
              <w:rPr>
                <w:rFonts w:hint="default" w:ascii="Times New Roman" w:hAnsi="Times New Roman" w:cs="Times New Roman"/>
                <w:bCs/>
                <w:color w:val="auto"/>
                <w:sz w:val="24"/>
              </w:rPr>
              <w:t>。</w:t>
            </w:r>
          </w:p>
          <w:p>
            <w:pPr>
              <w:adjustRightInd w:val="0"/>
              <w:snapToGrid w:val="0"/>
              <w:spacing w:line="360" w:lineRule="auto"/>
              <w:ind w:firstLine="480" w:firstLineChars="200"/>
              <w:rPr>
                <w:sz w:val="24"/>
                <w:szCs w:val="24"/>
              </w:rPr>
            </w:pPr>
            <w:r>
              <w:rPr>
                <w:rFonts w:hint="default" w:ascii="Times New Roman" w:hAnsi="Times New Roman" w:cs="Times New Roman"/>
                <w:bCs/>
                <w:color w:val="auto"/>
                <w:sz w:val="24"/>
              </w:rPr>
              <w:t>工作制度：年生产</w:t>
            </w:r>
            <w:r>
              <w:rPr>
                <w:rFonts w:hint="eastAsia" w:ascii="Times New Roman" w:hAnsi="Times New Roman" w:cs="Times New Roman"/>
                <w:bCs/>
                <w:color w:val="auto"/>
                <w:sz w:val="24"/>
                <w:lang w:val="en-US" w:eastAsia="zh-CN"/>
              </w:rPr>
              <w:t>30</w:t>
            </w:r>
            <w:r>
              <w:rPr>
                <w:rFonts w:hint="default" w:ascii="Times New Roman" w:hAnsi="Times New Roman" w:cs="Times New Roman"/>
                <w:bCs/>
                <w:color w:val="auto"/>
                <w:sz w:val="24"/>
              </w:rPr>
              <w:t>0天，</w:t>
            </w:r>
            <w:r>
              <w:rPr>
                <w:rFonts w:hint="eastAsia"/>
                <w:color w:val="auto"/>
                <w:sz w:val="24"/>
                <w:szCs w:val="24"/>
                <w:lang w:val="en-US" w:eastAsia="zh-CN"/>
              </w:rPr>
              <w:t>实行每班8小时工作制度，1班制</w:t>
            </w:r>
            <w:r>
              <w:rPr>
                <w:rFonts w:hint="default" w:ascii="Times New Roman" w:hAnsi="Times New Roman" w:cs="Times New Roman"/>
                <w:bCs/>
                <w:color w:val="auto"/>
                <w:sz w:val="24"/>
              </w:rPr>
              <w:t>。</w:t>
            </w:r>
          </w:p>
          <w:p>
            <w:pPr>
              <w:spacing w:line="360" w:lineRule="auto"/>
              <w:rPr>
                <w:rFonts w:cs="Times New Roman"/>
                <w:b/>
                <w:sz w:val="24"/>
                <w:szCs w:val="24"/>
                <w:highlight w:val="none"/>
              </w:rPr>
            </w:pPr>
            <w:r>
              <w:rPr>
                <w:rFonts w:hint="eastAsia" w:cs="Times New Roman"/>
                <w:b/>
                <w:sz w:val="24"/>
                <w:szCs w:val="24"/>
                <w:highlight w:val="none"/>
                <w:lang w:val="en-US" w:eastAsia="zh-CN"/>
              </w:rPr>
              <w:t>10</w:t>
            </w:r>
            <w:r>
              <w:rPr>
                <w:rFonts w:hint="eastAsia" w:cs="Times New Roman"/>
                <w:b/>
                <w:sz w:val="24"/>
                <w:szCs w:val="24"/>
                <w:highlight w:val="none"/>
              </w:rPr>
              <w:t>、总平面布置</w:t>
            </w:r>
          </w:p>
          <w:p>
            <w:pPr>
              <w:ind w:firstLine="482" w:firstLineChars="200"/>
              <w:rPr>
                <w:rFonts w:hint="eastAsia"/>
                <w:sz w:val="32"/>
                <w:szCs w:val="28"/>
                <w:lang w:eastAsia="zh-CN"/>
              </w:rPr>
            </w:pPr>
            <w:r>
              <w:rPr>
                <w:rFonts w:hint="eastAsia"/>
                <w:b/>
                <w:color w:val="auto"/>
                <w:sz w:val="24"/>
                <w:szCs w:val="40"/>
              </w:rPr>
              <w:t>1、</w:t>
            </w:r>
            <w:r>
              <w:rPr>
                <w:b/>
                <w:color w:val="auto"/>
                <w:sz w:val="24"/>
                <w:szCs w:val="40"/>
              </w:rPr>
              <w:t>本项目厂区功能分区</w:t>
            </w:r>
          </w:p>
          <w:p>
            <w:pPr>
              <w:spacing w:line="360" w:lineRule="auto"/>
              <w:ind w:firstLine="480" w:firstLineChars="200"/>
              <w:rPr>
                <w:rFonts w:hint="eastAsia" w:eastAsia="宋体"/>
                <w:sz w:val="24"/>
                <w:lang w:eastAsia="zh-CN"/>
              </w:rPr>
            </w:pPr>
            <w:r>
              <w:rPr>
                <w:rFonts w:hint="eastAsia"/>
                <w:sz w:val="24"/>
                <w:lang w:eastAsia="zh-CN"/>
              </w:rPr>
              <w:t>项目全厂区</w:t>
            </w:r>
            <w:r>
              <w:rPr>
                <w:rFonts w:hint="eastAsia"/>
                <w:sz w:val="24"/>
              </w:rPr>
              <w:t>主要分两块区域，</w:t>
            </w:r>
            <w:r>
              <w:rPr>
                <w:rFonts w:hint="eastAsia"/>
                <w:sz w:val="24"/>
                <w:lang w:eastAsia="zh-CN"/>
              </w:rPr>
              <w:t>东</w:t>
            </w:r>
            <w:r>
              <w:rPr>
                <w:rFonts w:hint="eastAsia"/>
                <w:sz w:val="24"/>
              </w:rPr>
              <w:t>北</w:t>
            </w:r>
            <w:r>
              <w:rPr>
                <w:rFonts w:hint="eastAsia"/>
                <w:sz w:val="24"/>
                <w:lang w:eastAsia="zh-CN"/>
              </w:rPr>
              <w:t>角和北侧</w:t>
            </w:r>
            <w:r>
              <w:rPr>
                <w:rFonts w:hint="eastAsia"/>
                <w:sz w:val="24"/>
              </w:rPr>
              <w:t>为办公生活区，</w:t>
            </w:r>
            <w:r>
              <w:rPr>
                <w:rFonts w:hint="eastAsia"/>
                <w:sz w:val="24"/>
                <w:lang w:eastAsia="zh-CN"/>
              </w:rPr>
              <w:t>中部和东部</w:t>
            </w:r>
            <w:r>
              <w:rPr>
                <w:rFonts w:hint="eastAsia"/>
                <w:sz w:val="24"/>
              </w:rPr>
              <w:t>为</w:t>
            </w:r>
            <w:r>
              <w:rPr>
                <w:rFonts w:hint="eastAsia"/>
                <w:sz w:val="24"/>
                <w:lang w:eastAsia="zh-CN"/>
              </w:rPr>
              <w:t>一期</w:t>
            </w:r>
            <w:r>
              <w:rPr>
                <w:rFonts w:hint="eastAsia"/>
                <w:sz w:val="24"/>
              </w:rPr>
              <w:t>厂房</w:t>
            </w:r>
            <w:r>
              <w:rPr>
                <w:rFonts w:hint="eastAsia"/>
                <w:sz w:val="24"/>
                <w:lang w:eastAsia="zh-CN"/>
              </w:rPr>
              <w:t>，南侧为本次厂房用地</w:t>
            </w:r>
            <w:r>
              <w:rPr>
                <w:rFonts w:hint="eastAsia"/>
                <w:sz w:val="24"/>
              </w:rPr>
              <w:t>。</w:t>
            </w:r>
            <w:r>
              <w:rPr>
                <w:rFonts w:hint="eastAsia"/>
                <w:sz w:val="24"/>
                <w:lang w:eastAsia="zh-CN"/>
              </w:rPr>
              <w:t>原料</w:t>
            </w:r>
            <w:r>
              <w:rPr>
                <w:rFonts w:hint="eastAsia"/>
                <w:sz w:val="24"/>
              </w:rPr>
              <w:t>堆</w:t>
            </w:r>
            <w:r>
              <w:rPr>
                <w:rFonts w:hint="eastAsia"/>
                <w:sz w:val="24"/>
                <w:lang w:eastAsia="zh-CN"/>
              </w:rPr>
              <w:t>放区</w:t>
            </w:r>
            <w:r>
              <w:rPr>
                <w:rFonts w:hint="eastAsia"/>
                <w:sz w:val="24"/>
              </w:rPr>
              <w:t>和</w:t>
            </w:r>
            <w:r>
              <w:rPr>
                <w:rFonts w:hint="eastAsia"/>
                <w:sz w:val="24"/>
                <w:lang w:eastAsia="zh-CN"/>
              </w:rPr>
              <w:t>成品区均布置在各自厂房内</w:t>
            </w:r>
            <w:r>
              <w:rPr>
                <w:rFonts w:hint="eastAsia"/>
                <w:sz w:val="24"/>
              </w:rPr>
              <w:t>。厂区北部为职工公寓和办公楼，远离主车间。</w:t>
            </w:r>
            <w:r>
              <w:rPr>
                <w:rFonts w:hint="eastAsia"/>
                <w:sz w:val="24"/>
                <w:lang w:eastAsia="zh-CN"/>
              </w:rPr>
              <w:t>本项目厂房内根据项目工艺流程从东侧至西侧进行布置，厂房东侧为原料区、上片区、清洗机、涂膜机、流平固化段、下片区以及成品区。</w:t>
            </w:r>
          </w:p>
          <w:p>
            <w:pPr>
              <w:spacing w:line="360" w:lineRule="auto"/>
              <w:ind w:firstLine="480" w:firstLineChars="200"/>
              <w:rPr>
                <w:rFonts w:hint="eastAsia"/>
                <w:sz w:val="24"/>
              </w:rPr>
            </w:pPr>
            <w:r>
              <w:rPr>
                <w:color w:val="auto"/>
                <w:sz w:val="24"/>
                <w:szCs w:val="28"/>
              </w:rPr>
              <w:t>厂房内布局按工艺流程的顺序排列，各生产环节之间紧密衔接，合理地组织物流，同时还有效地减少物流交叉对生产组织的影响；公用工程设施和辅助设施紧邻主要生产单元，以便于水，电</w:t>
            </w:r>
            <w:r>
              <w:rPr>
                <w:rFonts w:hint="eastAsia"/>
                <w:color w:val="auto"/>
                <w:sz w:val="24"/>
                <w:szCs w:val="28"/>
              </w:rPr>
              <w:t>进线</w:t>
            </w:r>
            <w:r>
              <w:rPr>
                <w:color w:val="auto"/>
                <w:sz w:val="24"/>
                <w:szCs w:val="28"/>
              </w:rPr>
              <w:t>，减少能耗，降低生产成本。项目各功能分区明确、间距合理、工艺流程顺畅、管线短捷，布局满足工艺流程，也满足功能分区要求及运输作业要求</w:t>
            </w:r>
            <w:r>
              <w:rPr>
                <w:rFonts w:hint="eastAsia"/>
                <w:color w:val="auto"/>
                <w:sz w:val="24"/>
                <w:szCs w:val="28"/>
              </w:rPr>
              <w:t>。</w:t>
            </w:r>
          </w:p>
          <w:p>
            <w:pPr>
              <w:spacing w:line="360" w:lineRule="auto"/>
              <w:ind w:firstLine="480" w:firstLineChars="200"/>
              <w:rPr>
                <w:rFonts w:hint="eastAsia" w:eastAsia="宋体"/>
                <w:sz w:val="24"/>
                <w:lang w:eastAsia="zh-CN"/>
              </w:rPr>
            </w:pPr>
            <w:r>
              <w:rPr>
                <w:rFonts w:hint="eastAsia"/>
                <w:sz w:val="24"/>
              </w:rPr>
              <w:t>项目位于园区内，根据本项目厂界外500m范围内外环境关系分布图（附图3）可知，本项目周边多数为生产性企业</w:t>
            </w:r>
            <w:r>
              <w:rPr>
                <w:rFonts w:hint="eastAsia"/>
                <w:sz w:val="24"/>
                <w:lang w:eastAsia="zh-CN"/>
              </w:rPr>
              <w:t>，无居民等敏感点，项目生产全部位于密闭厂房内，项目有机废气通过集气罩+软帘收集，二级活性炭装置处理后通过</w:t>
            </w:r>
            <w:r>
              <w:rPr>
                <w:rFonts w:hint="eastAsia"/>
                <w:sz w:val="24"/>
                <w:lang w:val="en-US" w:eastAsia="zh-CN"/>
              </w:rPr>
              <w:t>15m高排气筒排放，</w:t>
            </w:r>
            <w:r>
              <w:rPr>
                <w:rFonts w:hint="eastAsia"/>
                <w:sz w:val="24"/>
                <w:lang w:eastAsia="zh-CN"/>
              </w:rPr>
              <w:t>高噪声设备均位于生产车间中部，采取厂房隔声、距离衰减后，本项目厂界噪声可实现达标排放。</w:t>
            </w:r>
          </w:p>
          <w:p>
            <w:pPr>
              <w:spacing w:line="360" w:lineRule="auto"/>
              <w:ind w:firstLine="480" w:firstLineChars="200"/>
              <w:rPr>
                <w:rFonts w:cs="Times New Roman"/>
                <w:sz w:val="24"/>
                <w:szCs w:val="24"/>
              </w:rPr>
            </w:pPr>
            <w:r>
              <w:rPr>
                <w:rFonts w:hint="eastAsia"/>
                <w:sz w:val="24"/>
              </w:rPr>
              <w:t>综上分析，项目各功能分区明确、间距合理，在生产厂房布局时满足工艺流程要求，也满足功能分区要求及运输作业要求</w:t>
            </w:r>
            <w:r>
              <w:rPr>
                <w:rFonts w:hint="eastAsia"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6" w:type="pct"/>
            <w:vAlign w:val="center"/>
          </w:tcPr>
          <w:p>
            <w:pPr>
              <w:spacing w:line="360" w:lineRule="auto"/>
              <w:jc w:val="center"/>
              <w:rPr>
                <w:rFonts w:cs="Times New Roman"/>
                <w:sz w:val="24"/>
                <w:szCs w:val="24"/>
              </w:rPr>
            </w:pPr>
            <w:r>
              <w:rPr>
                <w:rFonts w:hint="eastAsia" w:cs="Times New Roman"/>
                <w:sz w:val="24"/>
                <w:szCs w:val="24"/>
              </w:rPr>
              <w:t>工艺流程和产排污环节</w:t>
            </w:r>
          </w:p>
        </w:tc>
        <w:tc>
          <w:tcPr>
            <w:tcW w:w="4633" w:type="pct"/>
            <w:vAlign w:val="center"/>
          </w:tcPr>
          <w:p>
            <w:pPr>
              <w:spacing w:line="360" w:lineRule="auto"/>
              <w:rPr>
                <w:rFonts w:cs="Times New Roman"/>
                <w:b/>
                <w:sz w:val="24"/>
                <w:szCs w:val="24"/>
              </w:rPr>
            </w:pPr>
            <w:r>
              <w:rPr>
                <w:rFonts w:hint="eastAsia" w:cs="Times New Roman"/>
                <w:b/>
                <w:sz w:val="24"/>
                <w:szCs w:val="24"/>
                <w:lang w:eastAsia="zh-CN"/>
              </w:rPr>
              <w:t>一</w:t>
            </w:r>
            <w:r>
              <w:rPr>
                <w:rFonts w:hint="eastAsia" w:cs="Times New Roman"/>
                <w:b/>
                <w:sz w:val="24"/>
                <w:szCs w:val="24"/>
              </w:rPr>
              <w:t>、施工期工艺流程和产污环节</w:t>
            </w:r>
          </w:p>
          <w:p>
            <w:pPr>
              <w:spacing w:line="360" w:lineRule="auto"/>
              <w:ind w:firstLine="480"/>
              <w:rPr>
                <w:sz w:val="24"/>
                <w:szCs w:val="24"/>
              </w:rPr>
            </w:pPr>
            <w:r>
              <w:rPr>
                <w:rFonts w:hint="eastAsia"/>
                <w:sz w:val="24"/>
                <w:szCs w:val="24"/>
              </w:rPr>
              <w:t>施工期基础工程、主体工程、装饰工程、设备安装等建设阶段将产生噪声、扬尘、固体废物、少量污水和废气等污染物，其排放量随工期和施工强度不同而有所变化，施工期工艺流程及产污环节如下图所示。</w:t>
            </w:r>
          </w:p>
          <w:p>
            <w:pPr>
              <w:spacing w:line="360" w:lineRule="auto"/>
              <w:jc w:val="center"/>
            </w:pPr>
            <w:r>
              <w:object>
                <v:shape id="_x0000_i1027" o:spt="75" type="#_x0000_t75" style="height:122.95pt;width:370.2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pPr>
              <w:numPr>
                <w:ilvl w:val="0"/>
                <w:numId w:val="0"/>
              </w:numPr>
              <w:tabs>
                <w:tab w:val="left" w:pos="0"/>
              </w:tabs>
              <w:spacing w:line="360" w:lineRule="auto"/>
              <w:ind w:left="0" w:leftChars="0" w:firstLine="0" w:firstLineChars="0"/>
              <w:jc w:val="center"/>
              <w:rPr>
                <w:rFonts w:hint="eastAsia" w:ascii="Times New Roman" w:hAnsi="Times New Roman" w:eastAsia="宋体" w:cs="宋体"/>
                <w:b/>
                <w:bCs w:val="0"/>
                <w:kern w:val="2"/>
                <w:sz w:val="21"/>
                <w:szCs w:val="21"/>
                <w:lang w:val="en-US" w:eastAsia="zh-CN" w:bidi="ar-SA"/>
              </w:rPr>
            </w:pPr>
            <w:r>
              <w:rPr>
                <w:rFonts w:hint="default" w:ascii="Times New Roman" w:hAnsi="Times New Roman" w:eastAsia="宋体" w:cs="宋体"/>
                <w:b/>
                <w:bCs w:val="0"/>
                <w:kern w:val="2"/>
                <w:sz w:val="21"/>
                <w:szCs w:val="21"/>
                <w:lang w:val="en-US" w:eastAsia="zh-CN" w:bidi="ar-SA"/>
              </w:rPr>
              <w:t>图2-</w:t>
            </w:r>
            <w:r>
              <w:rPr>
                <w:rFonts w:hint="eastAsia" w:cs="宋体"/>
                <w:b/>
                <w:bCs w:val="0"/>
                <w:kern w:val="2"/>
                <w:sz w:val="21"/>
                <w:szCs w:val="21"/>
                <w:lang w:val="en-US" w:eastAsia="zh-CN" w:bidi="ar-SA"/>
              </w:rPr>
              <w:t>4</w:t>
            </w:r>
            <w:r>
              <w:rPr>
                <w:rFonts w:hint="default" w:ascii="Times New Roman" w:hAnsi="Times New Roman" w:eastAsia="宋体" w:cs="宋体"/>
                <w:b/>
                <w:bCs w:val="0"/>
                <w:kern w:val="2"/>
                <w:sz w:val="21"/>
                <w:szCs w:val="21"/>
                <w:lang w:val="en-US" w:eastAsia="zh-CN" w:bidi="ar-SA"/>
              </w:rPr>
              <w:t xml:space="preserve">   </w:t>
            </w:r>
            <w:r>
              <w:rPr>
                <w:rFonts w:hint="eastAsia" w:ascii="Times New Roman" w:hAnsi="Times New Roman" w:eastAsia="宋体" w:cs="宋体"/>
                <w:b/>
                <w:bCs w:val="0"/>
                <w:kern w:val="2"/>
                <w:sz w:val="21"/>
                <w:szCs w:val="21"/>
                <w:lang w:val="en-US" w:eastAsia="zh-CN" w:bidi="ar-SA"/>
              </w:rPr>
              <w:t>施工期工艺流程及产污环节图</w:t>
            </w:r>
          </w:p>
          <w:p>
            <w:pPr>
              <w:spacing w:line="360" w:lineRule="auto"/>
              <w:ind w:firstLine="480"/>
              <w:rPr>
                <w:b/>
                <w:bCs/>
                <w:sz w:val="24"/>
                <w:szCs w:val="24"/>
              </w:rPr>
            </w:pPr>
            <w:r>
              <w:rPr>
                <w:rFonts w:hint="eastAsia"/>
                <w:b/>
                <w:bCs/>
                <w:sz w:val="24"/>
                <w:szCs w:val="24"/>
              </w:rPr>
              <w:t>主要工序简述：</w:t>
            </w:r>
          </w:p>
          <w:p>
            <w:pPr>
              <w:spacing w:line="360" w:lineRule="auto"/>
              <w:ind w:firstLine="480"/>
              <w:rPr>
                <w:b w:val="0"/>
                <w:bCs w:val="0"/>
                <w:sz w:val="24"/>
                <w:szCs w:val="24"/>
              </w:rPr>
            </w:pPr>
            <w:r>
              <w:rPr>
                <w:rFonts w:hint="eastAsia"/>
                <w:b w:val="0"/>
                <w:bCs w:val="0"/>
                <w:sz w:val="24"/>
                <w:szCs w:val="24"/>
              </w:rPr>
              <w:t>（1）基础工程</w:t>
            </w:r>
          </w:p>
          <w:p>
            <w:pPr>
              <w:spacing w:line="360" w:lineRule="auto"/>
              <w:ind w:firstLine="480"/>
              <w:rPr>
                <w:b w:val="0"/>
                <w:bCs w:val="0"/>
                <w:sz w:val="24"/>
                <w:szCs w:val="24"/>
              </w:rPr>
            </w:pPr>
            <w:r>
              <w:rPr>
                <w:rFonts w:hint="eastAsia"/>
                <w:b w:val="0"/>
                <w:bCs w:val="0"/>
                <w:sz w:val="24"/>
                <w:szCs w:val="24"/>
              </w:rPr>
              <w:t>在基础开挖、地基处理（岩土工程）与基础施工时，由于挖土机、运土卡车等施工机械的运行，将产生一定的噪声；同时产生扬尘和工人生活废水；基础开挖引起原有土地利用类型的改变，会造成生态变化并引起一定程度的水土流失。</w:t>
            </w:r>
          </w:p>
          <w:p>
            <w:pPr>
              <w:spacing w:line="360" w:lineRule="auto"/>
              <w:ind w:firstLine="480"/>
              <w:rPr>
                <w:b w:val="0"/>
                <w:bCs w:val="0"/>
                <w:sz w:val="24"/>
                <w:szCs w:val="24"/>
              </w:rPr>
            </w:pPr>
            <w:r>
              <w:rPr>
                <w:rFonts w:hint="eastAsia"/>
                <w:b w:val="0"/>
                <w:bCs w:val="0"/>
                <w:sz w:val="24"/>
                <w:szCs w:val="24"/>
              </w:rPr>
              <w:t>（</w:t>
            </w:r>
            <w:r>
              <w:rPr>
                <w:b w:val="0"/>
                <w:bCs w:val="0"/>
                <w:sz w:val="24"/>
                <w:szCs w:val="24"/>
              </w:rPr>
              <w:t>2</w:t>
            </w:r>
            <w:r>
              <w:rPr>
                <w:rFonts w:hint="eastAsia"/>
                <w:b w:val="0"/>
                <w:bCs w:val="0"/>
                <w:sz w:val="24"/>
                <w:szCs w:val="24"/>
              </w:rPr>
              <w:t>）主体工程</w:t>
            </w:r>
          </w:p>
          <w:p>
            <w:pPr>
              <w:spacing w:line="360" w:lineRule="auto"/>
              <w:ind w:firstLine="480"/>
              <w:rPr>
                <w:b w:val="0"/>
                <w:bCs w:val="0"/>
                <w:sz w:val="24"/>
                <w:szCs w:val="24"/>
              </w:rPr>
            </w:pPr>
            <w:r>
              <w:rPr>
                <w:rFonts w:hint="eastAsia"/>
                <w:b w:val="0"/>
                <w:bCs w:val="0"/>
                <w:sz w:val="24"/>
                <w:szCs w:val="24"/>
              </w:rPr>
              <w:t>主体施工时，挖掘机、打夯机、装载汽车等运行时会产生噪声，同时产生扬尘。此外，还有一些原材料废弃料以及生产和生活污水产生。</w:t>
            </w:r>
          </w:p>
          <w:p>
            <w:pPr>
              <w:spacing w:line="360" w:lineRule="auto"/>
              <w:ind w:firstLine="480"/>
              <w:rPr>
                <w:b w:val="0"/>
                <w:bCs w:val="0"/>
                <w:sz w:val="24"/>
                <w:szCs w:val="24"/>
              </w:rPr>
            </w:pPr>
            <w:r>
              <w:rPr>
                <w:rFonts w:hint="eastAsia"/>
                <w:b w:val="0"/>
                <w:bCs w:val="0"/>
                <w:sz w:val="24"/>
                <w:szCs w:val="24"/>
              </w:rPr>
              <w:t>（</w:t>
            </w:r>
            <w:r>
              <w:rPr>
                <w:b w:val="0"/>
                <w:bCs w:val="0"/>
                <w:sz w:val="24"/>
                <w:szCs w:val="24"/>
              </w:rPr>
              <w:t>3</w:t>
            </w:r>
            <w:r>
              <w:rPr>
                <w:rFonts w:hint="eastAsia"/>
                <w:b w:val="0"/>
                <w:bCs w:val="0"/>
                <w:sz w:val="24"/>
                <w:szCs w:val="24"/>
              </w:rPr>
              <w:t>）装饰工程</w:t>
            </w:r>
          </w:p>
          <w:p>
            <w:pPr>
              <w:spacing w:line="360" w:lineRule="auto"/>
              <w:ind w:firstLine="480"/>
              <w:rPr>
                <w:b w:val="0"/>
                <w:bCs w:val="0"/>
                <w:sz w:val="24"/>
                <w:szCs w:val="24"/>
              </w:rPr>
            </w:pPr>
            <w:r>
              <w:rPr>
                <w:rFonts w:hint="eastAsia"/>
                <w:b w:val="0"/>
                <w:bCs w:val="0"/>
                <w:sz w:val="24"/>
                <w:szCs w:val="24"/>
              </w:rPr>
              <w:t>在对构筑物的室内外进行装修时（如表面粉刷、喷涂、裱糊等），钻机、电锤等产生噪声，涂料产生废气、废弃物料及污水。</w:t>
            </w:r>
          </w:p>
          <w:p>
            <w:pPr>
              <w:spacing w:line="360" w:lineRule="auto"/>
              <w:ind w:firstLine="480"/>
              <w:rPr>
                <w:b w:val="0"/>
                <w:bCs w:val="0"/>
                <w:sz w:val="24"/>
                <w:szCs w:val="24"/>
              </w:rPr>
            </w:pPr>
            <w:r>
              <w:rPr>
                <w:rFonts w:hint="eastAsia"/>
                <w:b w:val="0"/>
                <w:bCs w:val="0"/>
                <w:sz w:val="24"/>
                <w:szCs w:val="24"/>
              </w:rPr>
              <w:t>（</w:t>
            </w:r>
            <w:r>
              <w:rPr>
                <w:b w:val="0"/>
                <w:bCs w:val="0"/>
                <w:sz w:val="24"/>
                <w:szCs w:val="24"/>
              </w:rPr>
              <w:t>4</w:t>
            </w:r>
            <w:r>
              <w:rPr>
                <w:rFonts w:hint="eastAsia"/>
                <w:b w:val="0"/>
                <w:bCs w:val="0"/>
                <w:sz w:val="24"/>
                <w:szCs w:val="24"/>
              </w:rPr>
              <w:t>）设备安装/调试</w:t>
            </w:r>
          </w:p>
          <w:p>
            <w:pPr>
              <w:spacing w:line="360" w:lineRule="auto"/>
              <w:ind w:firstLine="480"/>
              <w:rPr>
                <w:b w:val="0"/>
                <w:bCs w:val="0"/>
                <w:sz w:val="24"/>
                <w:szCs w:val="24"/>
              </w:rPr>
            </w:pPr>
            <w:r>
              <w:rPr>
                <w:rFonts w:hint="eastAsia"/>
                <w:b w:val="0"/>
                <w:bCs w:val="0"/>
                <w:sz w:val="24"/>
                <w:szCs w:val="24"/>
              </w:rPr>
              <w:t>主要包括设施设备的安装和调试工作。</w:t>
            </w:r>
          </w:p>
          <w:p>
            <w:pPr>
              <w:spacing w:line="360" w:lineRule="auto"/>
              <w:rPr>
                <w:rFonts w:cs="Times New Roman"/>
                <w:b/>
                <w:bCs/>
                <w:sz w:val="24"/>
                <w:szCs w:val="24"/>
              </w:rPr>
            </w:pPr>
            <w:r>
              <w:rPr>
                <w:rFonts w:hint="eastAsia" w:cs="Times New Roman"/>
                <w:b/>
                <w:bCs/>
                <w:sz w:val="24"/>
                <w:szCs w:val="24"/>
                <w:lang w:eastAsia="zh-CN"/>
              </w:rPr>
              <w:t>二</w:t>
            </w:r>
            <w:r>
              <w:rPr>
                <w:rFonts w:hint="eastAsia" w:cs="Times New Roman"/>
                <w:b/>
                <w:bCs/>
                <w:sz w:val="24"/>
                <w:szCs w:val="24"/>
              </w:rPr>
              <w:t>、运营期工艺流程和产污环节</w:t>
            </w:r>
          </w:p>
          <w:p>
            <w:pPr>
              <w:spacing w:line="360" w:lineRule="auto"/>
              <w:ind w:firstLine="482" w:firstLineChars="200"/>
              <w:rPr>
                <w:rFonts w:hint="eastAsia"/>
                <w:b/>
                <w:bCs/>
                <w:sz w:val="24"/>
                <w:szCs w:val="24"/>
              </w:rPr>
            </w:pPr>
            <w:r>
              <w:rPr>
                <w:rFonts w:hint="eastAsia"/>
                <w:b/>
                <w:bCs/>
                <w:sz w:val="24"/>
                <w:szCs w:val="24"/>
              </w:rPr>
              <w:t>1</w:t>
            </w:r>
            <w:r>
              <w:rPr>
                <w:rFonts w:hint="eastAsia"/>
                <w:b/>
                <w:bCs/>
                <w:sz w:val="24"/>
                <w:szCs w:val="24"/>
                <w:lang w:eastAsia="zh-CN"/>
              </w:rPr>
              <w:t>、</w:t>
            </w:r>
            <w:r>
              <w:rPr>
                <w:rFonts w:hint="eastAsia"/>
                <w:b/>
                <w:bCs/>
                <w:sz w:val="24"/>
                <w:szCs w:val="24"/>
              </w:rPr>
              <w:t>玻璃涂膜生产工艺</w:t>
            </w:r>
          </w:p>
          <w:p>
            <w:pPr>
              <w:numPr>
                <w:ilvl w:val="0"/>
                <w:numId w:val="0"/>
              </w:numPr>
              <w:shd w:val="clear"/>
              <w:tabs>
                <w:tab w:val="left" w:pos="0"/>
              </w:tabs>
              <w:spacing w:line="360" w:lineRule="auto"/>
              <w:ind w:left="0" w:leftChars="0" w:firstLine="0" w:firstLineChars="0"/>
              <w:jc w:val="center"/>
              <w:rPr>
                <w:sz w:val="21"/>
              </w:rPr>
            </w:pPr>
          </w:p>
          <w:p>
            <w:pPr>
              <w:numPr>
                <w:ilvl w:val="0"/>
                <w:numId w:val="0"/>
              </w:numPr>
              <w:shd w:val="clear"/>
              <w:tabs>
                <w:tab w:val="left" w:pos="0"/>
              </w:tabs>
              <w:spacing w:line="360" w:lineRule="auto"/>
              <w:ind w:left="0" w:leftChars="0" w:firstLine="0" w:firstLineChars="0"/>
              <w:jc w:val="center"/>
              <w:rPr>
                <w:sz w:val="21"/>
              </w:rPr>
            </w:pPr>
            <w:r>
              <w:rPr>
                <w:sz w:val="21"/>
              </w:rPr>
              <mc:AlternateContent>
                <mc:Choice Requires="wpg">
                  <w:drawing>
                    <wp:inline distT="0" distB="0" distL="114300" distR="114300">
                      <wp:extent cx="4237355" cy="4098290"/>
                      <wp:effectExtent l="0" t="4445" r="0" b="12065"/>
                      <wp:docPr id="40" name="组合 40"/>
                      <wp:cNvGraphicFramePr/>
                      <a:graphic xmlns:a="http://schemas.openxmlformats.org/drawingml/2006/main">
                        <a:graphicData uri="http://schemas.microsoft.com/office/word/2010/wordprocessingGroup">
                          <wpg:wgp>
                            <wpg:cNvGrpSpPr/>
                            <wpg:grpSpPr>
                              <a:xfrm>
                                <a:off x="0" y="0"/>
                                <a:ext cx="4237355" cy="4098290"/>
                                <a:chOff x="1389" y="8681"/>
                                <a:chExt cx="6673" cy="6454"/>
                              </a:xfrm>
                            </wpg:grpSpPr>
                            <wps:wsp>
                              <wps:cNvPr id="68" name="文本框 59"/>
                              <wps:cNvSpPr txBox="1"/>
                              <wps:spPr>
                                <a:xfrm>
                                  <a:off x="3507" y="12124"/>
                                  <a:ext cx="2166" cy="368"/>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18"/>
                                        <w:szCs w:val="18"/>
                                        <w:lang w:val="en-US" w:eastAsia="zh-CN"/>
                                      </w:rPr>
                                    </w:pPr>
                                    <w:r>
                                      <w:rPr>
                                        <w:rFonts w:hint="eastAsia"/>
                                        <w:sz w:val="18"/>
                                        <w:szCs w:val="18"/>
                                        <w:lang w:val="en-US" w:eastAsia="zh-CN"/>
                                      </w:rPr>
                                      <w:t>固化</w:t>
                                    </w:r>
                                  </w:p>
                                </w:txbxContent>
                              </wps:txbx>
                              <wps:bodyPr upright="1"/>
                            </wps:wsp>
                            <wpg:grpSp>
                              <wpg:cNvPr id="41" name="组合 113"/>
                              <wpg:cNvGrpSpPr/>
                              <wpg:grpSpPr>
                                <a:xfrm>
                                  <a:off x="1389" y="8681"/>
                                  <a:ext cx="6673" cy="6454"/>
                                  <a:chOff x="1389" y="8681"/>
                                  <a:chExt cx="6673" cy="6454"/>
                                </a:xfrm>
                              </wpg:grpSpPr>
                              <wpg:grpSp>
                                <wpg:cNvPr id="42" name="组合 106"/>
                                <wpg:cNvGrpSpPr/>
                                <wpg:grpSpPr>
                                  <a:xfrm rot="0">
                                    <a:off x="1389" y="8681"/>
                                    <a:ext cx="6673" cy="6454"/>
                                    <a:chOff x="2004" y="1493324"/>
                                    <a:chExt cx="6673" cy="6454"/>
                                  </a:xfrm>
                                </wpg:grpSpPr>
                                <wpg:grpSp>
                                  <wpg:cNvPr id="43" name="组合 101"/>
                                  <wpg:cNvGrpSpPr/>
                                  <wpg:grpSpPr>
                                    <a:xfrm>
                                      <a:off x="2004" y="1493324"/>
                                      <a:ext cx="6673" cy="6454"/>
                                      <a:chOff x="2004" y="1493324"/>
                                      <a:chExt cx="6673" cy="6454"/>
                                    </a:xfrm>
                                  </wpg:grpSpPr>
                                  <wps:wsp>
                                    <wps:cNvPr id="69" name="直接箭头连接符 61"/>
                                    <wps:cNvCnPr>
                                      <a:stCxn id="64" idx="0"/>
                                      <a:endCxn id="68" idx="2"/>
                                    </wps:cNvCnPr>
                                    <wps:spPr>
                                      <a:xfrm flipH="1" flipV="1">
                                        <a:off x="7817" y="1493912"/>
                                        <a:ext cx="15" cy="364"/>
                                      </a:xfrm>
                                      <a:prstGeom prst="straightConnector1">
                                        <a:avLst/>
                                      </a:prstGeom>
                                      <a:ln w="12700" cap="flat" cmpd="sng">
                                        <a:solidFill>
                                          <a:srgbClr val="000000"/>
                                        </a:solidFill>
                                        <a:prstDash val="dash"/>
                                        <a:round/>
                                        <a:headEnd type="none" w="med" len="med"/>
                                        <a:tailEnd type="triangle" w="med" len="med"/>
                                      </a:ln>
                                    </wps:spPr>
                                    <wps:bodyPr/>
                                  </wps:wsp>
                                  <wpg:grpSp>
                                    <wpg:cNvPr id="44" name="组合 96"/>
                                    <wpg:cNvGrpSpPr/>
                                    <wpg:grpSpPr>
                                      <a:xfrm>
                                        <a:off x="2004" y="1493324"/>
                                        <a:ext cx="6673" cy="6454"/>
                                        <a:chOff x="2004" y="1493324"/>
                                        <a:chExt cx="6673" cy="6454"/>
                                      </a:xfrm>
                                    </wpg:grpSpPr>
                                    <wps:wsp>
                                      <wps:cNvPr id="70" name="文本框 62"/>
                                      <wps:cNvSpPr txBox="1"/>
                                      <wps:spPr>
                                        <a:xfrm>
                                          <a:off x="4322" y="1493324"/>
                                          <a:ext cx="1763" cy="416"/>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eastAsia="宋体"/>
                                                <w:sz w:val="18"/>
                                                <w:szCs w:val="18"/>
                                                <w:lang w:eastAsia="zh-CN"/>
                                              </w:rPr>
                                              <w:t>钢化玻璃</w:t>
                                            </w:r>
                                          </w:p>
                                        </w:txbxContent>
                                      </wps:txbx>
                                      <wps:bodyPr upright="1"/>
                                    </wps:wsp>
                                    <wpg:grpSp>
                                      <wpg:cNvPr id="45" name="组合 95"/>
                                      <wpg:cNvGrpSpPr/>
                                      <wpg:grpSpPr>
                                        <a:xfrm>
                                          <a:off x="2004" y="1493498"/>
                                          <a:ext cx="6673" cy="6280"/>
                                          <a:chOff x="2004" y="1493498"/>
                                          <a:chExt cx="6673" cy="6280"/>
                                        </a:xfrm>
                                      </wpg:grpSpPr>
                                      <wps:wsp>
                                        <wps:cNvPr id="72" name="文本框 63"/>
                                        <wps:cNvSpPr txBox="1"/>
                                        <wps:spPr>
                                          <a:xfrm>
                                            <a:off x="3965" y="1494260"/>
                                            <a:ext cx="2485" cy="414"/>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清洗、风干</w:t>
                                              </w:r>
                                            </w:p>
                                          </w:txbxContent>
                                        </wps:txbx>
                                        <wps:bodyPr upright="1"/>
                                      </wps:wsp>
                                      <wps:wsp>
                                        <wps:cNvPr id="73" name="文本框 64"/>
                                        <wps:cNvSpPr txBox="1"/>
                                        <wps:spPr>
                                          <a:xfrm>
                                            <a:off x="7288" y="1494276"/>
                                            <a:ext cx="1087" cy="414"/>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纯水</w:t>
                                              </w:r>
                                            </w:p>
                                          </w:txbxContent>
                                        </wps:txbx>
                                        <wps:bodyPr upright="1"/>
                                      </wps:wsp>
                                      <wps:wsp>
                                        <wps:cNvPr id="74" name="文本框 66"/>
                                        <wps:cNvSpPr txBox="1"/>
                                        <wps:spPr>
                                          <a:xfrm>
                                            <a:off x="2141" y="1494261"/>
                                            <a:ext cx="1255" cy="41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噪声、废水</w:t>
                                              </w:r>
                                            </w:p>
                                          </w:txbxContent>
                                        </wps:txbx>
                                        <wps:bodyPr upright="1"/>
                                      </wps:wsp>
                                      <wps:wsp>
                                        <wps:cNvPr id="75" name="文本框 67"/>
                                        <wps:cNvSpPr txBox="1"/>
                                        <wps:spPr>
                                          <a:xfrm>
                                            <a:off x="2004" y="1496739"/>
                                            <a:ext cx="1352" cy="41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噪声、废气</w:t>
                                              </w:r>
                                            </w:p>
                                            <w:p>
                                              <w:pPr>
                                                <w:rPr>
                                                  <w:rFonts w:hint="eastAsia"/>
                                                  <w:sz w:val="18"/>
                                                  <w:szCs w:val="18"/>
                                                  <w:lang w:eastAsia="zh-CN"/>
                                                </w:rPr>
                                              </w:pPr>
                                            </w:p>
                                          </w:txbxContent>
                                        </wps:txbx>
                                        <wps:bodyPr upright="1"/>
                                      </wps:wsp>
                                      <wps:wsp>
                                        <wps:cNvPr id="77" name="文本框 68"/>
                                        <wps:cNvSpPr txBox="1"/>
                                        <wps:spPr>
                                          <a:xfrm>
                                            <a:off x="6957" y="1493498"/>
                                            <a:ext cx="1720" cy="41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噪声、废水、固废</w:t>
                                              </w:r>
                                            </w:p>
                                            <w:p>
                                              <w:pPr>
                                                <w:rPr>
                                                  <w:rFonts w:hint="eastAsia"/>
                                                  <w:sz w:val="18"/>
                                                  <w:szCs w:val="18"/>
                                                  <w:lang w:eastAsia="zh-CN"/>
                                                </w:rPr>
                                              </w:pPr>
                                            </w:p>
                                          </w:txbxContent>
                                        </wps:txbx>
                                        <wps:bodyPr upright="1"/>
                                      </wps:wsp>
                                      <wps:wsp>
                                        <wps:cNvPr id="79" name="文本框 69"/>
                                        <wps:cNvSpPr txBox="1"/>
                                        <wps:spPr>
                                          <a:xfrm>
                                            <a:off x="2089" y="1495072"/>
                                            <a:ext cx="1380" cy="41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噪声、废气</w:t>
                                              </w:r>
                                            </w:p>
                                            <w:p>
                                              <w:pPr>
                                                <w:rPr>
                                                  <w:rFonts w:hint="eastAsia"/>
                                                  <w:sz w:val="18"/>
                                                  <w:szCs w:val="18"/>
                                                  <w:lang w:eastAsia="zh-CN"/>
                                                </w:rPr>
                                              </w:pPr>
                                            </w:p>
                                          </w:txbxContent>
                                        </wps:txbx>
                                        <wps:bodyPr upright="1"/>
                                      </wps:wsp>
                                      <wps:wsp>
                                        <wps:cNvPr id="80" name="文本框 70"/>
                                        <wps:cNvSpPr txBox="1"/>
                                        <wps:spPr>
                                          <a:xfrm>
                                            <a:off x="2445" y="1497556"/>
                                            <a:ext cx="1162" cy="495"/>
                                          </a:xfrm>
                                          <a:prstGeom prst="rect">
                                            <a:avLst/>
                                          </a:prstGeom>
                                          <a:noFill/>
                                          <a:ln w="6350">
                                            <a:noFill/>
                                          </a:ln>
                                        </wps:spPr>
                                        <wps:txbx>
                                          <w:txbxContent>
                                            <w:p>
                                              <w:pPr>
                                                <w:jc w:val="center"/>
                                                <w:rPr>
                                                  <w:rFonts w:hint="eastAsia"/>
                                                  <w:sz w:val="18"/>
                                                  <w:szCs w:val="18"/>
                                                  <w:lang w:eastAsia="zh-CN"/>
                                                </w:rPr>
                                              </w:pPr>
                                              <w:r>
                                                <w:rPr>
                                                  <w:rFonts w:hint="eastAsia"/>
                                                  <w:sz w:val="18"/>
                                                  <w:szCs w:val="18"/>
                                                  <w:lang w:eastAsia="zh-CN"/>
                                                </w:rPr>
                                                <w:t>噪声</w:t>
                                              </w:r>
                                            </w:p>
                                          </w:txbxContent>
                                        </wps:txbx>
                                        <wps:bodyPr upright="1"/>
                                      </wps:wsp>
                                      <wps:wsp>
                                        <wps:cNvPr id="81" name="文本框 72"/>
                                        <wps:cNvSpPr txBox="1"/>
                                        <wps:spPr>
                                          <a:xfrm>
                                            <a:off x="2258" y="1498508"/>
                                            <a:ext cx="1373" cy="41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噪声、固废</w:t>
                                              </w:r>
                                            </w:p>
                                            <w:p>
                                              <w:pPr>
                                                <w:rPr>
                                                  <w:rFonts w:hint="eastAsia"/>
                                                  <w:sz w:val="18"/>
                                                  <w:szCs w:val="18"/>
                                                  <w:lang w:eastAsia="zh-CN"/>
                                                </w:rPr>
                                              </w:pPr>
                                            </w:p>
                                          </w:txbxContent>
                                        </wps:txbx>
                                        <wps:bodyPr upright="1"/>
                                      </wps:wsp>
                                      <wps:wsp>
                                        <wps:cNvPr id="82" name="文本框 74"/>
                                        <wps:cNvSpPr txBox="1"/>
                                        <wps:spPr>
                                          <a:xfrm>
                                            <a:off x="4422" y="1495093"/>
                                            <a:ext cx="1586" cy="414"/>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镀膜</w:t>
                                              </w:r>
                                            </w:p>
                                          </w:txbxContent>
                                        </wps:txbx>
                                        <wps:bodyPr upright="1"/>
                                      </wps:wsp>
                                      <wps:wsp>
                                        <wps:cNvPr id="83" name="文本框 75"/>
                                        <wps:cNvSpPr txBox="1"/>
                                        <wps:spPr>
                                          <a:xfrm>
                                            <a:off x="4137" y="1495950"/>
                                            <a:ext cx="2166" cy="368"/>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Theme="minorEastAsia"/>
                                                  <w:sz w:val="18"/>
                                                  <w:szCs w:val="18"/>
                                                  <w:lang w:val="en-US" w:eastAsia="zh-CN"/>
                                                </w:rPr>
                                              </w:pPr>
                                              <w:r>
                                                <w:rPr>
                                                  <w:rFonts w:hint="eastAsia"/>
                                                  <w:sz w:val="18"/>
                                                  <w:szCs w:val="18"/>
                                                  <w:lang w:val="en-US" w:eastAsia="zh-CN"/>
                                                </w:rPr>
                                                <w:t>闪干</w:t>
                                              </w:r>
                                            </w:p>
                                          </w:txbxContent>
                                        </wps:txbx>
                                        <wps:bodyPr upright="1"/>
                                      </wps:wsp>
                                      <wps:wsp>
                                        <wps:cNvPr id="84" name="文本框 76"/>
                                        <wps:cNvSpPr txBox="1"/>
                                        <wps:spPr>
                                          <a:xfrm>
                                            <a:off x="4243" y="1497578"/>
                                            <a:ext cx="1922" cy="425"/>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sz w:val="18"/>
                                                  <w:szCs w:val="18"/>
                                                  <w:lang w:eastAsia="zh-CN"/>
                                                </w:rPr>
                                              </w:pPr>
                                              <w:r>
                                                <w:rPr>
                                                  <w:rFonts w:hint="eastAsia"/>
                                                  <w:sz w:val="18"/>
                                                  <w:szCs w:val="18"/>
                                                  <w:lang w:eastAsia="zh-CN"/>
                                                </w:rPr>
                                                <w:t>冷却</w:t>
                                              </w:r>
                                            </w:p>
                                          </w:txbxContent>
                                        </wps:txbx>
                                        <wps:bodyPr upright="1"/>
                                      </wps:wsp>
                                      <wps:wsp>
                                        <wps:cNvPr id="85" name="文本框 77"/>
                                        <wps:cNvSpPr txBox="1"/>
                                        <wps:spPr>
                                          <a:xfrm>
                                            <a:off x="4396" y="1498509"/>
                                            <a:ext cx="1586" cy="414"/>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下片、检验</w:t>
                                              </w:r>
                                            </w:p>
                                          </w:txbxContent>
                                        </wps:txbx>
                                        <wps:bodyPr upright="1"/>
                                      </wps:wsp>
                                      <wps:wsp>
                                        <wps:cNvPr id="86" name="文本框 80"/>
                                        <wps:cNvSpPr txBox="1"/>
                                        <wps:spPr>
                                          <a:xfrm>
                                            <a:off x="4317" y="1499364"/>
                                            <a:ext cx="1751" cy="414"/>
                                          </a:xfrm>
                                          <a:prstGeom prst="rect">
                                            <a:avLst/>
                                          </a:prstGeom>
                                          <a:no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eastAsia="宋体"/>
                                                  <w:sz w:val="18"/>
                                                  <w:szCs w:val="18"/>
                                                  <w:lang w:eastAsia="zh-CN"/>
                                                </w:rPr>
                                                <w:t>成品区</w:t>
                                              </w:r>
                                            </w:p>
                                          </w:txbxContent>
                                        </wps:txbx>
                                        <wps:bodyPr upright="1"/>
                                      </wps:wsp>
                                      <wps:wsp>
                                        <wps:cNvPr id="87" name="直接箭头连接符 81"/>
                                        <wps:cNvCnPr>
                                          <a:stCxn id="62" idx="2"/>
                                          <a:endCxn id="63" idx="0"/>
                                        </wps:cNvCnPr>
                                        <wps:spPr>
                                          <a:xfrm>
                                            <a:off x="5204" y="1493740"/>
                                            <a:ext cx="4" cy="520"/>
                                          </a:xfrm>
                                          <a:prstGeom prst="straightConnector1">
                                            <a:avLst/>
                                          </a:prstGeom>
                                          <a:ln w="12700" cap="flat" cmpd="sng">
                                            <a:solidFill>
                                              <a:srgbClr val="000000"/>
                                            </a:solidFill>
                                            <a:prstDash val="solid"/>
                                            <a:round/>
                                            <a:headEnd type="none" w="med" len="med"/>
                                            <a:tailEnd type="triangle" w="med" len="med"/>
                                          </a:ln>
                                        </wps:spPr>
                                        <wps:bodyPr/>
                                      </wps:wsp>
                                      <wps:wsp>
                                        <wps:cNvPr id="88" name="直接箭头连接符 82"/>
                                        <wps:cNvCnPr>
                                          <a:stCxn id="74" idx="2"/>
                                          <a:endCxn id="75" idx="0"/>
                                        </wps:cNvCnPr>
                                        <wps:spPr>
                                          <a:xfrm>
                                            <a:off x="5215" y="1495507"/>
                                            <a:ext cx="5" cy="443"/>
                                          </a:xfrm>
                                          <a:prstGeom prst="straightConnector1">
                                            <a:avLst/>
                                          </a:prstGeom>
                                          <a:ln w="12700" cap="flat" cmpd="sng">
                                            <a:solidFill>
                                              <a:srgbClr val="000000"/>
                                            </a:solidFill>
                                            <a:prstDash val="solid"/>
                                            <a:round/>
                                            <a:headEnd type="none" w="med" len="med"/>
                                            <a:tailEnd type="triangle" w="med" len="med"/>
                                          </a:ln>
                                        </wps:spPr>
                                        <wps:bodyPr/>
                                      </wps:wsp>
                                      <wps:wsp>
                                        <wps:cNvPr id="89" name="直接箭头连接符 83"/>
                                        <wps:cNvCnPr>
                                          <a:stCxn id="64" idx="1"/>
                                          <a:endCxn id="63" idx="3"/>
                                        </wps:cNvCnPr>
                                        <wps:spPr>
                                          <a:xfrm flipH="1" flipV="1">
                                            <a:off x="6450" y="1494467"/>
                                            <a:ext cx="838" cy="16"/>
                                          </a:xfrm>
                                          <a:prstGeom prst="straightConnector1">
                                            <a:avLst/>
                                          </a:prstGeom>
                                          <a:ln w="12700" cap="flat" cmpd="sng">
                                            <a:solidFill>
                                              <a:srgbClr val="000000"/>
                                            </a:solidFill>
                                            <a:prstDash val="solid"/>
                                            <a:round/>
                                            <a:headEnd type="none" w="med" len="med"/>
                                            <a:tailEnd type="triangle" w="med" len="med"/>
                                          </a:ln>
                                        </wps:spPr>
                                        <wps:bodyPr/>
                                      </wps:wsp>
                                      <wps:wsp>
                                        <wps:cNvPr id="90" name="直接箭头连接符 85"/>
                                        <wps:cNvCnPr>
                                          <a:stCxn id="63" idx="1"/>
                                          <a:endCxn id="66" idx="3"/>
                                        </wps:cNvCnPr>
                                        <wps:spPr>
                                          <a:xfrm flipH="1">
                                            <a:off x="3396" y="1494467"/>
                                            <a:ext cx="569" cy="1"/>
                                          </a:xfrm>
                                          <a:prstGeom prst="straightConnector1">
                                            <a:avLst/>
                                          </a:prstGeom>
                                          <a:ln w="12700" cap="flat" cmpd="sng">
                                            <a:solidFill>
                                              <a:srgbClr val="000000"/>
                                            </a:solidFill>
                                            <a:prstDash val="dash"/>
                                            <a:round/>
                                            <a:headEnd type="none" w="med" len="med"/>
                                            <a:tailEnd type="triangle" w="med" len="med"/>
                                          </a:ln>
                                        </wps:spPr>
                                        <wps:bodyPr/>
                                      </wps:wsp>
                                      <wps:wsp>
                                        <wps:cNvPr id="91" name="直接箭头连接符 86"/>
                                        <wps:cNvCnPr>
                                          <a:stCxn id="59" idx="1"/>
                                          <a:endCxn id="67" idx="3"/>
                                        </wps:cNvCnPr>
                                        <wps:spPr>
                                          <a:xfrm flipH="1" flipV="1">
                                            <a:off x="3356" y="1496946"/>
                                            <a:ext cx="766" cy="5"/>
                                          </a:xfrm>
                                          <a:prstGeom prst="straightConnector1">
                                            <a:avLst/>
                                          </a:prstGeom>
                                          <a:ln w="12700" cap="flat" cmpd="sng">
                                            <a:solidFill>
                                              <a:srgbClr val="000000"/>
                                            </a:solidFill>
                                            <a:prstDash val="dash"/>
                                            <a:round/>
                                            <a:headEnd type="none" w="med" len="med"/>
                                            <a:tailEnd type="triangle" w="med" len="med"/>
                                          </a:ln>
                                        </wps:spPr>
                                        <wps:bodyPr/>
                                      </wps:wsp>
                                      <wps:wsp>
                                        <wps:cNvPr id="92" name="直接箭头连接符 87"/>
                                        <wps:cNvCnPr>
                                          <a:stCxn id="63" idx="2"/>
                                          <a:endCxn id="74" idx="0"/>
                                        </wps:cNvCnPr>
                                        <wps:spPr>
                                          <a:xfrm>
                                            <a:off x="5208" y="1494674"/>
                                            <a:ext cx="7" cy="419"/>
                                          </a:xfrm>
                                          <a:prstGeom prst="straightConnector1">
                                            <a:avLst/>
                                          </a:prstGeom>
                                          <a:ln w="12700" cap="flat" cmpd="sng">
                                            <a:solidFill>
                                              <a:srgbClr val="000000"/>
                                            </a:solidFill>
                                            <a:prstDash val="solid"/>
                                            <a:round/>
                                            <a:headEnd type="none" w="med" len="med"/>
                                            <a:tailEnd type="triangle" w="med" len="med"/>
                                          </a:ln>
                                        </wps:spPr>
                                        <wps:bodyPr/>
                                      </wps:wsp>
                                      <wps:wsp>
                                        <wps:cNvPr id="93" name="直接箭头连接符 90"/>
                                        <wps:cNvCnPr>
                                          <a:stCxn id="74" idx="1"/>
                                          <a:endCxn id="69" idx="3"/>
                                        </wps:cNvCnPr>
                                        <wps:spPr>
                                          <a:xfrm flipH="1" flipV="1">
                                            <a:off x="3469" y="1495279"/>
                                            <a:ext cx="953" cy="21"/>
                                          </a:xfrm>
                                          <a:prstGeom prst="straightConnector1">
                                            <a:avLst/>
                                          </a:prstGeom>
                                          <a:ln w="12700" cap="flat" cmpd="sng">
                                            <a:solidFill>
                                              <a:srgbClr val="000000"/>
                                            </a:solidFill>
                                            <a:prstDash val="dash"/>
                                            <a:round/>
                                            <a:headEnd type="none" w="med" len="med"/>
                                            <a:tailEnd type="triangle" w="med" len="med"/>
                                          </a:ln>
                                        </wps:spPr>
                                        <wps:bodyPr/>
                                      </wps:wsp>
                                      <wps:wsp>
                                        <wps:cNvPr id="94" name="直接箭头连接符 91"/>
                                        <wps:cNvCnPr>
                                          <a:stCxn id="59" idx="2"/>
                                          <a:endCxn id="76" idx="0"/>
                                        </wps:cNvCnPr>
                                        <wps:spPr>
                                          <a:xfrm flipH="1">
                                            <a:off x="5204" y="1497135"/>
                                            <a:ext cx="1" cy="443"/>
                                          </a:xfrm>
                                          <a:prstGeom prst="straightConnector1">
                                            <a:avLst/>
                                          </a:prstGeom>
                                          <a:ln w="12700" cap="flat" cmpd="sng">
                                            <a:solidFill>
                                              <a:srgbClr val="000000"/>
                                            </a:solidFill>
                                            <a:prstDash val="solid"/>
                                            <a:round/>
                                            <a:headEnd type="none" w="med" len="med"/>
                                            <a:tailEnd type="triangle" w="med" len="med"/>
                                          </a:ln>
                                        </wps:spPr>
                                        <wps:bodyPr/>
                                      </wps:wsp>
                                      <wps:wsp>
                                        <wps:cNvPr id="95" name="直接箭头连接符 92"/>
                                        <wps:cNvCnPr>
                                          <a:stCxn id="76" idx="2"/>
                                          <a:endCxn id="77" idx="0"/>
                                        </wps:cNvCnPr>
                                        <wps:spPr>
                                          <a:xfrm flipH="1">
                                            <a:off x="5189" y="1498003"/>
                                            <a:ext cx="15" cy="506"/>
                                          </a:xfrm>
                                          <a:prstGeom prst="straightConnector1">
                                            <a:avLst/>
                                          </a:prstGeom>
                                          <a:ln w="12700" cap="flat" cmpd="sng">
                                            <a:solidFill>
                                              <a:srgbClr val="000000"/>
                                            </a:solidFill>
                                            <a:prstDash val="solid"/>
                                            <a:round/>
                                            <a:headEnd type="none" w="med" len="med"/>
                                            <a:tailEnd type="triangle" w="med" len="med"/>
                                          </a:ln>
                                        </wps:spPr>
                                        <wps:bodyPr/>
                                      </wps:wsp>
                                      <wps:wsp>
                                        <wps:cNvPr id="96" name="直接箭头连接符 94"/>
                                        <wps:cNvCnPr>
                                          <a:stCxn id="77" idx="2"/>
                                          <a:endCxn id="80" idx="0"/>
                                        </wps:cNvCnPr>
                                        <wps:spPr>
                                          <a:xfrm>
                                            <a:off x="5189" y="1498923"/>
                                            <a:ext cx="4" cy="441"/>
                                          </a:xfrm>
                                          <a:prstGeom prst="straightConnector1">
                                            <a:avLst/>
                                          </a:prstGeom>
                                          <a:ln w="12700" cap="flat" cmpd="sng">
                                            <a:solidFill>
                                              <a:srgbClr val="000000"/>
                                            </a:solidFill>
                                            <a:prstDash val="solid"/>
                                            <a:round/>
                                            <a:headEnd type="none" w="med" len="med"/>
                                            <a:tailEnd type="triangle" w="med" len="med"/>
                                          </a:ln>
                                        </wps:spPr>
                                        <wps:bodyPr/>
                                      </wps:wsp>
                                    </wpg:grpSp>
                                  </wpg:grpSp>
                                  <wps:wsp>
                                    <wps:cNvPr id="97" name="直接箭头连接符 97"/>
                                    <wps:cNvCnPr>
                                      <a:stCxn id="77" idx="1"/>
                                      <a:endCxn id="72" idx="3"/>
                                    </wps:cNvCnPr>
                                    <wps:spPr>
                                      <a:xfrm flipH="1" flipV="1">
                                        <a:off x="3631" y="1498715"/>
                                        <a:ext cx="765" cy="1"/>
                                      </a:xfrm>
                                      <a:prstGeom prst="straightConnector1">
                                        <a:avLst/>
                                      </a:prstGeom>
                                      <a:ln w="12700" cap="flat" cmpd="sng">
                                        <a:solidFill>
                                          <a:srgbClr val="000000"/>
                                        </a:solidFill>
                                        <a:prstDash val="dash"/>
                                        <a:round/>
                                        <a:headEnd type="none" w="med" len="med"/>
                                        <a:tailEnd type="triangle" w="med" len="med"/>
                                      </a:ln>
                                    </wps:spPr>
                                    <wps:bodyPr/>
                                  </wps:wsp>
                                  <wps:wsp>
                                    <wps:cNvPr id="99" name="直接箭头连接符 99"/>
                                    <wps:cNvCnPr>
                                      <a:stCxn id="76" idx="1"/>
                                      <a:endCxn id="70" idx="3"/>
                                    </wps:cNvCnPr>
                                    <wps:spPr>
                                      <a:xfrm flipH="1">
                                        <a:off x="3607" y="1497791"/>
                                        <a:ext cx="636" cy="13"/>
                                      </a:xfrm>
                                      <a:prstGeom prst="straightConnector1">
                                        <a:avLst/>
                                      </a:prstGeom>
                                      <a:ln w="12700" cap="flat" cmpd="sng">
                                        <a:solidFill>
                                          <a:srgbClr val="000000"/>
                                        </a:solidFill>
                                        <a:prstDash val="dash"/>
                                        <a:round/>
                                        <a:headEnd type="none" w="med" len="med"/>
                                        <a:tailEnd type="triangle" w="med" len="med"/>
                                      </a:ln>
                                    </wps:spPr>
                                    <wps:bodyPr/>
                                  </wps:wsp>
                                  <wps:wsp>
                                    <wps:cNvPr id="100" name="直接箭头连接符 100"/>
                                    <wps:cNvCnPr>
                                      <a:stCxn id="75" idx="1"/>
                                      <a:endCxn id="102" idx="3"/>
                                    </wps:cNvCnPr>
                                    <wps:spPr>
                                      <a:xfrm flipH="1">
                                        <a:off x="3570" y="1496134"/>
                                        <a:ext cx="567" cy="0"/>
                                      </a:xfrm>
                                      <a:prstGeom prst="straightConnector1">
                                        <a:avLst/>
                                      </a:prstGeom>
                                      <a:ln w="12700" cap="flat" cmpd="sng">
                                        <a:solidFill>
                                          <a:srgbClr val="000000"/>
                                        </a:solidFill>
                                        <a:prstDash val="dash"/>
                                        <a:round/>
                                        <a:headEnd type="none" w="med" len="med"/>
                                        <a:tailEnd type="triangle" w="med" len="med"/>
                                      </a:ln>
                                    </wps:spPr>
                                    <wps:bodyPr/>
                                  </wps:wsp>
                                </wpg:grpSp>
                                <wps:wsp>
                                  <wps:cNvPr id="102" name="文本框 102"/>
                                  <wps:cNvSpPr txBox="1"/>
                                  <wps:spPr>
                                    <a:xfrm>
                                      <a:off x="2015" y="1495927"/>
                                      <a:ext cx="1555" cy="414"/>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噪声、废气</w:t>
                                        </w:r>
                                      </w:p>
                                      <w:p>
                                        <w:pPr>
                                          <w:rPr>
                                            <w:rFonts w:hint="eastAsia"/>
                                            <w:sz w:val="18"/>
                                            <w:szCs w:val="18"/>
                                            <w:lang w:eastAsia="zh-CN"/>
                                          </w:rPr>
                                        </w:pPr>
                                      </w:p>
                                    </w:txbxContent>
                                  </wps:txbx>
                                  <wps:bodyPr upright="1"/>
                                </wps:wsp>
                              </wpg:grpSp>
                              <wps:wsp>
                                <wps:cNvPr id="108" name="直接箭头连接符 108"/>
                                <wps:cNvCnPr>
                                  <a:stCxn id="75" idx="2"/>
                                  <a:endCxn id="59" idx="0"/>
                                </wps:cNvCnPr>
                                <wps:spPr>
                                  <a:xfrm flipH="1">
                                    <a:off x="4590" y="11675"/>
                                    <a:ext cx="15" cy="449"/>
                                  </a:xfrm>
                                  <a:prstGeom prst="straightConnector1">
                                    <a:avLst/>
                                  </a:prstGeom>
                                  <a:ln w="12700" cap="flat" cmpd="sng">
                                    <a:solidFill>
                                      <a:srgbClr val="000000"/>
                                    </a:solidFill>
                                    <a:prstDash val="solid"/>
                                    <a:round/>
                                    <a:headEnd type="none" w="med" len="med"/>
                                    <a:tailEnd type="triangle" w="med" len="med"/>
                                  </a:ln>
                                </wps:spPr>
                                <wps:bodyPr/>
                              </wps:wsp>
                            </wpg:grpSp>
                          </wpg:wgp>
                        </a:graphicData>
                      </a:graphic>
                    </wp:inline>
                  </w:drawing>
                </mc:Choice>
                <mc:Fallback>
                  <w:pict>
                    <v:group id="_x0000_s1026" o:spid="_x0000_s1026" o:spt="203" style="height:322.7pt;width:333.65pt;" coordorigin="1389,8681" coordsize="6673,6454" o:gfxdata="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">
                      <o:lock v:ext="edit" aspectratio="f"/>
                      <v:shape id="文本框 59" o:spid="_x0000_s1026" o:spt="202" type="#_x0000_t202" style="position:absolute;left:3507;top:12124;height:368;width:2166;" filled="f" stroked="t" coordsize="21600,21600" o:gfxdata="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fqt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18"/>
                                  <w:szCs w:val="18"/>
                                  <w:lang w:val="en-US" w:eastAsia="zh-CN"/>
                                </w:rPr>
                              </w:pPr>
                              <w:r>
                                <w:rPr>
                                  <w:rFonts w:hint="eastAsia"/>
                                  <w:sz w:val="18"/>
                                  <w:szCs w:val="18"/>
                                  <w:lang w:val="en-US" w:eastAsia="zh-CN"/>
                                </w:rPr>
                                <w:t>固化</w:t>
                              </w:r>
                            </w:p>
                          </w:txbxContent>
                        </v:textbox>
                      </v:shape>
                      <v:group id="组合 113" o:spid="_x0000_s1026" o:spt="203" style="position:absolute;left:1389;top:8681;height:6454;width:6673;" coordorigin="1389,8681" coordsize="6673,645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组合 106" o:spid="_x0000_s1026" o:spt="203" style="position:absolute;left:1389;top:8681;height:6454;width:6673;" coordorigin="2004,1493324" coordsize="6673,645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101" o:spid="_x0000_s1026" o:spt="203" style="position:absolute;left:2004;top:1493324;height:6454;width:6673;" coordorigin="2004,1493324" coordsize="6673,6454"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直接箭头连接符 61" o:spid="_x0000_s1026" o:spt="32" type="#_x0000_t32" style="position:absolute;left:7817;top:1493912;flip:x y;height:364;width:15;" filled="f" stroked="t" coordsize="21600,21600" o:gfxdata="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mofvQAA&#10;ANs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shape>
                            <v:group id="组合 96" o:spid="_x0000_s1026" o:spt="203" style="position:absolute;left:2004;top:1493324;height:6454;width:6673;" coordorigin="2004,1493324" coordsize="6673,6454"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文本框 62" o:spid="_x0000_s1026" o:spt="202" type="#_x0000_t202" style="position:absolute;left:4322;top:1493324;height:416;width:1763;" filled="f" stroked="t" coordsize="21600,21600" o:gfxdata="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YcG6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eastAsia="宋体"/>
                                          <w:sz w:val="18"/>
                                          <w:szCs w:val="18"/>
                                          <w:lang w:eastAsia="zh-CN"/>
                                        </w:rPr>
                                        <w:t>钢化玻璃</w:t>
                                      </w:r>
                                    </w:p>
                                  </w:txbxContent>
                                </v:textbox>
                              </v:shape>
                              <v:group id="组合 95" o:spid="_x0000_s1026" o:spt="203" style="position:absolute;left:2004;top:1493498;height:6280;width:6673;" coordorigin="2004,1493498" coordsize="6673,628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文本框 63" o:spid="_x0000_s1026" o:spt="202" type="#_x0000_t202" style="position:absolute;left:3965;top:1494260;height:414;width:2485;" filled="f" stroked="t" coordsize="21600,21600" o:gfxdata="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ZLg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清洗、风干</w:t>
                                        </w:r>
                                      </w:p>
                                    </w:txbxContent>
                                  </v:textbox>
                                </v:shape>
                                <v:shape id="文本框 64" o:spid="_x0000_s1026" o:spt="202" type="#_x0000_t202" style="position:absolute;left:7288;top:1494276;height:414;width:1087;" filled="f" stroked="t" coordsize="21600,21600" o:gfxdata="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K7hm/&#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纯水</w:t>
                                        </w:r>
                                      </w:p>
                                    </w:txbxContent>
                                  </v:textbox>
                                </v:shape>
                                <v:shape id="文本框 66" o:spid="_x0000_s1026" o:spt="202" type="#_x0000_t202" style="position:absolute;left:2141;top:1494261;height:414;width:1255;"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噪声、废水</w:t>
                                        </w:r>
                                      </w:p>
                                    </w:txbxContent>
                                  </v:textbox>
                                </v:shape>
                                <v:shape id="文本框 67" o:spid="_x0000_s1026" o:spt="202" type="#_x0000_t202" style="position:absolute;left:2004;top:1496739;height:414;width:1352;"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噪声、废气</w:t>
                                        </w:r>
                                      </w:p>
                                      <w:p>
                                        <w:pPr>
                                          <w:rPr>
                                            <w:rFonts w:hint="eastAsia"/>
                                            <w:sz w:val="18"/>
                                            <w:szCs w:val="18"/>
                                            <w:lang w:eastAsia="zh-CN"/>
                                          </w:rPr>
                                        </w:pPr>
                                      </w:p>
                                    </w:txbxContent>
                                  </v:textbox>
                                </v:shape>
                                <v:shape id="文本框 68" o:spid="_x0000_s1026" o:spt="202" type="#_x0000_t202" style="position:absolute;left:6957;top:1493498;height:414;width:1720;"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噪声、废水、固废</w:t>
                                        </w:r>
                                      </w:p>
                                      <w:p>
                                        <w:pPr>
                                          <w:rPr>
                                            <w:rFonts w:hint="eastAsia"/>
                                            <w:sz w:val="18"/>
                                            <w:szCs w:val="18"/>
                                            <w:lang w:eastAsia="zh-CN"/>
                                          </w:rPr>
                                        </w:pPr>
                                      </w:p>
                                    </w:txbxContent>
                                  </v:textbox>
                                </v:shape>
                                <v:shape id="文本框 69" o:spid="_x0000_s1026" o:spt="202" type="#_x0000_t202" style="position:absolute;left:2089;top:1495072;height:414;width:1380;"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噪声、废气</w:t>
                                        </w:r>
                                      </w:p>
                                      <w:p>
                                        <w:pPr>
                                          <w:rPr>
                                            <w:rFonts w:hint="eastAsia"/>
                                            <w:sz w:val="18"/>
                                            <w:szCs w:val="18"/>
                                            <w:lang w:eastAsia="zh-CN"/>
                                          </w:rPr>
                                        </w:pPr>
                                      </w:p>
                                    </w:txbxContent>
                                  </v:textbox>
                                </v:shape>
                                <v:shape id="文本框 70" o:spid="_x0000_s1026" o:spt="202" type="#_x0000_t202" style="position:absolute;left:2445;top:1497556;height:495;width:1162;"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jc w:val="center"/>
                                          <w:rPr>
                                            <w:rFonts w:hint="eastAsia"/>
                                            <w:sz w:val="18"/>
                                            <w:szCs w:val="18"/>
                                            <w:lang w:eastAsia="zh-CN"/>
                                          </w:rPr>
                                        </w:pPr>
                                        <w:r>
                                          <w:rPr>
                                            <w:rFonts w:hint="eastAsia"/>
                                            <w:sz w:val="18"/>
                                            <w:szCs w:val="18"/>
                                            <w:lang w:eastAsia="zh-CN"/>
                                          </w:rPr>
                                          <w:t>噪声</w:t>
                                        </w:r>
                                      </w:p>
                                    </w:txbxContent>
                                  </v:textbox>
                                </v:shape>
                                <v:shape id="文本框 72" o:spid="_x0000_s1026" o:spt="202" type="#_x0000_t202" style="position:absolute;left:2258;top:1498508;height:414;width:1373;"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噪声、固废</w:t>
                                        </w:r>
                                      </w:p>
                                      <w:p>
                                        <w:pPr>
                                          <w:rPr>
                                            <w:rFonts w:hint="eastAsia"/>
                                            <w:sz w:val="18"/>
                                            <w:szCs w:val="18"/>
                                            <w:lang w:eastAsia="zh-CN"/>
                                          </w:rPr>
                                        </w:pPr>
                                      </w:p>
                                    </w:txbxContent>
                                  </v:textbox>
                                </v:shape>
                                <v:shape id="文本框 74" o:spid="_x0000_s1026" o:spt="202" type="#_x0000_t202" style="position:absolute;left:4422;top:1495093;height:414;width:1586;" filled="f" stroked="t" coordsize="21600,21600" o:gfxdata="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M7pb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镀膜</w:t>
                                        </w:r>
                                      </w:p>
                                    </w:txbxContent>
                                  </v:textbox>
                                </v:shape>
                                <v:shape id="文本框 75" o:spid="_x0000_s1026" o:spt="202" type="#_x0000_t202" style="position:absolute;left:4137;top:1495950;height:368;width:2166;" filled="f" stroked="t" coordsize="21600,21600" o:gfxdata="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fnj6/&#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Theme="minorEastAsia"/>
                                            <w:sz w:val="18"/>
                                            <w:szCs w:val="18"/>
                                            <w:lang w:val="en-US" w:eastAsia="zh-CN"/>
                                          </w:rPr>
                                        </w:pPr>
                                        <w:r>
                                          <w:rPr>
                                            <w:rFonts w:hint="eastAsia"/>
                                            <w:sz w:val="18"/>
                                            <w:szCs w:val="18"/>
                                            <w:lang w:val="en-US" w:eastAsia="zh-CN"/>
                                          </w:rPr>
                                          <w:t>闪干</w:t>
                                        </w:r>
                                      </w:p>
                                    </w:txbxContent>
                                  </v:textbox>
                                </v:shape>
                                <v:shape id="文本框 76" o:spid="_x0000_s1026" o:spt="202" type="#_x0000_t202" style="position:absolute;left:4243;top:1497578;height:425;width:1922;" filled="f" stroked="t" coordsize="21600,21600" o:gfxdata="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gZK&#10;wAAAANs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pPr>
                                          <w:jc w:val="center"/>
                                          <w:rPr>
                                            <w:rFonts w:hint="eastAsia"/>
                                            <w:sz w:val="18"/>
                                            <w:szCs w:val="18"/>
                                            <w:lang w:eastAsia="zh-CN"/>
                                          </w:rPr>
                                        </w:pPr>
                                        <w:r>
                                          <w:rPr>
                                            <w:rFonts w:hint="eastAsia"/>
                                            <w:sz w:val="18"/>
                                            <w:szCs w:val="18"/>
                                            <w:lang w:eastAsia="zh-CN"/>
                                          </w:rPr>
                                          <w:t>冷却</w:t>
                                        </w:r>
                                      </w:p>
                                    </w:txbxContent>
                                  </v:textbox>
                                </v:shape>
                                <v:shape id="文本框 77" o:spid="_x0000_s1026" o:spt="202" type="#_x0000_t202" style="position:absolute;left:4396;top:1498509;height:414;width:1586;" filled="f" stroked="t" coordsize="21600,21600" o:gfxdata="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6o9G/&#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下片、检验</w:t>
                                        </w:r>
                                      </w:p>
                                    </w:txbxContent>
                                  </v:textbox>
                                </v:shape>
                                <v:shape id="文本框 80" o:spid="_x0000_s1026" o:spt="202" type="#_x0000_t202" style="position:absolute;left:4317;top:1499364;height:414;width:1751;" filled="f" stroked="t" coordsize="21600,21600" o:gfxdata="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Paa/&#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eastAsia="宋体"/>
                                            <w:sz w:val="18"/>
                                            <w:szCs w:val="18"/>
                                            <w:lang w:eastAsia="zh-CN"/>
                                          </w:rPr>
                                          <w:t>成品区</w:t>
                                        </w:r>
                                      </w:p>
                                    </w:txbxContent>
                                  </v:textbox>
                                </v:shape>
                                <v:shape id="直接箭头连接符 81" o:spid="_x0000_s1026" o:spt="32" type="#_x0000_t32" style="position:absolute;left:5204;top:1493740;height:520;width:4;" filled="f" stroked="t" coordsize="21600,21600" o:gfxdata="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qZru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直接箭头连接符 82" o:spid="_x0000_s1026" o:spt="32" type="#_x0000_t32" style="position:absolute;left:5215;top:1495507;height:443;width:5;" filled="f" stroked="t" coordsize="21600,21600" o:gfxdata="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XXyybUAAADbAAAADwAA&#10;AAAAAAABACAAAAAiAAAAZHJzL2Rvd25yZXYueG1sUEsBAhQAFAAAAAgAh07iQDMvBZ47AAAAOQAA&#10;ABAAAAAAAAAAAQAgAAAABAEAAGRycy9zaGFwZXhtbC54bWxQSwUGAAAAAAYABgBbAQAArgMAAAAA&#10;">
                                  <v:fill on="f" focussize="0,0"/>
                                  <v:stroke weight="1pt" color="#000000" joinstyle="round" endarrow="block"/>
                                  <v:imagedata o:title=""/>
                                  <o:lock v:ext="edit" aspectratio="f"/>
                                </v:shape>
                                <v:shape id="直接箭头连接符 83" o:spid="_x0000_s1026" o:spt="32" type="#_x0000_t32" style="position:absolute;left:6450;top:1494467;flip:x y;height:16;width:838;" filled="f" stroked="t" coordsize="21600,21600" o:gfxdata="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nY4b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shape>
                                <v:shape id="直接箭头连接符 85" o:spid="_x0000_s1026" o:spt="32" type="#_x0000_t32" style="position:absolute;left:3396;top:1494467;flip:x;height:1;width:569;" filled="f" stroked="t" coordsize="21600,21600" o:gfxdata="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XG8m/&#10;AAAA2w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shape>
                                <v:shape id="直接箭头连接符 86" o:spid="_x0000_s1026" o:spt="32" type="#_x0000_t32" style="position:absolute;left:3356;top:1496946;flip:x y;height:5;width:766;" filled="f" stroked="t" coordsize="21600,21600" o:gfxdata="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RY+vQAA&#10;ANs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shape>
                                <v:shape id="直接箭头连接符 87" o:spid="_x0000_s1026" o:spt="32" type="#_x0000_t32" style="position:absolute;left:5208;top:1494674;height:419;width:7;" filled="f" stroked="t" coordsize="21600,21600" o:gfxdata="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EU/6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直接箭头连接符 90" o:spid="_x0000_s1026" o:spt="32" type="#_x0000_t32" style="position:absolute;left:3469;top:1495279;flip:x y;height:21;width:953;" filled="f" stroked="t" coordsize="21600,21600" o:gfxdata="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y3SvQAA&#10;ANs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shape>
                                <v:shape id="直接箭头连接符 91" o:spid="_x0000_s1026" o:spt="32" type="#_x0000_t32" style="position:absolute;left:5204;top:1497135;flip:x;height:443;width:1;" filled="f" stroked="t" coordsize="21600,21600" o:gfxdata="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poUO/&#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shape id="直接箭头连接符 92" o:spid="_x0000_s1026" o:spt="32" type="#_x0000_t32" style="position:absolute;left:5189;top:1498003;flip:x;height:506;width:15;" filled="f" stroked="t" coordsize="21600,21600" o:gfxdata="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lBNi/&#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shape id="直接箭头连接符 94" o:spid="_x0000_s1026" o:spt="32" type="#_x0000_t32" style="position:absolute;left:5189;top:1498923;height:441;width:4;" filled="f" stroked="t" coordsize="21600,21600" o:gfxdata="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Vf2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shape>
                              </v:group>
                            </v:group>
                            <v:shape id="_x0000_s1026" o:spid="_x0000_s1026" o:spt="32" type="#_x0000_t32" style="position:absolute;left:3631;top:1498715;flip:x y;height:1;width:765;" filled="f" stroked="t" coordsize="21600,21600" o:gfxdata="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CvRvQAA&#10;ANs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shape>
                            <v:shape id="_x0000_s1026" o:spid="_x0000_s1026" o:spt="32" type="#_x0000_t32" style="position:absolute;left:3607;top:1497791;flip:x;height:13;width:636;" filled="f" stroked="t" coordsize="21600,21600" o:gfxdata="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LbJU&#10;wAAAANs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_x0000_s1026" o:spid="_x0000_s1026" o:spt="32" type="#_x0000_t32" style="position:absolute;left:3570;top:1496134;flip:x;height:0;width:567;" filled="f" stroked="t" coordsize="21600,21600" o:gfxdata="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oKRL&#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group>
                          <v:shape id="_x0000_s1026" o:spid="_x0000_s1026" o:spt="202" type="#_x0000_t202" style="position:absolute;left:2015;top:1495927;height:414;width:1555;"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18"/>
                                      <w:szCs w:val="18"/>
                                      <w:lang w:eastAsia="zh-CN"/>
                                    </w:rPr>
                                  </w:pPr>
                                  <w:r>
                                    <w:rPr>
                                      <w:rFonts w:hint="eastAsia"/>
                                      <w:sz w:val="18"/>
                                      <w:szCs w:val="18"/>
                                      <w:lang w:eastAsia="zh-CN"/>
                                    </w:rPr>
                                    <w:t>噪声、废气</w:t>
                                  </w:r>
                                </w:p>
                                <w:p>
                                  <w:pPr>
                                    <w:rPr>
                                      <w:rFonts w:hint="eastAsia"/>
                                      <w:sz w:val="18"/>
                                      <w:szCs w:val="18"/>
                                      <w:lang w:eastAsia="zh-CN"/>
                                    </w:rPr>
                                  </w:pPr>
                                </w:p>
                              </w:txbxContent>
                            </v:textbox>
                          </v:shape>
                        </v:group>
                        <v:shape id="_x0000_s1026" o:spid="_x0000_s1026" o:spt="32" type="#_x0000_t32" style="position:absolute;left:4590;top:11675;flip:x;height:449;width:15;" filled="f" stroked="t" coordsize="21600,21600" o:gfxdata="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s095&#10;wAAAANw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shape>
                      </v:group>
                      <w10:wrap type="none"/>
                      <w10:anchorlock/>
                    </v:group>
                  </w:pict>
                </mc:Fallback>
              </mc:AlternateContent>
            </w:r>
          </w:p>
          <w:p>
            <w:pPr>
              <w:numPr>
                <w:ilvl w:val="0"/>
                <w:numId w:val="0"/>
              </w:numPr>
              <w:shd w:val="clear"/>
              <w:tabs>
                <w:tab w:val="left" w:pos="0"/>
              </w:tabs>
              <w:spacing w:line="360" w:lineRule="auto"/>
              <w:ind w:left="0" w:leftChars="0" w:firstLine="0" w:firstLineChars="0"/>
              <w:jc w:val="center"/>
              <w:rPr>
                <w:rFonts w:hint="eastAsia"/>
                <w:b/>
                <w:sz w:val="24"/>
                <w:szCs w:val="24"/>
              </w:rPr>
            </w:pPr>
            <w:r>
              <w:rPr>
                <w:rFonts w:hint="default" w:ascii="Times New Roman" w:hAnsi="Times New Roman" w:eastAsia="宋体" w:cs="宋体"/>
                <w:b/>
                <w:bCs w:val="0"/>
                <w:kern w:val="2"/>
                <w:sz w:val="21"/>
                <w:szCs w:val="21"/>
                <w:lang w:val="en-US" w:eastAsia="zh-CN" w:bidi="ar-SA"/>
              </w:rPr>
              <w:t>图2-</w:t>
            </w:r>
            <w:r>
              <w:rPr>
                <w:rFonts w:hint="eastAsia" w:cs="宋体"/>
                <w:b/>
                <w:bCs w:val="0"/>
                <w:kern w:val="2"/>
                <w:sz w:val="21"/>
                <w:szCs w:val="21"/>
                <w:lang w:val="en-US" w:eastAsia="zh-CN" w:bidi="ar-SA"/>
              </w:rPr>
              <w:t>5</w:t>
            </w:r>
            <w:r>
              <w:rPr>
                <w:rFonts w:hint="eastAsia" w:ascii="Times New Roman" w:hAnsi="Times New Roman" w:eastAsia="宋体" w:cs="宋体"/>
                <w:b/>
                <w:bCs w:val="0"/>
                <w:kern w:val="2"/>
                <w:sz w:val="21"/>
                <w:szCs w:val="21"/>
                <w:lang w:val="en-US" w:eastAsia="zh-CN" w:bidi="ar-SA"/>
              </w:rPr>
              <w:t xml:space="preserve"> </w:t>
            </w:r>
            <w:r>
              <w:rPr>
                <w:rFonts w:hint="default" w:ascii="Times New Roman" w:hAnsi="Times New Roman" w:eastAsia="宋体" w:cs="宋体"/>
                <w:b/>
                <w:bCs w:val="0"/>
                <w:kern w:val="2"/>
                <w:sz w:val="21"/>
                <w:szCs w:val="21"/>
                <w:lang w:val="en-US" w:eastAsia="zh-CN" w:bidi="ar-SA"/>
              </w:rPr>
              <w:t xml:space="preserve"> </w:t>
            </w:r>
            <w:r>
              <w:rPr>
                <w:rFonts w:hint="eastAsia" w:ascii="Times New Roman" w:hAnsi="Times New Roman" w:eastAsia="宋体" w:cs="宋体"/>
                <w:b/>
                <w:bCs w:val="0"/>
                <w:kern w:val="2"/>
                <w:sz w:val="21"/>
                <w:szCs w:val="21"/>
                <w:lang w:val="en-US" w:eastAsia="zh-CN" w:bidi="ar-SA"/>
              </w:rPr>
              <w:t>营运期工艺流程及产污环节图</w:t>
            </w:r>
          </w:p>
          <w:p>
            <w:pPr>
              <w:spacing w:line="360" w:lineRule="auto"/>
              <w:ind w:firstLine="482" w:firstLineChars="200"/>
              <w:rPr>
                <w:b/>
                <w:sz w:val="24"/>
                <w:szCs w:val="24"/>
              </w:rPr>
            </w:pPr>
            <w:r>
              <w:rPr>
                <w:rFonts w:hint="eastAsia"/>
                <w:b/>
                <w:sz w:val="24"/>
                <w:szCs w:val="24"/>
              </w:rPr>
              <w:t>工艺流程</w:t>
            </w:r>
            <w:r>
              <w:rPr>
                <w:b/>
                <w:sz w:val="24"/>
                <w:szCs w:val="24"/>
              </w:rPr>
              <w:t>简述：</w:t>
            </w:r>
          </w:p>
          <w:p>
            <w:pPr>
              <w:spacing w:line="360" w:lineRule="auto"/>
              <w:ind w:firstLine="482" w:firstLineChars="200"/>
              <w:rPr>
                <w:rFonts w:hint="eastAsia"/>
                <w:b/>
                <w:sz w:val="24"/>
                <w:szCs w:val="24"/>
              </w:rPr>
            </w:pPr>
            <w:r>
              <w:rPr>
                <w:rFonts w:hint="eastAsia"/>
                <w:b/>
                <w:sz w:val="24"/>
                <w:szCs w:val="24"/>
                <w:lang w:eastAsia="zh-CN"/>
              </w:rPr>
              <w:t>（</w:t>
            </w:r>
            <w:r>
              <w:rPr>
                <w:rFonts w:hint="eastAsia"/>
                <w:b/>
                <w:sz w:val="24"/>
                <w:szCs w:val="24"/>
                <w:lang w:val="en-US" w:eastAsia="zh-CN"/>
              </w:rPr>
              <w:t>1</w:t>
            </w:r>
            <w:r>
              <w:rPr>
                <w:rFonts w:hint="eastAsia"/>
                <w:b/>
                <w:sz w:val="24"/>
                <w:szCs w:val="24"/>
                <w:lang w:eastAsia="zh-CN"/>
              </w:rPr>
              <w:t>）</w:t>
            </w:r>
            <w:r>
              <w:rPr>
                <w:rFonts w:hint="eastAsia"/>
                <w:b/>
                <w:sz w:val="24"/>
                <w:szCs w:val="24"/>
              </w:rPr>
              <w:t>清洗</w:t>
            </w:r>
          </w:p>
          <w:p>
            <w:pPr>
              <w:spacing w:line="360" w:lineRule="auto"/>
              <w:ind w:firstLine="480" w:firstLineChars="200"/>
              <w:rPr>
                <w:rFonts w:ascii="宋体" w:hAnsi="宋体" w:cs="宋体"/>
                <w:sz w:val="24"/>
                <w:szCs w:val="24"/>
              </w:rPr>
            </w:pPr>
            <w:r>
              <w:rPr>
                <w:rFonts w:hint="eastAsia"/>
                <w:bCs/>
                <w:sz w:val="24"/>
                <w:szCs w:val="24"/>
                <w:lang w:eastAsia="zh-CN"/>
              </w:rPr>
              <w:t>根据市场需求，本项目将厂区内一</w:t>
            </w:r>
            <w:r>
              <w:rPr>
                <w:rFonts w:hint="eastAsia"/>
                <w:bCs/>
                <w:sz w:val="24"/>
                <w:szCs w:val="24"/>
                <w:lang w:val="en-US" w:eastAsia="zh-CN"/>
              </w:rPr>
              <w:t>期项目35万</w:t>
            </w:r>
            <w:r>
              <w:rPr>
                <w:rFonts w:hint="eastAsia"/>
                <w:lang w:val="en-US" w:eastAsia="zh-CN"/>
              </w:rPr>
              <w:t>m</w:t>
            </w:r>
            <w:r>
              <w:rPr>
                <w:rFonts w:hint="eastAsia"/>
                <w:vertAlign w:val="superscript"/>
                <w:lang w:val="en-US" w:eastAsia="zh-CN"/>
              </w:rPr>
              <w:t>2</w:t>
            </w:r>
            <w:r>
              <w:rPr>
                <w:rFonts w:hint="eastAsia"/>
                <w:bCs/>
                <w:sz w:val="24"/>
                <w:szCs w:val="24"/>
                <w:lang w:val="en-US" w:eastAsia="zh-CN"/>
              </w:rPr>
              <w:t>钢化玻璃以及其他企业的25万</w:t>
            </w:r>
            <w:r>
              <w:rPr>
                <w:rFonts w:hint="eastAsia"/>
                <w:lang w:val="en-US" w:eastAsia="zh-CN"/>
              </w:rPr>
              <w:t>m</w:t>
            </w:r>
            <w:r>
              <w:rPr>
                <w:rFonts w:hint="eastAsia"/>
                <w:vertAlign w:val="superscript"/>
                <w:lang w:val="en-US" w:eastAsia="zh-CN"/>
              </w:rPr>
              <w:t>2</w:t>
            </w:r>
            <w:r>
              <w:rPr>
                <w:rFonts w:hint="eastAsia"/>
                <w:bCs/>
                <w:sz w:val="24"/>
                <w:szCs w:val="24"/>
                <w:lang w:val="en-US" w:eastAsia="zh-CN"/>
              </w:rPr>
              <w:t>钢化玻璃作为纳米镀膜玻璃的原料，</w:t>
            </w:r>
            <w:r>
              <w:rPr>
                <w:rFonts w:hint="eastAsia"/>
                <w:bCs/>
                <w:sz w:val="24"/>
                <w:szCs w:val="24"/>
              </w:rPr>
              <w:t>将钢化玻璃放置在清洗机中进行清洗，清洗过程采用纯水，去除玻璃表面附着的水分子层和尘埃，使得其表面易于润湿；清洗后对玻璃进行除水</w:t>
            </w:r>
            <w:r>
              <w:rPr>
                <w:rFonts w:hint="eastAsia"/>
                <w:bCs/>
                <w:sz w:val="24"/>
                <w:szCs w:val="24"/>
                <w:lang w:eastAsia="zh-CN"/>
              </w:rPr>
              <w:t>风干</w:t>
            </w:r>
            <w:r>
              <w:rPr>
                <w:rFonts w:hint="eastAsia"/>
                <w:bCs/>
                <w:sz w:val="24"/>
                <w:szCs w:val="24"/>
              </w:rPr>
              <w:t>，避免</w:t>
            </w:r>
            <w:r>
              <w:rPr>
                <w:rFonts w:hint="eastAsia" w:ascii="宋体" w:hAnsi="宋体" w:cs="宋体"/>
                <w:sz w:val="24"/>
                <w:szCs w:val="24"/>
              </w:rPr>
              <w:t>玻璃干燥后因表面残存杂质等，造成镀膜后出现针孔，脱膜等其他现象。该过程会产生清洗废水</w:t>
            </w:r>
            <w:r>
              <w:rPr>
                <w:rFonts w:hint="eastAsia" w:ascii="宋体" w:hAnsi="宋体" w:cs="宋体"/>
                <w:sz w:val="24"/>
                <w:szCs w:val="24"/>
                <w:lang w:eastAsia="zh-CN"/>
              </w:rPr>
              <w:t>、噪声</w:t>
            </w:r>
            <w:r>
              <w:rPr>
                <w:rFonts w:hint="eastAsia" w:ascii="宋体" w:hAnsi="宋体" w:cs="宋体"/>
                <w:sz w:val="24"/>
                <w:szCs w:val="24"/>
              </w:rPr>
              <w:t>。</w:t>
            </w:r>
          </w:p>
          <w:p>
            <w:pPr>
              <w:spacing w:line="360" w:lineRule="auto"/>
              <w:ind w:firstLine="482" w:firstLineChars="200"/>
              <w:rPr>
                <w:rFonts w:hint="eastAsia" w:ascii="Times New Roman" w:hAnsi="Times New Roman" w:eastAsia="宋体"/>
                <w:b/>
                <w:sz w:val="24"/>
                <w:szCs w:val="24"/>
                <w:lang w:val="en-US" w:eastAsia="zh-CN"/>
              </w:rPr>
            </w:pPr>
            <w:r>
              <w:rPr>
                <w:rFonts w:hint="default" w:ascii="Times New Roman" w:hAnsi="Times New Roman" w:eastAsia="宋体"/>
                <w:b/>
                <w:sz w:val="24"/>
                <w:szCs w:val="24"/>
                <w:lang w:val="en-US" w:eastAsia="zh-CN"/>
              </w:rPr>
              <w:t>（</w:t>
            </w:r>
            <w:r>
              <w:rPr>
                <w:rFonts w:hint="eastAsia" w:ascii="Times New Roman" w:hAnsi="Times New Roman" w:eastAsia="宋体"/>
                <w:b/>
                <w:sz w:val="24"/>
                <w:szCs w:val="24"/>
                <w:lang w:val="en-US" w:eastAsia="zh-CN"/>
              </w:rPr>
              <w:t>2</w:t>
            </w:r>
            <w:r>
              <w:rPr>
                <w:rFonts w:hint="default" w:ascii="Times New Roman" w:hAnsi="Times New Roman" w:eastAsia="宋体"/>
                <w:b/>
                <w:sz w:val="24"/>
                <w:szCs w:val="24"/>
                <w:lang w:val="en-US" w:eastAsia="zh-CN"/>
              </w:rPr>
              <w:t>）</w:t>
            </w:r>
            <w:r>
              <w:rPr>
                <w:rFonts w:hint="eastAsia" w:ascii="Times New Roman" w:hAnsi="Times New Roman" w:eastAsia="宋体"/>
                <w:b/>
                <w:sz w:val="24"/>
                <w:szCs w:val="24"/>
                <w:lang w:val="en-US" w:eastAsia="zh-CN"/>
              </w:rPr>
              <w:t>镀膜</w:t>
            </w:r>
          </w:p>
          <w:p>
            <w:pPr>
              <w:numPr>
                <w:ilvl w:val="0"/>
                <w:numId w:val="0"/>
              </w:numPr>
              <w:spacing w:line="360" w:lineRule="auto"/>
              <w:ind w:firstLine="480" w:firstLineChars="200"/>
              <w:rPr>
                <w:bCs/>
                <w:sz w:val="24"/>
                <w:szCs w:val="24"/>
              </w:rPr>
            </w:pPr>
            <w:r>
              <w:rPr>
                <w:rFonts w:hint="eastAsia"/>
                <w:bCs/>
                <w:sz w:val="24"/>
                <w:szCs w:val="24"/>
              </w:rPr>
              <w:t>清洗完成后的钢化玻璃在精密激光镭射镀膜机上进行镀膜，镀膜中会使用UV蓝色纳米隔热剂，将镀膜液均匀的涂抹在镀膜产品上。该过程会产生废气</w:t>
            </w:r>
            <w:r>
              <w:rPr>
                <w:rFonts w:hint="eastAsia"/>
                <w:bCs/>
                <w:sz w:val="24"/>
                <w:szCs w:val="24"/>
                <w:lang w:eastAsia="zh-CN"/>
              </w:rPr>
              <w:t>、噪声</w:t>
            </w:r>
            <w:r>
              <w:rPr>
                <w:rFonts w:hint="eastAsia"/>
                <w:bCs/>
                <w:sz w:val="24"/>
                <w:szCs w:val="24"/>
              </w:rPr>
              <w:t>。</w:t>
            </w:r>
          </w:p>
          <w:p>
            <w:pPr>
              <w:numPr>
                <w:ilvl w:val="0"/>
                <w:numId w:val="0"/>
              </w:numPr>
              <w:spacing w:line="360" w:lineRule="auto"/>
              <w:ind w:firstLine="482" w:firstLineChars="200"/>
              <w:rPr>
                <w:rFonts w:hint="eastAsia"/>
                <w:b/>
                <w:sz w:val="24"/>
                <w:szCs w:val="24"/>
              </w:rPr>
            </w:pPr>
            <w:r>
              <w:rPr>
                <w:rFonts w:hint="eastAsia" w:ascii="Times New Roman" w:hAnsi="Times New Roman" w:eastAsia="宋体" w:cs="黑体"/>
                <w:b/>
                <w:kern w:val="2"/>
                <w:sz w:val="24"/>
                <w:szCs w:val="24"/>
                <w:lang w:val="en-US" w:eastAsia="zh-CN" w:bidi="ar-SA"/>
              </w:rPr>
              <w:t>（3）</w:t>
            </w:r>
            <w:r>
              <w:rPr>
                <w:rFonts w:hint="eastAsia"/>
                <w:b/>
                <w:sz w:val="24"/>
                <w:szCs w:val="24"/>
              </w:rPr>
              <w:t>闪干</w:t>
            </w:r>
          </w:p>
          <w:p>
            <w:pPr>
              <w:numPr>
                <w:ilvl w:val="0"/>
                <w:numId w:val="0"/>
              </w:numPr>
              <w:spacing w:line="360" w:lineRule="auto"/>
              <w:ind w:firstLine="480" w:firstLineChars="200"/>
              <w:rPr>
                <w:b/>
                <w:sz w:val="24"/>
                <w:szCs w:val="24"/>
              </w:rPr>
            </w:pPr>
            <w:r>
              <w:rPr>
                <w:rFonts w:hint="eastAsia"/>
                <w:bCs/>
                <w:sz w:val="24"/>
                <w:szCs w:val="24"/>
              </w:rPr>
              <w:t>镀膜完成后的玻璃进入精密闪干流平机，</w:t>
            </w:r>
            <w:r>
              <w:rPr>
                <w:rFonts w:hint="eastAsia" w:ascii="宋体" w:hAnsi="宋体" w:eastAsia="宋体"/>
                <w:bCs/>
                <w:sz w:val="24"/>
                <w:szCs w:val="24"/>
              </w:rPr>
              <w:t>玻璃镀层由室温逐渐升温至指定温度</w:t>
            </w:r>
            <w:r>
              <w:rPr>
                <w:rFonts w:hint="eastAsia" w:ascii="宋体" w:hAnsi="宋体" w:eastAsia="宋体"/>
                <w:bCs/>
                <w:sz w:val="24"/>
                <w:szCs w:val="24"/>
                <w:lang w:eastAsia="zh-CN"/>
              </w:rPr>
              <w:t>（</w:t>
            </w:r>
            <w:r>
              <w:rPr>
                <w:rFonts w:hint="eastAsia" w:ascii="Times New Roman" w:hAnsi="Times New Roman" w:eastAsia="宋体"/>
                <w:bCs/>
                <w:sz w:val="24"/>
                <w:szCs w:val="24"/>
                <w:lang w:val="en-US" w:eastAsia="zh-CN"/>
              </w:rPr>
              <w:t>60</w:t>
            </w:r>
            <w:r>
              <w:rPr>
                <w:rFonts w:hint="eastAsia"/>
                <w:bCs/>
                <w:sz w:val="24"/>
                <w:szCs w:val="24"/>
                <w:lang w:val="en-US" w:eastAsia="zh-CN"/>
              </w:rPr>
              <w:t>℃</w:t>
            </w:r>
            <w:r>
              <w:rPr>
                <w:rFonts w:hint="eastAsia" w:ascii="宋体" w:hAnsi="宋体" w:eastAsia="宋体"/>
                <w:bCs/>
                <w:sz w:val="24"/>
                <w:szCs w:val="24"/>
                <w:lang w:eastAsia="zh-CN"/>
              </w:rPr>
              <w:t>）</w:t>
            </w:r>
            <w:r>
              <w:rPr>
                <w:rFonts w:hint="eastAsia" w:ascii="宋体" w:hAnsi="宋体" w:eastAsia="宋体"/>
                <w:bCs/>
                <w:sz w:val="24"/>
                <w:szCs w:val="24"/>
              </w:rPr>
              <w:t>，</w:t>
            </w:r>
            <w:r>
              <w:rPr>
                <w:rFonts w:hint="eastAsia" w:hAnsi="宋体" w:cs="Calibri"/>
                <w:sz w:val="24"/>
                <w:szCs w:val="24"/>
              </w:rPr>
              <w:t>使湿膜中</w:t>
            </w:r>
            <w:r>
              <w:rPr>
                <w:rFonts w:hAnsi="宋体" w:cs="Calibri"/>
                <w:sz w:val="24"/>
                <w:szCs w:val="24"/>
              </w:rPr>
              <w:t>90%</w:t>
            </w:r>
            <w:r>
              <w:rPr>
                <w:rFonts w:hint="eastAsia" w:hAnsi="宋体" w:cs="Calibri"/>
                <w:sz w:val="24"/>
                <w:szCs w:val="24"/>
              </w:rPr>
              <w:t>以上的溶剂在此阶段散发逸出，避免镀层出现橘皮或针孔等其它弊病；由于此阶段溶剂迅速挥发</w:t>
            </w:r>
            <w:r>
              <w:rPr>
                <w:rFonts w:hint="eastAsia" w:hAnsi="宋体" w:cs="Calibri"/>
                <w:sz w:val="24"/>
                <w:szCs w:val="24"/>
                <w:lang w:eastAsia="zh-CN"/>
              </w:rPr>
              <w:t>，</w:t>
            </w:r>
            <w:r>
              <w:rPr>
                <w:rFonts w:hint="eastAsia" w:ascii="宋体" w:hAnsi="宋体" w:eastAsia="宋体"/>
                <w:bCs/>
                <w:sz w:val="24"/>
                <w:szCs w:val="24"/>
              </w:rPr>
              <w:t>设计有溢风系统</w:t>
            </w:r>
            <w:r>
              <w:rPr>
                <w:rFonts w:hint="eastAsia" w:hAnsi="宋体" w:cs="Calibri"/>
                <w:sz w:val="24"/>
                <w:szCs w:val="24"/>
              </w:rPr>
              <w:t>来排除溶剂蒸气</w:t>
            </w:r>
            <w:r>
              <w:rPr>
                <w:rFonts w:hint="eastAsia" w:hAnsi="宋体" w:cs="Calibri"/>
                <w:sz w:val="24"/>
                <w:szCs w:val="24"/>
                <w:lang w:eastAsia="zh-CN"/>
              </w:rPr>
              <w:t>，加快流平作用</w:t>
            </w:r>
            <w:r>
              <w:rPr>
                <w:rFonts w:hint="eastAsia" w:hAnsi="宋体" w:cs="Calibri"/>
                <w:sz w:val="24"/>
                <w:szCs w:val="24"/>
              </w:rPr>
              <w:t>。</w:t>
            </w:r>
            <w:r>
              <w:rPr>
                <w:rFonts w:hint="eastAsia" w:ascii="宋体" w:hAnsi="宋体" w:cs="Calibri"/>
                <w:sz w:val="24"/>
                <w:szCs w:val="24"/>
              </w:rPr>
              <w:t>该过程会产生废气</w:t>
            </w:r>
            <w:r>
              <w:rPr>
                <w:rFonts w:hint="eastAsia" w:ascii="宋体" w:hAnsi="宋体" w:cs="Calibri"/>
                <w:sz w:val="24"/>
                <w:szCs w:val="24"/>
                <w:lang w:eastAsia="zh-CN"/>
              </w:rPr>
              <w:t>、噪声</w:t>
            </w:r>
            <w:r>
              <w:rPr>
                <w:rFonts w:hint="eastAsia" w:ascii="宋体" w:hAnsi="宋体" w:cs="Calibri"/>
                <w:sz w:val="24"/>
                <w:szCs w:val="24"/>
              </w:rPr>
              <w:t>。</w:t>
            </w:r>
          </w:p>
          <w:p>
            <w:pPr>
              <w:spacing w:line="360" w:lineRule="auto"/>
              <w:ind w:firstLine="482" w:firstLineChars="200"/>
              <w:rPr>
                <w:rFonts w:hint="eastAsia"/>
                <w:b/>
                <w:sz w:val="24"/>
                <w:szCs w:val="24"/>
              </w:rPr>
            </w:pPr>
            <w:r>
              <w:rPr>
                <w:rFonts w:hint="eastAsia"/>
                <w:b/>
                <w:sz w:val="24"/>
                <w:szCs w:val="24"/>
                <w:lang w:eastAsia="zh-CN"/>
              </w:rPr>
              <w:t>（</w:t>
            </w:r>
            <w:r>
              <w:rPr>
                <w:rFonts w:hint="eastAsia"/>
                <w:b/>
                <w:sz w:val="24"/>
                <w:szCs w:val="24"/>
                <w:lang w:val="en-US" w:eastAsia="zh-CN"/>
              </w:rPr>
              <w:t>4</w:t>
            </w:r>
            <w:r>
              <w:rPr>
                <w:rFonts w:hint="eastAsia"/>
                <w:b/>
                <w:sz w:val="24"/>
                <w:szCs w:val="24"/>
                <w:lang w:eastAsia="zh-CN"/>
              </w:rPr>
              <w:t>）</w:t>
            </w:r>
            <w:r>
              <w:rPr>
                <w:rFonts w:hint="eastAsia"/>
                <w:b/>
                <w:sz w:val="24"/>
                <w:szCs w:val="24"/>
              </w:rPr>
              <w:t>固化</w:t>
            </w:r>
          </w:p>
          <w:p>
            <w:pPr>
              <w:spacing w:line="360" w:lineRule="auto"/>
              <w:ind w:firstLine="480" w:firstLineChars="200"/>
              <w:rPr>
                <w:bCs/>
                <w:sz w:val="24"/>
                <w:szCs w:val="24"/>
              </w:rPr>
            </w:pPr>
            <w:r>
              <w:rPr>
                <w:rFonts w:hint="eastAsia"/>
                <w:bCs/>
                <w:sz w:val="24"/>
                <w:szCs w:val="24"/>
              </w:rPr>
              <w:t>然后进入精密紫外固化机，镀层材料经过紫外线照射并发生一系列复杂化学反应后固化成坚硬膜层，要保证镀层的性能和特性需要控制合适的时间和温度，时间不足可导致镀层附着力差、耐候性差、强度和硬度下降；而过度照射则会导致镀层变色、失光、机械强度严重下降等问题；镀膜玻璃在烘干室内的整个烘干过程中，</w:t>
            </w:r>
            <w:r>
              <w:rPr>
                <w:rFonts w:hint="eastAsia"/>
                <w:bCs/>
                <w:sz w:val="24"/>
                <w:szCs w:val="24"/>
                <w:lang w:eastAsia="zh-CN"/>
              </w:rPr>
              <w:t>烘干温度为</w:t>
            </w:r>
            <w:r>
              <w:rPr>
                <w:rFonts w:hint="eastAsia"/>
                <w:bCs/>
                <w:sz w:val="24"/>
                <w:szCs w:val="24"/>
                <w:lang w:val="en-US" w:eastAsia="zh-CN"/>
              </w:rPr>
              <w:t>150℃</w:t>
            </w:r>
            <w:r>
              <w:rPr>
                <w:rFonts w:hint="eastAsia"/>
                <w:bCs/>
                <w:sz w:val="24"/>
                <w:szCs w:val="24"/>
              </w:rPr>
              <w:t>。该过程会产生废气</w:t>
            </w:r>
            <w:r>
              <w:rPr>
                <w:rFonts w:hint="eastAsia"/>
                <w:bCs/>
                <w:sz w:val="24"/>
                <w:szCs w:val="24"/>
                <w:lang w:eastAsia="zh-CN"/>
              </w:rPr>
              <w:t>、噪声</w:t>
            </w:r>
            <w:r>
              <w:rPr>
                <w:rFonts w:hint="eastAsia"/>
                <w:bCs/>
                <w:sz w:val="24"/>
                <w:szCs w:val="24"/>
              </w:rPr>
              <w:t>。</w:t>
            </w:r>
          </w:p>
          <w:p>
            <w:pPr>
              <w:spacing w:line="360" w:lineRule="auto"/>
              <w:ind w:firstLine="482" w:firstLineChars="200"/>
              <w:rPr>
                <w:rFonts w:hint="eastAsia"/>
                <w:b/>
                <w:sz w:val="24"/>
                <w:szCs w:val="24"/>
              </w:rPr>
            </w:pPr>
            <w:r>
              <w:rPr>
                <w:rFonts w:hint="eastAsia"/>
                <w:b/>
                <w:sz w:val="24"/>
                <w:szCs w:val="24"/>
                <w:lang w:eastAsia="zh-CN"/>
              </w:rPr>
              <w:t>（</w:t>
            </w:r>
            <w:r>
              <w:rPr>
                <w:rFonts w:hint="eastAsia"/>
                <w:b/>
                <w:sz w:val="24"/>
                <w:szCs w:val="24"/>
                <w:lang w:val="en-US" w:eastAsia="zh-CN"/>
              </w:rPr>
              <w:t>5</w:t>
            </w:r>
            <w:r>
              <w:rPr>
                <w:rFonts w:hint="eastAsia"/>
                <w:b/>
                <w:sz w:val="24"/>
                <w:szCs w:val="24"/>
                <w:lang w:eastAsia="zh-CN"/>
              </w:rPr>
              <w:t>）</w:t>
            </w:r>
            <w:r>
              <w:rPr>
                <w:rFonts w:hint="eastAsia"/>
                <w:b/>
                <w:sz w:val="24"/>
                <w:szCs w:val="24"/>
              </w:rPr>
              <w:t>冷却</w:t>
            </w:r>
          </w:p>
          <w:p>
            <w:pPr>
              <w:spacing w:line="360" w:lineRule="auto"/>
              <w:ind w:firstLine="480" w:firstLineChars="200"/>
              <w:rPr>
                <w:bCs/>
                <w:sz w:val="24"/>
                <w:szCs w:val="24"/>
              </w:rPr>
            </w:pPr>
            <w:r>
              <w:rPr>
                <w:rFonts w:hint="eastAsia"/>
                <w:bCs/>
                <w:sz w:val="24"/>
                <w:szCs w:val="24"/>
              </w:rPr>
              <w:t>之后进入风冷输送机进行冷却，使得固化后的玻璃快速冷却至</w:t>
            </w:r>
            <w:r>
              <w:rPr>
                <w:rFonts w:hint="eastAsia"/>
                <w:bCs/>
                <w:sz w:val="24"/>
                <w:szCs w:val="24"/>
                <w:lang w:val="en-US" w:eastAsia="zh-CN"/>
              </w:rPr>
              <w:t>40</w:t>
            </w:r>
            <w:r>
              <w:rPr>
                <w:rFonts w:hint="eastAsia"/>
                <w:bCs/>
                <w:sz w:val="24"/>
                <w:szCs w:val="24"/>
              </w:rPr>
              <w:t>℃左右，大大降低了冷却时间，提高生产效率，避免大面积场地被占用。该过程会产生</w:t>
            </w:r>
            <w:r>
              <w:rPr>
                <w:rFonts w:hint="eastAsia"/>
                <w:bCs/>
                <w:sz w:val="24"/>
                <w:szCs w:val="24"/>
                <w:lang w:eastAsia="zh-CN"/>
              </w:rPr>
              <w:t>噪声</w:t>
            </w:r>
            <w:r>
              <w:rPr>
                <w:rFonts w:hint="eastAsia"/>
                <w:bCs/>
                <w:sz w:val="24"/>
                <w:szCs w:val="24"/>
              </w:rPr>
              <w:t>。</w:t>
            </w:r>
          </w:p>
          <w:p>
            <w:pPr>
              <w:numPr>
                <w:ilvl w:val="0"/>
                <w:numId w:val="0"/>
              </w:numPr>
              <w:spacing w:line="360" w:lineRule="auto"/>
              <w:ind w:firstLine="482" w:firstLineChars="200"/>
              <w:rPr>
                <w:rFonts w:hint="eastAsia"/>
                <w:b/>
                <w:sz w:val="24"/>
                <w:szCs w:val="24"/>
              </w:rPr>
            </w:pPr>
            <w:r>
              <w:rPr>
                <w:rFonts w:hint="eastAsia" w:ascii="Times New Roman" w:hAnsi="Times New Roman" w:eastAsia="宋体" w:cs="黑体"/>
                <w:b/>
                <w:kern w:val="2"/>
                <w:sz w:val="24"/>
                <w:szCs w:val="24"/>
                <w:lang w:val="en-US" w:eastAsia="zh-CN" w:bidi="ar-SA"/>
              </w:rPr>
              <w:t>（6）</w:t>
            </w:r>
            <w:r>
              <w:rPr>
                <w:rFonts w:hint="eastAsia"/>
                <w:b/>
                <w:sz w:val="24"/>
                <w:szCs w:val="24"/>
              </w:rPr>
              <w:t>下片</w:t>
            </w:r>
            <w:r>
              <w:rPr>
                <w:rFonts w:hint="eastAsia"/>
                <w:b/>
                <w:sz w:val="24"/>
                <w:szCs w:val="24"/>
                <w:lang w:eastAsia="zh-CN"/>
              </w:rPr>
              <w:t>及检验</w:t>
            </w:r>
          </w:p>
          <w:p>
            <w:pPr>
              <w:numPr>
                <w:ilvl w:val="0"/>
                <w:numId w:val="0"/>
              </w:numPr>
              <w:spacing w:line="360" w:lineRule="auto"/>
              <w:ind w:firstLine="480" w:firstLineChars="200"/>
              <w:rPr>
                <w:bCs/>
                <w:sz w:val="24"/>
                <w:szCs w:val="24"/>
              </w:rPr>
            </w:pPr>
            <w:r>
              <w:rPr>
                <w:rFonts w:hint="eastAsia"/>
                <w:bCs/>
                <w:sz w:val="24"/>
                <w:szCs w:val="24"/>
                <w:lang w:eastAsia="zh-CN"/>
              </w:rPr>
              <w:t>冷却后的</w:t>
            </w:r>
            <w:r>
              <w:rPr>
                <w:rFonts w:hint="eastAsia"/>
                <w:bCs/>
                <w:sz w:val="24"/>
                <w:szCs w:val="24"/>
              </w:rPr>
              <w:t>玻璃通过下片机进行卸载，下片</w:t>
            </w:r>
            <w:r>
              <w:rPr>
                <w:rFonts w:hint="eastAsia"/>
                <w:bCs/>
                <w:sz w:val="24"/>
                <w:szCs w:val="24"/>
                <w:lang w:eastAsia="zh-CN"/>
              </w:rPr>
              <w:t>后对玻璃进行检验</w:t>
            </w:r>
            <w:r>
              <w:rPr>
                <w:rFonts w:hint="eastAsia"/>
                <w:bCs/>
                <w:sz w:val="24"/>
                <w:szCs w:val="24"/>
              </w:rPr>
              <w:t>。该过程会产生</w:t>
            </w:r>
            <w:r>
              <w:rPr>
                <w:rFonts w:hint="eastAsia"/>
                <w:bCs/>
                <w:sz w:val="24"/>
                <w:szCs w:val="24"/>
                <w:lang w:eastAsia="zh-CN"/>
              </w:rPr>
              <w:t>噪声、固废</w:t>
            </w:r>
            <w:r>
              <w:rPr>
                <w:rFonts w:hint="eastAsia"/>
                <w:bCs/>
                <w:sz w:val="24"/>
                <w:szCs w:val="24"/>
              </w:rPr>
              <w:t>。</w:t>
            </w:r>
          </w:p>
          <w:p>
            <w:pPr>
              <w:numPr>
                <w:ilvl w:val="0"/>
                <w:numId w:val="0"/>
              </w:numPr>
              <w:spacing w:line="360" w:lineRule="auto"/>
              <w:ind w:firstLine="482" w:firstLineChars="200"/>
              <w:rPr>
                <w:rFonts w:hint="eastAsia" w:ascii="Times New Roman" w:hAnsi="Times New Roman" w:eastAsia="宋体" w:cs="黑体"/>
                <w:b/>
                <w:kern w:val="2"/>
                <w:sz w:val="24"/>
                <w:szCs w:val="24"/>
                <w:lang w:val="en-US" w:eastAsia="zh-CN" w:bidi="ar-SA"/>
              </w:rPr>
            </w:pPr>
            <w:r>
              <w:rPr>
                <w:rFonts w:hint="eastAsia" w:ascii="Times New Roman" w:hAnsi="Times New Roman" w:eastAsia="宋体" w:cs="黑体"/>
                <w:b/>
                <w:kern w:val="2"/>
                <w:sz w:val="24"/>
                <w:szCs w:val="24"/>
                <w:lang w:val="en-US" w:eastAsia="zh-CN" w:bidi="ar-SA"/>
              </w:rPr>
              <w:t>（7）成品</w:t>
            </w:r>
          </w:p>
          <w:p>
            <w:pPr>
              <w:numPr>
                <w:ilvl w:val="0"/>
                <w:numId w:val="0"/>
              </w:numPr>
              <w:spacing w:line="360" w:lineRule="auto"/>
              <w:ind w:firstLine="480" w:firstLineChars="200"/>
              <w:rPr>
                <w:rFonts w:hint="default"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检验合格的纳米镀膜玻璃拉运到成品区等待外售。</w:t>
            </w:r>
          </w:p>
          <w:p>
            <w:pPr>
              <w:adjustRightInd w:val="0"/>
              <w:snapToGrid w:val="0"/>
              <w:spacing w:line="360" w:lineRule="auto"/>
              <w:rPr>
                <w:rFonts w:hint="eastAsia"/>
                <w:b/>
                <w:bCs w:val="0"/>
                <w:color w:val="auto"/>
                <w:sz w:val="24"/>
              </w:rPr>
            </w:pPr>
            <w:r>
              <w:rPr>
                <w:rFonts w:hint="eastAsia"/>
                <w:b/>
                <w:bCs w:val="0"/>
                <w:color w:val="auto"/>
                <w:sz w:val="24"/>
                <w:lang w:val="en-US" w:eastAsia="zh-CN"/>
              </w:rPr>
              <w:t>2、</w:t>
            </w:r>
            <w:r>
              <w:rPr>
                <w:rFonts w:hint="eastAsia"/>
                <w:b/>
                <w:bCs w:val="0"/>
                <w:color w:val="auto"/>
                <w:sz w:val="24"/>
              </w:rPr>
              <w:t>洁净系统</w:t>
            </w:r>
          </w:p>
          <w:p>
            <w:pPr>
              <w:adjustRightInd w:val="0"/>
              <w:snapToGrid w:val="0"/>
              <w:spacing w:line="360" w:lineRule="auto"/>
              <w:jc w:val="center"/>
              <w:rPr>
                <w:b/>
                <w:color w:val="auto"/>
                <w:sz w:val="24"/>
              </w:rPr>
            </w:pPr>
            <w:r>
              <w:rPr>
                <w:b/>
                <w:color w:val="auto"/>
                <w:sz w:val="24"/>
              </w:rPr>
              <w:object>
                <v:shape id="_x0000_i1028" o:spt="75" type="#_x0000_t75" style="height:88.35pt;width:313.55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pPr>
              <w:adjustRightInd w:val="0"/>
              <w:snapToGrid w:val="0"/>
              <w:spacing w:line="360" w:lineRule="auto"/>
              <w:jc w:val="center"/>
              <w:rPr>
                <w:b/>
                <w:color w:val="auto"/>
                <w:szCs w:val="21"/>
              </w:rPr>
            </w:pPr>
            <w:r>
              <w:rPr>
                <w:b/>
                <w:color w:val="auto"/>
                <w:szCs w:val="21"/>
              </w:rPr>
              <w:t>图2-</w:t>
            </w:r>
            <w:r>
              <w:rPr>
                <w:rFonts w:hint="eastAsia"/>
                <w:b/>
                <w:color w:val="auto"/>
                <w:szCs w:val="21"/>
                <w:lang w:val="en-US" w:eastAsia="zh-CN"/>
              </w:rPr>
              <w:t>6</w:t>
            </w:r>
            <w:r>
              <w:rPr>
                <w:b/>
                <w:color w:val="auto"/>
                <w:szCs w:val="21"/>
              </w:rPr>
              <w:t xml:space="preserve">  </w:t>
            </w:r>
            <w:r>
              <w:rPr>
                <w:rFonts w:hint="eastAsia"/>
                <w:b/>
                <w:color w:val="auto"/>
                <w:szCs w:val="21"/>
              </w:rPr>
              <w:t>洁净系统</w:t>
            </w:r>
            <w:r>
              <w:rPr>
                <w:b/>
                <w:color w:val="auto"/>
                <w:szCs w:val="21"/>
              </w:rPr>
              <w:t>工艺流程</w:t>
            </w:r>
          </w:p>
          <w:p>
            <w:pPr>
              <w:adjustRightInd w:val="0"/>
              <w:snapToGrid w:val="0"/>
              <w:spacing w:line="360" w:lineRule="auto"/>
              <w:ind w:firstLine="482" w:firstLineChars="200"/>
              <w:rPr>
                <w:b/>
                <w:color w:val="auto"/>
                <w:sz w:val="24"/>
              </w:rPr>
            </w:pPr>
            <w:r>
              <w:rPr>
                <w:rFonts w:hint="eastAsia"/>
                <w:b/>
                <w:color w:val="auto"/>
                <w:sz w:val="24"/>
              </w:rPr>
              <w:t>洁净系统工作原理</w:t>
            </w:r>
            <w:r>
              <w:rPr>
                <w:b/>
                <w:color w:val="auto"/>
                <w:sz w:val="24"/>
              </w:rPr>
              <w:t>简介：</w:t>
            </w:r>
          </w:p>
          <w:p>
            <w:pPr>
              <w:adjustRightInd w:val="0"/>
              <w:snapToGrid w:val="0"/>
              <w:spacing w:line="360" w:lineRule="auto"/>
              <w:ind w:firstLine="480" w:firstLineChars="200"/>
              <w:rPr>
                <w:rFonts w:hint="eastAsia" w:ascii="Times New Roman" w:hAnsi="Times New Roman" w:eastAsia="宋体" w:cs="黑体"/>
                <w:b/>
                <w:kern w:val="2"/>
                <w:sz w:val="24"/>
                <w:szCs w:val="24"/>
                <w:lang w:val="en-US" w:eastAsia="zh-CN" w:bidi="ar-SA"/>
              </w:rPr>
            </w:pPr>
            <w:r>
              <w:rPr>
                <w:rFonts w:hint="eastAsia"/>
                <w:bCs/>
                <w:color w:val="auto"/>
                <w:sz w:val="24"/>
              </w:rPr>
              <w:t>项目在</w:t>
            </w:r>
            <w:r>
              <w:rPr>
                <w:rFonts w:hint="eastAsia"/>
                <w:bCs/>
                <w:color w:val="auto"/>
                <w:sz w:val="24"/>
                <w:lang w:eastAsia="zh-CN"/>
              </w:rPr>
              <w:t>镀膜工段</w:t>
            </w:r>
            <w:r>
              <w:rPr>
                <w:rFonts w:hint="eastAsia"/>
                <w:bCs/>
                <w:color w:val="auto"/>
                <w:sz w:val="24"/>
              </w:rPr>
              <w:t>设置有净化系统，净化系统新风与排风单独设置，用于净化空气达到所需的要求。空调净化系统工作原理：根据洁净区环境控制要求设定运行参数，新风在进入空调处理室后，依次经初效过滤器、加湿器、加热器、表冷器对空气进行降温（或升温）、除湿（或加湿）处理，经中效过滤器过滤，再由风机加压和送风管，通过高效过滤器后送入室</w:t>
            </w:r>
            <w:r>
              <w:rPr>
                <w:rFonts w:hint="eastAsia"/>
                <w:bCs/>
                <w:color w:val="auto"/>
                <w:sz w:val="24"/>
                <w:lang w:eastAsia="zh-CN"/>
              </w:rPr>
              <w:t>内</w:t>
            </w:r>
            <w:r>
              <w:rPr>
                <w:rFonts w:hint="eastAsia"/>
                <w:bCs/>
                <w:color w:val="auto"/>
                <w:sz w:val="24"/>
              </w:rPr>
              <w:t>；洁净区内空气通过排风装置将室内空气经初级过滤器、中级过滤器过滤后，通过百叶窗排放；送、排风均有风阀调节至设计风量。</w:t>
            </w:r>
            <w:r>
              <w:rPr>
                <w:bCs/>
                <w:color w:val="auto"/>
                <w:sz w:val="24"/>
              </w:rPr>
              <w:t>此过程产生污染物为废</w:t>
            </w:r>
            <w:r>
              <w:rPr>
                <w:rFonts w:hint="eastAsia"/>
                <w:bCs/>
                <w:color w:val="auto"/>
                <w:sz w:val="24"/>
              </w:rPr>
              <w:t>过滤</w:t>
            </w:r>
            <w:r>
              <w:rPr>
                <w:rFonts w:hint="eastAsia"/>
                <w:bCs/>
                <w:color w:val="auto"/>
                <w:sz w:val="24"/>
                <w:lang w:eastAsia="zh-CN"/>
              </w:rPr>
              <w:t>滤料</w:t>
            </w:r>
            <w:r>
              <w:rPr>
                <w:rFonts w:hint="eastAsia"/>
                <w:bCs/>
                <w:color w:val="auto"/>
                <w:sz w:val="24"/>
              </w:rPr>
              <w:t>。</w:t>
            </w:r>
          </w:p>
          <w:p>
            <w:pPr>
              <w:numPr>
                <w:ilvl w:val="0"/>
                <w:numId w:val="0"/>
              </w:numPr>
              <w:spacing w:line="360" w:lineRule="auto"/>
              <w:rPr>
                <w:rFonts w:hint="eastAsia" w:ascii="Times New Roman" w:hAnsi="Times New Roman" w:eastAsia="宋体" w:cs="黑体"/>
                <w:b/>
                <w:kern w:val="2"/>
                <w:sz w:val="24"/>
                <w:szCs w:val="24"/>
                <w:lang w:val="en-US" w:eastAsia="zh-CN" w:bidi="ar-SA"/>
              </w:rPr>
            </w:pPr>
            <w:r>
              <w:rPr>
                <w:rFonts w:hint="eastAsia" w:cs="黑体"/>
                <w:b/>
                <w:kern w:val="2"/>
                <w:sz w:val="24"/>
                <w:szCs w:val="24"/>
                <w:lang w:val="en-US" w:eastAsia="zh-CN" w:bidi="ar-SA"/>
              </w:rPr>
              <w:t>3</w:t>
            </w:r>
            <w:r>
              <w:rPr>
                <w:rFonts w:hint="eastAsia" w:ascii="Times New Roman" w:hAnsi="Times New Roman" w:eastAsia="宋体" w:cs="黑体"/>
                <w:b/>
                <w:kern w:val="2"/>
                <w:sz w:val="24"/>
                <w:szCs w:val="24"/>
                <w:lang w:val="en-US" w:eastAsia="zh-CN" w:bidi="ar-SA"/>
              </w:rPr>
              <w:t>、本项目运营期主要污染工序</w:t>
            </w:r>
          </w:p>
          <w:p>
            <w:pPr>
              <w:pStyle w:val="92"/>
              <w:spacing w:line="360" w:lineRule="auto"/>
              <w:ind w:left="590"/>
              <w:rPr>
                <w:rFonts w:hint="eastAsia"/>
                <w:sz w:val="24"/>
                <w:lang w:eastAsia="zh-CN"/>
              </w:rPr>
            </w:pPr>
            <w:r>
              <w:rPr>
                <w:sz w:val="24"/>
                <w:lang w:eastAsia="zh-CN"/>
              </w:rPr>
              <w:t>根据营运期的工程分析，营运期主要污染物</w:t>
            </w:r>
            <w:r>
              <w:rPr>
                <w:rFonts w:hint="eastAsia"/>
                <w:sz w:val="24"/>
                <w:lang w:eastAsia="zh-CN"/>
              </w:rPr>
              <w:t>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
                <w:color w:val="auto"/>
                <w:sz w:val="21"/>
                <w:highlight w:val="none"/>
                <w:lang w:eastAsia="zh-CN"/>
              </w:rPr>
            </w:pPr>
            <w:r>
              <w:rPr>
                <w:rFonts w:hint="default" w:ascii="Times New Roman" w:hAnsi="Times New Roman" w:eastAsia="宋体" w:cs="宋体"/>
                <w:b/>
                <w:bCs/>
                <w:i w:val="0"/>
                <w:color w:val="auto"/>
                <w:kern w:val="2"/>
                <w:sz w:val="21"/>
                <w:szCs w:val="21"/>
                <w:vertAlign w:val="baseline"/>
                <w:lang w:val="en-US" w:eastAsia="zh-CN" w:bidi="ar-SA"/>
              </w:rPr>
              <w:t>表2-</w:t>
            </w:r>
            <w:r>
              <w:rPr>
                <w:rFonts w:hint="eastAsia" w:cs="宋体"/>
                <w:b/>
                <w:bCs/>
                <w:i w:val="0"/>
                <w:color w:val="auto"/>
                <w:kern w:val="2"/>
                <w:sz w:val="21"/>
                <w:szCs w:val="21"/>
                <w:vertAlign w:val="baseline"/>
                <w:lang w:val="en-US" w:eastAsia="zh-CN" w:bidi="ar-SA"/>
              </w:rPr>
              <w:t>10</w:t>
            </w:r>
            <w:r>
              <w:rPr>
                <w:rFonts w:hint="default" w:ascii="Times New Roman" w:hAnsi="Times New Roman" w:eastAsia="宋体" w:cs="宋体"/>
                <w:b/>
                <w:bCs/>
                <w:i w:val="0"/>
                <w:color w:val="auto"/>
                <w:kern w:val="2"/>
                <w:sz w:val="21"/>
                <w:szCs w:val="21"/>
                <w:vertAlign w:val="baseline"/>
                <w:lang w:val="en-US" w:eastAsia="zh-CN" w:bidi="ar-SA"/>
              </w:rPr>
              <w:t xml:space="preserve">   </w:t>
            </w:r>
            <w:r>
              <w:rPr>
                <w:rFonts w:hint="eastAsia" w:ascii="Times New Roman" w:hAnsi="Times New Roman" w:eastAsia="宋体" w:cs="Times New Roman"/>
                <w:b/>
                <w:color w:val="auto"/>
                <w:sz w:val="21"/>
                <w:highlight w:val="none"/>
                <w:lang w:eastAsia="zh-CN"/>
              </w:rPr>
              <w:t>营运期主要污染工序表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60"/>
              <w:gridCol w:w="597"/>
              <w:gridCol w:w="1824"/>
              <w:gridCol w:w="2233"/>
              <w:gridCol w:w="927"/>
              <w:gridCol w:w="19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tcBorders>
                    <w:tl2br w:val="nil"/>
                    <w:tr2bl w:val="nil"/>
                  </w:tcBorders>
                  <w:noWrap w:val="0"/>
                  <w:vAlign w:val="center"/>
                </w:tcPr>
                <w:p>
                  <w:pPr>
                    <w:pStyle w:val="76"/>
                    <w:spacing w:before="24" w:after="24" w:line="240" w:lineRule="auto"/>
                    <w:rPr>
                      <w:rFonts w:ascii="Times New Roman" w:hAnsi="Times New Roman" w:eastAsia="宋体" w:cs="Times New Roman"/>
                      <w:b/>
                      <w:color w:val="auto"/>
                      <w:sz w:val="21"/>
                      <w:szCs w:val="18"/>
                    </w:rPr>
                  </w:pPr>
                  <w:bookmarkStart w:id="2" w:name="_Hlk489952937"/>
                  <w:r>
                    <w:rPr>
                      <w:rFonts w:ascii="Times New Roman" w:hAnsi="Times New Roman" w:eastAsia="宋体" w:cs="Times New Roman"/>
                      <w:b/>
                      <w:color w:val="auto"/>
                      <w:sz w:val="21"/>
                      <w:szCs w:val="18"/>
                    </w:rPr>
                    <w:t>名称</w:t>
                  </w:r>
                </w:p>
              </w:tc>
              <w:tc>
                <w:tcPr>
                  <w:tcW w:w="365" w:type="pct"/>
                  <w:tcBorders>
                    <w:tl2br w:val="nil"/>
                    <w:tr2bl w:val="nil"/>
                  </w:tcBorders>
                  <w:noWrap w:val="0"/>
                  <w:vAlign w:val="center"/>
                </w:tcPr>
                <w:p>
                  <w:pPr>
                    <w:pStyle w:val="76"/>
                    <w:spacing w:before="24" w:after="24" w:line="240" w:lineRule="auto"/>
                    <w:rPr>
                      <w:rFonts w:ascii="Times New Roman" w:hAnsi="Times New Roman" w:eastAsia="宋体" w:cs="Times New Roman"/>
                      <w:b/>
                      <w:color w:val="auto"/>
                      <w:sz w:val="21"/>
                      <w:szCs w:val="18"/>
                    </w:rPr>
                  </w:pPr>
                  <w:r>
                    <w:rPr>
                      <w:rFonts w:ascii="Times New Roman" w:hAnsi="Times New Roman" w:eastAsia="宋体" w:cs="Times New Roman"/>
                      <w:b/>
                      <w:color w:val="auto"/>
                      <w:sz w:val="21"/>
                      <w:szCs w:val="18"/>
                    </w:rPr>
                    <w:t>污染</w:t>
                  </w: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color w:val="auto"/>
                      <w:sz w:val="21"/>
                      <w:szCs w:val="18"/>
                    </w:rPr>
                  </w:pPr>
                  <w:r>
                    <w:rPr>
                      <w:rFonts w:ascii="Times New Roman" w:hAnsi="Times New Roman" w:eastAsia="宋体" w:cs="Times New Roman"/>
                      <w:b/>
                      <w:color w:val="auto"/>
                      <w:sz w:val="21"/>
                      <w:szCs w:val="18"/>
                    </w:rPr>
                    <w:t>主要污染物</w:t>
                  </w:r>
                </w:p>
              </w:tc>
              <w:tc>
                <w:tcPr>
                  <w:tcW w:w="1365" w:type="pct"/>
                  <w:tcBorders>
                    <w:tl2br w:val="nil"/>
                    <w:tr2bl w:val="nil"/>
                  </w:tcBorders>
                  <w:noWrap w:val="0"/>
                  <w:vAlign w:val="center"/>
                </w:tcPr>
                <w:p>
                  <w:pPr>
                    <w:pStyle w:val="76"/>
                    <w:spacing w:before="24" w:after="24" w:line="240" w:lineRule="auto"/>
                    <w:rPr>
                      <w:rFonts w:ascii="Times New Roman" w:hAnsi="Times New Roman" w:eastAsia="宋体" w:cs="Times New Roman"/>
                      <w:b/>
                      <w:color w:val="auto"/>
                      <w:sz w:val="21"/>
                      <w:szCs w:val="18"/>
                    </w:rPr>
                  </w:pPr>
                  <w:r>
                    <w:rPr>
                      <w:rFonts w:ascii="Times New Roman" w:hAnsi="Times New Roman" w:eastAsia="宋体" w:cs="Times New Roman"/>
                      <w:b/>
                      <w:color w:val="auto"/>
                      <w:sz w:val="21"/>
                      <w:szCs w:val="18"/>
                    </w:rPr>
                    <w:t>产污环节</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color w:val="auto"/>
                      <w:sz w:val="21"/>
                      <w:szCs w:val="18"/>
                      <w:lang w:eastAsia="zh-CN"/>
                    </w:rPr>
                  </w:pPr>
                  <w:r>
                    <w:rPr>
                      <w:rFonts w:hint="eastAsia" w:ascii="Times New Roman" w:hAnsi="Times New Roman" w:eastAsia="宋体" w:cs="Times New Roman"/>
                      <w:b/>
                      <w:color w:val="auto"/>
                      <w:sz w:val="21"/>
                      <w:szCs w:val="18"/>
                      <w:lang w:eastAsia="zh-CN"/>
                    </w:rPr>
                    <w:t>产污位置</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color w:val="auto"/>
                      <w:sz w:val="21"/>
                      <w:szCs w:val="18"/>
                      <w:lang w:eastAsia="zh-CN"/>
                    </w:rPr>
                  </w:pPr>
                  <w:r>
                    <w:rPr>
                      <w:rFonts w:hint="eastAsia" w:ascii="Times New Roman" w:hAnsi="Times New Roman" w:eastAsia="宋体" w:cs="Times New Roman"/>
                      <w:b/>
                      <w:color w:val="auto"/>
                      <w:sz w:val="21"/>
                      <w:szCs w:val="18"/>
                      <w:lang w:eastAsia="zh-CN"/>
                    </w:rPr>
                    <w:t>处理措施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restar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营运期</w:t>
                  </w:r>
                </w:p>
              </w:tc>
              <w:tc>
                <w:tcPr>
                  <w:tcW w:w="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废气</w:t>
                  </w: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kern w:val="2"/>
                      <w:sz w:val="21"/>
                      <w:szCs w:val="18"/>
                      <w:lang w:val="en-US" w:eastAsia="zh-CN" w:bidi="ar-SA"/>
                    </w:rPr>
                  </w:pPr>
                  <w:r>
                    <w:rPr>
                      <w:rFonts w:ascii="Times New Roman" w:hAnsi="Times New Roman" w:eastAsia="宋体" w:cs="Times New Roman"/>
                      <w:b w:val="0"/>
                      <w:bCs/>
                      <w:color w:val="auto"/>
                      <w:sz w:val="21"/>
                      <w:szCs w:val="18"/>
                    </w:rPr>
                    <w:t>有机废气</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2"/>
                      <w:sz w:val="21"/>
                      <w:szCs w:val="18"/>
                      <w:lang w:val="en-US" w:eastAsia="zh-CN" w:bidi="ar-SA"/>
                    </w:rPr>
                  </w:pPr>
                  <w:r>
                    <w:rPr>
                      <w:rFonts w:hint="eastAsia" w:ascii="Times New Roman" w:hAnsi="Times New Roman" w:eastAsia="宋体" w:cs="Times New Roman"/>
                      <w:b w:val="0"/>
                      <w:bCs/>
                      <w:color w:val="auto"/>
                      <w:kern w:val="2"/>
                      <w:sz w:val="21"/>
                      <w:szCs w:val="18"/>
                      <w:lang w:val="en-US" w:eastAsia="zh-CN" w:bidi="ar-SA"/>
                    </w:rPr>
                    <w:t>涂膜、烘干、固化工序</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0"/>
                      <w:sz w:val="21"/>
                      <w:szCs w:val="18"/>
                      <w:lang w:val="en-US" w:eastAsia="zh-CN" w:bidi="ar-SA"/>
                    </w:rPr>
                  </w:pPr>
                  <w:r>
                    <w:rPr>
                      <w:rFonts w:hint="eastAsia" w:ascii="Times New Roman" w:hAnsi="Times New Roman" w:eastAsia="宋体" w:cs="Times New Roman"/>
                      <w:b w:val="0"/>
                      <w:bCs/>
                      <w:color w:val="auto"/>
                      <w:sz w:val="21"/>
                      <w:szCs w:val="18"/>
                      <w:lang w:eastAsia="zh-CN"/>
                    </w:rPr>
                    <w:t>生产区</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0"/>
                      <w:sz w:val="21"/>
                      <w:szCs w:val="18"/>
                      <w:lang w:val="en-US" w:eastAsia="zh-CN" w:bidi="ar-SA"/>
                    </w:rPr>
                  </w:pPr>
                  <w:r>
                    <w:rPr>
                      <w:rFonts w:hint="eastAsia" w:ascii="Times New Roman" w:hAnsi="Times New Roman" w:eastAsia="宋体" w:cs="Times New Roman"/>
                      <w:b w:val="0"/>
                      <w:bCs/>
                      <w:color w:val="auto"/>
                      <w:sz w:val="21"/>
                      <w:szCs w:val="18"/>
                      <w:lang w:val="en-US" w:eastAsia="zh-CN"/>
                    </w:rPr>
                    <w:t>二级活性炭吸附+排气筒（</w:t>
                  </w:r>
                  <w:r>
                    <w:rPr>
                      <w:rFonts w:hint="eastAsia" w:cs="Times New Roman"/>
                      <w:b w:val="0"/>
                      <w:bCs/>
                      <w:color w:val="auto"/>
                      <w:sz w:val="21"/>
                      <w:szCs w:val="18"/>
                      <w:lang w:val="en-US" w:eastAsia="zh-CN"/>
                    </w:rPr>
                    <w:t>DA001</w:t>
                  </w:r>
                  <w:r>
                    <w:rPr>
                      <w:rFonts w:hint="eastAsia" w:ascii="Times New Roman" w:hAnsi="Times New Roman" w:eastAsia="宋体" w:cs="Times New Roman"/>
                      <w:b w:val="0"/>
                      <w:bCs/>
                      <w:color w:val="auto"/>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restar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废水</w:t>
                  </w: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生活污水</w:t>
                  </w:r>
                </w:p>
              </w:tc>
              <w:tc>
                <w:tcPr>
                  <w:tcW w:w="1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生活污水</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办公区</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预处理池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b w:val="0"/>
                      <w:bCs/>
                      <w:color w:val="auto"/>
                      <w:sz w:val="21"/>
                      <w:szCs w:val="18"/>
                      <w:lang w:eastAsia="zh-CN"/>
                    </w:rPr>
                    <w:t>纯水制备浓水</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纯水制备过程</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预处理池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玻璃原片清洗废水</w:t>
                  </w:r>
                </w:p>
              </w:tc>
              <w:tc>
                <w:tcPr>
                  <w:tcW w:w="1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玻璃原片清洗</w:t>
                  </w:r>
                </w:p>
              </w:tc>
              <w:tc>
                <w:tcPr>
                  <w:tcW w:w="567"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tcBorders>
                    <w:tl2br w:val="nil"/>
                    <w:tr2bl w:val="nil"/>
                  </w:tcBorders>
                  <w:noWrap w:val="0"/>
                  <w:vAlign w:val="center"/>
                </w:tcPr>
                <w:p>
                  <w:pPr>
                    <w:pStyle w:val="76"/>
                    <w:spacing w:before="24" w:after="24" w:line="240" w:lineRule="auto"/>
                    <w:rPr>
                      <w:rFonts w:hint="default" w:ascii="Times New Roman" w:hAnsi="Times New Roman" w:eastAsia="宋体" w:cs="Times New Roman"/>
                      <w:b w:val="0"/>
                      <w:bCs/>
                      <w:color w:val="auto"/>
                      <w:sz w:val="21"/>
                      <w:szCs w:val="18"/>
                      <w:lang w:val="en-US" w:eastAsia="zh-CN"/>
                    </w:rPr>
                  </w:pPr>
                  <w:r>
                    <w:rPr>
                      <w:rFonts w:hint="eastAsia" w:cs="Times New Roman"/>
                      <w:b w:val="0"/>
                      <w:bCs/>
                      <w:color w:val="auto"/>
                      <w:sz w:val="21"/>
                      <w:szCs w:val="18"/>
                      <w:lang w:val="en-US" w:eastAsia="zh-CN"/>
                    </w:rPr>
                    <w:t>经新建沉淀池沉淀后回用于玻璃清洗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噪声</w:t>
                  </w: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设备噪声</w:t>
                  </w:r>
                </w:p>
              </w:tc>
              <w:tc>
                <w:tcPr>
                  <w:tcW w:w="1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上片机、清洗机、涂膜机等设备</w:t>
                  </w:r>
                  <w:r>
                    <w:rPr>
                      <w:rFonts w:ascii="Times New Roman" w:hAnsi="Times New Roman" w:eastAsia="宋体" w:cs="Times New Roman"/>
                      <w:b w:val="0"/>
                      <w:bCs/>
                      <w:color w:val="auto"/>
                      <w:sz w:val="21"/>
                      <w:szCs w:val="18"/>
                      <w:lang w:eastAsia="zh-CN"/>
                    </w:rPr>
                    <w:t>运行</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隔声、减震、合理布局等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365" w:type="pct"/>
                  <w:vMerge w:val="restar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highlight w:val="yellow"/>
                    </w:rPr>
                  </w:pPr>
                  <w:r>
                    <w:rPr>
                      <w:rFonts w:ascii="Times New Roman" w:hAnsi="Times New Roman" w:eastAsia="宋体" w:cs="Times New Roman"/>
                      <w:b w:val="0"/>
                      <w:bCs/>
                      <w:color w:val="auto"/>
                      <w:sz w:val="21"/>
                      <w:szCs w:val="18"/>
                    </w:rPr>
                    <w:t>固废</w:t>
                  </w: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生活垃圾</w:t>
                  </w:r>
                </w:p>
              </w:tc>
              <w:tc>
                <w:tcPr>
                  <w:tcW w:w="1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ascii="Times New Roman" w:hAnsi="Times New Roman" w:eastAsia="宋体" w:cs="Times New Roman"/>
                      <w:b w:val="0"/>
                      <w:bCs/>
                      <w:color w:val="auto"/>
                      <w:sz w:val="21"/>
                      <w:szCs w:val="18"/>
                    </w:rPr>
                    <w:t>办公生活</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办公区</w:t>
                  </w:r>
                </w:p>
              </w:tc>
              <w:tc>
                <w:tcPr>
                  <w:tcW w:w="1181" w:type="pct"/>
                  <w:vMerge w:val="restar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r>
                    <w:rPr>
                      <w:rFonts w:hint="eastAsia" w:ascii="Times New Roman" w:hAnsi="Times New Roman" w:eastAsia="宋体" w:cs="Times New Roman"/>
                      <w:b w:val="0"/>
                      <w:bCs/>
                      <w:color w:val="auto"/>
                      <w:sz w:val="21"/>
                      <w:szCs w:val="18"/>
                    </w:rPr>
                    <w:t>集中收集后由环卫部门统一清运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不合格涂膜玻璃</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生产过程</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vMerge w:val="continue"/>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cs="Times New Roman"/>
                      <w:b w:val="0"/>
                      <w:bCs/>
                      <w:color w:val="auto"/>
                      <w:sz w:val="21"/>
                      <w:szCs w:val="18"/>
                      <w:lang w:eastAsia="zh-CN"/>
                    </w:rPr>
                    <w:t>沉淀池沉渣</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cs="Times New Roman"/>
                      <w:b w:val="0"/>
                      <w:bCs/>
                      <w:color w:val="auto"/>
                      <w:sz w:val="21"/>
                      <w:szCs w:val="18"/>
                      <w:lang w:eastAsia="zh-CN"/>
                    </w:rPr>
                    <w:t>生产过程</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cs="Times New Roman"/>
                      <w:b w:val="0"/>
                      <w:bCs/>
                      <w:color w:val="auto"/>
                      <w:sz w:val="21"/>
                      <w:szCs w:val="18"/>
                      <w:lang w:eastAsia="zh-CN"/>
                    </w:rPr>
                    <w:t>生产区</w:t>
                  </w:r>
                </w:p>
              </w:tc>
              <w:tc>
                <w:tcPr>
                  <w:tcW w:w="1181" w:type="pct"/>
                  <w:vMerge w:val="continue"/>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kern w:val="0"/>
                      <w:sz w:val="21"/>
                      <w:szCs w:val="18"/>
                      <w:lang w:val="zh-CN" w:eastAsia="zh-CN" w:bidi="ar-SA"/>
                    </w:rPr>
                  </w:pPr>
                  <w:r>
                    <w:rPr>
                      <w:rFonts w:hint="eastAsia" w:ascii="Times New Roman" w:hAnsi="Times New Roman" w:eastAsia="宋体" w:cs="Times New Roman"/>
                      <w:b w:val="0"/>
                      <w:bCs/>
                      <w:color w:val="auto"/>
                      <w:kern w:val="0"/>
                      <w:sz w:val="21"/>
                      <w:szCs w:val="18"/>
                      <w:lang w:val="zh-CN" w:eastAsia="zh-CN" w:bidi="ar-SA"/>
                    </w:rPr>
                    <w:t>废离子交换树脂</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0"/>
                      <w:sz w:val="21"/>
                      <w:szCs w:val="18"/>
                      <w:lang w:val="en-US" w:eastAsia="zh-CN" w:bidi="ar-SA"/>
                    </w:rPr>
                  </w:pPr>
                  <w:r>
                    <w:rPr>
                      <w:rFonts w:hint="eastAsia" w:ascii="Times New Roman" w:hAnsi="Times New Roman" w:eastAsia="宋体" w:cs="Times New Roman"/>
                      <w:b w:val="0"/>
                      <w:bCs/>
                      <w:color w:val="auto"/>
                      <w:sz w:val="21"/>
                      <w:szCs w:val="18"/>
                      <w:lang w:eastAsia="zh-CN"/>
                    </w:rPr>
                    <w:t>纯水制取过程</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0"/>
                      <w:sz w:val="21"/>
                      <w:szCs w:val="18"/>
                      <w:lang w:val="en-US" w:eastAsia="zh-CN" w:bidi="ar-SA"/>
                    </w:rPr>
                  </w:pPr>
                  <w:r>
                    <w:rPr>
                      <w:rFonts w:hint="eastAsia" w:ascii="Times New Roman" w:hAnsi="Times New Roman" w:eastAsia="宋体" w:cs="Times New Roman"/>
                      <w:b w:val="0"/>
                      <w:bCs/>
                      <w:color w:val="auto"/>
                      <w:sz w:val="21"/>
                      <w:szCs w:val="18"/>
                      <w:lang w:eastAsia="zh-CN"/>
                    </w:rPr>
                    <w:t>生产区</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0"/>
                      <w:sz w:val="21"/>
                      <w:szCs w:val="18"/>
                      <w:lang w:val="en-US" w:eastAsia="zh-CN" w:bidi="ar-SA"/>
                    </w:rPr>
                  </w:pPr>
                  <w:r>
                    <w:rPr>
                      <w:rFonts w:hint="eastAsia" w:ascii="Times New Roman" w:hAnsi="Times New Roman" w:eastAsia="宋体" w:cs="Times New Roman"/>
                      <w:b w:val="0"/>
                      <w:bCs/>
                      <w:color w:val="auto"/>
                      <w:sz w:val="21"/>
                      <w:szCs w:val="18"/>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kern w:val="0"/>
                      <w:sz w:val="21"/>
                      <w:szCs w:val="18"/>
                      <w:lang w:val="zh-CN" w:eastAsia="zh-CN" w:bidi="ar-SA"/>
                    </w:rPr>
                  </w:pPr>
                  <w:r>
                    <w:rPr>
                      <w:rFonts w:hint="eastAsia" w:ascii="Times New Roman" w:hAnsi="Times New Roman" w:eastAsia="宋体" w:cs="Times New Roman"/>
                      <w:b w:val="0"/>
                      <w:bCs/>
                      <w:color w:val="auto"/>
                      <w:kern w:val="0"/>
                      <w:sz w:val="21"/>
                      <w:szCs w:val="18"/>
                      <w:lang w:val="zh-CN" w:eastAsia="zh-CN" w:bidi="ar-SA"/>
                    </w:rPr>
                    <w:t>预处理池污泥</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val="zh-CN" w:eastAsia="zh-CN"/>
                    </w:rPr>
                    <w:t>废水处理</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val="zh-CN" w:eastAsia="zh-CN"/>
                    </w:rPr>
                    <w:t>预处理池</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val="en-US" w:eastAsia="zh-CN"/>
                    </w:rPr>
                  </w:pPr>
                  <w:r>
                    <w:rPr>
                      <w:rFonts w:hint="eastAsia" w:ascii="Times New Roman" w:hAnsi="Times New Roman" w:eastAsia="宋体" w:cs="Times New Roman"/>
                      <w:b w:val="0"/>
                      <w:bCs/>
                      <w:color w:val="auto"/>
                      <w:sz w:val="21"/>
                      <w:szCs w:val="18"/>
                      <w:lang w:val="en-US" w:eastAsia="zh-CN"/>
                    </w:rPr>
                    <w:t>定期清掏，交由环卫部门清运处理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kern w:val="0"/>
                      <w:sz w:val="21"/>
                      <w:szCs w:val="18"/>
                      <w:lang w:val="zh-CN" w:eastAsia="zh-CN" w:bidi="ar-SA"/>
                    </w:rPr>
                  </w:pPr>
                  <w:r>
                    <w:rPr>
                      <w:rFonts w:hint="eastAsia" w:ascii="Times New Roman" w:hAnsi="Times New Roman" w:eastAsia="宋体" w:cs="Times New Roman"/>
                      <w:b w:val="0"/>
                      <w:bCs/>
                      <w:color w:val="auto"/>
                      <w:sz w:val="21"/>
                      <w:szCs w:val="18"/>
                      <w:lang w:eastAsia="zh-CN"/>
                    </w:rPr>
                    <w:t>废包装材料</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val="zh-CN" w:eastAsia="zh-CN"/>
                    </w:rPr>
                  </w:pPr>
                  <w:r>
                    <w:rPr>
                      <w:rFonts w:hint="eastAsia" w:ascii="Times New Roman" w:hAnsi="Times New Roman" w:eastAsia="宋体" w:cs="Times New Roman"/>
                      <w:b w:val="0"/>
                      <w:bCs/>
                      <w:color w:val="auto"/>
                      <w:sz w:val="21"/>
                      <w:szCs w:val="18"/>
                      <w:lang w:val="zh-CN" w:eastAsia="zh-CN"/>
                    </w:rPr>
                    <w:t>生产过程</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val="zh-CN" w:eastAsia="zh-CN"/>
                    </w:rPr>
                  </w:pPr>
                  <w:r>
                    <w:rPr>
                      <w:rFonts w:hint="eastAsia" w:ascii="Times New Roman" w:hAnsi="Times New Roman" w:eastAsia="宋体" w:cs="Times New Roman"/>
                      <w:b w:val="0"/>
                      <w:bCs/>
                      <w:color w:val="auto"/>
                      <w:sz w:val="21"/>
                      <w:szCs w:val="18"/>
                      <w:lang w:eastAsia="zh-CN"/>
                    </w:rPr>
                    <w:t>生产区</w:t>
                  </w:r>
                </w:p>
              </w:tc>
              <w:tc>
                <w:tcPr>
                  <w:tcW w:w="1181"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val="en-US" w:eastAsia="zh-CN"/>
                    </w:rPr>
                  </w:pPr>
                  <w:r>
                    <w:rPr>
                      <w:rFonts w:hint="eastAsia" w:ascii="Times New Roman" w:hAnsi="Times New Roman" w:eastAsia="宋体" w:cs="Times New Roman"/>
                      <w:b w:val="0"/>
                      <w:bCs/>
                      <w:color w:val="auto"/>
                      <w:sz w:val="21"/>
                      <w:szCs w:val="18"/>
                      <w:lang w:val="en-US" w:eastAsia="zh-CN"/>
                    </w:rPr>
                    <w:t>外售废旧资源回收站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p>
              </w:tc>
              <w:tc>
                <w:tcPr>
                  <w:tcW w:w="1115" w:type="pct"/>
                  <w:tcBorders>
                    <w:tl2br w:val="nil"/>
                    <w:tr2bl w:val="nil"/>
                  </w:tcBorders>
                  <w:noWrap w:val="0"/>
                  <w:vAlign w:val="center"/>
                </w:tcPr>
                <w:p>
                  <w:pPr>
                    <w:pStyle w:val="107"/>
                    <w:rPr>
                      <w:rFonts w:hint="eastAsia" w:ascii="Times New Roman" w:hAnsi="Times New Roman" w:eastAsia="宋体" w:cs="Times New Roman"/>
                      <w:color w:val="auto"/>
                      <w:sz w:val="21"/>
                      <w:szCs w:val="21"/>
                      <w:lang w:val="en-US" w:eastAsia="zh-CN" w:bidi="ar-SA"/>
                    </w:rPr>
                  </w:pPr>
                  <w:r>
                    <w:rPr>
                      <w:color w:val="auto"/>
                      <w:szCs w:val="21"/>
                    </w:rPr>
                    <w:t>废空气过滤器滤料</w:t>
                  </w:r>
                </w:p>
              </w:tc>
              <w:tc>
                <w:tcPr>
                  <w:tcW w:w="1365" w:type="pct"/>
                  <w:tcBorders>
                    <w:tl2br w:val="nil"/>
                    <w:tr2bl w:val="nil"/>
                  </w:tcBorders>
                  <w:noWrap w:val="0"/>
                  <w:vAlign w:val="center"/>
                </w:tcPr>
                <w:p>
                  <w:pPr>
                    <w:jc w:val="center"/>
                    <w:rPr>
                      <w:rFonts w:hint="eastAsia" w:ascii="Times New Roman" w:hAnsi="Times New Roman" w:eastAsia="宋体" w:cs="黑体"/>
                      <w:color w:val="auto"/>
                      <w:kern w:val="2"/>
                      <w:sz w:val="21"/>
                      <w:szCs w:val="21"/>
                      <w:lang w:val="zh-CN" w:eastAsia="zh-CN" w:bidi="ar-SA"/>
                    </w:rPr>
                  </w:pPr>
                  <w:r>
                    <w:rPr>
                      <w:rFonts w:hint="eastAsia"/>
                      <w:color w:val="auto"/>
                      <w:kern w:val="2"/>
                      <w:sz w:val="21"/>
                      <w:szCs w:val="21"/>
                      <w:lang w:val="en-US" w:eastAsia="zh-CN" w:bidi="ar-SA"/>
                    </w:rPr>
                    <w:t>一般固废</w:t>
                  </w:r>
                </w:p>
              </w:tc>
              <w:tc>
                <w:tcPr>
                  <w:tcW w:w="567" w:type="pct"/>
                  <w:tcBorders>
                    <w:tl2br w:val="nil"/>
                    <w:tr2bl w:val="nil"/>
                  </w:tcBorders>
                  <w:noWrap w:val="0"/>
                  <w:vAlign w:val="center"/>
                </w:tcPr>
                <w:p>
                  <w:pPr>
                    <w:pStyle w:val="107"/>
                    <w:rPr>
                      <w:rFonts w:hint="eastAsia" w:ascii="Times New Roman" w:hAnsi="Times New Roman" w:eastAsia="宋体" w:cs="Times New Roman"/>
                      <w:color w:val="auto"/>
                      <w:sz w:val="21"/>
                      <w:szCs w:val="21"/>
                      <w:lang w:val="en-US" w:eastAsia="zh-CN" w:bidi="ar-SA"/>
                    </w:rPr>
                  </w:pPr>
                  <w:r>
                    <w:rPr>
                      <w:color w:val="auto"/>
                      <w:szCs w:val="21"/>
                    </w:rPr>
                    <w:t>废滤料</w:t>
                  </w:r>
                </w:p>
              </w:tc>
              <w:tc>
                <w:tcPr>
                  <w:tcW w:w="1181" w:type="pct"/>
                  <w:tcBorders>
                    <w:tl2br w:val="nil"/>
                    <w:tr2bl w:val="nil"/>
                  </w:tcBorders>
                  <w:noWrap w:val="0"/>
                  <w:vAlign w:val="center"/>
                </w:tcPr>
                <w:p>
                  <w:pPr>
                    <w:jc w:val="center"/>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由厂家回收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highlight w:val="yellow"/>
                    </w:rPr>
                  </w:pP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ascii="Times New Roman" w:hAnsi="Times New Roman" w:eastAsia="宋体" w:cs="Times New Roman"/>
                      <w:b w:val="0"/>
                      <w:bCs/>
                      <w:color w:val="auto"/>
                      <w:sz w:val="21"/>
                      <w:szCs w:val="18"/>
                      <w:lang w:eastAsia="zh-CN"/>
                    </w:rPr>
                    <w:t>废活性炭</w:t>
                  </w:r>
                </w:p>
              </w:tc>
              <w:tc>
                <w:tcPr>
                  <w:tcW w:w="136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废气处理过程</w:t>
                  </w:r>
                </w:p>
              </w:tc>
              <w:tc>
                <w:tcPr>
                  <w:tcW w:w="567"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vMerge w:val="restar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危险废物，拟设置危废暂存间暂存后，定期交由有相关处理资质的单位处理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highlight w:val="yellow"/>
                    </w:rPr>
                  </w:pPr>
                </w:p>
              </w:tc>
              <w:tc>
                <w:tcPr>
                  <w:tcW w:w="1115" w:type="pct"/>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隔热剂及包装桶</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生产过程</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vMerge w:val="continue"/>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b w:val="0"/>
                      <w:bCs/>
                      <w:color w:val="auto"/>
                      <w:sz w:val="21"/>
                      <w:szCs w:val="18"/>
                      <w:highlight w:val="yellow"/>
                    </w:rPr>
                  </w:pP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废机油及废机油桶</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设备保养</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vMerge w:val="continue"/>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4"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color w:val="auto"/>
                      <w:sz w:val="21"/>
                      <w:szCs w:val="18"/>
                      <w:lang w:eastAsia="zh-CN"/>
                    </w:rPr>
                  </w:pPr>
                </w:p>
              </w:tc>
              <w:tc>
                <w:tcPr>
                  <w:tcW w:w="365" w:type="pct"/>
                  <w:vMerge w:val="continue"/>
                  <w:tcBorders>
                    <w:tl2br w:val="nil"/>
                    <w:tr2bl w:val="nil"/>
                  </w:tcBorders>
                  <w:noWrap w:val="0"/>
                  <w:vAlign w:val="center"/>
                </w:tcPr>
                <w:p>
                  <w:pPr>
                    <w:pStyle w:val="76"/>
                    <w:spacing w:before="24" w:after="24" w:line="240" w:lineRule="auto"/>
                    <w:rPr>
                      <w:rFonts w:ascii="Times New Roman" w:hAnsi="Times New Roman" w:eastAsia="宋体" w:cs="Times New Roman"/>
                      <w:color w:val="auto"/>
                      <w:sz w:val="21"/>
                      <w:szCs w:val="18"/>
                      <w:highlight w:val="yellow"/>
                      <w:lang w:eastAsia="zh-CN"/>
                    </w:rPr>
                  </w:pPr>
                </w:p>
              </w:tc>
              <w:tc>
                <w:tcPr>
                  <w:tcW w:w="111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含油棉纱及手套</w:t>
                  </w:r>
                </w:p>
              </w:tc>
              <w:tc>
                <w:tcPr>
                  <w:tcW w:w="1365"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b w:val="0"/>
                      <w:bCs/>
                      <w:color w:val="auto"/>
                      <w:sz w:val="21"/>
                      <w:szCs w:val="18"/>
                      <w:lang w:eastAsia="zh-CN"/>
                    </w:rPr>
                  </w:pPr>
                  <w:r>
                    <w:rPr>
                      <w:rFonts w:hint="eastAsia" w:ascii="Times New Roman" w:hAnsi="Times New Roman" w:eastAsia="宋体" w:cs="Times New Roman"/>
                      <w:b w:val="0"/>
                      <w:bCs/>
                      <w:color w:val="auto"/>
                      <w:sz w:val="21"/>
                      <w:szCs w:val="18"/>
                      <w:lang w:eastAsia="zh-CN"/>
                    </w:rPr>
                    <w:t>设备保养</w:t>
                  </w:r>
                </w:p>
              </w:tc>
              <w:tc>
                <w:tcPr>
                  <w:tcW w:w="567" w:type="pct"/>
                  <w:tcBorders>
                    <w:tl2br w:val="nil"/>
                    <w:tr2bl w:val="nil"/>
                  </w:tcBorders>
                  <w:noWrap w:val="0"/>
                  <w:vAlign w:val="center"/>
                </w:tcPr>
                <w:p>
                  <w:pPr>
                    <w:pStyle w:val="76"/>
                    <w:spacing w:before="24" w:after="24" w:line="240" w:lineRule="auto"/>
                    <w:rPr>
                      <w:rFonts w:hint="eastAsia" w:ascii="Times New Roman" w:hAnsi="Times New Roman" w:eastAsia="宋体" w:cs="Times New Roman"/>
                      <w:color w:val="auto"/>
                      <w:sz w:val="21"/>
                      <w:szCs w:val="18"/>
                      <w:lang w:eastAsia="zh-CN"/>
                    </w:rPr>
                  </w:pPr>
                  <w:r>
                    <w:rPr>
                      <w:rFonts w:hint="eastAsia" w:ascii="Times New Roman" w:hAnsi="Times New Roman" w:eastAsia="宋体" w:cs="Times New Roman"/>
                      <w:b w:val="0"/>
                      <w:bCs/>
                      <w:color w:val="auto"/>
                      <w:sz w:val="21"/>
                      <w:szCs w:val="18"/>
                      <w:lang w:eastAsia="zh-CN"/>
                    </w:rPr>
                    <w:t>生产区</w:t>
                  </w:r>
                </w:p>
              </w:tc>
              <w:tc>
                <w:tcPr>
                  <w:tcW w:w="1181" w:type="pct"/>
                  <w:vMerge w:val="continue"/>
                  <w:tcBorders>
                    <w:tl2br w:val="nil"/>
                    <w:tr2bl w:val="nil"/>
                  </w:tcBorders>
                  <w:noWrap w:val="0"/>
                  <w:vAlign w:val="center"/>
                </w:tcPr>
                <w:p>
                  <w:pPr>
                    <w:pStyle w:val="76"/>
                    <w:spacing w:before="24" w:after="24" w:line="240" w:lineRule="auto"/>
                    <w:rPr>
                      <w:rFonts w:hint="eastAsia" w:ascii="Times New Roman" w:hAnsi="Times New Roman" w:eastAsia="宋体" w:cs="Times New Roman"/>
                      <w:color w:val="auto"/>
                      <w:sz w:val="21"/>
                      <w:szCs w:val="18"/>
                      <w:lang w:eastAsia="zh-CN"/>
                    </w:rPr>
                  </w:pPr>
                </w:p>
              </w:tc>
            </w:tr>
            <w:bookmarkEnd w:id="2"/>
          </w:tbl>
          <w:p>
            <w:pPr>
              <w:spacing w:line="360" w:lineRule="auto"/>
              <w:rPr>
                <w:rFonts w:hint="eastAsia" w:eastAsia="宋体" w:cs="Times New Roman"/>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jc w:val="center"/>
        </w:trPr>
        <w:tc>
          <w:tcPr>
            <w:tcW w:w="366" w:type="pct"/>
            <w:vAlign w:val="center"/>
          </w:tcPr>
          <w:p>
            <w:pPr>
              <w:jc w:val="center"/>
              <w:rPr>
                <w:rFonts w:cs="Times New Roman"/>
                <w:sz w:val="24"/>
                <w:szCs w:val="24"/>
              </w:rPr>
            </w:pPr>
            <w:r>
              <w:rPr>
                <w:rFonts w:hint="eastAsia" w:cs="Times New Roman"/>
                <w:sz w:val="24"/>
                <w:szCs w:val="24"/>
              </w:rPr>
              <w:t>与项目有关的原有环境污染问题</w:t>
            </w:r>
          </w:p>
        </w:tc>
        <w:tc>
          <w:tcPr>
            <w:tcW w:w="4633" w:type="pct"/>
            <w:vAlign w:val="center"/>
          </w:tcPr>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1、现有项目概况</w:t>
            </w:r>
          </w:p>
          <w:p>
            <w:pPr>
              <w:spacing w:line="360" w:lineRule="auto"/>
              <w:ind w:firstLine="480" w:firstLineChars="200"/>
              <w:rPr>
                <w:rFonts w:hint="default" w:ascii="Times New Roman" w:hAnsi="Times New Roman" w:eastAsia="宋体" w:cs="Times New Roman"/>
                <w:sz w:val="24"/>
                <w:szCs w:val="24"/>
              </w:rPr>
            </w:pPr>
            <w:r>
              <w:rPr>
                <w:rFonts w:hint="eastAsia"/>
                <w:sz w:val="24"/>
                <w:szCs w:val="24"/>
              </w:rPr>
              <w:t>四川宇光光学玻璃有限公司</w:t>
            </w:r>
            <w:r>
              <w:rPr>
                <w:rFonts w:hint="eastAsia" w:ascii="Times New Roman" w:hAnsi="Times New Roman" w:eastAsia="宋体" w:cs="Times New Roman"/>
                <w:color w:val="auto"/>
                <w:sz w:val="24"/>
                <w:szCs w:val="24"/>
                <w:lang w:val="en-US" w:eastAsia="zh-CN"/>
              </w:rPr>
              <w:t>生产线建设项目部分于2014年建成，</w:t>
            </w:r>
            <w:r>
              <w:rPr>
                <w:rFonts w:hint="default" w:ascii="Times New Roman" w:hAnsi="Times New Roman" w:eastAsia="宋体" w:cs="Times New Roman"/>
                <w:b w:val="0"/>
                <w:bCs w:val="0"/>
                <w:sz w:val="24"/>
                <w:szCs w:val="24"/>
                <w:lang w:eastAsia="zh-CN"/>
              </w:rPr>
              <w:t>建设内容为1#加工车间（1F），建筑面积为2880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；2#加工车间（1F），建筑面积为3000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；3#加工车间（1F），建筑面积3780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，原料车间面积为2400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；堆料车间1200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，辅助车间面积为237</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；食堂（1F）为</w:t>
            </w:r>
            <w:r>
              <w:rPr>
                <w:rFonts w:hint="eastAsia" w:ascii="Times New Roman" w:hAnsi="Times New Roman" w:eastAsia="宋体" w:cs="Times New Roman"/>
                <w:b w:val="0"/>
                <w:bCs w:val="0"/>
                <w:sz w:val="24"/>
                <w:szCs w:val="24"/>
                <w:lang w:val="en-US" w:eastAsia="zh-CN"/>
              </w:rPr>
              <w:t>80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；综合办公楼（4+1F），建筑面积为2829.90</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；其中3#车间、原料车间、堆料车间出租，项目利用1#车间建设钢化玻璃生产线1条，年产量为35万</w:t>
            </w:r>
            <w:r>
              <w:rPr>
                <w:rFonts w:hint="eastAsia"/>
                <w:b w:val="0"/>
                <w:bCs w:val="0"/>
                <w:sz w:val="24"/>
                <w:szCs w:val="24"/>
              </w:rPr>
              <w:t>m</w:t>
            </w:r>
            <w:r>
              <w:rPr>
                <w:rFonts w:hint="eastAsia"/>
                <w:b w:val="0"/>
                <w:bCs w:val="0"/>
                <w:sz w:val="24"/>
                <w:szCs w:val="24"/>
                <w:vertAlign w:val="superscript"/>
              </w:rPr>
              <w:t>2</w:t>
            </w:r>
            <w:r>
              <w:rPr>
                <w:rFonts w:hint="default" w:ascii="Times New Roman" w:hAnsi="Times New Roman" w:eastAsia="宋体" w:cs="Times New Roman"/>
                <w:b w:val="0"/>
                <w:bCs w:val="0"/>
                <w:sz w:val="24"/>
                <w:szCs w:val="24"/>
                <w:lang w:eastAsia="zh-CN"/>
              </w:rPr>
              <w:t>；</w:t>
            </w:r>
            <w:r>
              <w:rPr>
                <w:rFonts w:hint="eastAsia"/>
                <w:b w:val="0"/>
                <w:bCs w:val="0"/>
                <w:sz w:val="24"/>
                <w:szCs w:val="24"/>
                <w:vertAlign w:val="baseline"/>
                <w:lang w:eastAsia="zh-CN"/>
              </w:rPr>
              <w:t>镀膜玻璃生产线</w:t>
            </w:r>
            <w:r>
              <w:rPr>
                <w:rFonts w:hint="eastAsia"/>
                <w:b w:val="0"/>
                <w:bCs w:val="0"/>
                <w:sz w:val="24"/>
                <w:szCs w:val="24"/>
                <w:vertAlign w:val="baseline"/>
                <w:lang w:val="en-US" w:eastAsia="zh-CN"/>
              </w:rPr>
              <w:t>1条，年产量为30万m</w:t>
            </w:r>
            <w:r>
              <w:rPr>
                <w:rFonts w:hint="eastAsia"/>
                <w:b w:val="0"/>
                <w:bCs w:val="0"/>
                <w:sz w:val="24"/>
                <w:szCs w:val="24"/>
                <w:vertAlign w:val="superscript"/>
                <w:lang w:val="en-US" w:eastAsia="zh-CN"/>
              </w:rPr>
              <w:t>2</w:t>
            </w:r>
            <w:r>
              <w:rPr>
                <w:rFonts w:hint="eastAsia" w:cs="Times New Roman"/>
                <w:b w:val="0"/>
                <w:bCs w:val="0"/>
                <w:sz w:val="24"/>
                <w:szCs w:val="24"/>
                <w:lang w:eastAsia="zh-CN"/>
              </w:rPr>
              <w:t>，验收后根据疫情及市场情况，项目取消并拆除镀膜玻璃生产线，</w:t>
            </w:r>
            <w:r>
              <w:rPr>
                <w:rFonts w:hint="eastAsia" w:ascii="Times New Roman" w:hAnsi="Times New Roman" w:eastAsia="宋体" w:cs="Times New Roman"/>
                <w:b w:val="0"/>
                <w:bCs w:val="0"/>
                <w:sz w:val="24"/>
                <w:szCs w:val="24"/>
                <w:lang w:eastAsia="zh-CN"/>
              </w:rPr>
              <w:t>项目环评阶段预建</w:t>
            </w:r>
            <w:r>
              <w:rPr>
                <w:rFonts w:hint="default" w:ascii="Times New Roman" w:hAnsi="Times New Roman" w:eastAsia="宋体" w:cs="Times New Roman"/>
                <w:b w:val="0"/>
                <w:bCs w:val="0"/>
                <w:sz w:val="24"/>
                <w:szCs w:val="24"/>
                <w:lang w:eastAsia="zh-CN"/>
              </w:rPr>
              <w:t>1条夹胶玻璃生产线，1条中空玻璃生产线</w:t>
            </w:r>
            <w:r>
              <w:rPr>
                <w:rFonts w:hint="eastAsia" w:cs="Times New Roman"/>
                <w:b w:val="0"/>
                <w:bCs w:val="0"/>
                <w:sz w:val="24"/>
                <w:szCs w:val="24"/>
                <w:lang w:eastAsia="zh-CN"/>
              </w:rPr>
              <w:t>，</w:t>
            </w:r>
            <w:r>
              <w:rPr>
                <w:rFonts w:hint="eastAsia" w:ascii="Times New Roman" w:hAnsi="Times New Roman" w:eastAsia="宋体" w:cs="Times New Roman"/>
                <w:b w:val="0"/>
                <w:bCs w:val="0"/>
                <w:sz w:val="24"/>
                <w:szCs w:val="24"/>
                <w:lang w:eastAsia="zh-CN"/>
              </w:rPr>
              <w:t>验收时此生产线未上，现厂区内已</w:t>
            </w:r>
            <w:r>
              <w:rPr>
                <w:rFonts w:hint="eastAsia" w:cs="Times New Roman"/>
                <w:b w:val="0"/>
                <w:bCs w:val="0"/>
                <w:sz w:val="24"/>
                <w:szCs w:val="24"/>
                <w:lang w:eastAsia="zh-CN"/>
              </w:rPr>
              <w:t>在</w:t>
            </w:r>
            <w:r>
              <w:rPr>
                <w:rFonts w:hint="eastAsia" w:cs="Times New Roman"/>
                <w:b w:val="0"/>
                <w:bCs w:val="0"/>
                <w:sz w:val="24"/>
                <w:szCs w:val="24"/>
                <w:lang w:val="en-US" w:eastAsia="zh-CN"/>
              </w:rPr>
              <w:t>2#车间</w:t>
            </w:r>
            <w:r>
              <w:rPr>
                <w:rFonts w:hint="eastAsia" w:ascii="Times New Roman" w:hAnsi="Times New Roman" w:eastAsia="宋体" w:cs="Times New Roman"/>
                <w:b w:val="0"/>
                <w:bCs w:val="0"/>
                <w:sz w:val="24"/>
                <w:szCs w:val="24"/>
                <w:lang w:eastAsia="zh-CN"/>
              </w:rPr>
              <w:t>建一条夹胶玻璃生产线，</w:t>
            </w:r>
            <w:r>
              <w:rPr>
                <w:rFonts w:hint="default" w:ascii="Times New Roman" w:hAnsi="Times New Roman" w:eastAsia="宋体" w:cs="Times New Roman"/>
                <w:b w:val="0"/>
                <w:bCs w:val="0"/>
                <w:sz w:val="24"/>
                <w:szCs w:val="24"/>
                <w:lang w:eastAsia="zh-CN"/>
              </w:rPr>
              <w:t>年产量为10万</w:t>
            </w:r>
            <w:r>
              <w:rPr>
                <w:rFonts w:hint="eastAsia"/>
                <w:b w:val="0"/>
                <w:bCs w:val="0"/>
                <w:sz w:val="24"/>
                <w:szCs w:val="24"/>
              </w:rPr>
              <w:t>m</w:t>
            </w:r>
            <w:r>
              <w:rPr>
                <w:rFonts w:hint="eastAsia"/>
                <w:b w:val="0"/>
                <w:bCs w:val="0"/>
                <w:sz w:val="24"/>
                <w:szCs w:val="24"/>
                <w:vertAlign w:val="superscript"/>
              </w:rPr>
              <w:t>2</w:t>
            </w:r>
            <w:r>
              <w:rPr>
                <w:rFonts w:hint="eastAsia"/>
                <w:b w:val="0"/>
                <w:bCs w:val="0"/>
                <w:sz w:val="24"/>
                <w:szCs w:val="24"/>
                <w:vertAlign w:val="baseline"/>
                <w:lang w:eastAsia="zh-CN"/>
              </w:rPr>
              <w:t>，</w:t>
            </w:r>
            <w:r>
              <w:rPr>
                <w:rFonts w:hint="default" w:ascii="Times New Roman" w:hAnsi="Times New Roman" w:eastAsia="宋体" w:cs="Times New Roman"/>
                <w:b w:val="0"/>
                <w:bCs w:val="0"/>
                <w:sz w:val="24"/>
                <w:szCs w:val="24"/>
                <w:lang w:eastAsia="zh-CN"/>
              </w:rPr>
              <w:t>1条中空玻璃生产线，年产量为65万</w:t>
            </w:r>
            <w:r>
              <w:rPr>
                <w:rFonts w:hint="eastAsia"/>
                <w:b w:val="0"/>
                <w:bCs w:val="0"/>
                <w:sz w:val="24"/>
                <w:szCs w:val="24"/>
              </w:rPr>
              <w:t>m</w:t>
            </w:r>
            <w:r>
              <w:rPr>
                <w:rFonts w:hint="eastAsia"/>
                <w:b w:val="0"/>
                <w:bCs w:val="0"/>
                <w:sz w:val="24"/>
                <w:szCs w:val="24"/>
                <w:vertAlign w:val="superscript"/>
              </w:rPr>
              <w:t>2</w:t>
            </w:r>
            <w:r>
              <w:rPr>
                <w:rFonts w:hint="eastAsia"/>
                <w:b w:val="0"/>
                <w:bCs w:val="0"/>
                <w:sz w:val="24"/>
                <w:szCs w:val="24"/>
                <w:vertAlign w:val="baseline"/>
                <w:lang w:eastAsia="zh-CN"/>
              </w:rPr>
              <w:t>，将后续与二期一起验收。</w:t>
            </w:r>
          </w:p>
          <w:p>
            <w:pPr>
              <w:spacing w:line="360" w:lineRule="auto"/>
              <w:rPr>
                <w:rFonts w:hint="default" w:ascii="Times New Roman" w:hAnsi="Times New Roman" w:eastAsia="宋体" w:cs="Times New Roman"/>
                <w:sz w:val="24"/>
                <w:szCs w:val="24"/>
              </w:rPr>
            </w:pPr>
            <w:r>
              <w:rPr>
                <w:rFonts w:hint="default" w:ascii="Times New Roman" w:hAnsi="Times New Roman" w:cs="Times New Roman"/>
                <w:b/>
                <w:bCs/>
                <w:color w:val="auto"/>
                <w:sz w:val="24"/>
                <w:highlight w:val="none"/>
              </w:rPr>
              <w:t>2、现有项目环保手续履行情况</w:t>
            </w:r>
          </w:p>
          <w:p>
            <w:pPr>
              <w:spacing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eastAsia="宋体" w:cs="Times New Roman"/>
                <w:sz w:val="24"/>
                <w:szCs w:val="24"/>
              </w:rPr>
              <w:t>《离线镀膜玻璃及光学玻璃生产线项目环境影响报告表》于2014年</w:t>
            </w: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日通过原巴中市环境保护局经济开发区分局审批，审批文号：巴环经审[2014]44号，于</w:t>
            </w:r>
            <w:r>
              <w:rPr>
                <w:rFonts w:hint="default"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年</w:t>
            </w:r>
            <w:r>
              <w:rPr>
                <w:rFonts w:hint="eastAsia" w:cs="Times New Roman"/>
                <w:sz w:val="24"/>
                <w:szCs w:val="24"/>
                <w:lang w:val="en-US" w:eastAsia="zh-CN"/>
              </w:rPr>
              <w:t>1</w:t>
            </w:r>
            <w:r>
              <w:rPr>
                <w:rFonts w:hint="default" w:ascii="Times New Roman" w:hAnsi="Times New Roman" w:eastAsia="宋体" w:cs="Times New Roman"/>
                <w:sz w:val="24"/>
                <w:szCs w:val="24"/>
                <w:highlight w:val="none"/>
                <w:lang w:val="en-US" w:eastAsia="zh-CN"/>
              </w:rPr>
              <w:t>月</w:t>
            </w:r>
            <w:r>
              <w:rPr>
                <w:rFonts w:hint="default" w:ascii="Times New Roman" w:hAnsi="Times New Roman" w:eastAsia="宋体" w:cs="Times New Roman"/>
                <w:sz w:val="24"/>
                <w:szCs w:val="24"/>
              </w:rPr>
              <w:t>通过</w:t>
            </w:r>
            <w:r>
              <w:rPr>
                <w:rFonts w:hint="default" w:ascii="Times New Roman" w:hAnsi="Times New Roman" w:eastAsia="宋体" w:cs="Times New Roman"/>
                <w:sz w:val="24"/>
                <w:szCs w:val="24"/>
                <w:lang w:eastAsia="zh-CN"/>
              </w:rPr>
              <w:t>项目竣工</w:t>
            </w:r>
            <w:r>
              <w:rPr>
                <w:rFonts w:hint="default" w:ascii="Times New Roman" w:hAnsi="Times New Roman" w:eastAsia="宋体" w:cs="Times New Roman"/>
                <w:sz w:val="24"/>
                <w:szCs w:val="24"/>
              </w:rPr>
              <w:t>验收。公司已取得排污许可证，许可证编号：91511900MA62D08H05001U</w:t>
            </w:r>
            <w:r>
              <w:rPr>
                <w:rFonts w:hint="default" w:ascii="Times New Roman" w:hAnsi="Times New Roman" w:eastAsia="宋体" w:cs="Times New Roman"/>
                <w:sz w:val="24"/>
                <w:szCs w:val="24"/>
                <w:lang w:eastAsia="zh-CN"/>
              </w:rPr>
              <w:t>。</w:t>
            </w:r>
          </w:p>
          <w:p>
            <w:pPr>
              <w:tabs>
                <w:tab w:val="left" w:pos="1068"/>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1</w:t>
            </w:r>
            <w:r>
              <w:rPr>
                <w:rFonts w:hint="eastAsia" w:cs="Times New Roman"/>
                <w:b/>
                <w:bCs/>
                <w:color w:val="auto"/>
                <w:szCs w:val="21"/>
                <w:highlight w:val="none"/>
                <w:lang w:val="en-US" w:eastAsia="zh-CN"/>
              </w:rPr>
              <w:t>1</w:t>
            </w:r>
            <w:r>
              <w:rPr>
                <w:rFonts w:hint="default" w:ascii="Times New Roman" w:hAnsi="Times New Roman"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 xml:space="preserve"> 现有项目环保手续履行情况一览表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2542"/>
              <w:gridCol w:w="1600"/>
              <w:gridCol w:w="1411"/>
              <w:gridCol w:w="26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721" w:type="pct"/>
                  <w:noWrap w:val="0"/>
                  <w:vAlign w:val="center"/>
                </w:tcPr>
                <w:p>
                  <w:pPr>
                    <w:pStyle w:val="11"/>
                    <w:snapToGrid/>
                    <w:spacing w:before="0" w:after="0" w:line="2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145" w:type="pct"/>
                  <w:noWrap w:val="0"/>
                  <w:vAlign w:val="center"/>
                </w:tcPr>
                <w:p>
                  <w:pPr>
                    <w:pStyle w:val="11"/>
                    <w:snapToGrid/>
                    <w:spacing w:before="0" w:after="0" w:line="2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审批单位</w:t>
                  </w:r>
                </w:p>
              </w:tc>
              <w:tc>
                <w:tcPr>
                  <w:tcW w:w="1029" w:type="pct"/>
                  <w:noWrap w:val="0"/>
                  <w:vAlign w:val="center"/>
                </w:tcPr>
                <w:p>
                  <w:pPr>
                    <w:pStyle w:val="11"/>
                    <w:snapToGrid/>
                    <w:spacing w:before="0" w:after="0" w:line="2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审批（备案）时间</w:t>
                  </w:r>
                </w:p>
              </w:tc>
              <w:tc>
                <w:tcPr>
                  <w:tcW w:w="1103" w:type="pct"/>
                  <w:noWrap w:val="0"/>
                  <w:vAlign w:val="center"/>
                </w:tcPr>
                <w:p>
                  <w:pPr>
                    <w:pStyle w:val="11"/>
                    <w:snapToGrid/>
                    <w:spacing w:before="0" w:after="0" w:line="2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审批（备案）文号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721"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离线镀膜玻璃及光学玻璃生产线项目环境影响报告表</w:t>
                  </w:r>
                </w:p>
              </w:tc>
              <w:tc>
                <w:tcPr>
                  <w:tcW w:w="1145"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巴中市经济开发区</w:t>
                  </w:r>
                  <w:r>
                    <w:rPr>
                      <w:rFonts w:hint="eastAsia" w:ascii="Times New Roman" w:hAnsi="Times New Roman" w:eastAsia="宋体" w:cs="Times New Roman"/>
                      <w:color w:val="auto"/>
                      <w:sz w:val="21"/>
                      <w:szCs w:val="21"/>
                      <w:highlight w:val="none"/>
                      <w:lang w:eastAsia="zh-CN"/>
                    </w:rPr>
                    <w:t>生态环境</w:t>
                  </w:r>
                  <w:r>
                    <w:rPr>
                      <w:rFonts w:hint="default" w:ascii="Times New Roman" w:hAnsi="Times New Roman" w:eastAsia="宋体" w:cs="Times New Roman"/>
                      <w:color w:val="auto"/>
                      <w:sz w:val="21"/>
                      <w:szCs w:val="21"/>
                      <w:highlight w:val="none"/>
                      <w:lang w:eastAsia="zh-CN"/>
                    </w:rPr>
                    <w:t>局</w:t>
                  </w:r>
                </w:p>
              </w:tc>
              <w:tc>
                <w:tcPr>
                  <w:tcW w:w="1029"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201</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11</w:t>
                  </w:r>
                </w:p>
              </w:tc>
              <w:tc>
                <w:tcPr>
                  <w:tcW w:w="1103"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巴环经审[2014]44号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721"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离线镀膜玻璃及光学玻璃生产线项目</w:t>
                  </w:r>
                  <w:r>
                    <w:rPr>
                      <w:rFonts w:hint="default" w:ascii="Times New Roman" w:hAnsi="Times New Roman" w:eastAsia="宋体" w:cs="Times New Roman"/>
                      <w:color w:val="auto"/>
                      <w:sz w:val="21"/>
                      <w:szCs w:val="21"/>
                      <w:highlight w:val="none"/>
                      <w:lang w:eastAsia="zh-CN"/>
                    </w:rPr>
                    <w:t>竣工环境保护验收监测报告表</w:t>
                  </w:r>
                </w:p>
              </w:tc>
              <w:tc>
                <w:tcPr>
                  <w:tcW w:w="1145"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巴中市经济开发区</w:t>
                  </w:r>
                  <w:r>
                    <w:rPr>
                      <w:rFonts w:hint="eastAsia" w:ascii="Times New Roman" w:hAnsi="Times New Roman" w:eastAsia="宋体" w:cs="Times New Roman"/>
                      <w:color w:val="auto"/>
                      <w:sz w:val="21"/>
                      <w:szCs w:val="21"/>
                      <w:highlight w:val="none"/>
                      <w:lang w:eastAsia="zh-CN"/>
                    </w:rPr>
                    <w:t>生态环境</w:t>
                  </w:r>
                  <w:r>
                    <w:rPr>
                      <w:rFonts w:hint="default" w:ascii="Times New Roman" w:hAnsi="Times New Roman" w:eastAsia="宋体" w:cs="Times New Roman"/>
                      <w:color w:val="auto"/>
                      <w:sz w:val="21"/>
                      <w:szCs w:val="21"/>
                      <w:highlight w:val="none"/>
                      <w:lang w:eastAsia="zh-CN"/>
                    </w:rPr>
                    <w:t>局</w:t>
                  </w:r>
                </w:p>
              </w:tc>
              <w:tc>
                <w:tcPr>
                  <w:tcW w:w="1029"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w:t>
                  </w:r>
                  <w:r>
                    <w:rPr>
                      <w:rFonts w:hint="eastAsia" w:ascii="Times New Roman" w:hAnsi="Times New Roman" w:eastAsia="宋体" w:cs="Times New Roman"/>
                      <w:color w:val="auto"/>
                      <w:sz w:val="21"/>
                      <w:szCs w:val="21"/>
                      <w:highlight w:val="none"/>
                      <w:lang w:val="en-US" w:eastAsia="zh-CN"/>
                    </w:rPr>
                    <w:t>17.</w:t>
                  </w:r>
                  <w:r>
                    <w:rPr>
                      <w:rFonts w:hint="eastAsia" w:cs="Times New Roman"/>
                      <w:color w:val="auto"/>
                      <w:sz w:val="21"/>
                      <w:szCs w:val="21"/>
                      <w:highlight w:val="none"/>
                      <w:lang w:val="en-US" w:eastAsia="zh-CN"/>
                    </w:rPr>
                    <w:t>1.20</w:t>
                  </w:r>
                </w:p>
              </w:tc>
              <w:tc>
                <w:tcPr>
                  <w:tcW w:w="1103"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巴环经验</w:t>
                  </w:r>
                  <w:r>
                    <w:rPr>
                      <w:rFonts w:hint="default" w:ascii="Times New Roman" w:hAnsi="Times New Roman" w:eastAsia="宋体" w:cs="Times New Roman"/>
                      <w:color w:val="auto"/>
                      <w:sz w:val="21"/>
                      <w:szCs w:val="21"/>
                    </w:rPr>
                    <w:t>[201</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721"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四川宇光光学玻璃有限公司</w:t>
                  </w:r>
                  <w:r>
                    <w:rPr>
                      <w:rFonts w:hint="default" w:ascii="Times New Roman" w:hAnsi="Times New Roman" w:eastAsia="宋体" w:cs="Times New Roman"/>
                      <w:color w:val="auto"/>
                      <w:sz w:val="21"/>
                      <w:szCs w:val="21"/>
                      <w:highlight w:val="none"/>
                      <w:lang w:eastAsia="zh-CN"/>
                    </w:rPr>
                    <w:t>排污许可证</w:t>
                  </w:r>
                </w:p>
              </w:tc>
              <w:tc>
                <w:tcPr>
                  <w:tcW w:w="1145"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巴中市</w:t>
                  </w:r>
                  <w:r>
                    <w:rPr>
                      <w:rFonts w:hint="default" w:ascii="Times New Roman" w:hAnsi="Times New Roman" w:eastAsia="宋体" w:cs="Times New Roman"/>
                      <w:color w:val="auto"/>
                      <w:sz w:val="21"/>
                      <w:szCs w:val="21"/>
                      <w:highlight w:val="none"/>
                      <w:lang w:eastAsia="zh-CN"/>
                    </w:rPr>
                    <w:t>生态环境局</w:t>
                  </w:r>
                </w:p>
              </w:tc>
              <w:tc>
                <w:tcPr>
                  <w:tcW w:w="1029"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2020.</w:t>
                  </w:r>
                  <w:r>
                    <w:rPr>
                      <w:rFonts w:hint="eastAsia" w:cs="Times New Roman"/>
                      <w:color w:val="auto"/>
                      <w:sz w:val="21"/>
                      <w:szCs w:val="21"/>
                      <w:highlight w:val="none"/>
                      <w:lang w:val="en-US" w:eastAsia="zh-CN"/>
                    </w:rPr>
                    <w:t>9.1</w:t>
                  </w:r>
                </w:p>
              </w:tc>
              <w:tc>
                <w:tcPr>
                  <w:tcW w:w="1103" w:type="pct"/>
                  <w:noWrap w:val="0"/>
                  <w:vAlign w:val="center"/>
                </w:tcPr>
                <w:p>
                  <w:pPr>
                    <w:pStyle w:val="11"/>
                    <w:snapToGrid/>
                    <w:spacing w:before="0" w:after="0" w:line="2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91511900MA62D08H05001U</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现有项目运行至今，未收到环保投诉。</w:t>
            </w:r>
          </w:p>
          <w:p>
            <w:pPr>
              <w:adjustRightInd w:val="0"/>
              <w:snapToGrid w:val="0"/>
              <w:spacing w:line="360" w:lineRule="auto"/>
              <w:ind w:firstLine="482" w:firstLineChars="200"/>
              <w:rPr>
                <w:rFonts w:hint="default" w:ascii="Times New Roman" w:hAnsi="Times New Roman" w:cs="Times New Roman"/>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、现有项目污染物排放及治理情况</w:t>
            </w:r>
          </w:p>
          <w:p>
            <w:pPr>
              <w:spacing w:line="360" w:lineRule="auto"/>
              <w:ind w:firstLine="482" w:firstLineChars="200"/>
              <w:rPr>
                <w:rFonts w:hint="eastAsia"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（1）废气治理措施</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项目玻璃原片</w:t>
            </w:r>
            <w:r>
              <w:rPr>
                <w:rFonts w:hint="default" w:ascii="Times New Roman" w:hAnsi="Times New Roman" w:eastAsia="宋体" w:cs="Times New Roman"/>
                <w:color w:val="auto"/>
                <w:sz w:val="24"/>
                <w:lang w:val="en-US" w:eastAsia="zh-CN"/>
              </w:rPr>
              <w:t>清洗过程中采用热风干燥，产生的部分水蒸气排入空气中；在加热工序中玻璃加热采用电能，无燃料废气产生；经加热处理的玻璃在钢化炉尾部通过引风机抽风实行快速风冷，其排放仅为热空气，无毒无害，通过专用排风口外排</w:t>
            </w:r>
            <w:r>
              <w:rPr>
                <w:rFonts w:hint="eastAsia" w:ascii="Times New Roman" w:hAnsi="Times New Roman"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铝条切割机设备自带粉尘收集装置，粉尘</w:t>
            </w:r>
            <w:r>
              <w:rPr>
                <w:rFonts w:hint="eastAsia" w:cs="Times New Roman"/>
                <w:color w:val="auto"/>
                <w:sz w:val="24"/>
                <w:highlight w:val="none"/>
                <w:lang w:val="en-US" w:eastAsia="zh-CN"/>
              </w:rPr>
              <w:t>在厂房内呈现无组织排放</w:t>
            </w:r>
            <w:r>
              <w:rPr>
                <w:rFonts w:hint="eastAsia" w:ascii="Times New Roman" w:hAnsi="Times New Roman"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项目</w:t>
            </w:r>
            <w:r>
              <w:rPr>
                <w:rFonts w:hint="eastAsia" w:ascii="Times New Roman" w:hAnsi="Times New Roman" w:cs="Times New Roman"/>
                <w:color w:val="auto"/>
                <w:sz w:val="24"/>
                <w:lang w:val="en-US" w:eastAsia="zh-CN"/>
              </w:rPr>
              <w:t>切割、</w:t>
            </w:r>
            <w:r>
              <w:rPr>
                <w:rFonts w:hint="default" w:ascii="Times New Roman" w:hAnsi="Times New Roman" w:eastAsia="宋体" w:cs="Times New Roman"/>
                <w:color w:val="auto"/>
                <w:sz w:val="24"/>
                <w:lang w:val="en-US" w:eastAsia="zh-CN"/>
              </w:rPr>
              <w:t>磨边工段产生的粉尘产经湿水法进行除尘，</w:t>
            </w:r>
            <w:r>
              <w:rPr>
                <w:rFonts w:hint="eastAsia" w:cs="Times New Roman"/>
                <w:color w:val="auto"/>
                <w:sz w:val="24"/>
                <w:highlight w:val="none"/>
                <w:lang w:val="en-US" w:eastAsia="zh-CN"/>
              </w:rPr>
              <w:t>呈现无组织排放，</w:t>
            </w:r>
            <w:r>
              <w:rPr>
                <w:rFonts w:hint="default" w:ascii="Times New Roman" w:hAnsi="Times New Roman" w:eastAsia="宋体" w:cs="Times New Roman"/>
                <w:color w:val="auto"/>
                <w:sz w:val="24"/>
                <w:lang w:val="en-US" w:eastAsia="zh-CN"/>
              </w:rPr>
              <w:t>对外环境影响较小</w:t>
            </w:r>
            <w:r>
              <w:rPr>
                <w:rFonts w:hint="default" w:ascii="Times New Roman" w:hAnsi="Times New Roman"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食堂油烟经抽油烟机处理后排放</w:t>
            </w:r>
            <w:r>
              <w:rPr>
                <w:rFonts w:hint="eastAsia"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lang w:val="en-US" w:eastAsia="zh-CN"/>
              </w:rPr>
              <w:t>项目中空玻璃生产过程中使用丁基胶、硅酮胶，会产生有机废气</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根据业主提供的资料，项目</w:t>
            </w:r>
            <w:r>
              <w:rPr>
                <w:rFonts w:hint="eastAsia" w:cs="Times New Roman"/>
                <w:color w:val="auto"/>
                <w:sz w:val="24"/>
                <w:highlight w:val="none"/>
                <w:lang w:val="en-US" w:eastAsia="zh-CN"/>
              </w:rPr>
              <w:t>中空玻璃</w:t>
            </w:r>
            <w:r>
              <w:rPr>
                <w:rFonts w:hint="default" w:ascii="Times New Roman" w:hAnsi="Times New Roman" w:eastAsia="宋体" w:cs="Times New Roman"/>
                <w:color w:val="auto"/>
                <w:sz w:val="24"/>
                <w:highlight w:val="none"/>
                <w:lang w:val="en-US" w:eastAsia="zh-CN"/>
              </w:rPr>
              <w:t>丁基胶</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硅酮胶</w:t>
            </w:r>
            <w:r>
              <w:rPr>
                <w:rFonts w:hint="eastAsia" w:cs="Times New Roman"/>
                <w:color w:val="auto"/>
                <w:sz w:val="24"/>
                <w:highlight w:val="none"/>
                <w:lang w:val="en-US" w:eastAsia="zh-CN"/>
              </w:rPr>
              <w:t>用量分别为11t/a、540t/a；根据项目所使用丁基胶（热失重率为0.44%）、硅酮胶双组分（VOC含量17g/kg）的检测报告计算出，本项目中空玻璃有机废气产生量9.2284t/a，</w:t>
            </w:r>
            <w:r>
              <w:rPr>
                <w:rFonts w:hint="default" w:ascii="Times New Roman" w:hAnsi="Times New Roman" w:eastAsia="宋体" w:cs="Times New Roman"/>
                <w:color w:val="auto"/>
                <w:sz w:val="24"/>
                <w:highlight w:val="none"/>
                <w:lang w:val="en-US" w:eastAsia="zh-CN"/>
              </w:rPr>
              <w:t>PVB胶片</w:t>
            </w:r>
            <w:r>
              <w:rPr>
                <w:rFonts w:hint="eastAsia" w:cs="Times New Roman"/>
                <w:color w:val="auto"/>
                <w:sz w:val="24"/>
                <w:highlight w:val="none"/>
                <w:lang w:val="en-US" w:eastAsia="zh-CN"/>
              </w:rPr>
              <w:t>11万m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夹胶玻璃</w:t>
            </w:r>
            <w:r>
              <w:rPr>
                <w:rFonts w:hint="default" w:ascii="Times New Roman" w:hAnsi="Times New Roman" w:eastAsia="宋体" w:cs="Times New Roman"/>
                <w:color w:val="auto"/>
                <w:sz w:val="24"/>
                <w:highlight w:val="none"/>
                <w:lang w:val="en-US" w:eastAsia="zh-CN"/>
              </w:rPr>
              <w:t>生产过程中使用</w:t>
            </w:r>
            <w:r>
              <w:rPr>
                <w:rFonts w:hint="eastAsia" w:eastAsia="宋体" w:cs="Times New Roman"/>
                <w:color w:val="auto"/>
                <w:sz w:val="24"/>
                <w:highlight w:val="none"/>
                <w:lang w:val="en-US" w:eastAsia="zh-CN"/>
              </w:rPr>
              <w:t>PVB胶片，</w:t>
            </w:r>
            <w:r>
              <w:rPr>
                <w:rFonts w:hint="default" w:ascii="Times New Roman" w:hAnsi="Times New Roman" w:eastAsia="宋体" w:cs="Times New Roman"/>
                <w:color w:val="auto"/>
                <w:sz w:val="24"/>
                <w:highlight w:val="none"/>
                <w:lang w:val="en-US" w:eastAsia="zh-CN"/>
              </w:rPr>
              <w:t>PVB胶片</w:t>
            </w:r>
            <w:r>
              <w:rPr>
                <w:rFonts w:hint="eastAsia" w:cs="Times New Roman"/>
                <w:color w:val="auto"/>
                <w:sz w:val="24"/>
                <w:highlight w:val="none"/>
                <w:lang w:val="en-US" w:eastAsia="zh-CN"/>
              </w:rPr>
              <w:t>类比其他项目，</w:t>
            </w:r>
            <w:r>
              <w:rPr>
                <w:rFonts w:hint="default" w:ascii="Times New Roman" w:hAnsi="Times New Roman" w:eastAsia="宋体" w:cs="Times New Roman"/>
                <w:color w:val="auto"/>
                <w:sz w:val="24"/>
                <w:highlight w:val="none"/>
                <w:lang w:val="en-US" w:eastAsia="zh-CN"/>
              </w:rPr>
              <w:t>VOCs产生量约为0.5g/m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·PVB胶片</w:t>
            </w:r>
            <w:r>
              <w:rPr>
                <w:rFonts w:hint="eastAsia" w:cs="Times New Roman"/>
                <w:color w:val="auto"/>
                <w:sz w:val="24"/>
                <w:highlight w:val="none"/>
                <w:lang w:val="en-US" w:eastAsia="zh-CN"/>
              </w:rPr>
              <w:t>，则夹胶玻璃有机废气产生量为0.055t/a</w:t>
            </w:r>
            <w:r>
              <w:rPr>
                <w:rFonts w:hint="default" w:ascii="Times New Roman" w:hAnsi="Times New Roman" w:eastAsia="宋体" w:cs="Times New Roman"/>
                <w:color w:val="auto"/>
                <w:sz w:val="24"/>
                <w:lang w:val="en-US" w:eastAsia="zh-CN"/>
              </w:rPr>
              <w:t>。</w:t>
            </w:r>
            <w:r>
              <w:rPr>
                <w:rFonts w:hint="eastAsia" w:cs="Times New Roman"/>
                <w:color w:val="auto"/>
                <w:sz w:val="24"/>
                <w:highlight w:val="none"/>
                <w:lang w:val="en-US" w:eastAsia="zh-CN"/>
              </w:rPr>
              <w:t>在厂房内无组织排放。</w:t>
            </w:r>
          </w:p>
          <w:p>
            <w:pPr>
              <w:pStyle w:val="96"/>
              <w:keepNext w:val="0"/>
              <w:keepLines w:val="0"/>
              <w:pageBreakBefore w:val="0"/>
              <w:widowControl w:val="0"/>
              <w:tabs>
                <w:tab w:val="left" w:pos="1440"/>
                <w:tab w:val="left" w:pos="4368"/>
              </w:tabs>
              <w:kinsoku/>
              <w:wordWrap/>
              <w:overflowPunct/>
              <w:topLinePunct w:val="0"/>
              <w:autoSpaceDE/>
              <w:autoSpaceDN/>
              <w:bidi w:val="0"/>
              <w:adjustRightInd/>
              <w:snapToGrid/>
              <w:spacing w:line="360" w:lineRule="auto"/>
              <w:ind w:firstLine="493"/>
              <w:textAlignment w:val="auto"/>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四川</w:t>
            </w:r>
            <w:r>
              <w:rPr>
                <w:rFonts w:hint="eastAsia" w:ascii="Times New Roman" w:hAnsi="Times New Roman" w:cs="Times New Roman"/>
                <w:color w:val="auto"/>
                <w:lang w:eastAsia="zh-CN"/>
              </w:rPr>
              <w:t>创标环境</w:t>
            </w:r>
            <w:r>
              <w:rPr>
                <w:rFonts w:hint="default" w:ascii="Times New Roman" w:hAnsi="Times New Roman" w:cs="Times New Roman"/>
                <w:color w:val="auto"/>
                <w:lang w:eastAsia="zh-CN"/>
              </w:rPr>
              <w:t>检测有限公司</w:t>
            </w:r>
            <w:r>
              <w:rPr>
                <w:rFonts w:hint="default" w:ascii="Times New Roman" w:hAnsi="Times New Roman" w:cs="Times New Roman"/>
                <w:color w:val="auto"/>
              </w:rPr>
              <w:t>出具的《四川宇光光学玻璃有限公司自行监测》（创标检字(2023)第W168-1号）监测报告监测结果可知，项目</w:t>
            </w:r>
            <w:r>
              <w:rPr>
                <w:rFonts w:hint="eastAsia" w:ascii="Times New Roman" w:hAnsi="Times New Roman" w:cs="Times New Roman"/>
                <w:color w:val="auto"/>
                <w:lang w:val="en-US" w:eastAsia="zh-CN"/>
              </w:rPr>
              <w:t>VOC</w:t>
            </w:r>
            <w:r>
              <w:rPr>
                <w:rFonts w:hint="eastAsia" w:ascii="Times New Roman" w:hAnsi="Times New Roman" w:cs="Times New Roman"/>
                <w:color w:val="auto"/>
                <w:vertAlign w:val="subscript"/>
                <w:lang w:val="en-US" w:eastAsia="zh-CN"/>
              </w:rPr>
              <w:t>S</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非甲烷总烃</w:t>
            </w:r>
            <w:r>
              <w:rPr>
                <w:rFonts w:hint="eastAsia" w:ascii="Times New Roman" w:hAnsi="Times New Roman" w:cs="Times New Roman"/>
                <w:color w:val="auto"/>
                <w:lang w:val="en-US" w:eastAsia="zh-CN"/>
              </w:rPr>
              <w:t>）和颗粒物</w:t>
            </w:r>
            <w:r>
              <w:rPr>
                <w:rFonts w:hint="default" w:ascii="Times New Roman" w:hAnsi="Times New Roman" w:cs="Times New Roman"/>
                <w:color w:val="auto"/>
                <w:lang w:eastAsia="zh-CN"/>
              </w:rPr>
              <w:t>无组织</w:t>
            </w:r>
            <w:r>
              <w:rPr>
                <w:rFonts w:hint="eastAsia" w:ascii="Times New Roman" w:hAnsi="Times New Roman" w:cs="Times New Roman"/>
                <w:color w:val="auto"/>
                <w:lang w:eastAsia="zh-CN"/>
              </w:rPr>
              <w:t>排放达标</w:t>
            </w:r>
            <w:r>
              <w:rPr>
                <w:rFonts w:hint="default" w:ascii="Times New Roman" w:hAnsi="Times New Roman" w:cs="Times New Roman"/>
                <w:color w:val="auto"/>
              </w:rPr>
              <w:t>。采样检测时间：</w:t>
            </w:r>
            <w:r>
              <w:rPr>
                <w:rFonts w:hint="eastAsia" w:ascii="Times New Roman" w:hAnsi="Times New Roman" w:cs="Times New Roman"/>
                <w:color w:val="auto"/>
                <w:lang w:val="en-US" w:eastAsia="zh-CN"/>
              </w:rPr>
              <w:t>颗粒物的采样检测时间为</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cs="Times New Roman"/>
                <w:color w:val="auto"/>
                <w:lang w:val="en-US" w:eastAsia="zh-CN"/>
              </w:rPr>
              <w:t>06</w:t>
            </w:r>
            <w:r>
              <w:rPr>
                <w:rFonts w:hint="default" w:ascii="Times New Roman" w:hAnsi="Times New Roman" w:cs="Times New Roman"/>
                <w:color w:val="auto"/>
              </w:rPr>
              <w:t>月</w:t>
            </w:r>
            <w:r>
              <w:rPr>
                <w:rFonts w:hint="eastAsia" w:ascii="Times New Roman" w:hAnsi="Times New Roman" w:cs="Times New Roman"/>
                <w:color w:val="auto"/>
                <w:lang w:val="en-US" w:eastAsia="zh-CN"/>
              </w:rPr>
              <w:t>08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，VOC</w:t>
            </w:r>
            <w:r>
              <w:rPr>
                <w:rFonts w:hint="eastAsia" w:ascii="Times New Roman" w:hAnsi="Times New Roman" w:cs="Times New Roman"/>
                <w:color w:val="auto"/>
                <w:vertAlign w:val="subscript"/>
                <w:lang w:val="en-US" w:eastAsia="zh-CN"/>
              </w:rPr>
              <w:t>S</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非甲烷总烃</w:t>
            </w:r>
            <w:r>
              <w:rPr>
                <w:rFonts w:hint="eastAsia" w:ascii="Times New Roman" w:hAnsi="Times New Roman" w:cs="Times New Roman"/>
                <w:color w:val="auto"/>
                <w:lang w:val="en-US" w:eastAsia="zh-CN"/>
              </w:rPr>
              <w:t>）采样检测时间为</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cs="Times New Roman"/>
                <w:color w:val="auto"/>
                <w:lang w:val="en-US" w:eastAsia="zh-CN"/>
              </w:rPr>
              <w:t>06</w:t>
            </w:r>
            <w:r>
              <w:rPr>
                <w:rFonts w:hint="default" w:ascii="Times New Roman" w:hAnsi="Times New Roman" w:cs="Times New Roman"/>
                <w:color w:val="auto"/>
              </w:rPr>
              <w:t>月</w:t>
            </w:r>
            <w:r>
              <w:rPr>
                <w:rFonts w:hint="eastAsia" w:ascii="Times New Roman" w:hAnsi="Times New Roman" w:cs="Times New Roman"/>
                <w:color w:val="auto"/>
                <w:lang w:val="en-US" w:eastAsia="zh-CN"/>
              </w:rPr>
              <w:t>17</w:t>
            </w:r>
            <w:r>
              <w:rPr>
                <w:rFonts w:hint="default" w:ascii="Times New Roman" w:hAnsi="Times New Roman" w:cs="Times New Roman"/>
                <w:color w:val="auto"/>
                <w:lang w:val="en-US" w:eastAsia="zh-CN"/>
              </w:rPr>
              <w:t>日</w:t>
            </w:r>
            <w:r>
              <w:rPr>
                <w:rFonts w:hint="default" w:ascii="Times New Roman" w:hAnsi="Times New Roman" w:cs="Times New Roman"/>
                <w:color w:val="auto"/>
              </w:rPr>
              <w:t>；VOCS（非甲烷总烃）</w:t>
            </w:r>
            <w:r>
              <w:rPr>
                <w:rFonts w:hint="default" w:ascii="Times New Roman" w:hAnsi="Times New Roman" w:cs="Times New Roman"/>
                <w:color w:val="auto"/>
                <w:lang w:eastAsia="zh-CN"/>
              </w:rPr>
              <w:t>无组织监测点位：东南侧厂界外、</w:t>
            </w:r>
            <w:r>
              <w:rPr>
                <w:rFonts w:hint="eastAsia" w:ascii="Times New Roman" w:hAnsi="Times New Roman" w:cs="Times New Roman"/>
                <w:color w:val="auto"/>
                <w:lang w:eastAsia="zh-CN"/>
              </w:rPr>
              <w:t>东北侧厂界外、东北侧厂界外</w:t>
            </w:r>
            <w:r>
              <w:rPr>
                <w:rFonts w:hint="default" w:ascii="Times New Roman" w:hAnsi="Times New Roman" w:cs="Times New Roman"/>
                <w:color w:val="auto"/>
                <w:lang w:eastAsia="zh-CN"/>
              </w:rPr>
              <w:t>和</w:t>
            </w:r>
            <w:r>
              <w:rPr>
                <w:rFonts w:hint="eastAsia" w:ascii="Times New Roman" w:hAnsi="Times New Roman" w:cs="Times New Roman"/>
                <w:color w:val="auto"/>
                <w:lang w:eastAsia="zh-CN"/>
              </w:rPr>
              <w:t>西北侧厂界外，颗粒物</w:t>
            </w:r>
            <w:r>
              <w:rPr>
                <w:rFonts w:hint="default" w:ascii="Times New Roman" w:hAnsi="Times New Roman" w:cs="Times New Roman"/>
                <w:color w:val="auto"/>
                <w:lang w:eastAsia="zh-CN"/>
              </w:rPr>
              <w:t>无组织监测点位：厂界东侧外、</w:t>
            </w:r>
            <w:r>
              <w:rPr>
                <w:rFonts w:hint="eastAsia" w:ascii="Times New Roman" w:hAnsi="Times New Roman" w:cs="Times New Roman"/>
                <w:color w:val="auto"/>
                <w:lang w:eastAsia="zh-CN"/>
              </w:rPr>
              <w:t>厂界南侧外、厂界西侧外</w:t>
            </w:r>
            <w:r>
              <w:rPr>
                <w:rFonts w:hint="default" w:ascii="Times New Roman" w:hAnsi="Times New Roman" w:cs="Times New Roman"/>
                <w:color w:val="auto"/>
                <w:lang w:eastAsia="zh-CN"/>
              </w:rPr>
              <w:t>和</w:t>
            </w:r>
            <w:r>
              <w:rPr>
                <w:rFonts w:hint="eastAsia" w:ascii="Times New Roman" w:hAnsi="Times New Roman" w:cs="Times New Roman"/>
                <w:color w:val="auto"/>
                <w:lang w:eastAsia="zh-CN"/>
              </w:rPr>
              <w:t>厂界北侧外</w:t>
            </w:r>
            <w:r>
              <w:rPr>
                <w:rFonts w:hint="default" w:ascii="Times New Roman" w:hAnsi="Times New Roman" w:cs="Times New Roman"/>
                <w:color w:val="auto"/>
                <w:lang w:eastAsia="zh-CN"/>
              </w:rPr>
              <w:t>；</w:t>
            </w:r>
            <w:r>
              <w:rPr>
                <w:rFonts w:hint="default" w:ascii="Times New Roman" w:hAnsi="Times New Roman" w:cs="Times New Roman"/>
                <w:color w:val="auto"/>
              </w:rPr>
              <w:t>监测频率：监测</w:t>
            </w:r>
            <w:r>
              <w:rPr>
                <w:rFonts w:hint="default" w:ascii="Times New Roman" w:hAnsi="Times New Roman" w:cs="Times New Roman"/>
                <w:color w:val="auto"/>
                <w:lang w:val="en-US" w:eastAsia="zh-CN"/>
              </w:rPr>
              <w:t>1</w:t>
            </w:r>
            <w:r>
              <w:rPr>
                <w:rFonts w:hint="default" w:ascii="Times New Roman" w:hAnsi="Times New Roman" w:cs="Times New Roman"/>
                <w:color w:val="auto"/>
              </w:rPr>
              <w:t>天，共监测</w:t>
            </w:r>
            <w:r>
              <w:rPr>
                <w:rFonts w:hint="eastAsia" w:ascii="Times New Roman" w:hAnsi="Times New Roman" w:cs="Times New Roman"/>
                <w:color w:val="auto"/>
                <w:lang w:val="en-US" w:eastAsia="zh-CN"/>
              </w:rPr>
              <w:t>4</w:t>
            </w:r>
            <w:r>
              <w:rPr>
                <w:rFonts w:hint="default" w:ascii="Times New Roman" w:hAnsi="Times New Roman" w:cs="Times New Roman"/>
                <w:color w:val="auto"/>
              </w:rPr>
              <w:t>次。结果如下：</w:t>
            </w:r>
          </w:p>
          <w:p>
            <w:pPr>
              <w:adjustRightInd w:val="0"/>
              <w:snapToGrid w:val="0"/>
              <w:spacing w:line="240" w:lineRule="auto"/>
              <w:jc w:val="center"/>
              <w:rPr>
                <w:rFonts w:hint="eastAsia" w:ascii="Times New Roman" w:hAnsi="Times New Roman" w:eastAsia="宋体" w:cs="Times New Roman"/>
                <w:b/>
                <w:bCs/>
                <w:lang w:val="en-US" w:eastAsia="zh-CN"/>
              </w:rPr>
            </w:pPr>
            <w:r>
              <w:rPr>
                <w:rFonts w:hint="default" w:ascii="Times New Roman" w:hAnsi="Times New Roman" w:eastAsia="宋体" w:cs="宋体"/>
                <w:b/>
                <w:bCs/>
                <w:i w:val="0"/>
                <w:kern w:val="2"/>
                <w:sz w:val="21"/>
                <w:szCs w:val="21"/>
                <w:vertAlign w:val="baseline"/>
                <w:lang w:val="en-US" w:eastAsia="zh-CN" w:bidi="ar-SA"/>
              </w:rPr>
              <w:t>表2-</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2</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eastAsia" w:ascii="Times New Roman" w:hAnsi="Times New Roman" w:eastAsia="宋体" w:cs="Times New Roman"/>
                <w:b/>
                <w:bCs/>
                <w:lang w:val="en-US" w:eastAsia="zh-CN"/>
              </w:rPr>
              <w:t xml:space="preserve">厂区无组织废气监测结果及评价结果   </w:t>
            </w:r>
            <w:r>
              <w:rPr>
                <w:rFonts w:hint="eastAsia" w:ascii="Times New Roman" w:hAnsi="Times New Roman" w:cs="Times New Roman"/>
                <w:b/>
                <w:bCs/>
                <w:lang w:val="en-US" w:eastAsia="zh-CN"/>
              </w:rPr>
              <w:t>单位：mg/m</w:t>
            </w:r>
            <w:r>
              <w:rPr>
                <w:rFonts w:hint="eastAsia" w:ascii="Times New Roman" w:hAnsi="Times New Roman" w:cs="Times New Roman"/>
                <w:b/>
                <w:bCs/>
                <w:vertAlign w:val="superscript"/>
                <w:lang w:val="en-US" w:eastAsia="zh-CN"/>
              </w:rPr>
              <w:t>3</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688"/>
              <w:gridCol w:w="630"/>
              <w:gridCol w:w="658"/>
              <w:gridCol w:w="663"/>
              <w:gridCol w:w="780"/>
              <w:gridCol w:w="810"/>
              <w:gridCol w:w="748"/>
              <w:gridCol w:w="784"/>
              <w:gridCol w:w="1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4276" w:type="pct"/>
                  <w:gridSpan w:val="9"/>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p>
              </w:tc>
              <w:tc>
                <w:tcPr>
                  <w:tcW w:w="2090" w:type="pct"/>
                  <w:gridSpan w:val="5"/>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VOC</w:t>
                  </w:r>
                  <w:r>
                    <w:rPr>
                      <w:rFonts w:hint="default" w:ascii="Times New Roman" w:hAnsi="Times New Roman" w:eastAsia="宋体" w:cs="Times New Roman"/>
                      <w:b/>
                      <w:bCs/>
                      <w:sz w:val="21"/>
                      <w:szCs w:val="21"/>
                      <w:vertAlign w:val="subscript"/>
                      <w:lang w:eastAsia="zh-CN"/>
                    </w:rPr>
                    <w:t>S</w:t>
                  </w:r>
                  <w:r>
                    <w:rPr>
                      <w:rFonts w:hint="default" w:ascii="Times New Roman" w:hAnsi="Times New Roman" w:eastAsia="宋体" w:cs="Times New Roman"/>
                      <w:b/>
                      <w:bCs/>
                      <w:sz w:val="21"/>
                      <w:szCs w:val="21"/>
                      <w:lang w:eastAsia="zh-CN"/>
                    </w:rPr>
                    <w:t>（非甲烷总烃）</w:t>
                  </w:r>
                </w:p>
              </w:tc>
              <w:tc>
                <w:tcPr>
                  <w:tcW w:w="218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eastAsia="zh-CN"/>
                    </w:rPr>
                  </w:pPr>
                  <w:r>
                    <w:rPr>
                      <w:rFonts w:hint="eastAsia" w:cs="Times New Roman"/>
                      <w:b/>
                      <w:bCs/>
                      <w:sz w:val="21"/>
                      <w:szCs w:val="21"/>
                      <w:lang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auto"/>
                      <w:sz w:val="21"/>
                      <w:szCs w:val="21"/>
                      <w:lang w:eastAsia="zh-CN"/>
                    </w:rPr>
                    <w:t>一次</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auto"/>
                      <w:sz w:val="21"/>
                      <w:szCs w:val="21"/>
                      <w:lang w:eastAsia="zh-CN"/>
                    </w:rPr>
                    <w:t>二次</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cs="Times New Roman"/>
                      <w:b/>
                      <w:bCs/>
                      <w:color w:val="auto"/>
                      <w:sz w:val="21"/>
                      <w:szCs w:val="21"/>
                      <w:lang w:eastAsia="zh-CN"/>
                    </w:rPr>
                    <w:t>三</w:t>
                  </w:r>
                  <w:r>
                    <w:rPr>
                      <w:rFonts w:hint="default" w:ascii="Times New Roman" w:hAnsi="Times New Roman" w:cs="Times New Roman"/>
                      <w:b/>
                      <w:bCs/>
                      <w:color w:val="auto"/>
                      <w:sz w:val="21"/>
                      <w:szCs w:val="21"/>
                    </w:rPr>
                    <w:t>次</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1"/>
                      <w:szCs w:val="21"/>
                      <w:lang w:val="en-US" w:eastAsia="zh-CN" w:bidi="ar-SA"/>
                    </w:rPr>
                  </w:pPr>
                  <w:r>
                    <w:rPr>
                      <w:rFonts w:hint="eastAsia" w:cs="Times New Roman"/>
                      <w:b/>
                      <w:bCs/>
                      <w:sz w:val="21"/>
                      <w:szCs w:val="21"/>
                      <w:lang w:eastAsia="zh-CN"/>
                    </w:rPr>
                    <w:t>四次</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sz w:val="21"/>
                      <w:szCs w:val="21"/>
                      <w:lang w:eastAsia="zh-CN"/>
                    </w:rPr>
                  </w:pPr>
                  <w:r>
                    <w:rPr>
                      <w:rFonts w:hint="eastAsia" w:cs="Times New Roman"/>
                      <w:b/>
                      <w:bCs/>
                      <w:sz w:val="21"/>
                      <w:szCs w:val="21"/>
                      <w:lang w:eastAsia="zh-CN"/>
                    </w:rPr>
                    <w:t>平均值</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auto"/>
                      <w:sz w:val="21"/>
                      <w:szCs w:val="21"/>
                      <w:lang w:eastAsia="zh-CN"/>
                    </w:rPr>
                    <w:t>一次</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auto"/>
                      <w:sz w:val="21"/>
                      <w:szCs w:val="21"/>
                      <w:lang w:eastAsia="zh-CN"/>
                    </w:rPr>
                    <w:t>二次</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rPr>
                  </w:pPr>
                  <w:r>
                    <w:rPr>
                      <w:rFonts w:hint="default" w:ascii="Times New Roman" w:hAnsi="Times New Roman" w:cs="Times New Roman"/>
                      <w:b/>
                      <w:bCs/>
                      <w:color w:val="auto"/>
                      <w:sz w:val="21"/>
                      <w:szCs w:val="21"/>
                      <w:lang w:eastAsia="zh-CN"/>
                    </w:rPr>
                    <w:t>三</w:t>
                  </w:r>
                  <w:r>
                    <w:rPr>
                      <w:rFonts w:hint="default" w:ascii="Times New Roman" w:hAnsi="Times New Roman" w:cs="Times New Roman"/>
                      <w:b/>
                      <w:bCs/>
                      <w:color w:val="auto"/>
                      <w:sz w:val="21"/>
                      <w:szCs w:val="21"/>
                    </w:rPr>
                    <w:t>次</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sz w:val="21"/>
                      <w:szCs w:val="21"/>
                      <w:lang w:eastAsia="zh-CN"/>
                    </w:rPr>
                  </w:pPr>
                  <w:r>
                    <w:rPr>
                      <w:rFonts w:hint="eastAsia" w:cs="Times New Roman"/>
                      <w:b/>
                      <w:bCs/>
                      <w:sz w:val="21"/>
                      <w:szCs w:val="21"/>
                      <w:lang w:eastAsia="zh-CN"/>
                    </w:rPr>
                    <w:t>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东南侧厂界外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0.33</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0.37</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0.38</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0.34</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0.36</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kern w:val="2"/>
                      <w:sz w:val="21"/>
                      <w:szCs w:val="21"/>
                      <w:lang w:val="en-US" w:eastAsia="zh-CN" w:bidi="ar-SA"/>
                    </w:rPr>
                    <w:t>东北侧厂界外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0.26</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0.28</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0.25</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0.28</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0.27</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kern w:val="2"/>
                      <w:sz w:val="21"/>
                      <w:szCs w:val="21"/>
                      <w:lang w:val="en-US" w:eastAsia="zh-CN" w:bidi="ar-SA"/>
                    </w:rPr>
                    <w:t>东北侧厂界外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0.19</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kern w:val="2"/>
                      <w:sz w:val="21"/>
                      <w:szCs w:val="21"/>
                      <w:lang w:val="en-US" w:eastAsia="zh-CN" w:bidi="ar-SA"/>
                    </w:rPr>
                    <w:t>西北侧厂界外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0.25</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0.28</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0.23</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厂界东侧外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0.182</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0.192</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0.177</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0.197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厂界南侧外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0.204</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0.214</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0.196</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厂界西侧外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0.211</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0.203</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0.220</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厂界北侧外</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38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0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7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0.165</w:t>
                  </w:r>
                </w:p>
              </w:tc>
              <w:tc>
                <w:tcPr>
                  <w:tcW w:w="45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0.156</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0.171</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监测时间</w:t>
                  </w:r>
                </w:p>
              </w:tc>
              <w:tc>
                <w:tcPr>
                  <w:tcW w:w="2090" w:type="pct"/>
                  <w:gridSpan w:val="5"/>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2023.6.17</w:t>
                  </w:r>
                </w:p>
              </w:tc>
              <w:tc>
                <w:tcPr>
                  <w:tcW w:w="218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最大值</w:t>
                  </w:r>
                </w:p>
              </w:tc>
              <w:tc>
                <w:tcPr>
                  <w:tcW w:w="2090" w:type="pct"/>
                  <w:gridSpan w:val="5"/>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0.36</w:t>
                  </w:r>
                </w:p>
              </w:tc>
              <w:tc>
                <w:tcPr>
                  <w:tcW w:w="218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标准限值</w:t>
                  </w:r>
                </w:p>
              </w:tc>
              <w:tc>
                <w:tcPr>
                  <w:tcW w:w="2090" w:type="pct"/>
                  <w:gridSpan w:val="5"/>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218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达标情况</w:t>
                  </w:r>
                </w:p>
              </w:tc>
              <w:tc>
                <w:tcPr>
                  <w:tcW w:w="2090" w:type="pct"/>
                  <w:gridSpan w:val="5"/>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达标</w:t>
                  </w:r>
                </w:p>
              </w:tc>
              <w:tc>
                <w:tcPr>
                  <w:tcW w:w="218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项目VOC</w:t>
            </w:r>
            <w:r>
              <w:rPr>
                <w:rFonts w:hint="eastAsia" w:ascii="Times New Roman" w:hAnsi="Times New Roman" w:cs="Times New Roman"/>
                <w:color w:val="auto"/>
                <w:sz w:val="24"/>
                <w:lang w:val="en-US" w:eastAsia="zh-CN"/>
              </w:rPr>
              <w:t>s</w:t>
            </w:r>
            <w:r>
              <w:rPr>
                <w:rFonts w:hint="default" w:ascii="Times New Roman" w:hAnsi="Times New Roman" w:cs="Times New Roman"/>
                <w:color w:val="auto"/>
                <w:sz w:val="24"/>
                <w:lang w:val="en-US" w:eastAsia="zh-CN"/>
              </w:rPr>
              <w:t>（非甲烷总烃）满足《四川省固定污染源大气挥发性有机物排放标准》(DB51/2377-2017)表5标准限值；颗粒物浓度均满足《大气污染物综合排放标准》GB3096-1996)表2无组织排放监控浓度限值要求。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b/>
                <w:bCs/>
                <w:sz w:val="24"/>
                <w:szCs w:val="24"/>
                <w:lang w:val="en-US" w:eastAsia="zh-CN"/>
              </w:rPr>
            </w:pPr>
            <w:r>
              <w:rPr>
                <w:rFonts w:hint="default" w:ascii="Times New Roman" w:hAnsi="Times New Roman" w:cs="Times New Roman"/>
                <w:b/>
                <w:color w:val="auto"/>
                <w:sz w:val="24"/>
              </w:rPr>
              <w:t>存在问题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color w:val="auto"/>
                <w:sz w:val="24"/>
                <w:lang w:eastAsia="zh-CN"/>
              </w:rPr>
            </w:pPr>
            <w:r>
              <w:rPr>
                <w:rFonts w:hint="eastAsia" w:cs="Times New Roman"/>
                <w:b w:val="0"/>
                <w:bCs/>
                <w:color w:val="auto"/>
                <w:sz w:val="24"/>
                <w:lang w:eastAsia="zh-CN"/>
              </w:rPr>
              <w:t>根据原辅材料检测报告核算，项目中空玻璃施胶过程有机废气产生量较大（</w:t>
            </w:r>
            <w:r>
              <w:rPr>
                <w:rFonts w:hint="eastAsia" w:cs="Times New Roman"/>
                <w:b w:val="0"/>
                <w:bCs/>
                <w:color w:val="auto"/>
                <w:sz w:val="24"/>
                <w:lang w:val="en-US" w:eastAsia="zh-CN"/>
              </w:rPr>
              <w:t>9.2284t/a</w:t>
            </w:r>
            <w:r>
              <w:rPr>
                <w:rFonts w:hint="eastAsia" w:cs="Times New Roman"/>
                <w:b w:val="0"/>
                <w:bCs/>
                <w:color w:val="auto"/>
                <w:sz w:val="24"/>
                <w:lang w:eastAsia="zh-CN"/>
              </w:rPr>
              <w:t>），原措施为</w:t>
            </w:r>
            <w:r>
              <w:rPr>
                <w:rFonts w:hint="eastAsia" w:cs="Times New Roman"/>
                <w:color w:val="auto"/>
                <w:sz w:val="24"/>
                <w:highlight w:val="none"/>
                <w:lang w:val="en-US" w:eastAsia="zh-CN"/>
              </w:rPr>
              <w:t>在厂房内无组织排放。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b/>
                <w:bCs/>
                <w:sz w:val="24"/>
                <w:szCs w:val="24"/>
                <w:lang w:val="en-US" w:eastAsia="zh-CN"/>
              </w:rPr>
            </w:pPr>
            <w:r>
              <w:rPr>
                <w:rFonts w:hint="default" w:ascii="Times New Roman" w:hAnsi="Times New Roman" w:cs="Times New Roman"/>
                <w:b/>
                <w:color w:val="auto"/>
                <w:sz w:val="24"/>
              </w:rPr>
              <w:t>整改措施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bCs/>
                <w:sz w:val="24"/>
                <w:szCs w:val="24"/>
                <w:lang w:val="en-US" w:eastAsia="zh-CN"/>
              </w:rPr>
            </w:pPr>
            <w:r>
              <w:rPr>
                <w:rFonts w:hint="eastAsia"/>
                <w:sz w:val="24"/>
                <w:lang w:val="en-US" w:eastAsia="zh-CN"/>
              </w:rPr>
              <w:t>项目中空玻璃生产线合片段（包含打胶机）上方、丁基胶涂布机上方设置集气罩+软帘</w:t>
            </w:r>
            <w:r>
              <w:rPr>
                <w:rFonts w:hint="eastAsia" w:cs="宋体"/>
                <w:b w:val="0"/>
                <w:bCs w:val="0"/>
                <w:sz w:val="24"/>
                <w:szCs w:val="24"/>
                <w:lang w:val="en-US" w:eastAsia="zh-CN"/>
              </w:rPr>
              <w:t>，</w:t>
            </w:r>
            <w:r>
              <w:rPr>
                <w:rFonts w:hint="eastAsia"/>
                <w:sz w:val="24"/>
                <w:lang w:val="en-US" w:eastAsia="zh-CN"/>
              </w:rPr>
              <w:t>VOCs经收集系统收集后（收集系统风机风量18000 m</w:t>
            </w:r>
            <w:r>
              <w:rPr>
                <w:rFonts w:hint="eastAsia"/>
                <w:sz w:val="24"/>
                <w:vertAlign w:val="superscript"/>
                <w:lang w:val="en-US" w:eastAsia="zh-CN"/>
              </w:rPr>
              <w:t>3</w:t>
            </w:r>
            <w:r>
              <w:rPr>
                <w:rFonts w:hint="eastAsia"/>
                <w:sz w:val="24"/>
                <w:lang w:val="en-US" w:eastAsia="zh-CN"/>
              </w:rPr>
              <w:t>/h，收集效率为90%），经管道通入一套二级活性炭吸附设备（处理效率为90%）处理后由一根15m高排气筒（DA002）排放。处理后有组织排放量为0.8306t/a，0.173kg/h，9.61mg/m³；无组织排放量为0.9228t/a，0.1926kg/h。</w:t>
            </w:r>
          </w:p>
          <w:p>
            <w:pPr>
              <w:spacing w:line="360" w:lineRule="auto"/>
              <w:ind w:firstLine="482" w:firstLineChars="200"/>
              <w:rPr>
                <w:rFonts w:hint="eastAsia"/>
                <w:b/>
                <w:bCs/>
                <w:color w:val="auto"/>
                <w:sz w:val="24"/>
                <w:lang w:eastAsia="zh-CN"/>
              </w:rPr>
            </w:pPr>
            <w:r>
              <w:rPr>
                <w:rFonts w:hint="eastAsia"/>
                <w:b/>
                <w:bCs/>
                <w:color w:val="auto"/>
                <w:sz w:val="24"/>
                <w:lang w:eastAsia="zh-CN"/>
              </w:rPr>
              <w:t>风量核算：</w:t>
            </w:r>
          </w:p>
          <w:p>
            <w:pPr>
              <w:spacing w:line="360" w:lineRule="auto"/>
              <w:ind w:firstLine="480" w:firstLineChars="200"/>
              <w:rPr>
                <w:rFonts w:hint="eastAsia"/>
                <w:b w:val="0"/>
                <w:bCs w:val="0"/>
                <w:color w:val="auto"/>
                <w:sz w:val="24"/>
                <w:lang w:eastAsia="zh-CN"/>
              </w:rPr>
            </w:pPr>
            <w:r>
              <w:rPr>
                <w:rFonts w:hint="eastAsia"/>
                <w:b w:val="0"/>
                <w:bCs w:val="0"/>
                <w:color w:val="auto"/>
                <w:sz w:val="24"/>
                <w:lang w:eastAsia="zh-CN"/>
              </w:rPr>
              <w:t>根据《排风罩的分类及技术条件》(GB/T16758-2008) ，风量计算公示如下：</w:t>
            </w:r>
          </w:p>
          <w:p>
            <w:pPr>
              <w:spacing w:line="360" w:lineRule="auto"/>
              <w:ind w:firstLine="480" w:firstLineChars="200"/>
              <w:jc w:val="center"/>
              <w:rPr>
                <w:rFonts w:hint="default"/>
                <w:b w:val="0"/>
                <w:bCs w:val="0"/>
                <w:color w:val="auto"/>
                <w:sz w:val="24"/>
                <w:lang w:val="en-US" w:eastAsia="zh-CN"/>
              </w:rPr>
            </w:pPr>
            <w:r>
              <w:rPr>
                <w:rFonts w:hint="eastAsia"/>
                <w:b w:val="0"/>
                <w:bCs w:val="0"/>
                <w:color w:val="auto"/>
                <w:sz w:val="24"/>
                <w:lang w:eastAsia="zh-CN"/>
              </w:rPr>
              <w:t>Q=F</w:t>
            </w:r>
            <w:r>
              <w:rPr>
                <w:rFonts w:hint="eastAsia"/>
                <w:b w:val="0"/>
                <w:bCs w:val="0"/>
                <w:color w:val="auto"/>
                <w:sz w:val="24"/>
                <w:lang w:val="en-US" w:eastAsia="zh-CN"/>
              </w:rPr>
              <w:t>V</w:t>
            </w:r>
          </w:p>
          <w:p>
            <w:pPr>
              <w:spacing w:line="360" w:lineRule="auto"/>
              <w:ind w:firstLine="480" w:firstLineChars="200"/>
              <w:rPr>
                <w:rFonts w:hint="eastAsia"/>
                <w:b w:val="0"/>
                <w:bCs w:val="0"/>
                <w:color w:val="auto"/>
                <w:sz w:val="24"/>
                <w:vertAlign w:val="baseline"/>
                <w:lang w:eastAsia="zh-CN"/>
              </w:rPr>
            </w:pPr>
            <w:r>
              <w:rPr>
                <w:rFonts w:hint="eastAsia"/>
                <w:b w:val="0"/>
                <w:bCs w:val="0"/>
                <w:color w:val="auto"/>
                <w:sz w:val="24"/>
                <w:lang w:eastAsia="zh-CN"/>
              </w:rPr>
              <w:t>F一罩口面积， 单位m</w:t>
            </w:r>
            <w:r>
              <w:rPr>
                <w:rFonts w:hint="eastAsia"/>
                <w:b w:val="0"/>
                <w:bCs w:val="0"/>
                <w:color w:val="auto"/>
                <w:sz w:val="24"/>
                <w:vertAlign w:val="superscript"/>
                <w:lang w:eastAsia="zh-CN"/>
              </w:rPr>
              <w:t>2</w:t>
            </w:r>
            <w:r>
              <w:rPr>
                <w:rFonts w:hint="eastAsia"/>
                <w:b w:val="0"/>
                <w:bCs w:val="0"/>
                <w:color w:val="auto"/>
                <w:sz w:val="24"/>
                <w:lang w:eastAsia="zh-CN"/>
              </w:rPr>
              <w:t>；本项目单个集气罩罩口平均面积为</w:t>
            </w:r>
            <w:r>
              <w:rPr>
                <w:rFonts w:hint="eastAsia"/>
                <w:b w:val="0"/>
                <w:bCs w:val="0"/>
                <w:color w:val="auto"/>
                <w:sz w:val="24"/>
                <w:lang w:val="en-US" w:eastAsia="zh-CN"/>
              </w:rPr>
              <w:t>5</w:t>
            </w:r>
            <w:r>
              <w:rPr>
                <w:rFonts w:hint="eastAsia"/>
                <w:b w:val="0"/>
                <w:bCs w:val="0"/>
                <w:color w:val="auto"/>
                <w:sz w:val="24"/>
                <w:lang w:eastAsia="zh-CN"/>
              </w:rPr>
              <w:t>m</w:t>
            </w:r>
            <w:r>
              <w:rPr>
                <w:rFonts w:hint="eastAsia"/>
                <w:b w:val="0"/>
                <w:bCs w:val="0"/>
                <w:color w:val="auto"/>
                <w:sz w:val="24"/>
                <w:vertAlign w:val="superscript"/>
                <w:lang w:eastAsia="zh-CN"/>
              </w:rPr>
              <w:t>2</w:t>
            </w:r>
            <w:r>
              <w:rPr>
                <w:rFonts w:hint="eastAsia"/>
                <w:b w:val="0"/>
                <w:bCs w:val="0"/>
                <w:color w:val="auto"/>
                <w:sz w:val="24"/>
                <w:vertAlign w:val="baseline"/>
                <w:lang w:eastAsia="zh-CN"/>
              </w:rPr>
              <w:t>，</w:t>
            </w:r>
          </w:p>
          <w:p>
            <w:pPr>
              <w:spacing w:line="360" w:lineRule="auto"/>
              <w:ind w:firstLine="480" w:firstLineChars="200"/>
              <w:rPr>
                <w:rFonts w:hint="eastAsia"/>
                <w:b w:val="0"/>
                <w:bCs w:val="0"/>
                <w:color w:val="auto"/>
                <w:sz w:val="24"/>
                <w:lang w:eastAsia="zh-CN"/>
              </w:rPr>
            </w:pPr>
            <w:r>
              <w:rPr>
                <w:rFonts w:hint="eastAsia"/>
                <w:b w:val="0"/>
                <w:bCs w:val="0"/>
                <w:color w:val="auto"/>
                <w:sz w:val="24"/>
                <w:lang w:eastAsia="zh-CN"/>
              </w:rPr>
              <w:t>V一罩口平均风速，单位m/s；本项目罩口平均风速取</w:t>
            </w:r>
            <w:r>
              <w:rPr>
                <w:rFonts w:hint="eastAsia"/>
                <w:b w:val="0"/>
                <w:bCs w:val="0"/>
                <w:color w:val="auto"/>
                <w:sz w:val="24"/>
                <w:lang w:val="en-US" w:eastAsia="zh-CN"/>
              </w:rPr>
              <w:t>0.5</w:t>
            </w:r>
            <w:r>
              <w:rPr>
                <w:rFonts w:hint="eastAsia"/>
                <w:b w:val="0"/>
                <w:bCs w:val="0"/>
                <w:color w:val="auto"/>
                <w:sz w:val="24"/>
                <w:lang w:eastAsia="zh-CN"/>
              </w:rPr>
              <w:t>m/s。</w:t>
            </w:r>
          </w:p>
          <w:p>
            <w:pPr>
              <w:spacing w:line="360" w:lineRule="auto"/>
              <w:ind w:firstLine="480" w:firstLineChars="200"/>
              <w:rPr>
                <w:rFonts w:hint="eastAsia"/>
                <w:b w:val="0"/>
                <w:bCs w:val="0"/>
                <w:color w:val="auto"/>
                <w:sz w:val="24"/>
                <w:lang w:eastAsia="zh-CN"/>
              </w:rPr>
            </w:pPr>
            <w:r>
              <w:rPr>
                <w:rFonts w:hint="eastAsia"/>
                <w:b w:val="0"/>
                <w:bCs w:val="0"/>
                <w:color w:val="auto"/>
                <w:sz w:val="24"/>
                <w:lang w:eastAsia="zh-CN"/>
              </w:rPr>
              <w:t>根据上式计算，Q=</w:t>
            </w:r>
            <w:r>
              <w:rPr>
                <w:rFonts w:hint="eastAsia"/>
                <w:b w:val="0"/>
                <w:bCs w:val="0"/>
                <w:color w:val="auto"/>
                <w:sz w:val="24"/>
                <w:lang w:val="en-US" w:eastAsia="zh-CN"/>
              </w:rPr>
              <w:t>5</w:t>
            </w:r>
            <w:r>
              <w:rPr>
                <w:rFonts w:hint="eastAsia"/>
                <w:b w:val="0"/>
                <w:bCs w:val="0"/>
                <w:color w:val="auto"/>
                <w:sz w:val="24"/>
                <w:lang w:eastAsia="zh-CN"/>
              </w:rPr>
              <w:t>.0*</w:t>
            </w:r>
            <w:r>
              <w:rPr>
                <w:rFonts w:hint="eastAsia"/>
                <w:b w:val="0"/>
                <w:bCs w:val="0"/>
                <w:color w:val="auto"/>
                <w:sz w:val="24"/>
                <w:lang w:val="en-US" w:eastAsia="zh-CN"/>
              </w:rPr>
              <w:t>0.5</w:t>
            </w:r>
            <w:r>
              <w:rPr>
                <w:rFonts w:hint="eastAsia"/>
                <w:b w:val="0"/>
                <w:bCs w:val="0"/>
                <w:color w:val="auto"/>
                <w:sz w:val="24"/>
                <w:lang w:eastAsia="zh-CN"/>
              </w:rPr>
              <w:t>*60*60=</w:t>
            </w:r>
            <w:r>
              <w:rPr>
                <w:rFonts w:hint="eastAsia"/>
                <w:b w:val="0"/>
                <w:bCs w:val="0"/>
                <w:color w:val="auto"/>
                <w:sz w:val="24"/>
                <w:lang w:val="en-US" w:eastAsia="zh-CN"/>
              </w:rPr>
              <w:t>9000</w:t>
            </w:r>
            <w:r>
              <w:rPr>
                <w:rFonts w:hint="eastAsia"/>
                <w:b w:val="0"/>
                <w:bCs w:val="0"/>
                <w:color w:val="auto"/>
                <w:sz w:val="24"/>
                <w:lang w:eastAsia="zh-CN"/>
              </w:rPr>
              <w:t>m</w:t>
            </w:r>
            <w:r>
              <w:rPr>
                <w:rFonts w:hint="eastAsia"/>
                <w:b w:val="0"/>
                <w:bCs w:val="0"/>
                <w:color w:val="auto"/>
                <w:sz w:val="24"/>
                <w:vertAlign w:val="superscript"/>
                <w:lang w:val="en-US" w:eastAsia="zh-CN"/>
              </w:rPr>
              <w:t>3</w:t>
            </w:r>
            <w:r>
              <w:rPr>
                <w:rFonts w:hint="eastAsia"/>
                <w:b w:val="0"/>
                <w:bCs w:val="0"/>
                <w:color w:val="auto"/>
                <w:sz w:val="24"/>
                <w:lang w:eastAsia="zh-CN"/>
              </w:rPr>
              <w:t>/h。 因此，单个集气罩罩口集气风量为</w:t>
            </w:r>
            <w:r>
              <w:rPr>
                <w:rFonts w:hint="eastAsia"/>
                <w:b w:val="0"/>
                <w:bCs w:val="0"/>
                <w:color w:val="auto"/>
                <w:sz w:val="24"/>
                <w:lang w:val="en-US" w:eastAsia="zh-CN"/>
              </w:rPr>
              <w:t>9000</w:t>
            </w:r>
            <w:r>
              <w:rPr>
                <w:rFonts w:hint="eastAsia"/>
                <w:b w:val="0"/>
                <w:bCs w:val="0"/>
                <w:color w:val="auto"/>
                <w:sz w:val="24"/>
                <w:lang w:eastAsia="zh-CN"/>
              </w:rPr>
              <w:t>m</w:t>
            </w:r>
            <w:r>
              <w:rPr>
                <w:rFonts w:hint="eastAsia"/>
                <w:b w:val="0"/>
                <w:bCs w:val="0"/>
                <w:color w:val="auto"/>
                <w:sz w:val="24"/>
                <w:vertAlign w:val="superscript"/>
                <w:lang w:eastAsia="zh-CN"/>
              </w:rPr>
              <w:t>3</w:t>
            </w:r>
            <w:r>
              <w:rPr>
                <w:rFonts w:hint="eastAsia"/>
                <w:b w:val="0"/>
                <w:bCs w:val="0"/>
                <w:color w:val="auto"/>
                <w:sz w:val="24"/>
                <w:lang w:eastAsia="zh-CN"/>
              </w:rPr>
              <w:t>/h。</w:t>
            </w:r>
          </w:p>
          <w:p>
            <w:pPr>
              <w:spacing w:line="360" w:lineRule="auto"/>
              <w:ind w:firstLine="480" w:firstLineChars="200"/>
              <w:rPr>
                <w:rFonts w:hint="eastAsia" w:ascii="Times New Roman" w:hAnsi="Times New Roman" w:eastAsia="宋体" w:cs="宋体"/>
                <w:b/>
                <w:bCs/>
                <w:sz w:val="24"/>
                <w:szCs w:val="24"/>
                <w:lang w:val="en-US" w:eastAsia="zh-CN"/>
              </w:rPr>
            </w:pPr>
            <w:r>
              <w:rPr>
                <w:rFonts w:hint="eastAsia"/>
                <w:b w:val="0"/>
                <w:bCs w:val="0"/>
                <w:color w:val="auto"/>
                <w:sz w:val="24"/>
                <w:lang w:eastAsia="zh-CN"/>
              </w:rPr>
              <w:t>本项目设置两处施胶区域</w:t>
            </w:r>
            <w:r>
              <w:rPr>
                <w:rFonts w:hint="eastAsia"/>
                <w:b w:val="0"/>
                <w:bCs w:val="0"/>
                <w:color w:val="auto"/>
                <w:sz w:val="24"/>
                <w:lang w:val="en-US" w:eastAsia="zh-CN"/>
              </w:rPr>
              <w:t>，集气罩所需风量合计18000</w:t>
            </w:r>
            <w:r>
              <w:rPr>
                <w:color w:val="auto"/>
                <w:sz w:val="24"/>
              </w:rPr>
              <w:t>m</w:t>
            </w:r>
            <w:r>
              <w:rPr>
                <w:rFonts w:hint="eastAsia"/>
                <w:color w:val="auto"/>
                <w:sz w:val="24"/>
                <w:vertAlign w:val="superscript"/>
              </w:rPr>
              <w:t>3</w:t>
            </w:r>
            <w:r>
              <w:rPr>
                <w:color w:val="auto"/>
                <w:sz w:val="24"/>
              </w:rPr>
              <w:t>/h</w:t>
            </w:r>
            <w:r>
              <w:rPr>
                <w:rFonts w:hint="eastAsia"/>
                <w:b w:val="0"/>
                <w:bCs w:val="0"/>
                <w:color w:val="auto"/>
                <w:sz w:val="24"/>
                <w:lang w:val="en-US" w:eastAsia="zh-CN"/>
              </w:rPr>
              <w:t>，取</w:t>
            </w:r>
            <w:r>
              <w:rPr>
                <w:rFonts w:hint="eastAsia"/>
                <w:color w:val="auto"/>
                <w:sz w:val="24"/>
                <w:lang w:val="en-US" w:eastAsia="zh-CN"/>
              </w:rPr>
              <w:t>18000</w:t>
            </w:r>
            <w:r>
              <w:rPr>
                <w:color w:val="auto"/>
                <w:sz w:val="24"/>
              </w:rPr>
              <w:t>m</w:t>
            </w:r>
            <w:r>
              <w:rPr>
                <w:rFonts w:hint="eastAsia"/>
                <w:color w:val="auto"/>
                <w:sz w:val="24"/>
                <w:vertAlign w:val="superscript"/>
              </w:rPr>
              <w:t>3</w:t>
            </w:r>
            <w:r>
              <w:rPr>
                <w:color w:val="auto"/>
                <w:sz w:val="24"/>
              </w:rPr>
              <w:t>/h</w:t>
            </w:r>
            <w:r>
              <w:rPr>
                <w:rFonts w:hint="eastAsia"/>
                <w:color w:val="auto"/>
                <w:sz w:val="24"/>
                <w:lang w:eastAsia="zh-CN"/>
              </w:rPr>
              <w:t>。</w:t>
            </w:r>
          </w:p>
          <w:p>
            <w:pPr>
              <w:spacing w:line="360" w:lineRule="auto"/>
              <w:ind w:firstLine="482" w:firstLineChars="200"/>
              <w:rPr>
                <w:rFonts w:hint="eastAsia"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（2）废水治理措施</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项目湿法作业废水和玻璃清洗废水排入三级沉淀池（有效容积为</w:t>
            </w:r>
            <w:r>
              <w:rPr>
                <w:rFonts w:hint="eastAsia"/>
                <w:color w:val="000000" w:themeColor="text1"/>
                <w:sz w:val="24"/>
                <w:lang w:val="en-US" w:eastAsia="zh-CN"/>
                <w14:textFill>
                  <w14:solidFill>
                    <w14:schemeClr w14:val="tx1"/>
                  </w14:solidFill>
                </w14:textFill>
              </w:rPr>
              <w:t>40m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）沉淀后，循环使用。</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项目现有员工60人，其中20人在厂区内食堂用餐；</w:t>
            </w:r>
            <w:r>
              <w:rPr>
                <w:bCs/>
                <w:color w:val="000000" w:themeColor="text1"/>
                <w:sz w:val="24"/>
                <w:szCs w:val="24"/>
                <w14:textFill>
                  <w14:solidFill>
                    <w14:schemeClr w14:val="tx1"/>
                  </w14:solidFill>
                </w14:textFill>
              </w:rPr>
              <w:t>项目</w:t>
            </w:r>
            <w:r>
              <w:rPr>
                <w:rFonts w:hint="eastAsia"/>
                <w:bCs/>
                <w:color w:val="000000" w:themeColor="text1"/>
                <w:sz w:val="24"/>
                <w:szCs w:val="24"/>
                <w:lang w:eastAsia="zh-CN"/>
                <w14:textFill>
                  <w14:solidFill>
                    <w14:schemeClr w14:val="tx1"/>
                  </w14:solidFill>
                </w14:textFill>
              </w:rPr>
              <w:t>食堂废水经油水分离器隔油后，与生活污水一起</w:t>
            </w:r>
            <w:r>
              <w:rPr>
                <w:bCs/>
                <w:color w:val="000000" w:themeColor="text1"/>
                <w:sz w:val="24"/>
                <w:szCs w:val="24"/>
                <w14:textFill>
                  <w14:solidFill>
                    <w14:schemeClr w14:val="tx1"/>
                  </w14:solidFill>
                </w14:textFill>
              </w:rPr>
              <w:t>经</w:t>
            </w:r>
            <w:r>
              <w:rPr>
                <w:color w:val="000000" w:themeColor="text1"/>
                <w:sz w:val="24"/>
                <w:szCs w:val="24"/>
                <w14:textFill>
                  <w14:solidFill>
                    <w14:schemeClr w14:val="tx1"/>
                  </w14:solidFill>
                </w14:textFill>
              </w:rPr>
              <w:t>预处理池</w:t>
            </w:r>
            <w:r>
              <w:rPr>
                <w:bCs/>
                <w:color w:val="000000" w:themeColor="text1"/>
                <w:sz w:val="24"/>
                <w:szCs w:val="24"/>
                <w14:textFill>
                  <w14:solidFill>
                    <w14:schemeClr w14:val="tx1"/>
                  </w14:solidFill>
                </w14:textFill>
              </w:rPr>
              <w:t>处理达《污水综合排放标准》（GB8978-1996）三级标准后排入园区污水管网</w:t>
            </w:r>
            <w:r>
              <w:rPr>
                <w:rFonts w:hint="default" w:ascii="Times New Roman" w:hAnsi="Times New Roman" w:eastAsia="宋体" w:cs="Times New Roman"/>
                <w:color w:val="auto"/>
                <w:sz w:val="24"/>
                <w:lang w:val="en-US" w:eastAsia="zh-CN"/>
              </w:rPr>
              <w:t>。</w:t>
            </w:r>
          </w:p>
          <w:p>
            <w:pPr>
              <w:pStyle w:val="96"/>
              <w:tabs>
                <w:tab w:val="left" w:pos="1440"/>
                <w:tab w:val="left" w:pos="4368"/>
              </w:tabs>
              <w:rPr>
                <w:rFonts w:hint="eastAsia" w:ascii="Times New Roman" w:hAnsi="Times New Roman" w:eastAsia="宋体" w:cs="Times New Roman"/>
                <w:color w:val="auto"/>
                <w:lang w:eastAsia="zh-CN"/>
              </w:rPr>
            </w:pPr>
            <w:r>
              <w:rPr>
                <w:rFonts w:hint="default" w:ascii="Times New Roman" w:hAnsi="Times New Roman" w:cs="Times New Roman"/>
                <w:color w:val="auto"/>
              </w:rPr>
              <w:t>根据</w:t>
            </w:r>
            <w:r>
              <w:rPr>
                <w:rFonts w:hint="default" w:ascii="Times New Roman" w:hAnsi="Times New Roman" w:cs="Times New Roman"/>
                <w:color w:val="auto"/>
                <w:lang w:eastAsia="zh-CN"/>
              </w:rPr>
              <w:t>四川</w:t>
            </w:r>
            <w:r>
              <w:rPr>
                <w:rFonts w:hint="eastAsia" w:ascii="Times New Roman" w:hAnsi="Times New Roman" w:cs="Times New Roman"/>
                <w:color w:val="auto"/>
                <w:lang w:eastAsia="zh-CN"/>
              </w:rPr>
              <w:t>创标环境</w:t>
            </w:r>
            <w:r>
              <w:rPr>
                <w:rFonts w:hint="default" w:ascii="Times New Roman" w:hAnsi="Times New Roman" w:cs="Times New Roman"/>
                <w:color w:val="auto"/>
                <w:lang w:eastAsia="zh-CN"/>
              </w:rPr>
              <w:t>检测有限公司</w:t>
            </w:r>
            <w:r>
              <w:rPr>
                <w:rFonts w:hint="default" w:ascii="Times New Roman" w:hAnsi="Times New Roman" w:cs="Times New Roman"/>
                <w:color w:val="auto"/>
              </w:rPr>
              <w:t>出具的《四川宇光光学玻璃有限公司自行监测》（创标检字(2023)第W168-1号）监测报告监测结果可知，</w:t>
            </w:r>
            <w:r>
              <w:rPr>
                <w:rFonts w:hint="eastAsia" w:ascii="Times New Roman" w:hAnsi="Times New Roman" w:cs="Times New Roman"/>
                <w:color w:val="auto"/>
                <w:lang w:eastAsia="zh-CN"/>
              </w:rPr>
              <w:t>项目生活污水排放</w:t>
            </w:r>
            <w:r>
              <w:rPr>
                <w:rFonts w:hint="default" w:ascii="Times New Roman" w:hAnsi="Times New Roman" w:cs="Times New Roman"/>
                <w:color w:val="auto"/>
                <w:lang w:eastAsia="zh-CN"/>
              </w:rPr>
              <w:t>口</w:t>
            </w:r>
            <w:r>
              <w:rPr>
                <w:rFonts w:hint="eastAsia" w:ascii="Times New Roman" w:hAnsi="Times New Roman" w:cs="Times New Roman"/>
                <w:color w:val="auto"/>
                <w:lang w:eastAsia="zh-CN"/>
              </w:rPr>
              <w:t>各监测因子排放</w:t>
            </w:r>
            <w:r>
              <w:rPr>
                <w:rFonts w:hint="default" w:ascii="Times New Roman" w:hAnsi="Times New Roman" w:cs="Times New Roman"/>
                <w:color w:val="auto"/>
              </w:rPr>
              <w:t>达标。</w:t>
            </w:r>
            <w:r>
              <w:rPr>
                <w:rFonts w:hint="default" w:ascii="Times New Roman" w:hAnsi="Times New Roman" w:cs="Times New Roman"/>
                <w:color w:val="auto"/>
                <w:lang w:eastAsia="zh-CN"/>
              </w:rPr>
              <w:t>采样检测</w:t>
            </w:r>
            <w:r>
              <w:rPr>
                <w:rFonts w:hint="default" w:ascii="Times New Roman" w:hAnsi="Times New Roman" w:cs="Times New Roman"/>
                <w:color w:val="auto"/>
              </w:rPr>
              <w:t>时间：</w:t>
            </w:r>
            <w:r>
              <w:rPr>
                <w:rFonts w:hint="default" w:ascii="Times New Roman" w:hAnsi="Times New Roman" w:cs="Times New Roman"/>
                <w:color w:val="auto"/>
                <w:lang w:val="en-US" w:eastAsia="zh-CN"/>
              </w:rPr>
              <w:t>2023</w:t>
            </w:r>
            <w:r>
              <w:rPr>
                <w:rFonts w:hint="default" w:ascii="Times New Roman" w:hAnsi="Times New Roman" w:cs="Times New Roman"/>
                <w:color w:val="auto"/>
              </w:rPr>
              <w:t>年</w:t>
            </w:r>
            <w:r>
              <w:rPr>
                <w:rFonts w:hint="default" w:ascii="Times New Roman" w:hAnsi="Times New Roman" w:cs="Times New Roman"/>
                <w:color w:val="auto"/>
                <w:lang w:val="en-US" w:eastAsia="zh-CN"/>
              </w:rPr>
              <w:t>06</w:t>
            </w:r>
            <w:r>
              <w:rPr>
                <w:rFonts w:hint="default" w:ascii="Times New Roman" w:hAnsi="Times New Roman" w:cs="Times New Roman"/>
                <w:color w:val="auto"/>
              </w:rPr>
              <w:t>月</w:t>
            </w:r>
            <w:r>
              <w:rPr>
                <w:rFonts w:hint="default" w:ascii="Times New Roman" w:hAnsi="Times New Roman" w:cs="Times New Roman"/>
                <w:color w:val="auto"/>
                <w:lang w:val="en-US" w:eastAsia="zh-CN"/>
              </w:rPr>
              <w:t>08日</w:t>
            </w:r>
            <w:r>
              <w:rPr>
                <w:rFonts w:hint="default" w:ascii="Times New Roman" w:hAnsi="Times New Roman" w:cs="Times New Roman"/>
                <w:color w:val="auto"/>
              </w:rPr>
              <w:t>；监测点位：</w:t>
            </w:r>
            <w:r>
              <w:rPr>
                <w:rFonts w:hint="eastAsia" w:ascii="Times New Roman" w:hAnsi="Times New Roman" w:cs="Times New Roman"/>
                <w:color w:val="auto"/>
                <w:lang w:eastAsia="zh-CN"/>
              </w:rPr>
              <w:t>生活污水排放</w:t>
            </w:r>
            <w:r>
              <w:rPr>
                <w:rFonts w:hint="default" w:ascii="Times New Roman" w:hAnsi="Times New Roman" w:cs="Times New Roman"/>
                <w:color w:val="auto"/>
                <w:lang w:eastAsia="zh-CN"/>
              </w:rPr>
              <w:t>口</w:t>
            </w:r>
            <w:r>
              <w:rPr>
                <w:rFonts w:hint="default" w:ascii="Times New Roman" w:hAnsi="Times New Roman" w:cs="Times New Roman"/>
                <w:color w:val="auto"/>
              </w:rPr>
              <w:t>；监测频率：监测</w:t>
            </w:r>
            <w:r>
              <w:rPr>
                <w:rFonts w:hint="default" w:ascii="Times New Roman" w:hAnsi="Times New Roman" w:cs="Times New Roman"/>
                <w:color w:val="auto"/>
                <w:lang w:val="en-US" w:eastAsia="zh-CN"/>
              </w:rPr>
              <w:t>1</w:t>
            </w:r>
            <w:r>
              <w:rPr>
                <w:rFonts w:hint="default" w:ascii="Times New Roman" w:hAnsi="Times New Roman" w:cs="Times New Roman"/>
                <w:color w:val="auto"/>
              </w:rPr>
              <w:t>天，共监测</w:t>
            </w:r>
            <w:r>
              <w:rPr>
                <w:rFonts w:hint="default" w:ascii="Times New Roman" w:hAnsi="Times New Roman" w:cs="Times New Roman"/>
                <w:color w:val="auto"/>
                <w:lang w:val="en-US" w:eastAsia="zh-CN"/>
              </w:rPr>
              <w:t>3</w:t>
            </w:r>
            <w:r>
              <w:rPr>
                <w:rFonts w:hint="default" w:ascii="Times New Roman" w:hAnsi="Times New Roman" w:cs="Times New Roman"/>
                <w:color w:val="auto"/>
              </w:rPr>
              <w:t>次。结果如下</w:t>
            </w:r>
            <w:r>
              <w:rPr>
                <w:rFonts w:hint="eastAsia" w:ascii="Times New Roman" w:hAnsi="Times New Roman" w:cs="Times New Roman"/>
                <w:color w:val="auto"/>
                <w:lang w:eastAsia="zh-CN"/>
              </w:rPr>
              <w:t>：</w:t>
            </w:r>
          </w:p>
          <w:p>
            <w:pPr>
              <w:pStyle w:val="96"/>
              <w:keepNext w:val="0"/>
              <w:keepLines w:val="0"/>
              <w:pageBreakBefore w:val="0"/>
              <w:widowControl w:val="0"/>
              <w:tabs>
                <w:tab w:val="left" w:pos="1440"/>
                <w:tab w:val="left" w:pos="4368"/>
              </w:tabs>
              <w:kinsoku/>
              <w:wordWrap/>
              <w:overflowPunct/>
              <w:topLinePunct w:val="0"/>
              <w:autoSpaceDE/>
              <w:autoSpaceDN/>
              <w:bidi w:val="0"/>
              <w:adjustRightInd/>
              <w:snapToGrid/>
              <w:spacing w:line="240" w:lineRule="auto"/>
              <w:ind w:firstLine="493"/>
              <w:jc w:val="center"/>
              <w:textAlignment w:val="auto"/>
              <w:rPr>
                <w:rFonts w:hint="eastAsia"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表2-1</w:t>
            </w:r>
            <w:r>
              <w:rPr>
                <w:rFonts w:hint="eastAsia" w:ascii="Times New Roman" w:hAnsi="Times New Roman" w:cs="Times New Roman"/>
                <w:b/>
                <w:bCs/>
                <w:color w:val="auto"/>
                <w:sz w:val="21"/>
                <w:szCs w:val="21"/>
                <w:lang w:val="en-US" w:eastAsia="zh-CN"/>
              </w:rPr>
              <w:t>3  废水监测结果及评价结果</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24"/>
              <w:gridCol w:w="1047"/>
              <w:gridCol w:w="565"/>
              <w:gridCol w:w="753"/>
              <w:gridCol w:w="806"/>
              <w:gridCol w:w="893"/>
              <w:gridCol w:w="956"/>
              <w:gridCol w:w="1177"/>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848"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33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w:t>
                  </w:r>
                </w:p>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日期</w:t>
                  </w:r>
                </w:p>
              </w:tc>
              <w:tc>
                <w:tcPr>
                  <w:tcW w:w="3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监测点编号</w:t>
                  </w:r>
                </w:p>
              </w:tc>
              <w:tc>
                <w:tcPr>
                  <w:tcW w:w="1614" w:type="pct"/>
                  <w:gridSpan w:val="3"/>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监测结果</w:t>
                  </w:r>
                </w:p>
              </w:tc>
              <w:tc>
                <w:tcPr>
                  <w:tcW w:w="62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单位</w:t>
                  </w:r>
                </w:p>
              </w:tc>
              <w:tc>
                <w:tcPr>
                  <w:tcW w:w="75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c>
                <w:tcPr>
                  <w:tcW w:w="43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rPr>
                  </w:pPr>
                </w:p>
              </w:tc>
              <w:tc>
                <w:tcPr>
                  <w:tcW w:w="3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c>
                <w:tcPr>
                  <w:tcW w:w="3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lang w:val="en-US" w:eastAsia="zh-CN"/>
                    </w:rPr>
                  </w:pP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一次</w:t>
                  </w:r>
                </w:p>
              </w:tc>
              <w:tc>
                <w:tcPr>
                  <w:tcW w:w="531"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二次</w:t>
                  </w:r>
                </w:p>
              </w:tc>
              <w:tc>
                <w:tcPr>
                  <w:tcW w:w="58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三次</w:t>
                  </w:r>
                </w:p>
              </w:tc>
              <w:tc>
                <w:tcPr>
                  <w:tcW w:w="6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sz w:val="21"/>
                      <w:szCs w:val="21"/>
                    </w:rPr>
                  </w:pPr>
                </w:p>
              </w:tc>
              <w:tc>
                <w:tcPr>
                  <w:tcW w:w="75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sz w:val="21"/>
                      <w:szCs w:val="21"/>
                    </w:rPr>
                  </w:pP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848"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pH</w:t>
                  </w:r>
                </w:p>
              </w:tc>
              <w:tc>
                <w:tcPr>
                  <w:tcW w:w="3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2023.06.08</w:t>
                  </w:r>
                </w:p>
              </w:tc>
              <w:tc>
                <w:tcPr>
                  <w:tcW w:w="3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生活污水排放口</w:t>
                  </w: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7.84</w:t>
                  </w:r>
                </w:p>
              </w:tc>
              <w:tc>
                <w:tcPr>
                  <w:tcW w:w="531"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7.90</w:t>
                  </w:r>
                </w:p>
              </w:tc>
              <w:tc>
                <w:tcPr>
                  <w:tcW w:w="58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7.98</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无量纲</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6-9</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848"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化学需氧量</w:t>
                  </w:r>
                </w:p>
              </w:tc>
              <w:tc>
                <w:tcPr>
                  <w:tcW w:w="3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eastAsia" w:ascii="Times New Roman" w:hAnsi="Times New Roman" w:cs="Times New Roman"/>
                      <w:color w:val="auto"/>
                      <w:kern w:val="2"/>
                      <w:sz w:val="21"/>
                      <w:szCs w:val="21"/>
                      <w:lang w:val="en-US" w:eastAsia="zh-CN" w:bidi="ar-SA"/>
                    </w:rPr>
                  </w:pPr>
                </w:p>
              </w:tc>
              <w:tc>
                <w:tcPr>
                  <w:tcW w:w="3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kern w:val="2"/>
                      <w:sz w:val="21"/>
                      <w:szCs w:val="21"/>
                      <w:lang w:val="en-US" w:eastAsia="zh-CN" w:bidi="ar-SA"/>
                    </w:rPr>
                  </w:pP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w:t>
                  </w:r>
                </w:p>
              </w:tc>
              <w:tc>
                <w:tcPr>
                  <w:tcW w:w="531"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c>
                <w:tcPr>
                  <w:tcW w:w="58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848"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氨氮</w:t>
                  </w:r>
                </w:p>
              </w:tc>
              <w:tc>
                <w:tcPr>
                  <w:tcW w:w="3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kern w:val="2"/>
                      <w:sz w:val="21"/>
                      <w:szCs w:val="21"/>
                      <w:lang w:val="en-US" w:eastAsia="zh-CN" w:bidi="ar-SA"/>
                    </w:rPr>
                  </w:pPr>
                </w:p>
              </w:tc>
              <w:tc>
                <w:tcPr>
                  <w:tcW w:w="3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kern w:val="2"/>
                      <w:sz w:val="21"/>
                      <w:szCs w:val="21"/>
                      <w:lang w:val="en-US" w:eastAsia="zh-CN" w:bidi="ar-SA"/>
                    </w:rPr>
                  </w:pP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4.03</w:t>
                  </w:r>
                </w:p>
              </w:tc>
              <w:tc>
                <w:tcPr>
                  <w:tcW w:w="531"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3.80</w:t>
                  </w:r>
                </w:p>
              </w:tc>
              <w:tc>
                <w:tcPr>
                  <w:tcW w:w="58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3.50</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848"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悬浮物</w:t>
                  </w:r>
                </w:p>
              </w:tc>
              <w:tc>
                <w:tcPr>
                  <w:tcW w:w="3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p>
              </w:tc>
              <w:tc>
                <w:tcPr>
                  <w:tcW w:w="3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cs="Times New Roman"/>
                      <w:color w:val="auto"/>
                      <w:kern w:val="2"/>
                      <w:sz w:val="21"/>
                      <w:szCs w:val="21"/>
                      <w:lang w:val="en-US" w:eastAsia="zh-CN" w:bidi="ar-SA"/>
                    </w:rPr>
                  </w:pPr>
                </w:p>
              </w:tc>
              <w:tc>
                <w:tcPr>
                  <w:tcW w:w="499"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w:t>
                  </w:r>
                </w:p>
              </w:tc>
              <w:tc>
                <w:tcPr>
                  <w:tcW w:w="531"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w:t>
                  </w:r>
                </w:p>
              </w:tc>
              <w:tc>
                <w:tcPr>
                  <w:tcW w:w="58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r>
          </w:tbl>
          <w:p>
            <w:pPr>
              <w:pStyle w:val="96"/>
              <w:keepNext w:val="0"/>
              <w:keepLines w:val="0"/>
              <w:pageBreakBefore w:val="0"/>
              <w:widowControl w:val="0"/>
              <w:tabs>
                <w:tab w:val="left" w:pos="1440"/>
                <w:tab w:val="left" w:pos="4368"/>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color w:val="auto"/>
                <w:sz w:val="24"/>
              </w:rPr>
            </w:pPr>
            <w:r>
              <w:rPr>
                <w:rFonts w:hint="eastAsia"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项目排水实施雨污分流，</w:t>
            </w:r>
            <w:r>
              <w:rPr>
                <w:rFonts w:hint="default" w:ascii="Times New Roman" w:hAnsi="Times New Roman" w:cs="Times New Roman"/>
                <w:color w:val="auto"/>
                <w:highlight w:val="none"/>
                <w:lang w:val="en-US" w:eastAsia="zh-CN"/>
              </w:rPr>
              <w:t>生活污水排放口</w:t>
            </w:r>
            <w:r>
              <w:rPr>
                <w:rFonts w:hint="default" w:ascii="Times New Roman" w:hAnsi="Times New Roman" w:cs="Times New Roman"/>
                <w:color w:val="auto"/>
                <w:highlight w:val="none"/>
              </w:rPr>
              <w:t>所测指标</w:t>
            </w:r>
            <w:r>
              <w:rPr>
                <w:rFonts w:hint="default" w:ascii="Times New Roman" w:hAnsi="Times New Roman" w:cs="Times New Roman"/>
                <w:color w:val="auto"/>
                <w:highlight w:val="none"/>
                <w:lang w:eastAsia="zh-CN"/>
              </w:rPr>
              <w:t>均能满足《污水综合排放标准》(GB8978-1996)表4中三级标准</w:t>
            </w:r>
            <w:r>
              <w:rPr>
                <w:rFonts w:hint="default" w:ascii="Times New Roman" w:hAnsi="Times New Roman" w:cs="Times New Roman"/>
                <w:color w:val="auto"/>
                <w:highlight w:val="none"/>
                <w:lang w:val="en-US" w:eastAsia="zh-CN"/>
              </w:rPr>
              <w:t>要求</w:t>
            </w:r>
            <w:r>
              <w:rPr>
                <w:rFonts w:hint="eastAsia" w:ascii="Times New Roman" w:hAnsi="Times New Roman" w:cs="Times New Roman"/>
                <w:color w:val="auto"/>
                <w:highlight w:val="none"/>
                <w:lang w:val="en-US" w:eastAsia="zh-CN"/>
              </w:rPr>
              <w:t>；氨氮满足《污水排入城镇下水道水质标准》（GB T 31962-2015）中B级标准要求</w:t>
            </w:r>
            <w:r>
              <w:rPr>
                <w:rFonts w:hint="default" w:ascii="Times New Roman" w:hAnsi="Times New Roman" w:cs="Times New Roman"/>
                <w:color w:val="auto"/>
                <w:highlight w:val="none"/>
                <w:lang w:val="ru-RU" w:eastAsia="zh-CN"/>
              </w:rPr>
              <w:t>。</w:t>
            </w:r>
          </w:p>
          <w:p>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存在问题及整改措施：</w:t>
            </w:r>
            <w:r>
              <w:rPr>
                <w:rFonts w:hint="default" w:ascii="Times New Roman" w:hAnsi="Times New Roman" w:cs="Times New Roman"/>
                <w:bCs/>
                <w:color w:val="auto"/>
                <w:sz w:val="24"/>
              </w:rPr>
              <w:t>无</w:t>
            </w:r>
          </w:p>
          <w:p>
            <w:pPr>
              <w:spacing w:line="360" w:lineRule="auto"/>
              <w:ind w:firstLine="482" w:firstLineChars="200"/>
              <w:rPr>
                <w:rFonts w:hint="eastAsia"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（3）噪声治理措施</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7"/>
              <w:textAlignment w:val="auto"/>
              <w:rPr>
                <w:rFonts w:hint="default" w:ascii="Calibri" w:hAnsi="Calibri" w:eastAsia="宋体" w:cs="宋体"/>
                <w:color w:val="auto"/>
                <w:sz w:val="24"/>
                <w:lang w:val="en-US" w:eastAsia="zh-CN"/>
              </w:rPr>
            </w:pPr>
            <w:r>
              <w:rPr>
                <w:rFonts w:hint="default" w:ascii="Times New Roman" w:hAnsi="Times New Roman" w:eastAsia="宋体" w:cs="Times New Roman"/>
                <w:bCs/>
                <w:color w:val="auto"/>
                <w:sz w:val="24"/>
              </w:rPr>
              <w:t>现有项目营运期噪声主要为设备噪声。主要噪声源有空压机等生产设备。项目生产工序均布置在车间内，在车间内合理布设机械设备位置，采取隔声、设备减振、吸声等治理措施。</w:t>
            </w:r>
          </w:p>
          <w:p>
            <w:pPr>
              <w:spacing w:line="360" w:lineRule="auto"/>
              <w:ind w:firstLine="480" w:firstLineChars="200"/>
              <w:rPr>
                <w:rFonts w:cs="Times New Roman"/>
                <w:color w:val="auto"/>
                <w:sz w:val="24"/>
                <w:szCs w:val="24"/>
              </w:rPr>
            </w:pPr>
            <w:r>
              <w:rPr>
                <w:rFonts w:hint="eastAsia" w:cs="Times New Roman"/>
                <w:color w:val="auto"/>
                <w:sz w:val="24"/>
                <w:szCs w:val="24"/>
              </w:rPr>
              <w:t>根据四川锡水金山环保科技有限公司出具的锡环检字(2023)第0608501号监测报告监测结果可知，项目厂界范围内噪声监测值达标。监测时间：2023年6月4日-6月5日；监测点位：项目南西北东侧厂界外1m处；监测频率：监测1天，昼夜间各一次。结果如下：</w:t>
            </w:r>
          </w:p>
          <w:p>
            <w:pPr>
              <w:spacing w:line="240" w:lineRule="auto"/>
              <w:jc w:val="center"/>
              <w:rPr>
                <w:rFonts w:hint="eastAsia"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表</w:t>
            </w:r>
            <w:r>
              <w:rPr>
                <w:rFonts w:hint="eastAsia" w:ascii="Times New Roman" w:hAnsi="Times New Roman" w:cs="Times New Roman"/>
                <w:b/>
                <w:bCs/>
                <w:color w:val="000000"/>
                <w:kern w:val="2"/>
                <w:sz w:val="21"/>
                <w:szCs w:val="21"/>
                <w:lang w:val="en-US" w:eastAsia="zh-CN"/>
              </w:rPr>
              <w:t>2-1</w:t>
            </w:r>
            <w:r>
              <w:rPr>
                <w:rFonts w:hint="eastAsia" w:cs="Times New Roman"/>
                <w:b/>
                <w:bCs/>
                <w:color w:val="000000"/>
                <w:kern w:val="2"/>
                <w:sz w:val="21"/>
                <w:szCs w:val="21"/>
                <w:lang w:val="en-US" w:eastAsia="zh-CN"/>
              </w:rPr>
              <w:t>4</w:t>
            </w:r>
            <w:r>
              <w:rPr>
                <w:rFonts w:hint="default" w:ascii="Times New Roman" w:hAnsi="Times New Roman" w:eastAsia="宋体" w:cs="Times New Roman"/>
                <w:b/>
                <w:bCs/>
                <w:color w:val="000000"/>
                <w:kern w:val="2"/>
                <w:sz w:val="21"/>
                <w:szCs w:val="21"/>
                <w:lang w:val="en-US" w:eastAsia="zh-CN"/>
              </w:rPr>
              <w:t xml:space="preserve">  </w:t>
            </w:r>
            <w:r>
              <w:rPr>
                <w:rFonts w:hint="default" w:ascii="Times New Roman" w:hAnsi="Times New Roman" w:cs="Times New Roman"/>
                <w:b/>
                <w:color w:val="auto"/>
                <w:szCs w:val="28"/>
              </w:rPr>
              <w:t>厂界噪声检测结果一览表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1"/>
              <w:gridCol w:w="1783"/>
              <w:gridCol w:w="688"/>
              <w:gridCol w:w="688"/>
              <w:gridCol w:w="884"/>
              <w:gridCol w:w="630"/>
              <w:gridCol w:w="625"/>
              <w:gridCol w:w="779"/>
              <w:gridCol w:w="643"/>
              <w:gridCol w:w="8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vMerge w:val="restart"/>
                  <w:tcBorders>
                    <w:tl2br w:val="nil"/>
                    <w:tr2bl w:val="nil"/>
                  </w:tcBorders>
                  <w:vAlign w:val="center"/>
                </w:tcPr>
                <w:p>
                  <w:pPr>
                    <w:jc w:val="center"/>
                    <w:rPr>
                      <w:rFonts w:cstheme="minorHAnsi"/>
                      <w:b/>
                      <w:bCs/>
                      <w:color w:val="auto"/>
                      <w:szCs w:val="21"/>
                    </w:rPr>
                  </w:pPr>
                  <w:r>
                    <w:rPr>
                      <w:rFonts w:cstheme="minorHAnsi"/>
                      <w:b/>
                      <w:bCs/>
                      <w:color w:val="auto"/>
                      <w:szCs w:val="21"/>
                    </w:rPr>
                    <w:t>编号</w:t>
                  </w:r>
                </w:p>
              </w:tc>
              <w:tc>
                <w:tcPr>
                  <w:tcW w:w="1089" w:type="pct"/>
                  <w:vMerge w:val="restart"/>
                  <w:tcBorders>
                    <w:tl2br w:val="nil"/>
                    <w:tr2bl w:val="nil"/>
                  </w:tcBorders>
                  <w:vAlign w:val="center"/>
                </w:tcPr>
                <w:p>
                  <w:pPr>
                    <w:jc w:val="center"/>
                    <w:rPr>
                      <w:rFonts w:cstheme="minorHAnsi"/>
                      <w:b/>
                      <w:bCs/>
                      <w:color w:val="auto"/>
                      <w:szCs w:val="21"/>
                    </w:rPr>
                  </w:pPr>
                  <w:r>
                    <w:rPr>
                      <w:rFonts w:hint="eastAsia" w:cstheme="minorHAnsi"/>
                      <w:b/>
                      <w:bCs/>
                      <w:color w:val="auto"/>
                      <w:szCs w:val="21"/>
                    </w:rPr>
                    <w:t>监测点位</w:t>
                  </w:r>
                </w:p>
              </w:tc>
              <w:tc>
                <w:tcPr>
                  <w:tcW w:w="2623" w:type="pct"/>
                  <w:gridSpan w:val="6"/>
                  <w:tcBorders>
                    <w:tl2br w:val="nil"/>
                    <w:tr2bl w:val="nil"/>
                  </w:tcBorders>
                  <w:vAlign w:val="center"/>
                </w:tcPr>
                <w:p>
                  <w:pPr>
                    <w:jc w:val="center"/>
                    <w:rPr>
                      <w:rFonts w:cstheme="minorHAnsi"/>
                      <w:b/>
                      <w:bCs/>
                      <w:color w:val="auto"/>
                      <w:szCs w:val="21"/>
                    </w:rPr>
                  </w:pPr>
                  <w:r>
                    <w:rPr>
                      <w:rFonts w:hint="eastAsia" w:cstheme="minorHAnsi"/>
                      <w:b/>
                      <w:bCs/>
                      <w:color w:val="auto"/>
                      <w:szCs w:val="21"/>
                    </w:rPr>
                    <w:t>评价结果</w:t>
                  </w:r>
                  <w:r>
                    <w:rPr>
                      <w:rFonts w:cstheme="minorHAnsi"/>
                      <w:b/>
                      <w:bCs/>
                      <w:color w:val="auto"/>
                      <w:szCs w:val="21"/>
                    </w:rPr>
                    <w:t>[dB（A）]</w:t>
                  </w:r>
                </w:p>
              </w:tc>
              <w:tc>
                <w:tcPr>
                  <w:tcW w:w="881" w:type="pct"/>
                  <w:gridSpan w:val="2"/>
                  <w:vMerge w:val="restart"/>
                  <w:tcBorders>
                    <w:tl2br w:val="nil"/>
                    <w:tr2bl w:val="nil"/>
                  </w:tcBorders>
                  <w:vAlign w:val="center"/>
                </w:tcPr>
                <w:p>
                  <w:pPr>
                    <w:jc w:val="center"/>
                    <w:rPr>
                      <w:rFonts w:cstheme="minorHAnsi"/>
                      <w:b/>
                      <w:bCs/>
                      <w:color w:val="auto"/>
                      <w:szCs w:val="21"/>
                    </w:rPr>
                  </w:pPr>
                  <w:r>
                    <w:rPr>
                      <w:rFonts w:cstheme="minorHAnsi"/>
                      <w:b/>
                      <w:bCs/>
                      <w:color w:val="auto"/>
                      <w:szCs w:val="21"/>
                    </w:rPr>
                    <w:t>标准限值[dB（A）]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vMerge w:val="continue"/>
                  <w:tcBorders>
                    <w:tl2br w:val="nil"/>
                    <w:tr2bl w:val="nil"/>
                  </w:tcBorders>
                  <w:vAlign w:val="center"/>
                </w:tcPr>
                <w:p>
                  <w:pPr>
                    <w:jc w:val="center"/>
                    <w:rPr>
                      <w:b/>
                      <w:bCs/>
                    </w:rPr>
                  </w:pPr>
                </w:p>
              </w:tc>
              <w:tc>
                <w:tcPr>
                  <w:tcW w:w="1089" w:type="pct"/>
                  <w:vMerge w:val="continue"/>
                  <w:tcBorders>
                    <w:tl2br w:val="nil"/>
                    <w:tr2bl w:val="nil"/>
                  </w:tcBorders>
                  <w:vAlign w:val="center"/>
                </w:tcPr>
                <w:p>
                  <w:pPr>
                    <w:jc w:val="center"/>
                    <w:rPr>
                      <w:b/>
                      <w:bCs/>
                    </w:rPr>
                  </w:pPr>
                </w:p>
              </w:tc>
              <w:tc>
                <w:tcPr>
                  <w:tcW w:w="420" w:type="pct"/>
                  <w:tcBorders>
                    <w:tl2br w:val="nil"/>
                    <w:tr2bl w:val="nil"/>
                  </w:tcBorders>
                  <w:vAlign w:val="center"/>
                </w:tcPr>
                <w:p>
                  <w:pPr>
                    <w:jc w:val="center"/>
                    <w:rPr>
                      <w:rFonts w:hint="default" w:eastAsia="宋体" w:cstheme="minorHAnsi"/>
                      <w:b/>
                      <w:bCs/>
                      <w:color w:val="auto"/>
                      <w:szCs w:val="21"/>
                      <w:lang w:val="en-US" w:eastAsia="zh-CN"/>
                    </w:rPr>
                  </w:pPr>
                  <w:r>
                    <w:rPr>
                      <w:rFonts w:hint="eastAsia" w:cstheme="minorHAnsi"/>
                      <w:b/>
                      <w:bCs/>
                      <w:color w:val="auto"/>
                      <w:szCs w:val="21"/>
                      <w:lang w:val="en-US" w:eastAsia="zh-CN"/>
                    </w:rPr>
                    <w:t>6.4</w:t>
                  </w:r>
                </w:p>
              </w:tc>
              <w:tc>
                <w:tcPr>
                  <w:tcW w:w="420" w:type="pct"/>
                  <w:tcBorders>
                    <w:tl2br w:val="nil"/>
                    <w:tr2bl w:val="nil"/>
                  </w:tcBorders>
                  <w:vAlign w:val="center"/>
                </w:tcPr>
                <w:p>
                  <w:pPr>
                    <w:jc w:val="center"/>
                    <w:rPr>
                      <w:rFonts w:hint="default" w:eastAsia="宋体" w:cstheme="minorHAnsi"/>
                      <w:b/>
                      <w:bCs/>
                      <w:color w:val="auto"/>
                      <w:szCs w:val="21"/>
                      <w:lang w:val="en-US" w:eastAsia="zh-CN"/>
                    </w:rPr>
                  </w:pPr>
                  <w:r>
                    <w:rPr>
                      <w:rFonts w:hint="eastAsia" w:cstheme="minorHAnsi"/>
                      <w:b/>
                      <w:bCs/>
                      <w:color w:val="auto"/>
                      <w:szCs w:val="21"/>
                      <w:lang w:val="en-US" w:eastAsia="zh-CN"/>
                    </w:rPr>
                    <w:t>6.5</w:t>
                  </w:r>
                </w:p>
              </w:tc>
              <w:tc>
                <w:tcPr>
                  <w:tcW w:w="540" w:type="pct"/>
                  <w:vMerge w:val="restart"/>
                  <w:tcBorders>
                    <w:tl2br w:val="nil"/>
                    <w:tr2bl w:val="nil"/>
                  </w:tcBorders>
                  <w:vAlign w:val="center"/>
                </w:tcPr>
                <w:p>
                  <w:pPr>
                    <w:jc w:val="center"/>
                    <w:rPr>
                      <w:rFonts w:cstheme="minorHAnsi"/>
                      <w:b/>
                      <w:bCs/>
                      <w:color w:val="auto"/>
                      <w:szCs w:val="21"/>
                    </w:rPr>
                  </w:pPr>
                  <w:r>
                    <w:rPr>
                      <w:rFonts w:cstheme="minorHAnsi"/>
                      <w:b/>
                      <w:bCs/>
                      <w:color w:val="auto"/>
                      <w:szCs w:val="21"/>
                    </w:rPr>
                    <w:t>结果</w:t>
                  </w:r>
                </w:p>
              </w:tc>
              <w:tc>
                <w:tcPr>
                  <w:tcW w:w="385" w:type="pct"/>
                  <w:tcBorders>
                    <w:tl2br w:val="nil"/>
                    <w:tr2bl w:val="nil"/>
                  </w:tcBorders>
                  <w:vAlign w:val="center"/>
                </w:tcPr>
                <w:p>
                  <w:pPr>
                    <w:jc w:val="center"/>
                    <w:rPr>
                      <w:rFonts w:hint="eastAsia" w:cstheme="minorHAnsi"/>
                      <w:b/>
                      <w:bCs/>
                      <w:color w:val="auto"/>
                      <w:szCs w:val="21"/>
                    </w:rPr>
                  </w:pPr>
                  <w:r>
                    <w:rPr>
                      <w:rFonts w:hint="eastAsia" w:cstheme="minorHAnsi"/>
                      <w:b/>
                      <w:bCs/>
                      <w:color w:val="auto"/>
                      <w:szCs w:val="21"/>
                      <w:lang w:val="en-US" w:eastAsia="zh-CN"/>
                    </w:rPr>
                    <w:t>6.4</w:t>
                  </w:r>
                </w:p>
              </w:tc>
              <w:tc>
                <w:tcPr>
                  <w:tcW w:w="382" w:type="pct"/>
                  <w:tcBorders>
                    <w:tl2br w:val="nil"/>
                    <w:tr2bl w:val="nil"/>
                  </w:tcBorders>
                  <w:vAlign w:val="center"/>
                </w:tcPr>
                <w:p>
                  <w:pPr>
                    <w:jc w:val="center"/>
                    <w:rPr>
                      <w:rFonts w:hint="eastAsia" w:cstheme="minorHAnsi"/>
                      <w:b/>
                      <w:bCs/>
                      <w:color w:val="auto"/>
                      <w:szCs w:val="21"/>
                    </w:rPr>
                  </w:pPr>
                  <w:r>
                    <w:rPr>
                      <w:rFonts w:hint="eastAsia" w:cstheme="minorHAnsi"/>
                      <w:b/>
                      <w:bCs/>
                      <w:color w:val="auto"/>
                      <w:szCs w:val="21"/>
                      <w:lang w:val="en-US" w:eastAsia="zh-CN"/>
                    </w:rPr>
                    <w:t>6.5</w:t>
                  </w:r>
                </w:p>
              </w:tc>
              <w:tc>
                <w:tcPr>
                  <w:tcW w:w="476" w:type="pct"/>
                  <w:vMerge w:val="restart"/>
                  <w:tcBorders>
                    <w:tl2br w:val="nil"/>
                    <w:tr2bl w:val="nil"/>
                  </w:tcBorders>
                  <w:vAlign w:val="center"/>
                </w:tcPr>
                <w:p>
                  <w:pPr>
                    <w:jc w:val="center"/>
                    <w:rPr>
                      <w:rFonts w:cstheme="minorHAnsi"/>
                      <w:b/>
                      <w:bCs/>
                      <w:color w:val="auto"/>
                      <w:szCs w:val="21"/>
                    </w:rPr>
                  </w:pPr>
                  <w:r>
                    <w:rPr>
                      <w:rFonts w:cstheme="minorHAnsi"/>
                      <w:b/>
                      <w:bCs/>
                      <w:color w:val="auto"/>
                      <w:szCs w:val="21"/>
                    </w:rPr>
                    <w:t>结果</w:t>
                  </w:r>
                </w:p>
              </w:tc>
              <w:tc>
                <w:tcPr>
                  <w:tcW w:w="881" w:type="pct"/>
                  <w:gridSpan w:val="2"/>
                  <w:vMerge w:val="continue"/>
                  <w:tcBorders>
                    <w:tl2br w:val="nil"/>
                    <w:tr2bl w:val="nil"/>
                  </w:tcBorders>
                  <w:vAlign w:val="center"/>
                </w:tcPr>
                <w:p>
                  <w:pPr>
                    <w:jc w:val="center"/>
                    <w:rPr>
                      <w:rFonts w:hint="eastAsia" w:cstheme="minorHAnsi"/>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vMerge w:val="continue"/>
                  <w:tcBorders>
                    <w:tl2br w:val="nil"/>
                    <w:tr2bl w:val="nil"/>
                  </w:tcBorders>
                  <w:vAlign w:val="center"/>
                </w:tcPr>
                <w:p>
                  <w:pPr>
                    <w:jc w:val="center"/>
                    <w:rPr>
                      <w:rFonts w:cstheme="minorHAnsi"/>
                      <w:b/>
                      <w:bCs/>
                      <w:color w:val="auto"/>
                      <w:szCs w:val="21"/>
                    </w:rPr>
                  </w:pPr>
                </w:p>
              </w:tc>
              <w:tc>
                <w:tcPr>
                  <w:tcW w:w="1089" w:type="pct"/>
                  <w:vMerge w:val="continue"/>
                  <w:tcBorders>
                    <w:tl2br w:val="nil"/>
                    <w:tr2bl w:val="nil"/>
                  </w:tcBorders>
                  <w:vAlign w:val="center"/>
                </w:tcPr>
                <w:p>
                  <w:pPr>
                    <w:jc w:val="center"/>
                    <w:rPr>
                      <w:rFonts w:cstheme="minorHAnsi"/>
                      <w:b/>
                      <w:bCs/>
                      <w:color w:val="auto"/>
                      <w:szCs w:val="21"/>
                    </w:rPr>
                  </w:pPr>
                </w:p>
              </w:tc>
              <w:tc>
                <w:tcPr>
                  <w:tcW w:w="420" w:type="pct"/>
                  <w:tcBorders>
                    <w:tl2br w:val="nil"/>
                    <w:tr2bl w:val="nil"/>
                  </w:tcBorders>
                  <w:vAlign w:val="center"/>
                </w:tcPr>
                <w:p>
                  <w:pPr>
                    <w:jc w:val="center"/>
                    <w:rPr>
                      <w:rFonts w:cstheme="minorHAnsi"/>
                      <w:b/>
                      <w:bCs/>
                      <w:color w:val="auto"/>
                      <w:szCs w:val="21"/>
                    </w:rPr>
                  </w:pPr>
                  <w:r>
                    <w:rPr>
                      <w:rFonts w:cstheme="minorHAnsi"/>
                      <w:b/>
                      <w:bCs/>
                      <w:color w:val="auto"/>
                      <w:szCs w:val="21"/>
                    </w:rPr>
                    <w:t>昼间</w:t>
                  </w:r>
                </w:p>
              </w:tc>
              <w:tc>
                <w:tcPr>
                  <w:tcW w:w="420" w:type="pct"/>
                  <w:tcBorders>
                    <w:tl2br w:val="nil"/>
                    <w:tr2bl w:val="nil"/>
                  </w:tcBorders>
                  <w:vAlign w:val="center"/>
                </w:tcPr>
                <w:p>
                  <w:pPr>
                    <w:jc w:val="center"/>
                    <w:rPr>
                      <w:rFonts w:cstheme="minorHAnsi"/>
                      <w:b/>
                      <w:bCs/>
                      <w:color w:val="auto"/>
                      <w:szCs w:val="21"/>
                    </w:rPr>
                  </w:pPr>
                  <w:r>
                    <w:rPr>
                      <w:rFonts w:cstheme="minorHAnsi"/>
                      <w:b/>
                      <w:bCs/>
                      <w:color w:val="auto"/>
                      <w:szCs w:val="21"/>
                    </w:rPr>
                    <w:t>昼间</w:t>
                  </w:r>
                </w:p>
              </w:tc>
              <w:tc>
                <w:tcPr>
                  <w:tcW w:w="540" w:type="pct"/>
                  <w:vMerge w:val="continue"/>
                  <w:tcBorders>
                    <w:tl2br w:val="nil"/>
                    <w:tr2bl w:val="nil"/>
                  </w:tcBorders>
                  <w:vAlign w:val="center"/>
                </w:tcPr>
                <w:p>
                  <w:pPr>
                    <w:jc w:val="center"/>
                    <w:rPr>
                      <w:rFonts w:cstheme="minorHAnsi"/>
                      <w:b/>
                      <w:bCs/>
                      <w:color w:val="auto"/>
                      <w:szCs w:val="21"/>
                    </w:rPr>
                  </w:pPr>
                </w:p>
              </w:tc>
              <w:tc>
                <w:tcPr>
                  <w:tcW w:w="385" w:type="pct"/>
                  <w:tcBorders>
                    <w:tl2br w:val="nil"/>
                    <w:tr2bl w:val="nil"/>
                  </w:tcBorders>
                  <w:vAlign w:val="center"/>
                </w:tcPr>
                <w:p>
                  <w:pPr>
                    <w:jc w:val="center"/>
                    <w:rPr>
                      <w:rFonts w:cstheme="minorHAnsi"/>
                      <w:b/>
                      <w:bCs/>
                      <w:color w:val="auto"/>
                      <w:szCs w:val="21"/>
                    </w:rPr>
                  </w:pPr>
                  <w:r>
                    <w:rPr>
                      <w:rFonts w:cstheme="minorHAnsi"/>
                      <w:b/>
                      <w:bCs/>
                      <w:color w:val="auto"/>
                      <w:szCs w:val="21"/>
                    </w:rPr>
                    <w:t>夜间</w:t>
                  </w:r>
                </w:p>
              </w:tc>
              <w:tc>
                <w:tcPr>
                  <w:tcW w:w="382" w:type="pct"/>
                  <w:tcBorders>
                    <w:tl2br w:val="nil"/>
                    <w:tr2bl w:val="nil"/>
                  </w:tcBorders>
                  <w:vAlign w:val="center"/>
                </w:tcPr>
                <w:p>
                  <w:pPr>
                    <w:jc w:val="center"/>
                    <w:rPr>
                      <w:rFonts w:cstheme="minorHAnsi"/>
                      <w:b/>
                      <w:bCs/>
                      <w:color w:val="auto"/>
                      <w:szCs w:val="21"/>
                    </w:rPr>
                  </w:pPr>
                  <w:r>
                    <w:rPr>
                      <w:rFonts w:hint="eastAsia" w:cstheme="minorHAnsi"/>
                      <w:b/>
                      <w:bCs/>
                      <w:color w:val="auto"/>
                      <w:szCs w:val="21"/>
                    </w:rPr>
                    <w:t>夜间</w:t>
                  </w:r>
                </w:p>
              </w:tc>
              <w:tc>
                <w:tcPr>
                  <w:tcW w:w="476" w:type="pct"/>
                  <w:vMerge w:val="continue"/>
                  <w:tcBorders>
                    <w:tl2br w:val="nil"/>
                    <w:tr2bl w:val="nil"/>
                  </w:tcBorders>
                  <w:vAlign w:val="center"/>
                </w:tcPr>
                <w:p>
                  <w:pPr>
                    <w:jc w:val="center"/>
                    <w:rPr>
                      <w:rFonts w:cstheme="minorHAnsi"/>
                      <w:b/>
                      <w:bCs/>
                      <w:color w:val="auto"/>
                      <w:szCs w:val="21"/>
                    </w:rPr>
                  </w:pPr>
                </w:p>
              </w:tc>
              <w:tc>
                <w:tcPr>
                  <w:tcW w:w="393" w:type="pct"/>
                  <w:tcBorders>
                    <w:tl2br w:val="nil"/>
                    <w:tr2bl w:val="nil"/>
                  </w:tcBorders>
                  <w:vAlign w:val="center"/>
                </w:tcPr>
                <w:p>
                  <w:pPr>
                    <w:jc w:val="center"/>
                    <w:rPr>
                      <w:rFonts w:cstheme="minorHAnsi"/>
                      <w:b/>
                      <w:bCs/>
                      <w:color w:val="auto"/>
                      <w:szCs w:val="21"/>
                    </w:rPr>
                  </w:pPr>
                  <w:r>
                    <w:rPr>
                      <w:rFonts w:cstheme="minorHAnsi"/>
                      <w:b/>
                      <w:bCs/>
                      <w:color w:val="auto"/>
                      <w:szCs w:val="21"/>
                    </w:rPr>
                    <w:t>昼间</w:t>
                  </w:r>
                </w:p>
              </w:tc>
              <w:tc>
                <w:tcPr>
                  <w:tcW w:w="488" w:type="pct"/>
                  <w:tcBorders>
                    <w:tl2br w:val="nil"/>
                    <w:tr2bl w:val="nil"/>
                  </w:tcBorders>
                  <w:vAlign w:val="center"/>
                </w:tcPr>
                <w:p>
                  <w:pPr>
                    <w:jc w:val="center"/>
                    <w:rPr>
                      <w:rFonts w:cstheme="minorHAnsi"/>
                      <w:b/>
                      <w:bCs/>
                      <w:color w:val="auto"/>
                      <w:szCs w:val="21"/>
                    </w:rPr>
                  </w:pPr>
                  <w:r>
                    <w:rPr>
                      <w:rFonts w:cstheme="minorHAnsi"/>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1#</w:t>
                  </w:r>
                </w:p>
              </w:tc>
              <w:tc>
                <w:tcPr>
                  <w:tcW w:w="1089" w:type="pct"/>
                  <w:tcBorders>
                    <w:tl2br w:val="nil"/>
                    <w:tr2bl w:val="nil"/>
                  </w:tcBorders>
                  <w:vAlign w:val="center"/>
                </w:tcPr>
                <w:p>
                  <w:pPr>
                    <w:jc w:val="center"/>
                    <w:rPr>
                      <w:rFonts w:cstheme="minorHAnsi"/>
                      <w:color w:val="auto"/>
                      <w:kern w:val="0"/>
                      <w:szCs w:val="21"/>
                    </w:rPr>
                  </w:pPr>
                  <w:r>
                    <w:rPr>
                      <w:color w:val="auto"/>
                      <w:kern w:val="0"/>
                      <w:szCs w:val="21"/>
                    </w:rPr>
                    <w:t>厂界</w:t>
                  </w:r>
                  <w:r>
                    <w:rPr>
                      <w:rFonts w:hint="eastAsia"/>
                      <w:color w:val="auto"/>
                      <w:kern w:val="0"/>
                      <w:szCs w:val="21"/>
                    </w:rPr>
                    <w:t>北侧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56</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40</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40</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restart"/>
                  <w:tcBorders>
                    <w:tl2br w:val="nil"/>
                    <w:tr2bl w:val="nil"/>
                  </w:tcBorders>
                  <w:vAlign w:val="center"/>
                </w:tcPr>
                <w:p>
                  <w:pPr>
                    <w:jc w:val="center"/>
                    <w:rPr>
                      <w:rFonts w:hint="eastAsia" w:eastAsia="宋体" w:cstheme="minorHAnsi"/>
                      <w:color w:val="auto"/>
                      <w:szCs w:val="21"/>
                      <w:lang w:eastAsia="zh-CN"/>
                    </w:rPr>
                  </w:pPr>
                  <w:r>
                    <w:rPr>
                      <w:rFonts w:cstheme="minorHAnsi"/>
                      <w:color w:val="auto"/>
                      <w:szCs w:val="21"/>
                    </w:rPr>
                    <w:t>6</w:t>
                  </w:r>
                  <w:r>
                    <w:rPr>
                      <w:rFonts w:hint="eastAsia" w:cstheme="minorHAnsi"/>
                      <w:color w:val="auto"/>
                      <w:szCs w:val="21"/>
                      <w:lang w:val="en-US" w:eastAsia="zh-CN"/>
                    </w:rPr>
                    <w:t>5</w:t>
                  </w:r>
                </w:p>
              </w:tc>
              <w:tc>
                <w:tcPr>
                  <w:tcW w:w="488" w:type="pct"/>
                  <w:vMerge w:val="restart"/>
                  <w:tcBorders>
                    <w:tl2br w:val="nil"/>
                    <w:tr2bl w:val="nil"/>
                  </w:tcBorders>
                  <w:vAlign w:val="center"/>
                </w:tcPr>
                <w:p>
                  <w:pPr>
                    <w:jc w:val="center"/>
                    <w:rPr>
                      <w:rFonts w:hint="eastAsia" w:eastAsia="宋体" w:cstheme="minorHAnsi"/>
                      <w:color w:val="auto"/>
                      <w:szCs w:val="21"/>
                      <w:lang w:eastAsia="zh-CN"/>
                    </w:rPr>
                  </w:pPr>
                  <w:r>
                    <w:rPr>
                      <w:rFonts w:cstheme="minorHAnsi"/>
                      <w:color w:val="auto"/>
                      <w:szCs w:val="21"/>
                    </w:rPr>
                    <w:t>5</w:t>
                  </w:r>
                  <w:r>
                    <w:rPr>
                      <w:rFonts w:hint="eastAsia" w:cstheme="minorHAnsi"/>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2#</w:t>
                  </w:r>
                </w:p>
              </w:tc>
              <w:tc>
                <w:tcPr>
                  <w:tcW w:w="1089" w:type="pct"/>
                  <w:tcBorders>
                    <w:tl2br w:val="nil"/>
                    <w:tr2bl w:val="nil"/>
                  </w:tcBorders>
                </w:tcPr>
                <w:p>
                  <w:pPr>
                    <w:jc w:val="center"/>
                    <w:rPr>
                      <w:rFonts w:cstheme="minorHAnsi"/>
                      <w:color w:val="auto"/>
                      <w:kern w:val="0"/>
                      <w:szCs w:val="21"/>
                    </w:rPr>
                  </w:pPr>
                  <w:r>
                    <w:rPr>
                      <w:color w:val="auto"/>
                      <w:kern w:val="0"/>
                      <w:szCs w:val="21"/>
                    </w:rPr>
                    <w:t>厂界</w:t>
                  </w:r>
                  <w:r>
                    <w:rPr>
                      <w:rFonts w:hint="eastAsia"/>
                      <w:color w:val="auto"/>
                      <w:kern w:val="0"/>
                      <w:szCs w:val="21"/>
                    </w:rPr>
                    <w:t>东侧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55</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continue"/>
                  <w:tcBorders>
                    <w:tl2br w:val="nil"/>
                    <w:tr2bl w:val="nil"/>
                  </w:tcBorders>
                  <w:vAlign w:val="center"/>
                </w:tcPr>
                <w:p>
                  <w:pPr>
                    <w:jc w:val="center"/>
                    <w:rPr>
                      <w:rFonts w:cstheme="minorHAnsi"/>
                      <w:color w:val="auto"/>
                      <w:szCs w:val="21"/>
                    </w:rPr>
                  </w:pPr>
                </w:p>
              </w:tc>
              <w:tc>
                <w:tcPr>
                  <w:tcW w:w="488" w:type="pct"/>
                  <w:vMerge w:val="continue"/>
                  <w:tcBorders>
                    <w:tl2br w:val="nil"/>
                    <w:tr2bl w:val="nil"/>
                  </w:tcBorders>
                  <w:vAlign w:val="center"/>
                </w:tcPr>
                <w:p>
                  <w:pPr>
                    <w:jc w:val="center"/>
                    <w:rPr>
                      <w:rFonts w:cstheme="minorHAnsi"/>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3#</w:t>
                  </w:r>
                </w:p>
              </w:tc>
              <w:tc>
                <w:tcPr>
                  <w:tcW w:w="1089" w:type="pct"/>
                  <w:tcBorders>
                    <w:tl2br w:val="nil"/>
                    <w:tr2bl w:val="nil"/>
                  </w:tcBorders>
                </w:tcPr>
                <w:p>
                  <w:pPr>
                    <w:jc w:val="center"/>
                    <w:rPr>
                      <w:rFonts w:cstheme="minorHAnsi"/>
                      <w:color w:val="auto"/>
                      <w:kern w:val="0"/>
                      <w:szCs w:val="21"/>
                    </w:rPr>
                  </w:pPr>
                  <w:r>
                    <w:rPr>
                      <w:color w:val="auto"/>
                      <w:kern w:val="0"/>
                      <w:szCs w:val="21"/>
                    </w:rPr>
                    <w:t>厂界</w:t>
                  </w:r>
                  <w:r>
                    <w:rPr>
                      <w:rFonts w:hint="eastAsia"/>
                      <w:color w:val="auto"/>
                      <w:kern w:val="0"/>
                      <w:szCs w:val="21"/>
                    </w:rPr>
                    <w:t>南侧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57</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43</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continue"/>
                  <w:tcBorders>
                    <w:tl2br w:val="nil"/>
                    <w:tr2bl w:val="nil"/>
                  </w:tcBorders>
                  <w:vAlign w:val="center"/>
                </w:tcPr>
                <w:p>
                  <w:pPr>
                    <w:jc w:val="center"/>
                    <w:rPr>
                      <w:rFonts w:cstheme="minorHAnsi"/>
                      <w:color w:val="auto"/>
                      <w:szCs w:val="21"/>
                    </w:rPr>
                  </w:pPr>
                </w:p>
              </w:tc>
              <w:tc>
                <w:tcPr>
                  <w:tcW w:w="488" w:type="pct"/>
                  <w:vMerge w:val="continue"/>
                  <w:tcBorders>
                    <w:tl2br w:val="nil"/>
                    <w:tr2bl w:val="nil"/>
                  </w:tcBorders>
                  <w:vAlign w:val="center"/>
                </w:tcPr>
                <w:p>
                  <w:pPr>
                    <w:jc w:val="center"/>
                    <w:rPr>
                      <w:rFonts w:cstheme="minorHAnsi"/>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4#</w:t>
                  </w:r>
                </w:p>
              </w:tc>
              <w:tc>
                <w:tcPr>
                  <w:tcW w:w="1089" w:type="pct"/>
                  <w:tcBorders>
                    <w:tl2br w:val="nil"/>
                    <w:tr2bl w:val="nil"/>
                  </w:tcBorders>
                </w:tcPr>
                <w:p>
                  <w:pPr>
                    <w:jc w:val="center"/>
                    <w:rPr>
                      <w:rFonts w:cstheme="minorHAnsi"/>
                      <w:color w:val="auto"/>
                      <w:kern w:val="0"/>
                      <w:szCs w:val="21"/>
                    </w:rPr>
                  </w:pPr>
                  <w:r>
                    <w:rPr>
                      <w:color w:val="auto"/>
                      <w:kern w:val="0"/>
                      <w:szCs w:val="21"/>
                    </w:rPr>
                    <w:t>厂界</w:t>
                  </w:r>
                  <w:r>
                    <w:rPr>
                      <w:rFonts w:hint="eastAsia"/>
                      <w:color w:val="auto"/>
                      <w:kern w:val="0"/>
                      <w:szCs w:val="21"/>
                    </w:rPr>
                    <w:t>西侧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55</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continue"/>
                  <w:tcBorders>
                    <w:tl2br w:val="nil"/>
                    <w:tr2bl w:val="nil"/>
                  </w:tcBorders>
                  <w:vAlign w:val="center"/>
                </w:tcPr>
                <w:p>
                  <w:pPr>
                    <w:jc w:val="center"/>
                    <w:rPr>
                      <w:rFonts w:cstheme="minorHAnsi"/>
                      <w:color w:val="auto"/>
                      <w:szCs w:val="21"/>
                    </w:rPr>
                  </w:pPr>
                </w:p>
              </w:tc>
              <w:tc>
                <w:tcPr>
                  <w:tcW w:w="488" w:type="pct"/>
                  <w:vMerge w:val="continue"/>
                  <w:tcBorders>
                    <w:tl2br w:val="nil"/>
                    <w:tr2bl w:val="nil"/>
                  </w:tcBorders>
                  <w:vAlign w:val="center"/>
                </w:tcPr>
                <w:p>
                  <w:pPr>
                    <w:jc w:val="center"/>
                    <w:rPr>
                      <w:rFonts w:cstheme="minorHAnsi"/>
                      <w:color w:val="auto"/>
                      <w:szCs w:val="21"/>
                    </w:rPr>
                  </w:pPr>
                </w:p>
              </w:tc>
            </w:tr>
          </w:tbl>
          <w:p>
            <w:pPr>
              <w:spacing w:line="360" w:lineRule="auto"/>
              <w:ind w:firstLine="480" w:firstLineChars="200"/>
              <w:rPr>
                <w:rFonts w:hint="eastAsia" w:ascii="宋体" w:hAnsi="宋体" w:eastAsia="宋体" w:cs="宋体"/>
                <w:b w:val="0"/>
                <w:bCs w:val="0"/>
                <w:sz w:val="24"/>
                <w:szCs w:val="24"/>
                <w:lang w:val="en-US" w:eastAsia="zh-CN"/>
              </w:rPr>
            </w:pPr>
            <w:r>
              <w:rPr>
                <w:rFonts w:hint="eastAsia"/>
                <w:color w:val="auto"/>
                <w:sz w:val="24"/>
                <w:szCs w:val="24"/>
              </w:rPr>
              <w:t>由上表</w:t>
            </w:r>
            <w:r>
              <w:rPr>
                <w:color w:val="auto"/>
                <w:sz w:val="24"/>
                <w:szCs w:val="24"/>
              </w:rPr>
              <w:t>可知</w:t>
            </w:r>
            <w:r>
              <w:rPr>
                <w:rFonts w:cs="Times New Roman"/>
                <w:color w:val="auto"/>
                <w:sz w:val="24"/>
                <w:szCs w:val="24"/>
              </w:rPr>
              <w:t>，</w:t>
            </w:r>
            <w:r>
              <w:rPr>
                <w:rFonts w:hint="default" w:ascii="Times New Roman" w:hAnsi="Times New Roman" w:cs="Times New Roman"/>
                <w:color w:val="auto"/>
                <w:sz w:val="24"/>
              </w:rPr>
              <w:t>现有项目营运期厂界各点位噪声监测值均符合《工业企业厂界环境噪声排放标准》（GB12348-2008）中3类厂界外声环境功能区噪声限值</w:t>
            </w:r>
            <w:r>
              <w:rPr>
                <w:rFonts w:hint="eastAsia" w:cs="Times New Roman"/>
                <w:color w:val="auto"/>
                <w:sz w:val="24"/>
                <w:szCs w:val="24"/>
              </w:rPr>
              <w:t>。</w:t>
            </w:r>
          </w:p>
          <w:p>
            <w:pPr>
              <w:spacing w:line="360" w:lineRule="auto"/>
              <w:ind w:firstLine="482" w:firstLineChars="200"/>
              <w:rPr>
                <w:rFonts w:hint="eastAsia" w:ascii="宋体" w:hAnsi="宋体" w:eastAsia="宋体" w:cs="宋体"/>
                <w:b w:val="0"/>
                <w:bCs w:val="0"/>
                <w:sz w:val="24"/>
                <w:szCs w:val="24"/>
                <w:lang w:val="en-US" w:eastAsia="zh-CN"/>
              </w:rPr>
            </w:pPr>
            <w:r>
              <w:rPr>
                <w:rFonts w:hint="default" w:ascii="Times New Roman" w:hAnsi="Times New Roman" w:cs="Times New Roman"/>
                <w:b/>
                <w:color w:val="auto"/>
                <w:sz w:val="24"/>
              </w:rPr>
              <w:t>存在问题及整改措施：</w:t>
            </w:r>
            <w:r>
              <w:rPr>
                <w:rFonts w:hint="default" w:ascii="Times New Roman" w:hAnsi="Times New Roman" w:cs="Times New Roman"/>
                <w:bCs/>
                <w:color w:val="auto"/>
                <w:sz w:val="24"/>
              </w:rPr>
              <w:t>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Cs/>
                <w:color w:val="auto"/>
                <w:sz w:val="24"/>
              </w:rPr>
            </w:pPr>
            <w:r>
              <w:rPr>
                <w:rFonts w:hint="default" w:ascii="Times New Roman" w:hAnsi="Times New Roman" w:cs="Times New Roman"/>
                <w:b/>
                <w:color w:val="auto"/>
                <w:sz w:val="24"/>
              </w:rPr>
              <w:t>（4）固废排放及治理措施</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生活垃圾袋装集中收集，由市政环卫部门统一清运；</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铝条废边角料暂存于一般暂存间，定期外售废品回收站；</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废玻璃边角料收集后暂存于一般固废暂存间，定期交玻璃原片供货厂商回收处理；</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废包装材料定期外售废品回收站；</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不合格品收集后暂存于一般固废暂存间，定期由玻璃原片供货厂商回收；</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废PVB胶片收集后暂存于一般暂存间，定期交胶片生产厂商回收处理；</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沉淀池沉渣定期交</w:t>
            </w:r>
            <w:r>
              <w:rPr>
                <w:rFonts w:hint="eastAsia"/>
                <w:lang w:eastAsia="zh-CN"/>
              </w:rPr>
              <w:t>环卫部门清运</w:t>
            </w:r>
            <w:r>
              <w:rPr>
                <w:rFonts w:hint="default" w:ascii="Times New Roman" w:hAnsi="Times New Roman" w:cs="Times New Roman"/>
                <w:color w:val="auto"/>
                <w:lang w:val="zh-CN"/>
              </w:rPr>
              <w:t>；</w:t>
            </w:r>
          </w:p>
          <w:p>
            <w:pPr>
              <w:pStyle w:val="96"/>
              <w:tabs>
                <w:tab w:val="left" w:pos="1440"/>
                <w:tab w:val="left" w:pos="4368"/>
              </w:tabs>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预处理池污泥定期清掏，</w:t>
            </w:r>
            <w:r>
              <w:rPr>
                <w:rFonts w:hint="eastAsia" w:ascii="Times New Roman" w:hAnsi="Times New Roman" w:cs="Times New Roman"/>
                <w:color w:val="auto"/>
                <w:lang w:val="zh-CN"/>
              </w:rPr>
              <w:t>由</w:t>
            </w:r>
            <w:r>
              <w:rPr>
                <w:rFonts w:hint="default" w:ascii="Times New Roman" w:hAnsi="Times New Roman" w:cs="Times New Roman"/>
                <w:color w:val="auto"/>
                <w:lang w:val="zh-CN"/>
              </w:rPr>
              <w:t>市政环卫部门统一清运；</w:t>
            </w:r>
          </w:p>
          <w:p>
            <w:pPr>
              <w:pStyle w:val="96"/>
              <w:tabs>
                <w:tab w:val="left" w:pos="1440"/>
                <w:tab w:val="left" w:pos="4368"/>
              </w:tabs>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lang w:val="zh-CN"/>
              </w:rPr>
              <w:t>废胶桶</w:t>
            </w:r>
            <w:r>
              <w:rPr>
                <w:rFonts w:hint="eastAsia" w:ascii="Times New Roman" w:hAnsi="Times New Roman" w:cs="Times New Roman"/>
                <w:color w:val="auto"/>
                <w:lang w:val="zh-CN"/>
              </w:rPr>
              <w:t>、含油棉纱及手套、</w:t>
            </w:r>
            <w:r>
              <w:rPr>
                <w:rFonts w:hint="default" w:ascii="Times New Roman" w:hAnsi="Times New Roman" w:cs="Times New Roman"/>
                <w:color w:val="auto"/>
                <w:lang w:val="zh-CN"/>
              </w:rPr>
              <w:t>废机油及废机油桶属于危险废物，收集后暂存于危险废物暂存间，定期交由资质单位处置</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bookmarkStart w:id="3" w:name="_Toc17381"/>
            <w:r>
              <w:rPr>
                <w:rFonts w:hint="default" w:ascii="Times New Roman" w:hAnsi="Times New Roman" w:cs="Times New Roman"/>
                <w:b/>
                <w:color w:val="auto"/>
                <w:sz w:val="24"/>
              </w:rPr>
              <w:t>存在问题：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①危废暂存间未按</w:t>
            </w:r>
            <w:r>
              <w:rPr>
                <w:rFonts w:hint="default" w:ascii="Times New Roman" w:hAnsi="Times New Roman" w:cs="Times New Roman"/>
                <w:b w:val="0"/>
                <w:bCs w:val="0"/>
                <w:color w:val="auto"/>
                <w:sz w:val="24"/>
              </w:rPr>
              <w:t>《危险废物贮存污染控制标准》（GB18597-</w:t>
            </w:r>
            <w:r>
              <w:rPr>
                <w:rFonts w:hint="eastAsia" w:ascii="Times New Roman" w:hAnsi="Times New Roman" w:cs="Times New Roman"/>
                <w:b w:val="0"/>
                <w:bCs w:val="0"/>
                <w:color w:val="auto"/>
                <w:sz w:val="24"/>
                <w:lang w:val="en-US" w:eastAsia="zh-CN"/>
              </w:rPr>
              <w:t>2023</w:t>
            </w:r>
            <w:r>
              <w:rPr>
                <w:rFonts w:hint="default" w:ascii="Times New Roman" w:hAnsi="Times New Roman" w:cs="Times New Roman"/>
                <w:b w:val="0"/>
                <w:bCs w:val="0"/>
                <w:color w:val="auto"/>
                <w:sz w:val="24"/>
              </w:rPr>
              <w:t>）</w:t>
            </w:r>
            <w:r>
              <w:rPr>
                <w:rFonts w:hint="eastAsia" w:ascii="Times New Roman" w:hAnsi="Times New Roman" w:cs="Times New Roman"/>
                <w:b w:val="0"/>
                <w:bCs w:val="0"/>
                <w:color w:val="auto"/>
                <w:sz w:val="24"/>
                <w:lang w:eastAsia="zh-CN"/>
              </w:rPr>
              <w:t>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②危废协议应补签废胶桶、含油棉纱及手套、废机油桶处置协议。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整改措施：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①危废暂存间完善标识标牌。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②</w:t>
            </w:r>
            <w:r>
              <w:rPr>
                <w:rFonts w:hint="default" w:ascii="Times New Roman" w:hAnsi="Times New Roman" w:cs="Times New Roman"/>
                <w:b w:val="0"/>
                <w:bCs w:val="0"/>
                <w:color w:val="auto"/>
                <w:sz w:val="24"/>
                <w:szCs w:val="24"/>
                <w:lang w:eastAsia="zh-CN"/>
              </w:rPr>
              <w:t>及时</w:t>
            </w:r>
            <w:r>
              <w:rPr>
                <w:rFonts w:hint="default" w:ascii="Times New Roman" w:hAnsi="Times New Roman" w:cs="Times New Roman"/>
                <w:b w:val="0"/>
                <w:bCs w:val="0"/>
                <w:color w:val="auto"/>
                <w:sz w:val="24"/>
                <w:szCs w:val="24"/>
              </w:rPr>
              <w:t>签订危废处置协议</w:t>
            </w:r>
            <w:r>
              <w:rPr>
                <w:rFonts w:hint="default" w:ascii="Times New Roman" w:hAnsi="Times New Roman" w:cs="Times New Roman"/>
                <w:b w:val="0"/>
                <w:bCs w:val="0"/>
                <w:color w:val="auto"/>
                <w:sz w:val="24"/>
                <w:szCs w:val="24"/>
                <w:lang w:eastAsia="zh-CN"/>
              </w:rPr>
              <w:t>，将危废进行转运</w:t>
            </w:r>
            <w:r>
              <w:rPr>
                <w:rFonts w:hint="default" w:ascii="Times New Roman" w:hAnsi="Times New Roman" w:cs="Times New Roman"/>
                <w:b w:val="0"/>
                <w:bCs w:val="0"/>
                <w:color w:val="auto"/>
                <w:sz w:val="24"/>
                <w:szCs w:val="24"/>
              </w:rPr>
              <w:t>。</w:t>
            </w:r>
          </w:p>
          <w:bookmarkEnd w:id="3"/>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rPr>
            </w:pPr>
            <w:bookmarkStart w:id="4" w:name="_Toc9520"/>
            <w:r>
              <w:rPr>
                <w:rFonts w:hint="default" w:ascii="Times New Roman" w:hAnsi="Times New Roman" w:cs="Times New Roman"/>
                <w:b/>
                <w:color w:val="auto"/>
                <w:sz w:val="24"/>
              </w:rPr>
              <w:t>（5）地下水污染防治措施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现有项目</w:t>
            </w:r>
            <w:r>
              <w:rPr>
                <w:rFonts w:hint="eastAsia" w:ascii="Times New Roman" w:hAnsi="Times New Roman" w:cs="Times New Roman"/>
                <w:color w:val="auto"/>
                <w:sz w:val="24"/>
                <w:lang w:eastAsia="zh-CN"/>
              </w:rPr>
              <w:t>已有</w:t>
            </w:r>
            <w:r>
              <w:rPr>
                <w:rFonts w:hint="default" w:ascii="Times New Roman" w:hAnsi="Times New Roman" w:cs="Times New Roman"/>
                <w:color w:val="auto"/>
                <w:sz w:val="24"/>
              </w:rPr>
              <w:t>地下水污染分区防治</w:t>
            </w:r>
            <w:r>
              <w:rPr>
                <w:rFonts w:hint="eastAsia" w:ascii="Times New Roman" w:hAnsi="Times New Roman" w:cs="Times New Roman"/>
                <w:color w:val="auto"/>
                <w:sz w:val="24"/>
                <w:lang w:eastAsia="zh-CN"/>
              </w:rPr>
              <w:t>措施</w:t>
            </w:r>
            <w:r>
              <w:rPr>
                <w:rFonts w:hint="default" w:ascii="Times New Roman" w:hAnsi="Times New Roman" w:cs="Times New Roman"/>
                <w:color w:val="auto"/>
                <w:sz w:val="24"/>
              </w:rPr>
              <w:t>见下表。</w:t>
            </w:r>
          </w:p>
          <w:p>
            <w:pPr>
              <w:adjustRightInd w:val="0"/>
              <w:snapToGrid w:val="0"/>
              <w:ind w:firstLine="422" w:firstLineChars="200"/>
              <w:jc w:val="center"/>
              <w:rPr>
                <w:rFonts w:hint="default" w:ascii="Times New Roman" w:hAnsi="Times New Roman" w:cs="Times New Roman"/>
                <w:bCs/>
                <w:color w:val="auto"/>
                <w:kern w:val="0"/>
                <w:szCs w:val="16"/>
              </w:rPr>
            </w:pPr>
            <w:r>
              <w:rPr>
                <w:rFonts w:hint="default" w:ascii="Times New Roman" w:hAnsi="Times New Roman" w:cs="Times New Roman"/>
                <w:b/>
                <w:bCs/>
                <w:color w:val="auto"/>
                <w:szCs w:val="21"/>
                <w:lang w:val="zh-CN"/>
              </w:rPr>
              <w:t>表</w:t>
            </w:r>
            <w:r>
              <w:rPr>
                <w:rFonts w:hint="default" w:ascii="Times New Roman" w:hAnsi="Times New Roman" w:cs="Times New Roman"/>
                <w:b/>
                <w:bCs/>
                <w:color w:val="auto"/>
                <w:szCs w:val="21"/>
              </w:rPr>
              <w:t>2-1</w:t>
            </w:r>
            <w:r>
              <w:rPr>
                <w:rFonts w:hint="eastAsia" w:cs="Times New Roman"/>
                <w:b/>
                <w:bCs/>
                <w:color w:val="auto"/>
                <w:szCs w:val="21"/>
                <w:lang w:val="en-US" w:eastAsia="zh-CN"/>
              </w:rPr>
              <w:t>5</w:t>
            </w:r>
            <w:r>
              <w:rPr>
                <w:rFonts w:hint="default" w:ascii="Times New Roman" w:hAnsi="Times New Roman" w:cs="Times New Roman"/>
                <w:b/>
                <w:bCs/>
                <w:color w:val="auto"/>
                <w:szCs w:val="21"/>
                <w:lang w:val="zh-CN"/>
              </w:rPr>
              <w:t xml:space="preserve">  现项目地下水污染防治区划分表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2595"/>
              <w:gridCol w:w="3212"/>
              <w:gridCol w:w="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tcBorders>
                    <w:bottom w:val="single" w:color="auto" w:sz="4" w:space="0"/>
                  </w:tcBorders>
                  <w:noWrap w:val="0"/>
                  <w:vAlign w:val="center"/>
                </w:tcPr>
                <w:p>
                  <w:pPr>
                    <w:jc w:val="center"/>
                    <w:rPr>
                      <w:rFonts w:hint="default" w:ascii="Times New Roman" w:hAnsi="Times New Roman" w:eastAsia="宋体"/>
                      <w:b/>
                      <w:bCs/>
                      <w:color w:val="auto"/>
                      <w:kern w:val="0"/>
                      <w:szCs w:val="21"/>
                    </w:rPr>
                  </w:pPr>
                  <w:r>
                    <w:rPr>
                      <w:rFonts w:hint="default" w:ascii="Times New Roman" w:hAnsi="Times New Roman" w:eastAsia="宋体"/>
                      <w:b/>
                      <w:bCs/>
                      <w:color w:val="auto"/>
                      <w:kern w:val="0"/>
                      <w:szCs w:val="21"/>
                    </w:rPr>
                    <w:t>防渗区分类</w:t>
                  </w:r>
                </w:p>
              </w:tc>
              <w:tc>
                <w:tcPr>
                  <w:tcW w:w="1586" w:type="pct"/>
                  <w:tcBorders>
                    <w:bottom w:val="single" w:color="auto" w:sz="4" w:space="0"/>
                  </w:tcBorders>
                  <w:noWrap w:val="0"/>
                  <w:vAlign w:val="center"/>
                </w:tcPr>
                <w:p>
                  <w:pPr>
                    <w:jc w:val="center"/>
                    <w:rPr>
                      <w:rFonts w:hint="default" w:ascii="Times New Roman" w:hAnsi="Times New Roman" w:eastAsia="宋体"/>
                      <w:b/>
                      <w:bCs/>
                      <w:color w:val="auto"/>
                      <w:kern w:val="0"/>
                      <w:szCs w:val="21"/>
                    </w:rPr>
                  </w:pPr>
                  <w:r>
                    <w:rPr>
                      <w:rFonts w:hint="default" w:ascii="Times New Roman" w:hAnsi="Times New Roman" w:eastAsia="宋体"/>
                      <w:b/>
                      <w:bCs/>
                      <w:color w:val="auto"/>
                      <w:kern w:val="0"/>
                      <w:szCs w:val="21"/>
                    </w:rPr>
                    <w:t>包括区域</w:t>
                  </w:r>
                </w:p>
              </w:tc>
              <w:tc>
                <w:tcPr>
                  <w:tcW w:w="1963" w:type="pct"/>
                  <w:tcBorders>
                    <w:bottom w:val="single" w:color="auto" w:sz="4" w:space="0"/>
                  </w:tcBorders>
                  <w:noWrap w:val="0"/>
                  <w:vAlign w:val="center"/>
                </w:tcPr>
                <w:p>
                  <w:pPr>
                    <w:jc w:val="center"/>
                    <w:rPr>
                      <w:rFonts w:hint="default" w:ascii="Times New Roman" w:hAnsi="Times New Roman" w:eastAsia="宋体"/>
                      <w:b/>
                      <w:bCs/>
                      <w:color w:val="auto"/>
                      <w:kern w:val="0"/>
                      <w:szCs w:val="21"/>
                    </w:rPr>
                  </w:pPr>
                  <w:r>
                    <w:rPr>
                      <w:rFonts w:hint="default" w:ascii="Times New Roman" w:hAnsi="Times New Roman" w:eastAsia="宋体"/>
                      <w:b/>
                      <w:bCs/>
                      <w:color w:val="auto"/>
                      <w:kern w:val="0"/>
                      <w:szCs w:val="21"/>
                    </w:rPr>
                    <w:t>防渗措施</w:t>
                  </w:r>
                </w:p>
              </w:tc>
              <w:tc>
                <w:tcPr>
                  <w:tcW w:w="609" w:type="pct"/>
                  <w:tcBorders>
                    <w:bottom w:val="single" w:color="auto" w:sz="4" w:space="0"/>
                  </w:tcBorders>
                  <w:noWrap w:val="0"/>
                  <w:vAlign w:val="center"/>
                </w:tcPr>
                <w:p>
                  <w:pPr>
                    <w:jc w:val="center"/>
                    <w:rPr>
                      <w:rFonts w:hint="default" w:ascii="Times New Roman" w:hAnsi="Times New Roman" w:eastAsia="宋体"/>
                      <w:b/>
                      <w:bCs/>
                      <w:color w:val="auto"/>
                      <w:kern w:val="0"/>
                      <w:szCs w:val="21"/>
                    </w:rPr>
                  </w:pPr>
                  <w:r>
                    <w:rPr>
                      <w:rFonts w:hint="default" w:ascii="Times New Roman" w:hAnsi="Times New Roman" w:eastAsia="宋体"/>
                      <w:b/>
                      <w:bCs/>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tcBorders>
                    <w:top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重点防渗区</w:t>
                  </w:r>
                </w:p>
              </w:tc>
              <w:tc>
                <w:tcPr>
                  <w:tcW w:w="1586" w:type="pct"/>
                  <w:tcBorders>
                    <w:top w:val="single" w:color="auto" w:sz="4" w:space="0"/>
                    <w:bottom w:val="single" w:color="auto" w:sz="4" w:space="0"/>
                  </w:tcBorders>
                  <w:noWrap w:val="0"/>
                  <w:vAlign w:val="center"/>
                </w:tcPr>
                <w:p>
                  <w:pPr>
                    <w:jc w:val="center"/>
                    <w:rPr>
                      <w:rFonts w:hint="eastAsia" w:ascii="Times New Roman" w:hAnsi="Times New Roman" w:eastAsia="宋体"/>
                      <w:color w:val="auto"/>
                      <w:kern w:val="0"/>
                      <w:szCs w:val="21"/>
                      <w:lang w:eastAsia="zh-CN"/>
                    </w:rPr>
                  </w:pPr>
                  <w:r>
                    <w:rPr>
                      <w:rFonts w:hint="default" w:ascii="Times New Roman" w:hAnsi="Times New Roman" w:eastAsia="宋体"/>
                      <w:color w:val="auto"/>
                      <w:kern w:val="0"/>
                      <w:szCs w:val="21"/>
                    </w:rPr>
                    <w:t>危废暂存间</w:t>
                  </w:r>
                </w:p>
              </w:tc>
              <w:tc>
                <w:tcPr>
                  <w:tcW w:w="1963" w:type="pct"/>
                  <w:tcBorders>
                    <w:top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lang w:val="en-US" w:eastAsia="zh-CN"/>
                    </w:rPr>
                    <w:t>抗渗混凝土+HDPE土工膜+</w:t>
                  </w:r>
                  <w:r>
                    <w:rPr>
                      <w:rFonts w:hint="eastAsia" w:ascii="Times New Roman" w:hAnsi="Times New Roman" w:eastAsia="宋体"/>
                      <w:color w:val="auto"/>
                      <w:kern w:val="0"/>
                      <w:szCs w:val="21"/>
                      <w:lang w:val="en-US" w:eastAsia="zh-CN"/>
                    </w:rPr>
                    <w:t>托盘</w:t>
                  </w:r>
                </w:p>
              </w:tc>
              <w:tc>
                <w:tcPr>
                  <w:tcW w:w="609" w:type="pct"/>
                  <w:tcBorders>
                    <w:top w:val="single" w:color="auto" w:sz="4" w:space="0"/>
                    <w:bottom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tcBorders>
                    <w:top w:val="single" w:color="auto" w:sz="4" w:space="0"/>
                    <w:bottom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一般防渗区</w:t>
                  </w:r>
                </w:p>
              </w:tc>
              <w:tc>
                <w:tcPr>
                  <w:tcW w:w="1586" w:type="pct"/>
                  <w:tcBorders>
                    <w:top w:val="single" w:color="auto" w:sz="4" w:space="0"/>
                    <w:bottom w:val="single" w:color="auto" w:sz="4" w:space="0"/>
                  </w:tcBorders>
                  <w:noWrap w:val="0"/>
                  <w:vAlign w:val="center"/>
                </w:tcPr>
                <w:p>
                  <w:pPr>
                    <w:jc w:val="center"/>
                    <w:rPr>
                      <w:rFonts w:hint="default" w:ascii="Times New Roman" w:hAnsi="Times New Roman" w:eastAsia="宋体"/>
                      <w:color w:val="auto"/>
                      <w:kern w:val="0"/>
                      <w:szCs w:val="21"/>
                    </w:rPr>
                  </w:pPr>
                  <w:r>
                    <w:rPr>
                      <w:rFonts w:hint="eastAsia" w:ascii="Times New Roman" w:hAnsi="Times New Roman" w:eastAsia="宋体"/>
                      <w:color w:val="auto"/>
                      <w:kern w:val="0"/>
                      <w:szCs w:val="21"/>
                      <w:lang w:val="en-US" w:eastAsia="zh-CN"/>
                    </w:rPr>
                    <w:t>沉淀池、</w:t>
                  </w:r>
                  <w:r>
                    <w:rPr>
                      <w:rFonts w:hint="default" w:ascii="Times New Roman" w:hAnsi="Times New Roman" w:eastAsia="宋体"/>
                      <w:color w:val="auto"/>
                      <w:kern w:val="0"/>
                      <w:szCs w:val="21"/>
                      <w:lang w:val="en-US" w:eastAsia="zh-CN"/>
                    </w:rPr>
                    <w:t>预处理池</w:t>
                  </w:r>
                  <w:r>
                    <w:rPr>
                      <w:rFonts w:hint="eastAsia" w:ascii="Times New Roman" w:hAnsi="Times New Roman" w:eastAsia="宋体"/>
                      <w:color w:val="auto"/>
                      <w:kern w:val="0"/>
                      <w:szCs w:val="21"/>
                      <w:lang w:val="en-US" w:eastAsia="zh-CN"/>
                    </w:rPr>
                    <w:t>、</w:t>
                  </w:r>
                  <w:r>
                    <w:rPr>
                      <w:rFonts w:hint="default" w:ascii="Times New Roman" w:hAnsi="Times New Roman" w:eastAsia="宋体"/>
                      <w:color w:val="auto"/>
                      <w:kern w:val="0"/>
                      <w:szCs w:val="21"/>
                      <w:lang w:val="en-US" w:eastAsia="zh-CN"/>
                    </w:rPr>
                    <w:t>厂房</w:t>
                  </w:r>
                  <w:r>
                    <w:rPr>
                      <w:rFonts w:hint="eastAsia" w:ascii="Times New Roman" w:hAnsi="Times New Roman" w:eastAsia="宋体"/>
                      <w:color w:val="auto"/>
                      <w:kern w:val="0"/>
                      <w:szCs w:val="21"/>
                      <w:lang w:val="en-US" w:eastAsia="zh-CN"/>
                    </w:rPr>
                    <w:t>生产区</w:t>
                  </w:r>
                </w:p>
              </w:tc>
              <w:tc>
                <w:tcPr>
                  <w:tcW w:w="1963" w:type="pct"/>
                  <w:tcBorders>
                    <w:top w:val="single" w:color="auto" w:sz="4" w:space="0"/>
                    <w:bottom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已采取抗渗混凝土进行防渗</w:t>
                  </w:r>
                </w:p>
              </w:tc>
              <w:tc>
                <w:tcPr>
                  <w:tcW w:w="609" w:type="pct"/>
                  <w:tcBorders>
                    <w:top w:val="single" w:color="auto" w:sz="4" w:space="0"/>
                    <w:bottom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tcBorders>
                    <w:top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简单防渗区</w:t>
                  </w:r>
                </w:p>
              </w:tc>
              <w:tc>
                <w:tcPr>
                  <w:tcW w:w="1586" w:type="pct"/>
                  <w:tcBorders>
                    <w:top w:val="single" w:color="auto" w:sz="4" w:space="0"/>
                  </w:tcBorders>
                  <w:noWrap w:val="0"/>
                  <w:vAlign w:val="center"/>
                </w:tcPr>
                <w:p>
                  <w:pPr>
                    <w:jc w:val="center"/>
                    <w:rPr>
                      <w:rFonts w:hint="default" w:ascii="Times New Roman" w:hAnsi="Times New Roman" w:eastAsia="宋体"/>
                      <w:color w:val="auto"/>
                      <w:kern w:val="0"/>
                      <w:szCs w:val="21"/>
                      <w:lang w:eastAsia="zh-CN"/>
                    </w:rPr>
                  </w:pPr>
                  <w:r>
                    <w:rPr>
                      <w:rFonts w:hint="default" w:ascii="Times New Roman" w:hAnsi="Times New Roman" w:eastAsia="宋体"/>
                      <w:color w:val="auto"/>
                      <w:kern w:val="0"/>
                      <w:szCs w:val="21"/>
                    </w:rPr>
                    <w:t>办公区、</w:t>
                  </w:r>
                  <w:r>
                    <w:rPr>
                      <w:rFonts w:hint="default" w:ascii="Times New Roman" w:hAnsi="Times New Roman" w:eastAsia="宋体"/>
                      <w:color w:val="auto"/>
                      <w:kern w:val="0"/>
                      <w:szCs w:val="21"/>
                      <w:lang w:val="en-US" w:eastAsia="zh-CN"/>
                    </w:rPr>
                    <w:t>库房其他区域、运输道路</w:t>
                  </w:r>
                </w:p>
              </w:tc>
              <w:tc>
                <w:tcPr>
                  <w:tcW w:w="1963" w:type="pct"/>
                  <w:tcBorders>
                    <w:top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已采取一般地面硬化</w:t>
                  </w:r>
                </w:p>
              </w:tc>
              <w:tc>
                <w:tcPr>
                  <w:tcW w:w="609" w:type="pct"/>
                  <w:tcBorders>
                    <w:top w:val="single" w:color="auto" w:sz="4" w:space="0"/>
                  </w:tcBorders>
                  <w:noWrap w:val="0"/>
                  <w:vAlign w:val="center"/>
                </w:tcPr>
                <w:p>
                  <w:pPr>
                    <w:jc w:val="center"/>
                    <w:rPr>
                      <w:rFonts w:hint="default" w:ascii="Times New Roman" w:hAnsi="Times New Roman" w:eastAsia="宋体"/>
                      <w:color w:val="auto"/>
                      <w:kern w:val="0"/>
                      <w:szCs w:val="21"/>
                    </w:rPr>
                  </w:pPr>
                  <w:r>
                    <w:rPr>
                      <w:rFonts w:hint="default" w:ascii="Times New Roman" w:hAnsi="Times New Roman" w:eastAsia="宋体"/>
                      <w:color w:val="auto"/>
                      <w:kern w:val="0"/>
                      <w:szCs w:val="21"/>
                    </w:rPr>
                    <w:t>已建</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宋体" w:hAnsi="宋体" w:eastAsia="宋体" w:cs="宋体"/>
                <w:b/>
                <w:bCs/>
                <w:sz w:val="24"/>
                <w:szCs w:val="24"/>
                <w:lang w:val="en-US" w:eastAsia="zh-CN"/>
              </w:rPr>
            </w:pPr>
            <w:r>
              <w:rPr>
                <w:rFonts w:hint="default" w:ascii="Times New Roman" w:hAnsi="Times New Roman" w:cs="Times New Roman"/>
                <w:b/>
                <w:color w:val="auto"/>
                <w:sz w:val="24"/>
                <w:highlight w:val="none"/>
              </w:rPr>
              <w:t>存在问题</w:t>
            </w:r>
            <w:r>
              <w:rPr>
                <w:rFonts w:hint="eastAsia" w:ascii="Times New Roman" w:hAnsi="Times New Roman" w:cs="Times New Roman"/>
                <w:b/>
                <w:color w:val="auto"/>
                <w:sz w:val="24"/>
                <w:highlight w:val="none"/>
                <w:lang w:eastAsia="zh-CN"/>
              </w:rPr>
              <w:t>及整改措施</w:t>
            </w:r>
            <w:r>
              <w:rPr>
                <w:rFonts w:hint="default" w:ascii="Times New Roman" w:hAnsi="Times New Roman" w:cs="Times New Roman"/>
                <w:b/>
                <w:color w:val="auto"/>
                <w:sz w:val="24"/>
                <w:highlight w:val="none"/>
              </w:rPr>
              <w:t>：</w:t>
            </w:r>
            <w:r>
              <w:rPr>
                <w:rFonts w:hint="eastAsia" w:ascii="Times New Roman" w:hAnsi="Times New Roman" w:eastAsia="宋体" w:cs="Times New Roman"/>
                <w:b w:val="0"/>
                <w:bCs/>
                <w:color w:val="auto"/>
                <w:sz w:val="24"/>
                <w:szCs w:val="24"/>
                <w:highlight w:val="none"/>
              </w:rPr>
              <w:t>项目已</w:t>
            </w:r>
            <w:r>
              <w:rPr>
                <w:rFonts w:hint="eastAsia" w:ascii="Times New Roman" w:hAnsi="Times New Roman" w:eastAsia="宋体" w:cs="Times New Roman"/>
                <w:b w:val="0"/>
                <w:bCs/>
                <w:color w:val="auto"/>
                <w:sz w:val="24"/>
                <w:szCs w:val="24"/>
                <w:highlight w:val="none"/>
                <w:lang w:eastAsia="zh-CN"/>
              </w:rPr>
              <w:t>对</w:t>
            </w:r>
            <w:r>
              <w:rPr>
                <w:rFonts w:hint="eastAsia" w:ascii="Times New Roman" w:hAnsi="Times New Roman" w:eastAsia="宋体" w:cs="Times New Roman"/>
                <w:b w:val="0"/>
                <w:bCs/>
                <w:color w:val="auto"/>
                <w:sz w:val="24"/>
                <w:szCs w:val="24"/>
                <w:highlight w:val="none"/>
              </w:rPr>
              <w:t>厂区进行分区防渗，项目采取的治理措施可行</w:t>
            </w:r>
            <w:r>
              <w:rPr>
                <w:rFonts w:hint="eastAsia" w:ascii="Times New Roman" w:hAnsi="Times New Roman" w:eastAsia="宋体" w:cs="Times New Roman"/>
                <w:b w:val="0"/>
                <w:bCs/>
                <w:color w:val="auto"/>
                <w:sz w:val="24"/>
                <w:szCs w:val="24"/>
                <w:highlight w:val="none"/>
                <w:lang w:eastAsia="zh-CN"/>
              </w:rPr>
              <w:t>无需整改。</w:t>
            </w:r>
          </w:p>
          <w:bookmarkEnd w:id="4"/>
          <w:p>
            <w:pPr>
              <w:spacing w:line="360" w:lineRule="auto"/>
              <w:ind w:firstLine="482" w:firstLineChars="200"/>
              <w:rPr>
                <w:rFonts w:hint="default" w:cs="Times New Roman"/>
                <w:b/>
                <w:color w:val="auto"/>
                <w:sz w:val="24"/>
                <w:lang w:val="en-US" w:eastAsia="zh-CN"/>
              </w:rPr>
            </w:pPr>
            <w:r>
              <w:rPr>
                <w:rFonts w:hint="eastAsia" w:cs="Times New Roman"/>
                <w:b/>
                <w:color w:val="auto"/>
                <w:sz w:val="24"/>
                <w:lang w:val="en-US" w:eastAsia="zh-CN"/>
              </w:rPr>
              <w:t>4、“以新带老”措施</w:t>
            </w:r>
          </w:p>
          <w:p>
            <w:pPr>
              <w:spacing w:line="360" w:lineRule="auto"/>
              <w:ind w:firstLine="482" w:firstLineChars="200"/>
              <w:rPr>
                <w:rFonts w:hint="eastAsia" w:cs="Times New Roman"/>
                <w:b/>
                <w:color w:val="auto"/>
                <w:sz w:val="24"/>
                <w:lang w:val="en-US" w:eastAsia="zh-CN"/>
              </w:rPr>
            </w:pPr>
            <w:r>
              <w:rPr>
                <w:rFonts w:hint="eastAsia"/>
                <w:b/>
                <w:bCs/>
                <w:sz w:val="24"/>
                <w:lang w:val="en-US" w:eastAsia="zh-CN"/>
              </w:rPr>
              <w:t>有机废气：</w:t>
            </w:r>
            <w:r>
              <w:rPr>
                <w:rFonts w:hint="eastAsia"/>
                <w:sz w:val="24"/>
                <w:lang w:val="en-US" w:eastAsia="zh-CN"/>
              </w:rPr>
              <w:t>项目中空玻璃生产线合片段（包含打胶机）上方、丁基胶涂布机上方设置集气罩+软帘</w:t>
            </w:r>
            <w:r>
              <w:rPr>
                <w:rFonts w:hint="eastAsia" w:cs="宋体"/>
                <w:b w:val="0"/>
                <w:bCs w:val="0"/>
                <w:sz w:val="24"/>
                <w:szCs w:val="24"/>
                <w:lang w:val="en-US" w:eastAsia="zh-CN"/>
              </w:rPr>
              <w:t>，</w:t>
            </w:r>
            <w:r>
              <w:rPr>
                <w:rFonts w:hint="eastAsia"/>
                <w:sz w:val="24"/>
                <w:lang w:val="en-US" w:eastAsia="zh-CN"/>
              </w:rPr>
              <w:t>VOCs经收集系统收集后（收集系统风机风量18000 m</w:t>
            </w:r>
            <w:r>
              <w:rPr>
                <w:rFonts w:hint="eastAsia"/>
                <w:sz w:val="24"/>
                <w:vertAlign w:val="superscript"/>
                <w:lang w:val="en-US" w:eastAsia="zh-CN"/>
              </w:rPr>
              <w:t>3</w:t>
            </w:r>
            <w:r>
              <w:rPr>
                <w:rFonts w:hint="eastAsia"/>
                <w:sz w:val="24"/>
                <w:lang w:val="en-US" w:eastAsia="zh-CN"/>
              </w:rPr>
              <w:t>/h，收集效率为90%），经管道通入一套二级活性炭吸附设备（处理效率为90%）处理后由一根15m高排气筒（DA002）排放。处理后有组织排放量为0.8306t/a，0.173kg/h，9.61mg/m³；无组织排放量为0.9228t/a，0.1926kg/h。</w:t>
            </w:r>
          </w:p>
          <w:p>
            <w:pPr>
              <w:spacing w:line="360" w:lineRule="auto"/>
              <w:ind w:firstLine="482" w:firstLineChars="200"/>
              <w:rPr>
                <w:rFonts w:hint="default" w:ascii="Times New Roman" w:hAnsi="Times New Roman" w:cs="Times New Roman"/>
                <w:b/>
                <w:bCs/>
                <w:color w:val="auto"/>
                <w:sz w:val="24"/>
              </w:rPr>
            </w:pPr>
            <w:r>
              <w:rPr>
                <w:rFonts w:hint="eastAsia" w:cs="Times New Roman"/>
                <w:b/>
                <w:color w:val="auto"/>
                <w:sz w:val="24"/>
                <w:lang w:val="en-US" w:eastAsia="zh-CN"/>
              </w:rPr>
              <w:t>5</w:t>
            </w:r>
            <w:r>
              <w:rPr>
                <w:rFonts w:hint="default" w:ascii="Times New Roman" w:hAnsi="Times New Roman" w:cs="Times New Roman"/>
                <w:b/>
                <w:color w:val="auto"/>
                <w:sz w:val="24"/>
              </w:rPr>
              <w:t>、</w:t>
            </w:r>
            <w:r>
              <w:rPr>
                <w:rFonts w:hint="default" w:ascii="Times New Roman" w:hAnsi="Times New Roman" w:cs="Times New Roman"/>
                <w:b/>
                <w:bCs/>
                <w:color w:val="auto"/>
                <w:sz w:val="24"/>
              </w:rPr>
              <w:t>企业现有污染物总量指标</w:t>
            </w:r>
          </w:p>
          <w:p>
            <w:pPr>
              <w:spacing w:line="360" w:lineRule="auto"/>
              <w:ind w:firstLine="470" w:firstLineChars="196"/>
              <w:rPr>
                <w:rFonts w:hint="default" w:ascii="Times New Roman" w:hAnsi="Times New Roman" w:cs="Times New Roman"/>
                <w:bCs/>
                <w:color w:val="auto"/>
                <w:sz w:val="24"/>
              </w:rPr>
            </w:pPr>
            <w:r>
              <w:rPr>
                <w:rFonts w:hint="default" w:ascii="Times New Roman" w:hAnsi="Times New Roman" w:cs="Times New Roman"/>
                <w:bCs/>
                <w:color w:val="auto"/>
                <w:sz w:val="24"/>
              </w:rPr>
              <w:t>根据现有项目环评及批复</w:t>
            </w:r>
            <w:r>
              <w:rPr>
                <w:rFonts w:hint="default" w:ascii="Times New Roman" w:hAnsi="Times New Roman" w:cs="Times New Roman"/>
                <w:bCs/>
                <w:color w:val="auto"/>
                <w:sz w:val="24"/>
                <w:lang w:eastAsia="zh-CN"/>
              </w:rPr>
              <w:t>、</w:t>
            </w:r>
            <w:r>
              <w:rPr>
                <w:rFonts w:hint="eastAsia" w:ascii="Times New Roman" w:hAnsi="Times New Roman" w:cs="Times New Roman"/>
                <w:bCs/>
                <w:color w:val="auto"/>
                <w:sz w:val="24"/>
                <w:lang w:eastAsia="zh-CN"/>
              </w:rPr>
              <w:t>验收</w:t>
            </w:r>
            <w:r>
              <w:rPr>
                <w:rFonts w:hint="default" w:ascii="Times New Roman" w:hAnsi="Times New Roman" w:cs="Times New Roman"/>
                <w:bCs/>
                <w:color w:val="auto"/>
                <w:sz w:val="24"/>
                <w:lang w:eastAsia="zh-CN"/>
              </w:rPr>
              <w:t>监测报告</w:t>
            </w:r>
            <w:r>
              <w:rPr>
                <w:rFonts w:hint="default" w:ascii="Times New Roman" w:hAnsi="Times New Roman" w:cs="Times New Roman"/>
                <w:bCs/>
                <w:color w:val="auto"/>
                <w:sz w:val="24"/>
              </w:rPr>
              <w:t>，建设单位</w:t>
            </w:r>
            <w:r>
              <w:rPr>
                <w:rFonts w:hint="default" w:ascii="Times New Roman" w:hAnsi="Times New Roman" w:cs="Times New Roman"/>
                <w:bCs/>
                <w:color w:val="auto"/>
                <w:sz w:val="24"/>
                <w:lang w:eastAsia="zh-CN"/>
              </w:rPr>
              <w:t>实际排放量、</w:t>
            </w:r>
            <w:r>
              <w:rPr>
                <w:rFonts w:hint="default" w:ascii="Times New Roman" w:hAnsi="Times New Roman" w:cs="Times New Roman"/>
                <w:bCs/>
                <w:color w:val="auto"/>
                <w:sz w:val="24"/>
              </w:rPr>
              <w:t>已取得总量控制指标如下</w:t>
            </w:r>
            <w:r>
              <w:rPr>
                <w:rFonts w:hint="default" w:ascii="Times New Roman" w:hAnsi="Times New Roman" w:cs="Times New Roman"/>
                <w:bCs/>
                <w:color w:val="auto"/>
                <w:sz w:val="24"/>
                <w:lang w:eastAsia="zh-CN"/>
              </w:rPr>
              <w:t>表所示。</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w:t>
            </w:r>
            <w:r>
              <w:rPr>
                <w:rFonts w:hint="default" w:ascii="Times New Roman" w:hAnsi="Times New Roman" w:cs="Times New Roman"/>
                <w:b/>
                <w:color w:val="auto"/>
                <w:szCs w:val="21"/>
                <w:lang w:val="en-US" w:eastAsia="zh-CN"/>
              </w:rPr>
              <w:t>1</w:t>
            </w:r>
            <w:r>
              <w:rPr>
                <w:rFonts w:hint="eastAsia" w:cs="Times New Roman"/>
                <w:b/>
                <w:color w:val="auto"/>
                <w:szCs w:val="21"/>
                <w:lang w:val="en-US" w:eastAsia="zh-CN"/>
              </w:rPr>
              <w:t>6</w:t>
            </w:r>
            <w:r>
              <w:rPr>
                <w:rFonts w:hint="default" w:ascii="Times New Roman" w:hAnsi="Times New Roman" w:cs="Times New Roman"/>
                <w:b/>
                <w:color w:val="auto"/>
                <w:szCs w:val="21"/>
              </w:rPr>
              <w:t xml:space="preserve">  现有项目总量控制指标  单位：t/a</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225"/>
              <w:gridCol w:w="3090"/>
              <w:gridCol w:w="2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7" w:type="pct"/>
                  <w:gridSpan w:val="2"/>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污染物</w:t>
                  </w:r>
                </w:p>
              </w:tc>
              <w:tc>
                <w:tcPr>
                  <w:tcW w:w="1889" w:type="pct"/>
                  <w:noWrap w:val="0"/>
                  <w:vAlign w:val="center"/>
                </w:tcPr>
                <w:p>
                  <w:pPr>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已取得总量</w:t>
                  </w:r>
                </w:p>
              </w:tc>
              <w:tc>
                <w:tcPr>
                  <w:tcW w:w="1693" w:type="pct"/>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实际排放总量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w:t>
                  </w:r>
                </w:p>
              </w:tc>
              <w:tc>
                <w:tcPr>
                  <w:tcW w:w="748" w:type="pc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889" w:type="pct"/>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1.64</w:t>
                  </w:r>
                </w:p>
              </w:tc>
              <w:tc>
                <w:tcPr>
                  <w:tcW w:w="1693" w:type="pct"/>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olor w:val="auto"/>
                      <w:szCs w:val="21"/>
                      <w:lang w:val="en-US" w:eastAsia="zh-CN"/>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pPr>
                    <w:jc w:val="center"/>
                    <w:rPr>
                      <w:rFonts w:hint="default" w:ascii="Times New Roman" w:hAnsi="Times New Roman" w:cs="Times New Roman"/>
                      <w:bCs/>
                      <w:color w:val="auto"/>
                      <w:sz w:val="21"/>
                      <w:szCs w:val="21"/>
                    </w:rPr>
                  </w:pPr>
                </w:p>
              </w:tc>
              <w:tc>
                <w:tcPr>
                  <w:tcW w:w="748" w:type="pct"/>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 w:val="21"/>
                      <w:szCs w:val="21"/>
                    </w:rPr>
                    <w:t>氨氮</w:t>
                  </w:r>
                </w:p>
              </w:tc>
              <w:tc>
                <w:tcPr>
                  <w:tcW w:w="1889" w:type="pct"/>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0.25</w:t>
                  </w:r>
                </w:p>
              </w:tc>
              <w:tc>
                <w:tcPr>
                  <w:tcW w:w="1693" w:type="pct"/>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Cs w:val="21"/>
                      <w:lang w:val="en-US" w:eastAsia="zh-CN"/>
                    </w:rPr>
                    <w:t>0.0036</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eastAsia" w:ascii="Times New Roman" w:hAnsi="Times New Roman" w:eastAsia="宋体" w:cs="Times New Roman"/>
                <w:b/>
                <w:color w:val="auto"/>
                <w:szCs w:val="21"/>
                <w:lang w:eastAsia="zh-CN"/>
              </w:rPr>
            </w:pPr>
          </w:p>
          <w:p>
            <w:pPr>
              <w:numPr>
                <w:ilvl w:val="0"/>
                <w:numId w:val="0"/>
              </w:numPr>
              <w:spacing w:line="360" w:lineRule="auto"/>
              <w:rPr>
                <w:rFonts w:hint="eastAsia" w:eastAsia="宋体"/>
                <w:sz w:val="24"/>
                <w:lang w:eastAsia="zh-CN"/>
              </w:rPr>
            </w:pPr>
          </w:p>
        </w:tc>
      </w:tr>
    </w:tbl>
    <w:p>
      <w:pPr>
        <w:pStyle w:val="50"/>
        <w:jc w:val="center"/>
        <w:rPr>
          <w:rFonts w:ascii="黑体" w:hAnsi="黑体" w:eastAsia="黑体"/>
          <w:b w:val="0"/>
          <w:sz w:val="30"/>
          <w:szCs w:val="30"/>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0"/>
        <w:jc w:val="center"/>
        <w:rPr>
          <w:rFonts w:ascii="黑体" w:hAnsi="黑体" w:eastAsia="黑体"/>
          <w:b w:val="0"/>
          <w:sz w:val="30"/>
          <w:szCs w:val="30"/>
        </w:rPr>
      </w:pPr>
      <w:bookmarkStart w:id="5" w:name="_Toc127864088"/>
      <w:r>
        <w:rPr>
          <w:rFonts w:hint="eastAsia" w:ascii="黑体" w:hAnsi="黑体" w:eastAsia="黑体"/>
          <w:b w:val="0"/>
          <w:sz w:val="30"/>
          <w:szCs w:val="30"/>
        </w:rPr>
        <w:t>三、区域环境质量现状、环境保护目标及评价标准</w:t>
      </w:r>
      <w:bookmarkEnd w:id="5"/>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8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1" w:type="pct"/>
            <w:vAlign w:val="center"/>
          </w:tcPr>
          <w:p>
            <w:pPr>
              <w:spacing w:line="360" w:lineRule="auto"/>
              <w:jc w:val="center"/>
              <w:rPr>
                <w:rFonts w:cs="Times New Roman"/>
                <w:sz w:val="24"/>
                <w:szCs w:val="24"/>
              </w:rPr>
            </w:pPr>
            <w:r>
              <w:rPr>
                <w:rFonts w:hint="eastAsia" w:cs="Times New Roman"/>
                <w:sz w:val="24"/>
                <w:szCs w:val="24"/>
              </w:rPr>
              <w:t>区域环境质量现状</w:t>
            </w:r>
          </w:p>
        </w:tc>
        <w:tc>
          <w:tcPr>
            <w:tcW w:w="4598" w:type="pct"/>
            <w:vAlign w:val="center"/>
          </w:tcPr>
          <w:p>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、大气环境质量现状</w:t>
            </w:r>
          </w:p>
          <w:p>
            <w:pPr>
              <w:spacing w:line="360" w:lineRule="auto"/>
              <w:ind w:firstLine="480" w:firstLineChars="200"/>
              <w:rPr>
                <w:rFonts w:hint="eastAsia" w:eastAsia="宋体" w:cs="Times New Roman"/>
                <w:i/>
                <w:color w:val="FF0000"/>
                <w:sz w:val="24"/>
                <w:szCs w:val="24"/>
                <w:highlight w:val="none"/>
                <w:lang w:eastAsia="zh-CN"/>
              </w:rPr>
            </w:pPr>
            <w:r>
              <w:rPr>
                <w:rFonts w:hint="eastAsia" w:cs="Times New Roman"/>
                <w:sz w:val="24"/>
                <w:szCs w:val="24"/>
              </w:rPr>
              <w:t>本项目位于巴中经济开发区中山北路17号，环境空气质量现状，根据</w:t>
            </w:r>
            <w:r>
              <w:rPr>
                <w:rFonts w:cs="Times New Roman"/>
                <w:sz w:val="24"/>
                <w:szCs w:val="24"/>
              </w:rPr>
              <w:t>《建设项目环境影响报告表编制技术指南（污染影响类）（试行）》</w:t>
            </w:r>
            <w:r>
              <w:rPr>
                <w:rFonts w:hint="eastAsia" w:cs="Times New Roman"/>
                <w:sz w:val="24"/>
                <w:szCs w:val="24"/>
              </w:rPr>
              <w:t>中“</w:t>
            </w:r>
            <w:r>
              <w:rPr>
                <w:rFonts w:cs="Times New Roman"/>
                <w:iCs/>
                <w:sz w:val="24"/>
                <w:szCs w:val="24"/>
              </w:rPr>
              <w:t>常规污染物引用与建设项目距离近的有效数据，包括近3年的规划环境影响评价的监测数据，国家、地方空气质量监测网数据或生态环境主管部门公开发布的质量数据等。排放国家、地方环境空气质量标准中有标准限值要求的特征污染物时，引用建设项目周边5千米范围内近3年的现有监测数据</w:t>
            </w:r>
            <w:r>
              <w:rPr>
                <w:rFonts w:hint="eastAsia" w:cs="Times New Roman"/>
                <w:iCs/>
                <w:sz w:val="24"/>
                <w:szCs w:val="24"/>
              </w:rPr>
              <w:t>”</w:t>
            </w:r>
            <w:r>
              <w:rPr>
                <w:rFonts w:hint="eastAsia" w:cs="Times New Roman"/>
                <w:sz w:val="24"/>
                <w:szCs w:val="24"/>
              </w:rPr>
              <w:t>的规定，本次环评常规污染物引用巴中市生态环境局公开发布的《2021年巴中市生态环境状况公报》中的结论</w:t>
            </w:r>
            <w:r>
              <w:rPr>
                <w:rFonts w:hint="eastAsia" w:cs="Times New Roman"/>
                <w:sz w:val="24"/>
                <w:szCs w:val="24"/>
                <w:lang w:eastAsia="zh-CN"/>
              </w:rPr>
              <w:t>。</w:t>
            </w:r>
          </w:p>
          <w:p>
            <w:pPr>
              <w:spacing w:line="360" w:lineRule="auto"/>
              <w:ind w:firstLine="482" w:firstLineChars="200"/>
              <w:rPr>
                <w:b/>
                <w:kern w:val="24"/>
                <w:sz w:val="24"/>
                <w:szCs w:val="24"/>
              </w:rPr>
            </w:pPr>
            <w:r>
              <w:rPr>
                <w:rFonts w:hint="eastAsia"/>
                <w:b/>
                <w:kern w:val="24"/>
                <w:sz w:val="24"/>
                <w:szCs w:val="24"/>
              </w:rPr>
              <w:t>（</w:t>
            </w:r>
            <w:r>
              <w:rPr>
                <w:b/>
                <w:kern w:val="24"/>
                <w:sz w:val="24"/>
                <w:szCs w:val="24"/>
              </w:rPr>
              <w:t>1</w:t>
            </w:r>
            <w:r>
              <w:rPr>
                <w:rFonts w:hint="eastAsia"/>
                <w:b/>
                <w:kern w:val="24"/>
                <w:sz w:val="24"/>
                <w:szCs w:val="24"/>
              </w:rPr>
              <w:t>）基本污染物现状评价</w:t>
            </w:r>
          </w:p>
          <w:p>
            <w:pPr>
              <w:spacing w:line="360" w:lineRule="auto"/>
              <w:ind w:firstLine="480" w:firstLineChars="200"/>
              <w:rPr>
                <w:rFonts w:cs="Times New Roman"/>
                <w:sz w:val="24"/>
                <w:szCs w:val="24"/>
              </w:rPr>
            </w:pPr>
            <w:r>
              <w:rPr>
                <w:rFonts w:hint="eastAsia" w:cs="Times New Roman"/>
                <w:sz w:val="24"/>
                <w:szCs w:val="24"/>
              </w:rPr>
              <w:t>根据《2021年巴中市生态环境状况公报》，2021年巴州城区环境空气质量优良天数349天，轻度污染15天，中度污染1天，优良率为95.6%，空气质量综合指数为3.03。与上年相比，优良率天数比例下降了1.4个百分点，空气质量综合指数上升了0.01。环境空气六项主要污染物年均浓度保持为全部达标，各项污染物浓度变化平稳，幅度不超过 10%，其中臭氧浓度有所下降，一氧化碳持平，其余四项污染物浓度均略有升高。</w:t>
            </w:r>
          </w:p>
          <w:p>
            <w:pPr>
              <w:spacing w:line="360" w:lineRule="auto"/>
              <w:ind w:firstLine="480" w:firstLineChars="200"/>
              <w:rPr>
                <w:rFonts w:cs="Times New Roman"/>
                <w:sz w:val="24"/>
                <w:szCs w:val="24"/>
              </w:rPr>
            </w:pPr>
            <w:r>
              <w:rPr>
                <w:rFonts w:hint="eastAsia" w:cs="Times New Roman"/>
                <w:sz w:val="24"/>
                <w:szCs w:val="24"/>
              </w:rPr>
              <w:t>综上所述，根据《环境影响评价技术导则 大气环境》（HJ2.2-2018）中达标判断要求，区域为环境空气质量达标区。</w:t>
            </w:r>
          </w:p>
          <w:p>
            <w:pPr>
              <w:spacing w:line="360" w:lineRule="auto"/>
              <w:ind w:firstLine="482" w:firstLineChars="200"/>
              <w:rPr>
                <w:rFonts w:cs="Times New Roman"/>
                <w:b/>
                <w:bCs/>
                <w:sz w:val="24"/>
                <w:szCs w:val="24"/>
              </w:rPr>
            </w:pPr>
            <w:r>
              <w:rPr>
                <w:rFonts w:hint="eastAsia" w:cs="Times New Roman"/>
                <w:b/>
                <w:bCs/>
                <w:sz w:val="24"/>
                <w:szCs w:val="24"/>
              </w:rPr>
              <w:t>（</w:t>
            </w:r>
            <w:r>
              <w:rPr>
                <w:rFonts w:cs="Times New Roman"/>
                <w:b/>
                <w:bCs/>
                <w:sz w:val="24"/>
                <w:szCs w:val="24"/>
              </w:rPr>
              <w:t>2</w:t>
            </w:r>
            <w:r>
              <w:rPr>
                <w:rFonts w:hint="eastAsia" w:cs="Times New Roman"/>
                <w:b/>
                <w:bCs/>
                <w:sz w:val="24"/>
                <w:szCs w:val="24"/>
              </w:rPr>
              <w:t>）其他污染物现状评价</w:t>
            </w:r>
          </w:p>
          <w:p>
            <w:pPr>
              <w:spacing w:line="360" w:lineRule="auto"/>
              <w:ind w:firstLine="480" w:firstLineChars="200"/>
              <w:rPr>
                <w:rFonts w:cs="Times New Roman"/>
                <w:i/>
                <w:color w:val="FF0000"/>
                <w:sz w:val="24"/>
                <w:szCs w:val="24"/>
                <w:highlight w:val="none"/>
              </w:rPr>
            </w:pPr>
            <w:r>
              <w:rPr>
                <w:rFonts w:hint="eastAsia" w:cs="Times New Roman"/>
                <w:sz w:val="24"/>
                <w:szCs w:val="24"/>
              </w:rPr>
              <w:t>本次环评</w:t>
            </w:r>
            <w:r>
              <w:rPr>
                <w:rFonts w:hint="eastAsia" w:cs="Times New Roman"/>
                <w:sz w:val="24"/>
                <w:szCs w:val="24"/>
                <w:lang w:eastAsia="zh-CN"/>
              </w:rPr>
              <w:t>引用四川锡水金山环保科技有限公司</w:t>
            </w:r>
            <w:r>
              <w:rPr>
                <w:rFonts w:cs="Times New Roman"/>
                <w:sz w:val="24"/>
                <w:szCs w:val="24"/>
                <w:highlight w:val="none"/>
              </w:rPr>
              <w:t>于</w:t>
            </w:r>
            <w:r>
              <w:rPr>
                <w:rFonts w:hint="eastAsia" w:cs="Times New Roman"/>
                <w:sz w:val="24"/>
                <w:szCs w:val="24"/>
                <w:highlight w:val="none"/>
                <w:lang w:val="en-US" w:eastAsia="zh-CN"/>
              </w:rPr>
              <w:t>2021</w:t>
            </w:r>
            <w:r>
              <w:rPr>
                <w:rFonts w:hint="eastAsia" w:cs="Times New Roman"/>
                <w:sz w:val="24"/>
                <w:szCs w:val="24"/>
                <w:highlight w:val="none"/>
              </w:rPr>
              <w:t>年</w:t>
            </w:r>
            <w:r>
              <w:rPr>
                <w:rFonts w:hint="eastAsia" w:cs="Times New Roman"/>
                <w:sz w:val="24"/>
                <w:szCs w:val="24"/>
                <w:highlight w:val="none"/>
                <w:lang w:val="en-US" w:eastAsia="zh-CN"/>
              </w:rPr>
              <w:t>10</w:t>
            </w:r>
            <w:r>
              <w:rPr>
                <w:rFonts w:hint="eastAsia" w:cs="Times New Roman"/>
                <w:sz w:val="24"/>
                <w:szCs w:val="24"/>
                <w:highlight w:val="none"/>
              </w:rPr>
              <w:t>月</w:t>
            </w:r>
            <w:r>
              <w:rPr>
                <w:rFonts w:hint="eastAsia" w:cs="Times New Roman"/>
                <w:sz w:val="24"/>
                <w:szCs w:val="24"/>
                <w:highlight w:val="none"/>
                <w:lang w:val="en-US" w:eastAsia="zh-CN"/>
              </w:rPr>
              <w:t>22</w:t>
            </w:r>
            <w:r>
              <w:rPr>
                <w:rFonts w:hint="eastAsia" w:cs="Times New Roman"/>
                <w:sz w:val="24"/>
                <w:szCs w:val="24"/>
                <w:highlight w:val="none"/>
              </w:rPr>
              <w:t>日~</w:t>
            </w:r>
            <w:r>
              <w:rPr>
                <w:rFonts w:hint="eastAsia" w:cs="Times New Roman"/>
                <w:sz w:val="24"/>
                <w:szCs w:val="24"/>
                <w:highlight w:val="none"/>
                <w:lang w:val="en-US" w:eastAsia="zh-CN"/>
              </w:rPr>
              <w:t>28</w:t>
            </w:r>
            <w:r>
              <w:rPr>
                <w:rFonts w:hint="eastAsia" w:cs="Times New Roman"/>
                <w:sz w:val="24"/>
                <w:szCs w:val="24"/>
                <w:highlight w:val="none"/>
              </w:rPr>
              <w:t>日对</w:t>
            </w:r>
            <w:r>
              <w:rPr>
                <w:rFonts w:hint="eastAsia" w:cs="Times New Roman"/>
                <w:sz w:val="24"/>
                <w:szCs w:val="24"/>
                <w:highlight w:val="none"/>
                <w:lang w:eastAsia="zh-CN"/>
              </w:rPr>
              <w:t>《年产12000吨多功能涂层复合材料产业项目》</w:t>
            </w:r>
            <w:r>
              <w:rPr>
                <w:rFonts w:hint="eastAsia" w:cs="Times New Roman"/>
                <w:sz w:val="24"/>
                <w:szCs w:val="24"/>
                <w:highlight w:val="none"/>
                <w:lang w:val="en-US" w:eastAsia="zh-CN"/>
              </w:rPr>
              <w:t>TVOC的</w:t>
            </w:r>
            <w:r>
              <w:rPr>
                <w:rFonts w:hint="eastAsia" w:cs="Times New Roman"/>
                <w:sz w:val="24"/>
                <w:szCs w:val="24"/>
                <w:highlight w:val="none"/>
              </w:rPr>
              <w:t>监测</w:t>
            </w:r>
            <w:r>
              <w:rPr>
                <w:rFonts w:hint="eastAsia" w:cs="Times New Roman"/>
                <w:sz w:val="24"/>
                <w:szCs w:val="24"/>
                <w:highlight w:val="none"/>
                <w:lang w:eastAsia="zh-CN"/>
              </w:rPr>
              <w:t>数据，该项目位于巴中市经开区中山北路</w:t>
            </w:r>
            <w:r>
              <w:rPr>
                <w:rFonts w:hint="eastAsia" w:cs="Times New Roman"/>
                <w:sz w:val="24"/>
                <w:szCs w:val="24"/>
                <w:highlight w:val="none"/>
                <w:lang w:val="en-US" w:eastAsia="zh-CN"/>
              </w:rPr>
              <w:t>27号，距离本项目约为1.0km，故该监测报告引用有效</w:t>
            </w:r>
            <w:r>
              <w:rPr>
                <w:rFonts w:hint="eastAsia" w:cs="Times New Roman"/>
                <w:sz w:val="24"/>
                <w:szCs w:val="24"/>
                <w:highlight w:val="none"/>
              </w:rPr>
              <w:t>。</w:t>
            </w:r>
          </w:p>
          <w:p>
            <w:pPr>
              <w:kinsoku w:val="0"/>
              <w:overflowPunct w:val="0"/>
              <w:spacing w:line="360" w:lineRule="auto"/>
              <w:ind w:firstLine="482" w:firstLineChars="200"/>
              <w:rPr>
                <w:rFonts w:hint="default" w:ascii="Times New Roman" w:hAnsi="Times New Roman" w:cs="Times New Roman"/>
                <w:b/>
                <w:bCs/>
                <w:color w:val="000000"/>
                <w:kern w:val="2"/>
                <w:sz w:val="24"/>
                <w:szCs w:val="24"/>
              </w:rPr>
            </w:pPr>
            <w:r>
              <w:rPr>
                <w:rFonts w:hint="default" w:ascii="Times New Roman" w:hAnsi="Times New Roman" w:cs="Times New Roman"/>
                <w:b/>
                <w:bCs/>
                <w:color w:val="000000"/>
                <w:kern w:val="2"/>
                <w:sz w:val="24"/>
                <w:szCs w:val="24"/>
              </w:rPr>
              <w:t>（1）监测点位、监测因子及监测频次</w:t>
            </w:r>
          </w:p>
          <w:p>
            <w:pPr>
              <w:spacing w:line="240" w:lineRule="auto"/>
              <w:ind w:firstLine="482"/>
              <w:jc w:val="center"/>
              <w:rPr>
                <w:rFonts w:hint="default" w:ascii="Times New Roman" w:hAnsi="Times New Roman" w:cs="Times New Roman"/>
                <w:b/>
                <w:bCs/>
                <w:color w:val="000000"/>
                <w:kern w:val="2"/>
                <w:sz w:val="21"/>
                <w:szCs w:val="21"/>
                <w:vertAlign w:val="superscript"/>
              </w:rPr>
            </w:pPr>
            <w:r>
              <w:rPr>
                <w:rFonts w:hint="default" w:ascii="Times New Roman" w:hAnsi="Times New Roman" w:cs="Times New Roman"/>
                <w:b/>
                <w:bCs/>
                <w:color w:val="000000"/>
                <w:kern w:val="2"/>
                <w:sz w:val="21"/>
                <w:szCs w:val="21"/>
              </w:rPr>
              <w:t>表</w:t>
            </w:r>
            <w:r>
              <w:rPr>
                <w:rFonts w:hint="eastAsia" w:ascii="Times New Roman" w:hAnsi="Times New Roman" w:cs="Times New Roman"/>
                <w:b/>
                <w:bCs/>
                <w:color w:val="000000"/>
                <w:kern w:val="2"/>
                <w:sz w:val="21"/>
                <w:szCs w:val="21"/>
                <w:lang w:val="en-US" w:eastAsia="zh-CN"/>
              </w:rPr>
              <w:t>3</w:t>
            </w:r>
            <w:r>
              <w:rPr>
                <w:rFonts w:hint="default" w:ascii="Times New Roman" w:hAnsi="Times New Roman" w:cs="Times New Roman"/>
                <w:b/>
                <w:bCs/>
                <w:color w:val="000000"/>
                <w:kern w:val="2"/>
                <w:sz w:val="21"/>
                <w:szCs w:val="21"/>
              </w:rPr>
              <w:t>-1    环境空气监测点位及检测频次</w:t>
            </w:r>
          </w:p>
          <w:tbl>
            <w:tblPr>
              <w:tblStyle w:val="24"/>
              <w:tblW w:w="501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02"/>
              <w:gridCol w:w="1407"/>
              <w:gridCol w:w="1232"/>
              <w:gridCol w:w="1037"/>
              <w:gridCol w:w="1210"/>
              <w:gridCol w:w="27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08"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编号</w:t>
                  </w:r>
                </w:p>
              </w:tc>
              <w:tc>
                <w:tcPr>
                  <w:tcW w:w="8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监测点名称</w:t>
                  </w:r>
                </w:p>
              </w:tc>
              <w:tc>
                <w:tcPr>
                  <w:tcW w:w="75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bCs/>
                      <w:color w:val="000000"/>
                      <w:sz w:val="21"/>
                      <w:szCs w:val="21"/>
                    </w:rPr>
                    <w:t>监测时间</w:t>
                  </w:r>
                </w:p>
              </w:tc>
              <w:tc>
                <w:tcPr>
                  <w:tcW w:w="63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监测项目</w:t>
                  </w:r>
                </w:p>
              </w:tc>
              <w:tc>
                <w:tcPr>
                  <w:tcW w:w="74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监测频率</w:t>
                  </w:r>
                </w:p>
              </w:tc>
              <w:tc>
                <w:tcPr>
                  <w:tcW w:w="169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0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G1</w:t>
                  </w:r>
                </w:p>
              </w:tc>
              <w:tc>
                <w:tcPr>
                  <w:tcW w:w="8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四川羽玺电子科技有限公司厂界外西南侧</w:t>
                  </w:r>
                </w:p>
              </w:tc>
              <w:tc>
                <w:tcPr>
                  <w:tcW w:w="756" w:type="pct"/>
                  <w:tcBorders>
                    <w:tl2br w:val="nil"/>
                    <w:tr2bl w:val="nil"/>
                  </w:tcBorders>
                  <w:noWrap w:val="0"/>
                  <w:vAlign w:val="center"/>
                </w:tcPr>
                <w:p>
                  <w:pPr>
                    <w:pStyle w:val="103"/>
                    <w:adjustRightInd w:val="0"/>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2021年10月22日~10月28日</w:t>
                  </w:r>
                </w:p>
              </w:tc>
              <w:tc>
                <w:tcPr>
                  <w:tcW w:w="636" w:type="pct"/>
                  <w:tcBorders>
                    <w:tl2br w:val="nil"/>
                    <w:tr2bl w:val="nil"/>
                  </w:tcBorders>
                  <w:noWrap w:val="0"/>
                  <w:vAlign w:val="center"/>
                </w:tcPr>
                <w:p>
                  <w:pPr>
                    <w:pStyle w:val="103"/>
                    <w:adjustRightInd w:val="0"/>
                    <w:snapToGrid w:val="0"/>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TVOC</w:t>
                  </w:r>
                </w:p>
              </w:tc>
              <w:tc>
                <w:tcPr>
                  <w:tcW w:w="742" w:type="pct"/>
                  <w:tcBorders>
                    <w:tl2br w:val="nil"/>
                    <w:tr2bl w:val="nil"/>
                  </w:tcBorders>
                  <w:noWrap w:val="0"/>
                  <w:vAlign w:val="center"/>
                </w:tcPr>
                <w:p>
                  <w:pPr>
                    <w:pStyle w:val="103"/>
                    <w:adjustRightInd w:val="0"/>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TVOC测8h均值；甲苯测1h值；监测7天</w:t>
                  </w:r>
                </w:p>
              </w:tc>
              <w:tc>
                <w:tcPr>
                  <w:tcW w:w="169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TVOC、甲苯执行《环境影响评价技术导则 大气环境HJ-2.2—2018》附录D中标准限值</w:t>
                  </w:r>
                </w:p>
              </w:tc>
            </w:tr>
          </w:tbl>
          <w:p>
            <w:pPr>
              <w:spacing w:line="360" w:lineRule="auto"/>
              <w:ind w:firstLine="482" w:firstLineChars="200"/>
              <w:rPr>
                <w:rFonts w:cs="Times New Roman"/>
                <w:b/>
                <w:sz w:val="24"/>
              </w:rPr>
            </w:pPr>
            <w:r>
              <w:rPr>
                <w:rFonts w:hint="eastAsia" w:cs="Times New Roman"/>
                <w:b/>
                <w:sz w:val="24"/>
                <w:lang w:eastAsia="zh-CN"/>
              </w:rPr>
              <w:t>（</w:t>
            </w:r>
            <w:r>
              <w:rPr>
                <w:rFonts w:hint="eastAsia" w:cs="Times New Roman"/>
                <w:b/>
                <w:sz w:val="24"/>
                <w:lang w:val="en-US" w:eastAsia="zh-CN"/>
              </w:rPr>
              <w:t>2</w:t>
            </w:r>
            <w:r>
              <w:rPr>
                <w:rFonts w:hint="eastAsia" w:cs="Times New Roman"/>
                <w:b/>
                <w:sz w:val="24"/>
                <w:lang w:eastAsia="zh-CN"/>
              </w:rPr>
              <w:t>）</w:t>
            </w:r>
            <w:r>
              <w:rPr>
                <w:rFonts w:hint="eastAsia" w:cs="Times New Roman"/>
                <w:b/>
                <w:sz w:val="24"/>
              </w:rPr>
              <w:t>监测结果</w:t>
            </w:r>
          </w:p>
          <w:p>
            <w:pPr>
              <w:spacing w:line="360" w:lineRule="auto"/>
              <w:ind w:firstLine="480" w:firstLineChars="200"/>
              <w:rPr>
                <w:sz w:val="24"/>
                <w:szCs w:val="24"/>
              </w:rPr>
            </w:pPr>
            <w:r>
              <w:rPr>
                <w:sz w:val="24"/>
                <w:szCs w:val="24"/>
              </w:rPr>
              <w:t>区域</w:t>
            </w:r>
            <w:r>
              <w:rPr>
                <w:rFonts w:hint="eastAsia"/>
                <w:sz w:val="24"/>
                <w:szCs w:val="24"/>
              </w:rPr>
              <w:t>其他</w:t>
            </w:r>
            <w:r>
              <w:rPr>
                <w:sz w:val="24"/>
                <w:szCs w:val="24"/>
              </w:rPr>
              <w:t>污染物现状监测结果</w:t>
            </w:r>
            <w:r>
              <w:rPr>
                <w:rFonts w:cs="Times New Roman"/>
                <w:sz w:val="24"/>
              </w:rPr>
              <w:t>见</w:t>
            </w:r>
            <w:r>
              <w:rPr>
                <w:rFonts w:hint="eastAsia" w:cs="Times New Roman"/>
                <w:sz w:val="24"/>
              </w:rPr>
              <w:t>下表</w:t>
            </w:r>
            <w:r>
              <w:rPr>
                <w:rFonts w:hint="eastAsia"/>
                <w:sz w:val="24"/>
                <w:szCs w:val="24"/>
              </w:rPr>
              <w:t>。</w:t>
            </w:r>
          </w:p>
          <w:p>
            <w:pPr>
              <w:spacing w:line="240" w:lineRule="auto"/>
              <w:jc w:val="center"/>
              <w:rPr>
                <w:rFonts w:hint="eastAsia"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val="en-US" w:eastAsia="zh-CN"/>
              </w:rPr>
              <w:t xml:space="preserve">表3-2   </w:t>
            </w:r>
            <w:r>
              <w:rPr>
                <w:rFonts w:hint="eastAsia" w:ascii="Times New Roman" w:hAnsi="Times New Roman" w:eastAsia="宋体" w:cs="Times New Roman"/>
                <w:b/>
                <w:bCs/>
                <w:color w:val="000000"/>
                <w:kern w:val="2"/>
                <w:sz w:val="21"/>
                <w:szCs w:val="21"/>
                <w:lang w:eastAsia="zh-CN"/>
              </w:rPr>
              <w:t>其他污染物现状监测结果</w:t>
            </w:r>
          </w:p>
          <w:tbl>
            <w:tblPr>
              <w:tblStyle w:val="24"/>
              <w:tblW w:w="8050"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31"/>
              <w:gridCol w:w="2251"/>
              <w:gridCol w:w="49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监测点位</w:t>
                  </w: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监测时间</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TVOC（8小时均值浓度）</w:t>
                  </w:r>
                  <w:r>
                    <w:rPr>
                      <w:rFonts w:hint="default" w:ascii="Times New Roman" w:hAnsi="Times New Roman" w:cs="Times New Roman"/>
                      <w:b/>
                      <w:bCs/>
                      <w:color w:val="000000"/>
                      <w:sz w:val="21"/>
                      <w:szCs w:val="21"/>
                      <w:lang w:val="en-US" w:eastAsia="zh-CN"/>
                    </w:rPr>
                    <w:t xml:space="preserve">  单位</w:t>
                  </w:r>
                  <w:r>
                    <w:rPr>
                      <w:rFonts w:hint="default" w:ascii="Times New Roman" w:hAnsi="Times New Roman" w:cs="Times New Roman"/>
                      <w:b/>
                      <w:bCs/>
                      <w:color w:val="000000"/>
                      <w:sz w:val="21"/>
                      <w:szCs w:val="21"/>
                    </w:rPr>
                    <w:t>mg/m</w:t>
                  </w:r>
                  <w:r>
                    <w:rPr>
                      <w:rFonts w:hint="default" w:ascii="Times New Roman" w:hAnsi="Times New Roman" w:cs="Times New Roman"/>
                      <w:b/>
                      <w:bCs/>
                      <w:color w:val="00000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restar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四川羽玺电子科技有限公司厂界外西南侧</w:t>
                  </w: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2021.10.22</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0.0615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2021.10.23</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2021.10.24</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0.0544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2021.10.25</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0.0448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2021.10.26</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0.0677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2021.10.27</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0.0552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16"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p>
              </w:tc>
              <w:tc>
                <w:tcPr>
                  <w:tcW w:w="1397"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2021.10.28</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0.0453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914" w:type="pct"/>
                  <w:gridSpan w:val="2"/>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Pi（max）</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0.113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914" w:type="pct"/>
                  <w:gridSpan w:val="2"/>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质量标准</w:t>
                  </w:r>
                </w:p>
              </w:tc>
              <w:tc>
                <w:tcPr>
                  <w:tcW w:w="3085" w:type="pct"/>
                  <w:tcBorders>
                    <w:tl2br w:val="nil"/>
                    <w:tr2bl w:val="nil"/>
                  </w:tcBorders>
                  <w:noWrap w:val="0"/>
                  <w:vAlign w:val="center"/>
                </w:tcPr>
                <w:p>
                  <w:pPr>
                    <w:pStyle w:val="58"/>
                    <w:keepNext w:val="0"/>
                    <w:keepLines w:val="0"/>
                    <w:pageBreakBefore w:val="0"/>
                    <w:widowControl w:val="0"/>
                    <w:kinsoku/>
                    <w:wordWrap/>
                    <w:overflowPunct/>
                    <w:topLinePunct w:val="0"/>
                    <w:autoSpaceDE w:val="0"/>
                    <w:autoSpaceDN w:val="0"/>
                    <w:bidi w:val="0"/>
                    <w:adjustRightInd w:val="0"/>
                    <w:snapToGrid w:val="0"/>
                    <w:spacing w:before="0" w:after="0" w:line="240" w:lineRule="auto"/>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0.6</w:t>
                  </w:r>
                </w:p>
              </w:tc>
            </w:tr>
          </w:tbl>
          <w:p>
            <w:pPr>
              <w:spacing w:line="360" w:lineRule="auto"/>
              <w:ind w:firstLine="480" w:firstLineChars="200"/>
              <w:rPr>
                <w:rFonts w:hint="eastAsia" w:eastAsia="宋体"/>
                <w:sz w:val="24"/>
                <w:szCs w:val="24"/>
                <w:lang w:eastAsia="zh-CN"/>
              </w:rPr>
            </w:pPr>
            <w:r>
              <w:rPr>
                <w:rFonts w:hint="eastAsia"/>
                <w:sz w:val="24"/>
                <w:szCs w:val="24"/>
              </w:rPr>
              <w:t>监测结果表明，项目所在区域TVOC可满足《环境影响评价技术导则 大气环境HJ-2.2—2018》附录D浓度限值要求</w:t>
            </w:r>
            <w:r>
              <w:rPr>
                <w:rFonts w:hint="eastAsia"/>
                <w:sz w:val="24"/>
                <w:szCs w:val="24"/>
                <w:lang w:eastAsia="zh-CN"/>
              </w:rPr>
              <w:t>。</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、地表水环境质量现状</w:t>
            </w:r>
          </w:p>
          <w:p>
            <w:pPr>
              <w:spacing w:line="360" w:lineRule="auto"/>
              <w:ind w:firstLine="480" w:firstLineChars="200"/>
              <w:rPr>
                <w:rFonts w:hint="eastAsia" w:cstheme="minorHAnsi"/>
                <w:sz w:val="24"/>
                <w:szCs w:val="24"/>
              </w:rPr>
            </w:pPr>
            <w:r>
              <w:rPr>
                <w:rFonts w:hint="eastAsia" w:cstheme="minorHAnsi"/>
                <w:sz w:val="24"/>
                <w:szCs w:val="24"/>
              </w:rPr>
              <w:t>本项目受纳水体为巴河，根据《建设项目环境影响报告表编制技术指南（污染影响类）（试行）》中“引用与建设项目距离近的有效数据，包括近3年的规划环境影响评价的监测数据，所在流域控制单元内国家、地方控制断面监测数据，生态环境主管部门发布的水环境质量数据或地表水达标情况的结论”的规定，本次环评引用巴中市生态环境局公开发布的《2021年巴中市生态环境状况公报》中地表水环境质量结论。</w:t>
            </w:r>
          </w:p>
          <w:p>
            <w:pPr>
              <w:spacing w:line="360" w:lineRule="auto"/>
              <w:ind w:firstLine="480" w:firstLineChars="200"/>
              <w:rPr>
                <w:rFonts w:hint="eastAsia" w:cs="Times New Roman"/>
                <w:sz w:val="24"/>
                <w:szCs w:val="24"/>
              </w:rPr>
            </w:pPr>
            <w:r>
              <w:rPr>
                <w:rFonts w:hint="eastAsia" w:cstheme="minorHAnsi"/>
                <w:sz w:val="24"/>
                <w:szCs w:val="24"/>
              </w:rPr>
              <w:t>2021年，巴河总体水质为优，国省控断面I</w:t>
            </w:r>
            <w:r>
              <w:rPr>
                <w:rFonts w:cstheme="minorHAnsi"/>
                <w:sz w:val="24"/>
                <w:szCs w:val="24"/>
              </w:rPr>
              <w:t>~</w:t>
            </w:r>
            <w:r>
              <w:rPr>
                <w:rFonts w:hint="eastAsia" w:cstheme="minorHAnsi"/>
                <w:sz w:val="24"/>
                <w:szCs w:val="24"/>
              </w:rPr>
              <w:t>III类水质占比100%。与上年相比，巴河总体水质不变，保持为优，I</w:t>
            </w:r>
            <w:r>
              <w:rPr>
                <w:rFonts w:cstheme="minorHAnsi"/>
                <w:sz w:val="24"/>
                <w:szCs w:val="24"/>
              </w:rPr>
              <w:t>~</w:t>
            </w:r>
            <w:r>
              <w:rPr>
                <w:rFonts w:hint="eastAsia" w:cstheme="minorHAnsi"/>
                <w:sz w:val="24"/>
                <w:szCs w:val="24"/>
              </w:rPr>
              <w:t>III类水质占比100%，鳌溪断面水质有所变差，水质类别由II类变为III类，其余各断面水质均无明显变化</w:t>
            </w:r>
            <w:r>
              <w:rPr>
                <w:rFonts w:hint="eastAsia" w:cs="Times New Roman"/>
                <w:sz w:val="24"/>
                <w:szCs w:val="24"/>
              </w:rPr>
              <w:t>。</w:t>
            </w:r>
          </w:p>
          <w:p>
            <w:pPr>
              <w:spacing w:line="360" w:lineRule="auto"/>
              <w:ind w:firstLine="480" w:firstLineChars="200"/>
              <w:rPr>
                <w:rFonts w:cstheme="minorHAnsi"/>
                <w:sz w:val="24"/>
                <w:szCs w:val="24"/>
              </w:rPr>
            </w:pPr>
            <w:r>
              <w:rPr>
                <w:rFonts w:hint="eastAsia" w:cs="Times New Roman"/>
                <w:sz w:val="24"/>
                <w:szCs w:val="24"/>
              </w:rPr>
              <w:t>项目污水经市政污水管网排入巴中经开区污水处理厂，受纳水体为巴河，根据《2021年巴中市生态环境质量状况公报》，巴河满足《地表水环境质量标准》（GB3838-2002）Ⅲ类标准，项目所在区域地表水体巴河环境质量现状良好。</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、声环境质量现状</w:t>
            </w:r>
          </w:p>
          <w:p>
            <w:pPr>
              <w:spacing w:line="360" w:lineRule="auto"/>
              <w:ind w:firstLine="480" w:firstLineChars="200"/>
              <w:rPr>
                <w:rFonts w:cs="Times New Roman"/>
                <w:color w:val="auto"/>
                <w:sz w:val="24"/>
                <w:szCs w:val="24"/>
              </w:rPr>
            </w:pPr>
            <w:r>
              <w:rPr>
                <w:rFonts w:hint="eastAsia" w:cs="Times New Roman"/>
                <w:color w:val="auto"/>
                <w:sz w:val="24"/>
                <w:szCs w:val="24"/>
              </w:rPr>
              <w:t>为了解区域声环境质量现状，本次环评委托四川锡水金山环保科技有限公司于</w:t>
            </w:r>
            <w:r>
              <w:rPr>
                <w:rFonts w:hint="eastAsia" w:cs="Times New Roman"/>
                <w:color w:val="auto"/>
                <w:sz w:val="24"/>
                <w:szCs w:val="24"/>
                <w:lang w:val="en-US" w:eastAsia="zh-CN"/>
              </w:rPr>
              <w:t>2023年</w:t>
            </w:r>
            <w:bookmarkStart w:id="6" w:name="日期"/>
            <w:r>
              <w:rPr>
                <w:rFonts w:hint="eastAsia" w:cs="Times New Roman"/>
                <w:color w:val="auto"/>
                <w:sz w:val="24"/>
                <w:szCs w:val="24"/>
                <w:lang w:val="en-US" w:eastAsia="zh-CN"/>
              </w:rPr>
              <w:t>6月4日</w:t>
            </w:r>
            <w:bookmarkEnd w:id="6"/>
            <w:r>
              <w:rPr>
                <w:rFonts w:hint="eastAsia" w:cs="Times New Roman"/>
                <w:color w:val="auto"/>
                <w:sz w:val="24"/>
                <w:szCs w:val="24"/>
                <w:lang w:val="en-US" w:eastAsia="zh-CN"/>
              </w:rPr>
              <w:t>-6月5日</w:t>
            </w:r>
            <w:r>
              <w:rPr>
                <w:rFonts w:hint="eastAsia" w:cs="Times New Roman"/>
                <w:color w:val="auto"/>
                <w:sz w:val="24"/>
                <w:szCs w:val="24"/>
              </w:rPr>
              <w:t>对区域环境噪声进行监测。</w:t>
            </w:r>
          </w:p>
          <w:p>
            <w:pPr>
              <w:spacing w:line="360" w:lineRule="auto"/>
              <w:ind w:firstLine="482" w:firstLineChars="200"/>
              <w:rPr>
                <w:b/>
                <w:color w:val="auto"/>
                <w:kern w:val="24"/>
                <w:sz w:val="24"/>
                <w:szCs w:val="24"/>
              </w:rPr>
            </w:pPr>
            <w:r>
              <w:rPr>
                <w:rFonts w:hint="eastAsia"/>
                <w:b/>
                <w:color w:val="auto"/>
                <w:kern w:val="24"/>
                <w:sz w:val="24"/>
                <w:szCs w:val="24"/>
              </w:rPr>
              <w:t>（</w:t>
            </w:r>
            <w:r>
              <w:rPr>
                <w:b/>
                <w:color w:val="auto"/>
                <w:kern w:val="24"/>
                <w:sz w:val="24"/>
                <w:szCs w:val="24"/>
              </w:rPr>
              <w:t>1</w:t>
            </w:r>
            <w:r>
              <w:rPr>
                <w:rFonts w:hint="eastAsia"/>
                <w:b/>
                <w:color w:val="auto"/>
                <w:kern w:val="24"/>
                <w:sz w:val="24"/>
                <w:szCs w:val="24"/>
              </w:rPr>
              <w:t>）监测点位、监测项目、监测频率及执行标准</w:t>
            </w:r>
          </w:p>
          <w:p>
            <w:pPr>
              <w:spacing w:line="360" w:lineRule="auto"/>
              <w:ind w:firstLine="480" w:firstLineChars="200"/>
              <w:rPr>
                <w:color w:val="auto"/>
                <w:sz w:val="24"/>
                <w:szCs w:val="24"/>
              </w:rPr>
            </w:pPr>
            <w:r>
              <w:rPr>
                <w:rFonts w:hint="eastAsia"/>
                <w:color w:val="auto"/>
                <w:sz w:val="24"/>
                <w:szCs w:val="24"/>
              </w:rPr>
              <w:t>项目共设噪声监测点个，监测点位置</w:t>
            </w:r>
            <w:r>
              <w:rPr>
                <w:rFonts w:cs="Times New Roman"/>
                <w:color w:val="auto"/>
                <w:sz w:val="24"/>
              </w:rPr>
              <w:t>见</w:t>
            </w:r>
            <w:r>
              <w:rPr>
                <w:rFonts w:hint="eastAsia" w:cs="Times New Roman"/>
                <w:color w:val="auto"/>
                <w:sz w:val="24"/>
              </w:rPr>
              <w:t>下表</w:t>
            </w:r>
            <w:r>
              <w:rPr>
                <w:rFonts w:hint="eastAsia"/>
                <w:color w:val="auto"/>
                <w:sz w:val="24"/>
                <w:szCs w:val="24"/>
              </w:rPr>
              <w:t>。</w:t>
            </w:r>
          </w:p>
          <w:p>
            <w:pPr>
              <w:spacing w:line="240" w:lineRule="auto"/>
              <w:jc w:val="center"/>
              <w:rPr>
                <w:rFonts w:hint="eastAsia"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表3-</w:t>
            </w:r>
            <w:r>
              <w:rPr>
                <w:rFonts w:hint="eastAsia" w:ascii="Times New Roman" w:hAnsi="Times New Roman" w:eastAsia="宋体" w:cs="Times New Roman"/>
                <w:b/>
                <w:bCs/>
                <w:color w:val="000000"/>
                <w:kern w:val="2"/>
                <w:sz w:val="21"/>
                <w:szCs w:val="21"/>
                <w:lang w:val="en-US" w:eastAsia="zh-CN"/>
              </w:rPr>
              <w:t>3</w:t>
            </w:r>
            <w:r>
              <w:rPr>
                <w:rFonts w:hint="default" w:ascii="Times New Roman" w:hAnsi="Times New Roman" w:eastAsia="宋体" w:cs="Times New Roman"/>
                <w:b/>
                <w:bCs/>
                <w:color w:val="000000"/>
                <w:kern w:val="2"/>
                <w:sz w:val="21"/>
                <w:szCs w:val="21"/>
                <w:lang w:val="en-US" w:eastAsia="zh-CN"/>
              </w:rPr>
              <w:t xml:space="preserve">   </w:t>
            </w:r>
            <w:r>
              <w:rPr>
                <w:rFonts w:hint="eastAsia" w:ascii="Times New Roman" w:hAnsi="Times New Roman" w:eastAsia="宋体" w:cs="Times New Roman"/>
                <w:b/>
                <w:bCs/>
                <w:color w:val="000000"/>
                <w:kern w:val="2"/>
                <w:sz w:val="21"/>
                <w:szCs w:val="21"/>
                <w:lang w:val="en-US" w:eastAsia="zh-CN"/>
              </w:rPr>
              <w:t>噪声监测点位表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96"/>
              <w:gridCol w:w="2292"/>
              <w:gridCol w:w="1685"/>
              <w:gridCol w:w="1696"/>
              <w:gridCol w:w="18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67" w:type="pct"/>
                  <w:tcBorders>
                    <w:tl2br w:val="nil"/>
                    <w:tr2bl w:val="nil"/>
                  </w:tcBorders>
                  <w:noWrap w:val="0"/>
                  <w:vAlign w:val="center"/>
                </w:tcPr>
                <w:p>
                  <w:pPr>
                    <w:spacing w:line="360" w:lineRule="exact"/>
                    <w:jc w:val="center"/>
                    <w:rPr>
                      <w:rFonts w:hint="default" w:ascii="Times New Roman" w:hAnsi="Times New Roman" w:cs="Times New Roman"/>
                      <w:b/>
                      <w:color w:val="000000"/>
                      <w:kern w:val="2"/>
                      <w:sz w:val="21"/>
                      <w:szCs w:val="21"/>
                    </w:rPr>
                  </w:pPr>
                  <w:r>
                    <w:rPr>
                      <w:rFonts w:hint="default" w:ascii="Times New Roman" w:hAnsi="Times New Roman" w:cs="Times New Roman"/>
                      <w:b/>
                      <w:color w:val="000000"/>
                      <w:kern w:val="2"/>
                      <w:sz w:val="21"/>
                      <w:szCs w:val="21"/>
                    </w:rPr>
                    <w:t>编号</w:t>
                  </w:r>
                </w:p>
              </w:tc>
              <w:tc>
                <w:tcPr>
                  <w:tcW w:w="1412" w:type="pct"/>
                  <w:tcBorders>
                    <w:tl2br w:val="nil"/>
                    <w:tr2bl w:val="nil"/>
                  </w:tcBorders>
                  <w:noWrap w:val="0"/>
                  <w:vAlign w:val="center"/>
                </w:tcPr>
                <w:p>
                  <w:pPr>
                    <w:spacing w:line="360" w:lineRule="exact"/>
                    <w:jc w:val="center"/>
                    <w:rPr>
                      <w:rFonts w:hint="default" w:ascii="Times New Roman" w:hAnsi="Times New Roman" w:cs="Times New Roman"/>
                      <w:b/>
                      <w:color w:val="000000"/>
                      <w:kern w:val="2"/>
                      <w:sz w:val="21"/>
                      <w:szCs w:val="21"/>
                    </w:rPr>
                  </w:pPr>
                  <w:r>
                    <w:rPr>
                      <w:rFonts w:hint="default" w:ascii="Times New Roman" w:hAnsi="Times New Roman" w:cs="Times New Roman"/>
                      <w:b/>
                      <w:color w:val="000000"/>
                      <w:kern w:val="2"/>
                      <w:sz w:val="21"/>
                      <w:szCs w:val="21"/>
                    </w:rPr>
                    <w:t>监测点位置</w:t>
                  </w:r>
                </w:p>
              </w:tc>
              <w:tc>
                <w:tcPr>
                  <w:tcW w:w="1038" w:type="pc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4"/>
                    </w:rPr>
                  </w:pPr>
                  <w:r>
                    <w:rPr>
                      <w:rFonts w:hint="default" w:ascii="Times New Roman" w:hAnsi="Times New Roman" w:cs="Times New Roman"/>
                      <w:b/>
                      <w:color w:val="000000"/>
                      <w:kern w:val="2"/>
                      <w:sz w:val="21"/>
                      <w:szCs w:val="21"/>
                    </w:rPr>
                    <w:t>监测项目</w:t>
                  </w:r>
                </w:p>
              </w:tc>
              <w:tc>
                <w:tcPr>
                  <w:tcW w:w="1045" w:type="pc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4"/>
                    </w:rPr>
                  </w:pPr>
                  <w:r>
                    <w:rPr>
                      <w:rFonts w:hint="default" w:ascii="Times New Roman" w:hAnsi="Times New Roman" w:cs="Times New Roman"/>
                      <w:b/>
                      <w:color w:val="000000"/>
                      <w:kern w:val="2"/>
                      <w:sz w:val="21"/>
                      <w:szCs w:val="21"/>
                    </w:rPr>
                    <w:t>监测频率</w:t>
                  </w:r>
                </w:p>
              </w:tc>
              <w:tc>
                <w:tcPr>
                  <w:tcW w:w="1136" w:type="pct"/>
                  <w:tcBorders>
                    <w:tl2br w:val="nil"/>
                    <w:tr2bl w:val="nil"/>
                  </w:tcBorders>
                  <w:noWrap w:val="0"/>
                  <w:vAlign w:val="center"/>
                </w:tcPr>
                <w:p>
                  <w:pPr>
                    <w:spacing w:line="360" w:lineRule="exact"/>
                    <w:jc w:val="center"/>
                    <w:rPr>
                      <w:rFonts w:hint="default" w:ascii="Times New Roman" w:hAnsi="Times New Roman" w:cs="Times New Roman"/>
                      <w:b/>
                      <w:color w:val="000000"/>
                      <w:kern w:val="2"/>
                      <w:sz w:val="21"/>
                      <w:szCs w:val="21"/>
                    </w:rPr>
                  </w:pPr>
                  <w:r>
                    <w:rPr>
                      <w:rFonts w:hint="default" w:ascii="Times New Roman" w:hAnsi="Times New Roman" w:cs="Times New Roman"/>
                      <w:b/>
                      <w:color w:val="000000"/>
                      <w:kern w:val="2"/>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67" w:type="pc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w:t>
                  </w:r>
                </w:p>
              </w:tc>
              <w:tc>
                <w:tcPr>
                  <w:tcW w:w="2369" w:type="dxa"/>
                  <w:tcBorders>
                    <w:tl2br w:val="nil"/>
                    <w:tr2bl w:val="nil"/>
                  </w:tcBorders>
                  <w:noWrap w:val="0"/>
                  <w:vAlign w:val="center"/>
                </w:tcPr>
                <w:p>
                  <w:pPr>
                    <w:spacing w:line="240" w:lineRule="auto"/>
                    <w:jc w:val="center"/>
                    <w:rPr>
                      <w:rFonts w:hint="default" w:ascii="Times New Roman" w:hAnsi="Times New Roman" w:cs="Times New Roman"/>
                      <w:color w:val="000000"/>
                      <w:kern w:val="2"/>
                      <w:sz w:val="21"/>
                      <w:szCs w:val="21"/>
                    </w:rPr>
                  </w:pPr>
                  <w:r>
                    <w:rPr>
                      <w:color w:val="auto"/>
                      <w:kern w:val="0"/>
                      <w:szCs w:val="21"/>
                    </w:rPr>
                    <w:t>厂界</w:t>
                  </w:r>
                  <w:r>
                    <w:rPr>
                      <w:rFonts w:hint="eastAsia"/>
                      <w:color w:val="auto"/>
                      <w:kern w:val="0"/>
                      <w:szCs w:val="21"/>
                    </w:rPr>
                    <w:t>北侧</w:t>
                  </w:r>
                  <w:r>
                    <w:rPr>
                      <w:color w:val="auto"/>
                      <w:kern w:val="0"/>
                      <w:szCs w:val="21"/>
                    </w:rPr>
                    <w:t>外</w:t>
                  </w:r>
                  <w:r>
                    <w:rPr>
                      <w:rFonts w:hint="eastAsia"/>
                      <w:color w:val="auto"/>
                      <w:kern w:val="0"/>
                      <w:szCs w:val="21"/>
                    </w:rPr>
                    <w:t>1m处</w:t>
                  </w:r>
                </w:p>
              </w:tc>
              <w:tc>
                <w:tcPr>
                  <w:tcW w:w="1038" w:type="pct"/>
                  <w:vMerge w:val="restar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等效连续</w:t>
                  </w:r>
                </w:p>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A声级（Leq(A)）</w:t>
                  </w:r>
                </w:p>
              </w:tc>
              <w:tc>
                <w:tcPr>
                  <w:tcW w:w="1045" w:type="pct"/>
                  <w:vMerge w:val="restar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监测2天，每天昼间、夜间各监测1次</w:t>
                  </w:r>
                </w:p>
              </w:tc>
              <w:tc>
                <w:tcPr>
                  <w:tcW w:w="1136" w:type="pct"/>
                  <w:vMerge w:val="restar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4"/>
                    </w:rPr>
                  </w:pPr>
                  <w:r>
                    <w:rPr>
                      <w:rFonts w:hint="default" w:ascii="Times New Roman" w:hAnsi="Times New Roman" w:cs="Times New Roman"/>
                      <w:color w:val="000000"/>
                      <w:kern w:val="2"/>
                      <w:sz w:val="21"/>
                      <w:szCs w:val="24"/>
                    </w:rPr>
                    <w:t>《工业企业厂界环境噪声排放标准》（GB 12348-2008）3类标准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67" w:type="pc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w:t>
                  </w:r>
                </w:p>
              </w:tc>
              <w:tc>
                <w:tcPr>
                  <w:tcW w:w="2369" w:type="dxa"/>
                  <w:tcBorders>
                    <w:tl2br w:val="nil"/>
                    <w:tr2bl w:val="nil"/>
                  </w:tcBorders>
                  <w:noWrap w:val="0"/>
                  <w:vAlign w:val="center"/>
                </w:tcPr>
                <w:p>
                  <w:pPr>
                    <w:spacing w:line="240" w:lineRule="auto"/>
                    <w:jc w:val="center"/>
                    <w:rPr>
                      <w:rFonts w:hint="default" w:ascii="Times New Roman" w:hAnsi="Times New Roman" w:cs="Times New Roman"/>
                      <w:color w:val="000000"/>
                      <w:kern w:val="2"/>
                      <w:sz w:val="21"/>
                      <w:szCs w:val="21"/>
                    </w:rPr>
                  </w:pPr>
                  <w:r>
                    <w:rPr>
                      <w:color w:val="auto"/>
                      <w:kern w:val="0"/>
                      <w:szCs w:val="21"/>
                    </w:rPr>
                    <w:t>厂界</w:t>
                  </w:r>
                  <w:r>
                    <w:rPr>
                      <w:rFonts w:hint="eastAsia"/>
                      <w:color w:val="auto"/>
                      <w:kern w:val="0"/>
                      <w:szCs w:val="21"/>
                    </w:rPr>
                    <w:t>东侧</w:t>
                  </w:r>
                  <w:r>
                    <w:rPr>
                      <w:color w:val="auto"/>
                      <w:kern w:val="0"/>
                      <w:szCs w:val="21"/>
                    </w:rPr>
                    <w:t>外</w:t>
                  </w:r>
                  <w:r>
                    <w:rPr>
                      <w:rFonts w:hint="eastAsia"/>
                      <w:color w:val="auto"/>
                      <w:kern w:val="0"/>
                      <w:szCs w:val="21"/>
                    </w:rPr>
                    <w:t>1m处</w:t>
                  </w:r>
                </w:p>
              </w:tc>
              <w:tc>
                <w:tcPr>
                  <w:tcW w:w="1038"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p>
              </w:tc>
              <w:tc>
                <w:tcPr>
                  <w:tcW w:w="1045"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p>
              </w:tc>
              <w:tc>
                <w:tcPr>
                  <w:tcW w:w="1136"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67" w:type="pc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3#</w:t>
                  </w:r>
                </w:p>
              </w:tc>
              <w:tc>
                <w:tcPr>
                  <w:tcW w:w="2369" w:type="dxa"/>
                  <w:tcBorders>
                    <w:tl2br w:val="nil"/>
                    <w:tr2bl w:val="nil"/>
                  </w:tcBorders>
                  <w:noWrap w:val="0"/>
                  <w:vAlign w:val="center"/>
                </w:tcPr>
                <w:p>
                  <w:pPr>
                    <w:spacing w:line="240" w:lineRule="auto"/>
                    <w:jc w:val="center"/>
                    <w:rPr>
                      <w:rFonts w:hint="default" w:ascii="Times New Roman" w:hAnsi="Times New Roman" w:cs="Times New Roman"/>
                      <w:color w:val="000000"/>
                      <w:kern w:val="2"/>
                      <w:sz w:val="21"/>
                      <w:szCs w:val="21"/>
                    </w:rPr>
                  </w:pPr>
                  <w:r>
                    <w:rPr>
                      <w:color w:val="auto"/>
                      <w:kern w:val="0"/>
                      <w:szCs w:val="21"/>
                    </w:rPr>
                    <w:t>厂界</w:t>
                  </w:r>
                  <w:r>
                    <w:rPr>
                      <w:rFonts w:hint="eastAsia"/>
                      <w:color w:val="auto"/>
                      <w:kern w:val="0"/>
                      <w:szCs w:val="21"/>
                    </w:rPr>
                    <w:t>南侧</w:t>
                  </w:r>
                  <w:r>
                    <w:rPr>
                      <w:color w:val="auto"/>
                      <w:kern w:val="0"/>
                      <w:szCs w:val="21"/>
                    </w:rPr>
                    <w:t>外</w:t>
                  </w:r>
                  <w:r>
                    <w:rPr>
                      <w:rFonts w:hint="eastAsia"/>
                      <w:color w:val="auto"/>
                      <w:kern w:val="0"/>
                      <w:szCs w:val="21"/>
                    </w:rPr>
                    <w:t>1m处</w:t>
                  </w:r>
                </w:p>
              </w:tc>
              <w:tc>
                <w:tcPr>
                  <w:tcW w:w="1038"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p>
              </w:tc>
              <w:tc>
                <w:tcPr>
                  <w:tcW w:w="1045"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p>
              </w:tc>
              <w:tc>
                <w:tcPr>
                  <w:tcW w:w="1136"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67" w:type="pct"/>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4#</w:t>
                  </w:r>
                </w:p>
              </w:tc>
              <w:tc>
                <w:tcPr>
                  <w:tcW w:w="2369" w:type="dxa"/>
                  <w:tcBorders>
                    <w:tl2br w:val="nil"/>
                    <w:tr2bl w:val="nil"/>
                  </w:tcBorders>
                  <w:noWrap w:val="0"/>
                  <w:vAlign w:val="center"/>
                </w:tcPr>
                <w:p>
                  <w:pPr>
                    <w:spacing w:line="240" w:lineRule="auto"/>
                    <w:jc w:val="center"/>
                    <w:rPr>
                      <w:rFonts w:hint="default" w:ascii="Times New Roman" w:hAnsi="Times New Roman" w:cs="Times New Roman"/>
                      <w:color w:val="000000"/>
                      <w:kern w:val="2"/>
                      <w:sz w:val="21"/>
                      <w:szCs w:val="21"/>
                    </w:rPr>
                  </w:pPr>
                  <w:r>
                    <w:rPr>
                      <w:color w:val="auto"/>
                      <w:kern w:val="0"/>
                      <w:szCs w:val="21"/>
                    </w:rPr>
                    <w:t>厂界</w:t>
                  </w:r>
                  <w:r>
                    <w:rPr>
                      <w:rFonts w:hint="eastAsia"/>
                      <w:color w:val="auto"/>
                      <w:kern w:val="0"/>
                      <w:szCs w:val="21"/>
                    </w:rPr>
                    <w:t>西侧</w:t>
                  </w:r>
                  <w:r>
                    <w:rPr>
                      <w:color w:val="auto"/>
                      <w:kern w:val="0"/>
                      <w:szCs w:val="21"/>
                    </w:rPr>
                    <w:t>外</w:t>
                  </w:r>
                  <w:r>
                    <w:rPr>
                      <w:rFonts w:hint="eastAsia"/>
                      <w:color w:val="auto"/>
                      <w:kern w:val="0"/>
                      <w:szCs w:val="21"/>
                    </w:rPr>
                    <w:t>1m处</w:t>
                  </w:r>
                </w:p>
              </w:tc>
              <w:tc>
                <w:tcPr>
                  <w:tcW w:w="1038"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p>
              </w:tc>
              <w:tc>
                <w:tcPr>
                  <w:tcW w:w="1045"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1"/>
                    </w:rPr>
                  </w:pPr>
                </w:p>
              </w:tc>
              <w:tc>
                <w:tcPr>
                  <w:tcW w:w="1136" w:type="pct"/>
                  <w:vMerge w:val="continue"/>
                  <w:tcBorders>
                    <w:tl2br w:val="nil"/>
                    <w:tr2bl w:val="nil"/>
                  </w:tcBorders>
                  <w:noWrap w:val="0"/>
                  <w:vAlign w:val="center"/>
                </w:tcPr>
                <w:p>
                  <w:pPr>
                    <w:spacing w:line="360" w:lineRule="exact"/>
                    <w:jc w:val="center"/>
                    <w:rPr>
                      <w:rFonts w:hint="default" w:ascii="Times New Roman" w:hAnsi="Times New Roman" w:cs="Times New Roman"/>
                      <w:color w:val="000000"/>
                      <w:kern w:val="2"/>
                      <w:sz w:val="21"/>
                      <w:szCs w:val="24"/>
                    </w:rPr>
                  </w:pPr>
                </w:p>
              </w:tc>
            </w:tr>
          </w:tbl>
          <w:p>
            <w:pPr>
              <w:spacing w:line="360" w:lineRule="auto"/>
              <w:ind w:firstLine="482" w:firstLineChars="200"/>
              <w:rPr>
                <w:b/>
                <w:color w:val="auto"/>
                <w:kern w:val="24"/>
                <w:sz w:val="24"/>
                <w:szCs w:val="24"/>
              </w:rPr>
            </w:pPr>
            <w:r>
              <w:rPr>
                <w:rFonts w:hint="eastAsia"/>
                <w:b/>
                <w:color w:val="auto"/>
                <w:kern w:val="24"/>
                <w:sz w:val="24"/>
                <w:szCs w:val="24"/>
              </w:rPr>
              <w:t>（</w:t>
            </w:r>
            <w:r>
              <w:rPr>
                <w:rFonts w:hint="eastAsia"/>
                <w:b/>
                <w:color w:val="auto"/>
                <w:kern w:val="24"/>
                <w:sz w:val="24"/>
                <w:szCs w:val="24"/>
                <w:lang w:val="en-US" w:eastAsia="zh-CN"/>
              </w:rPr>
              <w:t>2</w:t>
            </w:r>
            <w:r>
              <w:rPr>
                <w:rFonts w:hint="eastAsia"/>
                <w:b/>
                <w:color w:val="auto"/>
                <w:kern w:val="24"/>
                <w:sz w:val="24"/>
                <w:szCs w:val="24"/>
              </w:rPr>
              <w:t>）评价结果</w:t>
            </w:r>
          </w:p>
          <w:p>
            <w:pPr>
              <w:spacing w:line="360" w:lineRule="auto"/>
              <w:ind w:firstLine="480" w:firstLineChars="200"/>
              <w:rPr>
                <w:rFonts w:hint="eastAsia" w:eastAsia="宋体" w:cs="Times New Roman"/>
                <w:color w:val="auto"/>
                <w:sz w:val="24"/>
                <w:szCs w:val="24"/>
                <w:lang w:eastAsia="zh-CN"/>
              </w:rPr>
            </w:pPr>
            <w:r>
              <w:rPr>
                <w:rFonts w:cs="Times New Roman"/>
                <w:color w:val="auto"/>
                <w:sz w:val="24"/>
                <w:szCs w:val="24"/>
              </w:rPr>
              <w:t>区域声环境质量</w:t>
            </w:r>
            <w:r>
              <w:rPr>
                <w:rFonts w:hint="eastAsia" w:cs="Times New Roman"/>
                <w:color w:val="auto"/>
                <w:sz w:val="24"/>
                <w:szCs w:val="24"/>
              </w:rPr>
              <w:t>现状</w:t>
            </w:r>
            <w:r>
              <w:rPr>
                <w:rFonts w:cs="Times New Roman"/>
                <w:color w:val="auto"/>
                <w:sz w:val="24"/>
                <w:szCs w:val="24"/>
              </w:rPr>
              <w:t>评价结果</w:t>
            </w:r>
            <w:r>
              <w:rPr>
                <w:rFonts w:cs="Times New Roman"/>
                <w:color w:val="auto"/>
                <w:sz w:val="24"/>
              </w:rPr>
              <w:t>见</w:t>
            </w:r>
            <w:r>
              <w:rPr>
                <w:rFonts w:hint="eastAsia" w:cs="Times New Roman"/>
                <w:color w:val="auto"/>
                <w:sz w:val="24"/>
              </w:rPr>
              <w:t>下表</w:t>
            </w:r>
            <w:r>
              <w:rPr>
                <w:rFonts w:cs="Times New Roman"/>
                <w:color w:val="auto"/>
                <w:sz w:val="24"/>
                <w:szCs w:val="24"/>
              </w:rPr>
              <w:t>。</w:t>
            </w:r>
          </w:p>
          <w:p>
            <w:pPr>
              <w:spacing w:line="240" w:lineRule="auto"/>
              <w:jc w:val="center"/>
              <w:rPr>
                <w:rFonts w:hint="eastAsia"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表3-</w:t>
            </w:r>
            <w:r>
              <w:rPr>
                <w:rFonts w:hint="eastAsia" w:ascii="Times New Roman" w:hAnsi="Times New Roman" w:eastAsia="宋体" w:cs="Times New Roman"/>
                <w:b/>
                <w:bCs/>
                <w:color w:val="000000"/>
                <w:kern w:val="2"/>
                <w:sz w:val="21"/>
                <w:szCs w:val="21"/>
                <w:lang w:val="en-US" w:eastAsia="zh-CN"/>
              </w:rPr>
              <w:t>4</w:t>
            </w:r>
            <w:r>
              <w:rPr>
                <w:rFonts w:hint="default" w:ascii="Times New Roman" w:hAnsi="Times New Roman" w:eastAsia="宋体" w:cs="Times New Roman"/>
                <w:b/>
                <w:bCs/>
                <w:color w:val="000000"/>
                <w:kern w:val="2"/>
                <w:sz w:val="21"/>
                <w:szCs w:val="21"/>
                <w:lang w:val="en-US" w:eastAsia="zh-CN"/>
              </w:rPr>
              <w:t xml:space="preserve">   </w:t>
            </w:r>
            <w:r>
              <w:rPr>
                <w:rFonts w:hint="eastAsia" w:ascii="Times New Roman" w:hAnsi="Times New Roman" w:eastAsia="宋体" w:cs="Times New Roman"/>
                <w:b/>
                <w:bCs/>
                <w:color w:val="000000"/>
                <w:kern w:val="2"/>
                <w:sz w:val="21"/>
                <w:szCs w:val="21"/>
                <w:lang w:val="en-US" w:eastAsia="zh-CN"/>
              </w:rPr>
              <w:t>声环境质量现状评价结果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6"/>
              <w:gridCol w:w="1769"/>
              <w:gridCol w:w="682"/>
              <w:gridCol w:w="682"/>
              <w:gridCol w:w="877"/>
              <w:gridCol w:w="625"/>
              <w:gridCol w:w="621"/>
              <w:gridCol w:w="773"/>
              <w:gridCol w:w="638"/>
              <w:gridCol w:w="7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vMerge w:val="restart"/>
                  <w:tcBorders>
                    <w:tl2br w:val="nil"/>
                    <w:tr2bl w:val="nil"/>
                  </w:tcBorders>
                  <w:vAlign w:val="center"/>
                </w:tcPr>
                <w:p>
                  <w:pPr>
                    <w:jc w:val="center"/>
                    <w:rPr>
                      <w:rFonts w:cstheme="minorHAnsi"/>
                      <w:b/>
                      <w:bCs/>
                      <w:color w:val="auto"/>
                      <w:szCs w:val="21"/>
                    </w:rPr>
                  </w:pPr>
                  <w:r>
                    <w:rPr>
                      <w:rFonts w:cstheme="minorHAnsi"/>
                      <w:b/>
                      <w:bCs/>
                      <w:color w:val="auto"/>
                      <w:szCs w:val="21"/>
                    </w:rPr>
                    <w:t>编号</w:t>
                  </w:r>
                </w:p>
              </w:tc>
              <w:tc>
                <w:tcPr>
                  <w:tcW w:w="1089" w:type="pct"/>
                  <w:vMerge w:val="restart"/>
                  <w:tcBorders>
                    <w:tl2br w:val="nil"/>
                    <w:tr2bl w:val="nil"/>
                  </w:tcBorders>
                  <w:vAlign w:val="center"/>
                </w:tcPr>
                <w:p>
                  <w:pPr>
                    <w:jc w:val="center"/>
                    <w:rPr>
                      <w:rFonts w:cstheme="minorHAnsi"/>
                      <w:b/>
                      <w:bCs/>
                      <w:color w:val="auto"/>
                      <w:szCs w:val="21"/>
                    </w:rPr>
                  </w:pPr>
                  <w:r>
                    <w:rPr>
                      <w:rFonts w:hint="eastAsia" w:cstheme="minorHAnsi"/>
                      <w:b/>
                      <w:bCs/>
                      <w:color w:val="auto"/>
                      <w:szCs w:val="21"/>
                    </w:rPr>
                    <w:t>监测点位</w:t>
                  </w:r>
                </w:p>
              </w:tc>
              <w:tc>
                <w:tcPr>
                  <w:tcW w:w="2623" w:type="pct"/>
                  <w:gridSpan w:val="6"/>
                  <w:tcBorders>
                    <w:tl2br w:val="nil"/>
                    <w:tr2bl w:val="nil"/>
                  </w:tcBorders>
                  <w:vAlign w:val="center"/>
                </w:tcPr>
                <w:p>
                  <w:pPr>
                    <w:jc w:val="center"/>
                    <w:rPr>
                      <w:rFonts w:cstheme="minorHAnsi"/>
                      <w:b/>
                      <w:bCs/>
                      <w:color w:val="auto"/>
                      <w:szCs w:val="21"/>
                    </w:rPr>
                  </w:pPr>
                  <w:r>
                    <w:rPr>
                      <w:rFonts w:hint="eastAsia" w:cstheme="minorHAnsi"/>
                      <w:b/>
                      <w:bCs/>
                      <w:color w:val="auto"/>
                      <w:szCs w:val="21"/>
                    </w:rPr>
                    <w:t>评价结果</w:t>
                  </w:r>
                  <w:r>
                    <w:rPr>
                      <w:rFonts w:cstheme="minorHAnsi"/>
                      <w:b/>
                      <w:bCs/>
                      <w:color w:val="auto"/>
                      <w:szCs w:val="21"/>
                    </w:rPr>
                    <w:t>[dB（A）]</w:t>
                  </w:r>
                </w:p>
              </w:tc>
              <w:tc>
                <w:tcPr>
                  <w:tcW w:w="881" w:type="pct"/>
                  <w:gridSpan w:val="2"/>
                  <w:vMerge w:val="restart"/>
                  <w:tcBorders>
                    <w:tl2br w:val="nil"/>
                    <w:tr2bl w:val="nil"/>
                  </w:tcBorders>
                  <w:vAlign w:val="center"/>
                </w:tcPr>
                <w:p>
                  <w:pPr>
                    <w:jc w:val="center"/>
                    <w:rPr>
                      <w:rFonts w:cstheme="minorHAnsi"/>
                      <w:b/>
                      <w:bCs/>
                      <w:color w:val="auto"/>
                      <w:szCs w:val="21"/>
                    </w:rPr>
                  </w:pPr>
                  <w:r>
                    <w:rPr>
                      <w:rFonts w:cstheme="minorHAnsi"/>
                      <w:b/>
                      <w:bCs/>
                      <w:color w:val="auto"/>
                      <w:szCs w:val="21"/>
                    </w:rPr>
                    <w:t>标准限值[dB（A）]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vMerge w:val="continue"/>
                  <w:tcBorders>
                    <w:tl2br w:val="nil"/>
                    <w:tr2bl w:val="nil"/>
                  </w:tcBorders>
                  <w:vAlign w:val="center"/>
                </w:tcPr>
                <w:p>
                  <w:pPr>
                    <w:jc w:val="center"/>
                    <w:rPr>
                      <w:b/>
                      <w:bCs/>
                    </w:rPr>
                  </w:pPr>
                </w:p>
              </w:tc>
              <w:tc>
                <w:tcPr>
                  <w:tcW w:w="1089" w:type="pct"/>
                  <w:vMerge w:val="continue"/>
                  <w:tcBorders>
                    <w:tl2br w:val="nil"/>
                    <w:tr2bl w:val="nil"/>
                  </w:tcBorders>
                  <w:vAlign w:val="center"/>
                </w:tcPr>
                <w:p>
                  <w:pPr>
                    <w:jc w:val="center"/>
                    <w:rPr>
                      <w:b/>
                      <w:bCs/>
                    </w:rPr>
                  </w:pPr>
                </w:p>
              </w:tc>
              <w:tc>
                <w:tcPr>
                  <w:tcW w:w="420" w:type="pct"/>
                  <w:tcBorders>
                    <w:tl2br w:val="nil"/>
                    <w:tr2bl w:val="nil"/>
                  </w:tcBorders>
                  <w:vAlign w:val="center"/>
                </w:tcPr>
                <w:p>
                  <w:pPr>
                    <w:jc w:val="center"/>
                    <w:rPr>
                      <w:rFonts w:hint="default" w:eastAsia="宋体" w:cstheme="minorHAnsi"/>
                      <w:b/>
                      <w:bCs/>
                      <w:color w:val="auto"/>
                      <w:szCs w:val="21"/>
                      <w:lang w:val="en-US" w:eastAsia="zh-CN"/>
                    </w:rPr>
                  </w:pPr>
                  <w:r>
                    <w:rPr>
                      <w:rFonts w:hint="eastAsia" w:cstheme="minorHAnsi"/>
                      <w:b/>
                      <w:bCs/>
                      <w:color w:val="auto"/>
                      <w:szCs w:val="21"/>
                      <w:lang w:val="en-US" w:eastAsia="zh-CN"/>
                    </w:rPr>
                    <w:t>6.4</w:t>
                  </w:r>
                </w:p>
              </w:tc>
              <w:tc>
                <w:tcPr>
                  <w:tcW w:w="420" w:type="pct"/>
                  <w:tcBorders>
                    <w:tl2br w:val="nil"/>
                    <w:tr2bl w:val="nil"/>
                  </w:tcBorders>
                  <w:vAlign w:val="center"/>
                </w:tcPr>
                <w:p>
                  <w:pPr>
                    <w:jc w:val="center"/>
                    <w:rPr>
                      <w:rFonts w:hint="default" w:eastAsia="宋体" w:cstheme="minorHAnsi"/>
                      <w:b/>
                      <w:bCs/>
                      <w:color w:val="auto"/>
                      <w:szCs w:val="21"/>
                      <w:lang w:val="en-US" w:eastAsia="zh-CN"/>
                    </w:rPr>
                  </w:pPr>
                  <w:r>
                    <w:rPr>
                      <w:rFonts w:hint="eastAsia" w:cstheme="minorHAnsi"/>
                      <w:b/>
                      <w:bCs/>
                      <w:color w:val="auto"/>
                      <w:szCs w:val="21"/>
                      <w:lang w:val="en-US" w:eastAsia="zh-CN"/>
                    </w:rPr>
                    <w:t>6.5</w:t>
                  </w:r>
                </w:p>
              </w:tc>
              <w:tc>
                <w:tcPr>
                  <w:tcW w:w="540" w:type="pct"/>
                  <w:vMerge w:val="restart"/>
                  <w:tcBorders>
                    <w:tl2br w:val="nil"/>
                    <w:tr2bl w:val="nil"/>
                  </w:tcBorders>
                  <w:vAlign w:val="center"/>
                </w:tcPr>
                <w:p>
                  <w:pPr>
                    <w:jc w:val="center"/>
                    <w:rPr>
                      <w:rFonts w:cstheme="minorHAnsi"/>
                      <w:b/>
                      <w:bCs/>
                      <w:color w:val="auto"/>
                      <w:szCs w:val="21"/>
                    </w:rPr>
                  </w:pPr>
                  <w:r>
                    <w:rPr>
                      <w:rFonts w:cstheme="minorHAnsi"/>
                      <w:b/>
                      <w:bCs/>
                      <w:color w:val="auto"/>
                      <w:szCs w:val="21"/>
                    </w:rPr>
                    <w:t>结果</w:t>
                  </w:r>
                </w:p>
              </w:tc>
              <w:tc>
                <w:tcPr>
                  <w:tcW w:w="385" w:type="pct"/>
                  <w:tcBorders>
                    <w:tl2br w:val="nil"/>
                    <w:tr2bl w:val="nil"/>
                  </w:tcBorders>
                  <w:vAlign w:val="center"/>
                </w:tcPr>
                <w:p>
                  <w:pPr>
                    <w:jc w:val="center"/>
                    <w:rPr>
                      <w:rFonts w:hint="eastAsia" w:cstheme="minorHAnsi"/>
                      <w:b/>
                      <w:bCs/>
                      <w:color w:val="auto"/>
                      <w:szCs w:val="21"/>
                    </w:rPr>
                  </w:pPr>
                  <w:r>
                    <w:rPr>
                      <w:rFonts w:hint="eastAsia" w:cstheme="minorHAnsi"/>
                      <w:b/>
                      <w:bCs/>
                      <w:color w:val="auto"/>
                      <w:szCs w:val="21"/>
                      <w:lang w:val="en-US" w:eastAsia="zh-CN"/>
                    </w:rPr>
                    <w:t>6.4</w:t>
                  </w:r>
                </w:p>
              </w:tc>
              <w:tc>
                <w:tcPr>
                  <w:tcW w:w="382" w:type="pct"/>
                  <w:tcBorders>
                    <w:tl2br w:val="nil"/>
                    <w:tr2bl w:val="nil"/>
                  </w:tcBorders>
                  <w:vAlign w:val="center"/>
                </w:tcPr>
                <w:p>
                  <w:pPr>
                    <w:jc w:val="center"/>
                    <w:rPr>
                      <w:rFonts w:hint="eastAsia" w:cstheme="minorHAnsi"/>
                      <w:b/>
                      <w:bCs/>
                      <w:color w:val="auto"/>
                      <w:szCs w:val="21"/>
                    </w:rPr>
                  </w:pPr>
                  <w:r>
                    <w:rPr>
                      <w:rFonts w:hint="eastAsia" w:cstheme="minorHAnsi"/>
                      <w:b/>
                      <w:bCs/>
                      <w:color w:val="auto"/>
                      <w:szCs w:val="21"/>
                      <w:lang w:val="en-US" w:eastAsia="zh-CN"/>
                    </w:rPr>
                    <w:t>6.5</w:t>
                  </w:r>
                </w:p>
              </w:tc>
              <w:tc>
                <w:tcPr>
                  <w:tcW w:w="476" w:type="pct"/>
                  <w:vMerge w:val="restart"/>
                  <w:tcBorders>
                    <w:tl2br w:val="nil"/>
                    <w:tr2bl w:val="nil"/>
                  </w:tcBorders>
                  <w:vAlign w:val="center"/>
                </w:tcPr>
                <w:p>
                  <w:pPr>
                    <w:jc w:val="center"/>
                    <w:rPr>
                      <w:rFonts w:cstheme="minorHAnsi"/>
                      <w:b/>
                      <w:bCs/>
                      <w:color w:val="auto"/>
                      <w:szCs w:val="21"/>
                    </w:rPr>
                  </w:pPr>
                  <w:r>
                    <w:rPr>
                      <w:rFonts w:cstheme="minorHAnsi"/>
                      <w:b/>
                      <w:bCs/>
                      <w:color w:val="auto"/>
                      <w:szCs w:val="21"/>
                    </w:rPr>
                    <w:t>结果</w:t>
                  </w:r>
                </w:p>
              </w:tc>
              <w:tc>
                <w:tcPr>
                  <w:tcW w:w="881" w:type="pct"/>
                  <w:gridSpan w:val="2"/>
                  <w:vMerge w:val="continue"/>
                  <w:tcBorders>
                    <w:tl2br w:val="nil"/>
                    <w:tr2bl w:val="nil"/>
                  </w:tcBorders>
                  <w:vAlign w:val="center"/>
                </w:tcPr>
                <w:p>
                  <w:pPr>
                    <w:jc w:val="center"/>
                    <w:rPr>
                      <w:rFonts w:hint="eastAsia" w:cstheme="minorHAnsi"/>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vMerge w:val="continue"/>
                  <w:tcBorders>
                    <w:tl2br w:val="nil"/>
                    <w:tr2bl w:val="nil"/>
                  </w:tcBorders>
                  <w:vAlign w:val="center"/>
                </w:tcPr>
                <w:p>
                  <w:pPr>
                    <w:jc w:val="center"/>
                    <w:rPr>
                      <w:rFonts w:cstheme="minorHAnsi"/>
                      <w:b/>
                      <w:bCs/>
                      <w:color w:val="auto"/>
                      <w:szCs w:val="21"/>
                    </w:rPr>
                  </w:pPr>
                </w:p>
              </w:tc>
              <w:tc>
                <w:tcPr>
                  <w:tcW w:w="1089" w:type="pct"/>
                  <w:vMerge w:val="continue"/>
                  <w:tcBorders>
                    <w:tl2br w:val="nil"/>
                    <w:tr2bl w:val="nil"/>
                  </w:tcBorders>
                  <w:vAlign w:val="center"/>
                </w:tcPr>
                <w:p>
                  <w:pPr>
                    <w:jc w:val="center"/>
                    <w:rPr>
                      <w:rFonts w:cstheme="minorHAnsi"/>
                      <w:b/>
                      <w:bCs/>
                      <w:color w:val="auto"/>
                      <w:szCs w:val="21"/>
                    </w:rPr>
                  </w:pPr>
                </w:p>
              </w:tc>
              <w:tc>
                <w:tcPr>
                  <w:tcW w:w="420" w:type="pct"/>
                  <w:tcBorders>
                    <w:tl2br w:val="nil"/>
                    <w:tr2bl w:val="nil"/>
                  </w:tcBorders>
                  <w:vAlign w:val="center"/>
                </w:tcPr>
                <w:p>
                  <w:pPr>
                    <w:jc w:val="center"/>
                    <w:rPr>
                      <w:rFonts w:cstheme="minorHAnsi"/>
                      <w:b/>
                      <w:bCs/>
                      <w:color w:val="auto"/>
                      <w:szCs w:val="21"/>
                    </w:rPr>
                  </w:pPr>
                  <w:r>
                    <w:rPr>
                      <w:rFonts w:cstheme="minorHAnsi"/>
                      <w:b/>
                      <w:bCs/>
                      <w:color w:val="auto"/>
                      <w:szCs w:val="21"/>
                    </w:rPr>
                    <w:t>昼间</w:t>
                  </w:r>
                </w:p>
              </w:tc>
              <w:tc>
                <w:tcPr>
                  <w:tcW w:w="420" w:type="pct"/>
                  <w:tcBorders>
                    <w:tl2br w:val="nil"/>
                    <w:tr2bl w:val="nil"/>
                  </w:tcBorders>
                  <w:vAlign w:val="center"/>
                </w:tcPr>
                <w:p>
                  <w:pPr>
                    <w:jc w:val="center"/>
                    <w:rPr>
                      <w:rFonts w:cstheme="minorHAnsi"/>
                      <w:b/>
                      <w:bCs/>
                      <w:color w:val="auto"/>
                      <w:szCs w:val="21"/>
                    </w:rPr>
                  </w:pPr>
                  <w:r>
                    <w:rPr>
                      <w:rFonts w:cstheme="minorHAnsi"/>
                      <w:b/>
                      <w:bCs/>
                      <w:color w:val="auto"/>
                      <w:szCs w:val="21"/>
                    </w:rPr>
                    <w:t>昼间</w:t>
                  </w:r>
                </w:p>
              </w:tc>
              <w:tc>
                <w:tcPr>
                  <w:tcW w:w="540" w:type="pct"/>
                  <w:vMerge w:val="continue"/>
                  <w:tcBorders>
                    <w:tl2br w:val="nil"/>
                    <w:tr2bl w:val="nil"/>
                  </w:tcBorders>
                  <w:vAlign w:val="center"/>
                </w:tcPr>
                <w:p>
                  <w:pPr>
                    <w:jc w:val="center"/>
                    <w:rPr>
                      <w:rFonts w:cstheme="minorHAnsi"/>
                      <w:b/>
                      <w:bCs/>
                      <w:color w:val="auto"/>
                      <w:szCs w:val="21"/>
                    </w:rPr>
                  </w:pPr>
                </w:p>
              </w:tc>
              <w:tc>
                <w:tcPr>
                  <w:tcW w:w="385" w:type="pct"/>
                  <w:tcBorders>
                    <w:tl2br w:val="nil"/>
                    <w:tr2bl w:val="nil"/>
                  </w:tcBorders>
                  <w:vAlign w:val="center"/>
                </w:tcPr>
                <w:p>
                  <w:pPr>
                    <w:jc w:val="center"/>
                    <w:rPr>
                      <w:rFonts w:cstheme="minorHAnsi"/>
                      <w:b/>
                      <w:bCs/>
                      <w:color w:val="auto"/>
                      <w:szCs w:val="21"/>
                    </w:rPr>
                  </w:pPr>
                  <w:r>
                    <w:rPr>
                      <w:rFonts w:cstheme="minorHAnsi"/>
                      <w:b/>
                      <w:bCs/>
                      <w:color w:val="auto"/>
                      <w:szCs w:val="21"/>
                    </w:rPr>
                    <w:t>夜间</w:t>
                  </w:r>
                </w:p>
              </w:tc>
              <w:tc>
                <w:tcPr>
                  <w:tcW w:w="382" w:type="pct"/>
                  <w:tcBorders>
                    <w:tl2br w:val="nil"/>
                    <w:tr2bl w:val="nil"/>
                  </w:tcBorders>
                  <w:vAlign w:val="center"/>
                </w:tcPr>
                <w:p>
                  <w:pPr>
                    <w:jc w:val="center"/>
                    <w:rPr>
                      <w:rFonts w:cstheme="minorHAnsi"/>
                      <w:b/>
                      <w:bCs/>
                      <w:color w:val="auto"/>
                      <w:szCs w:val="21"/>
                    </w:rPr>
                  </w:pPr>
                  <w:r>
                    <w:rPr>
                      <w:rFonts w:hint="eastAsia" w:cstheme="minorHAnsi"/>
                      <w:b/>
                      <w:bCs/>
                      <w:color w:val="auto"/>
                      <w:szCs w:val="21"/>
                    </w:rPr>
                    <w:t>夜间</w:t>
                  </w:r>
                </w:p>
              </w:tc>
              <w:tc>
                <w:tcPr>
                  <w:tcW w:w="476" w:type="pct"/>
                  <w:vMerge w:val="continue"/>
                  <w:tcBorders>
                    <w:tl2br w:val="nil"/>
                    <w:tr2bl w:val="nil"/>
                  </w:tcBorders>
                  <w:vAlign w:val="center"/>
                </w:tcPr>
                <w:p>
                  <w:pPr>
                    <w:jc w:val="center"/>
                    <w:rPr>
                      <w:rFonts w:cstheme="minorHAnsi"/>
                      <w:b/>
                      <w:bCs/>
                      <w:color w:val="auto"/>
                      <w:szCs w:val="21"/>
                    </w:rPr>
                  </w:pPr>
                </w:p>
              </w:tc>
              <w:tc>
                <w:tcPr>
                  <w:tcW w:w="393" w:type="pct"/>
                  <w:tcBorders>
                    <w:tl2br w:val="nil"/>
                    <w:tr2bl w:val="nil"/>
                  </w:tcBorders>
                  <w:vAlign w:val="center"/>
                </w:tcPr>
                <w:p>
                  <w:pPr>
                    <w:jc w:val="center"/>
                    <w:rPr>
                      <w:rFonts w:cstheme="minorHAnsi"/>
                      <w:b/>
                      <w:bCs/>
                      <w:color w:val="auto"/>
                      <w:szCs w:val="21"/>
                    </w:rPr>
                  </w:pPr>
                  <w:r>
                    <w:rPr>
                      <w:rFonts w:cstheme="minorHAnsi"/>
                      <w:b/>
                      <w:bCs/>
                      <w:color w:val="auto"/>
                      <w:szCs w:val="21"/>
                    </w:rPr>
                    <w:t>昼间</w:t>
                  </w:r>
                </w:p>
              </w:tc>
              <w:tc>
                <w:tcPr>
                  <w:tcW w:w="488" w:type="pct"/>
                  <w:tcBorders>
                    <w:tl2br w:val="nil"/>
                    <w:tr2bl w:val="nil"/>
                  </w:tcBorders>
                  <w:vAlign w:val="center"/>
                </w:tcPr>
                <w:p>
                  <w:pPr>
                    <w:jc w:val="center"/>
                    <w:rPr>
                      <w:rFonts w:cstheme="minorHAnsi"/>
                      <w:b/>
                      <w:bCs/>
                      <w:color w:val="auto"/>
                      <w:szCs w:val="21"/>
                    </w:rPr>
                  </w:pPr>
                  <w:r>
                    <w:rPr>
                      <w:rFonts w:cstheme="minorHAnsi"/>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1#</w:t>
                  </w:r>
                </w:p>
              </w:tc>
              <w:tc>
                <w:tcPr>
                  <w:tcW w:w="1089" w:type="pct"/>
                  <w:tcBorders>
                    <w:tl2br w:val="nil"/>
                    <w:tr2bl w:val="nil"/>
                  </w:tcBorders>
                  <w:vAlign w:val="center"/>
                </w:tcPr>
                <w:p>
                  <w:pPr>
                    <w:jc w:val="center"/>
                    <w:rPr>
                      <w:rFonts w:cstheme="minorHAnsi"/>
                      <w:color w:val="auto"/>
                      <w:kern w:val="0"/>
                      <w:szCs w:val="21"/>
                    </w:rPr>
                  </w:pPr>
                  <w:r>
                    <w:rPr>
                      <w:color w:val="auto"/>
                      <w:kern w:val="0"/>
                      <w:szCs w:val="21"/>
                    </w:rPr>
                    <w:t>厂界</w:t>
                  </w:r>
                  <w:r>
                    <w:rPr>
                      <w:rFonts w:hint="eastAsia"/>
                      <w:color w:val="auto"/>
                      <w:kern w:val="0"/>
                      <w:szCs w:val="21"/>
                    </w:rPr>
                    <w:t>北侧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56</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40</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40</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restart"/>
                  <w:tcBorders>
                    <w:tl2br w:val="nil"/>
                    <w:tr2bl w:val="nil"/>
                  </w:tcBorders>
                  <w:vAlign w:val="center"/>
                </w:tcPr>
                <w:p>
                  <w:pPr>
                    <w:jc w:val="center"/>
                    <w:rPr>
                      <w:rFonts w:hint="eastAsia" w:eastAsia="宋体" w:cstheme="minorHAnsi"/>
                      <w:color w:val="auto"/>
                      <w:szCs w:val="21"/>
                      <w:lang w:eastAsia="zh-CN"/>
                    </w:rPr>
                  </w:pPr>
                  <w:r>
                    <w:rPr>
                      <w:rFonts w:cstheme="minorHAnsi"/>
                      <w:color w:val="auto"/>
                      <w:szCs w:val="21"/>
                    </w:rPr>
                    <w:t>6</w:t>
                  </w:r>
                  <w:r>
                    <w:rPr>
                      <w:rFonts w:hint="eastAsia" w:cstheme="minorHAnsi"/>
                      <w:color w:val="auto"/>
                      <w:szCs w:val="21"/>
                      <w:lang w:val="en-US" w:eastAsia="zh-CN"/>
                    </w:rPr>
                    <w:t>5</w:t>
                  </w:r>
                </w:p>
              </w:tc>
              <w:tc>
                <w:tcPr>
                  <w:tcW w:w="488" w:type="pct"/>
                  <w:vMerge w:val="restart"/>
                  <w:tcBorders>
                    <w:tl2br w:val="nil"/>
                    <w:tr2bl w:val="nil"/>
                  </w:tcBorders>
                  <w:vAlign w:val="center"/>
                </w:tcPr>
                <w:p>
                  <w:pPr>
                    <w:jc w:val="center"/>
                    <w:rPr>
                      <w:rFonts w:hint="eastAsia" w:eastAsia="宋体" w:cstheme="minorHAnsi"/>
                      <w:color w:val="auto"/>
                      <w:szCs w:val="21"/>
                      <w:lang w:eastAsia="zh-CN"/>
                    </w:rPr>
                  </w:pPr>
                  <w:r>
                    <w:rPr>
                      <w:rFonts w:cstheme="minorHAnsi"/>
                      <w:color w:val="auto"/>
                      <w:szCs w:val="21"/>
                    </w:rPr>
                    <w:t>5</w:t>
                  </w:r>
                  <w:r>
                    <w:rPr>
                      <w:rFonts w:hint="eastAsia" w:cstheme="minorHAnsi"/>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2#</w:t>
                  </w:r>
                </w:p>
              </w:tc>
              <w:tc>
                <w:tcPr>
                  <w:tcW w:w="1089" w:type="pct"/>
                  <w:tcBorders>
                    <w:tl2br w:val="nil"/>
                    <w:tr2bl w:val="nil"/>
                  </w:tcBorders>
                </w:tcPr>
                <w:p>
                  <w:pPr>
                    <w:jc w:val="center"/>
                    <w:rPr>
                      <w:rFonts w:cstheme="minorHAnsi"/>
                      <w:color w:val="auto"/>
                      <w:kern w:val="0"/>
                      <w:szCs w:val="21"/>
                    </w:rPr>
                  </w:pPr>
                  <w:r>
                    <w:rPr>
                      <w:color w:val="auto"/>
                      <w:kern w:val="0"/>
                      <w:szCs w:val="21"/>
                    </w:rPr>
                    <w:t>厂界</w:t>
                  </w:r>
                  <w:r>
                    <w:rPr>
                      <w:rFonts w:hint="eastAsia"/>
                      <w:color w:val="auto"/>
                      <w:kern w:val="0"/>
                      <w:szCs w:val="21"/>
                    </w:rPr>
                    <w:t>东侧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55</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continue"/>
                  <w:tcBorders>
                    <w:tl2br w:val="nil"/>
                    <w:tr2bl w:val="nil"/>
                  </w:tcBorders>
                  <w:vAlign w:val="center"/>
                </w:tcPr>
                <w:p>
                  <w:pPr>
                    <w:jc w:val="center"/>
                    <w:rPr>
                      <w:rFonts w:cstheme="minorHAnsi"/>
                      <w:color w:val="auto"/>
                      <w:szCs w:val="21"/>
                    </w:rPr>
                  </w:pPr>
                </w:p>
              </w:tc>
              <w:tc>
                <w:tcPr>
                  <w:tcW w:w="488" w:type="pct"/>
                  <w:vMerge w:val="continue"/>
                  <w:tcBorders>
                    <w:tl2br w:val="nil"/>
                    <w:tr2bl w:val="nil"/>
                  </w:tcBorders>
                  <w:vAlign w:val="center"/>
                </w:tcPr>
                <w:p>
                  <w:pPr>
                    <w:jc w:val="center"/>
                    <w:rPr>
                      <w:rFonts w:cstheme="minorHAnsi"/>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3#</w:t>
                  </w:r>
                </w:p>
              </w:tc>
              <w:tc>
                <w:tcPr>
                  <w:tcW w:w="1089" w:type="pct"/>
                  <w:tcBorders>
                    <w:tl2br w:val="nil"/>
                    <w:tr2bl w:val="nil"/>
                  </w:tcBorders>
                </w:tcPr>
                <w:p>
                  <w:pPr>
                    <w:jc w:val="center"/>
                    <w:rPr>
                      <w:rFonts w:cstheme="minorHAnsi"/>
                      <w:color w:val="auto"/>
                      <w:kern w:val="0"/>
                      <w:szCs w:val="21"/>
                    </w:rPr>
                  </w:pPr>
                  <w:r>
                    <w:rPr>
                      <w:color w:val="auto"/>
                      <w:kern w:val="0"/>
                      <w:szCs w:val="21"/>
                    </w:rPr>
                    <w:t>厂界</w:t>
                  </w:r>
                  <w:r>
                    <w:rPr>
                      <w:rFonts w:hint="eastAsia"/>
                      <w:color w:val="auto"/>
                      <w:kern w:val="0"/>
                      <w:szCs w:val="21"/>
                    </w:rPr>
                    <w:t>南侧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57</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43</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continue"/>
                  <w:tcBorders>
                    <w:tl2br w:val="nil"/>
                    <w:tr2bl w:val="nil"/>
                  </w:tcBorders>
                  <w:vAlign w:val="center"/>
                </w:tcPr>
                <w:p>
                  <w:pPr>
                    <w:jc w:val="center"/>
                    <w:rPr>
                      <w:rFonts w:cstheme="minorHAnsi"/>
                      <w:color w:val="auto"/>
                      <w:szCs w:val="21"/>
                    </w:rPr>
                  </w:pPr>
                </w:p>
              </w:tc>
              <w:tc>
                <w:tcPr>
                  <w:tcW w:w="488" w:type="pct"/>
                  <w:vMerge w:val="continue"/>
                  <w:tcBorders>
                    <w:tl2br w:val="nil"/>
                    <w:tr2bl w:val="nil"/>
                  </w:tcBorders>
                  <w:vAlign w:val="center"/>
                </w:tcPr>
                <w:p>
                  <w:pPr>
                    <w:jc w:val="center"/>
                    <w:rPr>
                      <w:rFonts w:cstheme="minorHAnsi"/>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4" w:type="pct"/>
                  <w:tcBorders>
                    <w:tl2br w:val="nil"/>
                    <w:tr2bl w:val="nil"/>
                  </w:tcBorders>
                  <w:vAlign w:val="center"/>
                </w:tcPr>
                <w:p>
                  <w:pPr>
                    <w:jc w:val="center"/>
                    <w:rPr>
                      <w:rFonts w:cstheme="minorHAnsi"/>
                      <w:color w:val="auto"/>
                      <w:szCs w:val="21"/>
                    </w:rPr>
                  </w:pPr>
                  <w:r>
                    <w:rPr>
                      <w:rFonts w:cstheme="minorHAnsi"/>
                      <w:color w:val="auto"/>
                      <w:szCs w:val="21"/>
                    </w:rPr>
                    <w:t>4#</w:t>
                  </w:r>
                </w:p>
              </w:tc>
              <w:tc>
                <w:tcPr>
                  <w:tcW w:w="1089" w:type="pct"/>
                  <w:tcBorders>
                    <w:tl2br w:val="nil"/>
                    <w:tr2bl w:val="nil"/>
                  </w:tcBorders>
                </w:tcPr>
                <w:p>
                  <w:pPr>
                    <w:jc w:val="center"/>
                    <w:rPr>
                      <w:rFonts w:cstheme="minorHAnsi"/>
                      <w:color w:val="auto"/>
                      <w:kern w:val="0"/>
                      <w:szCs w:val="21"/>
                    </w:rPr>
                  </w:pPr>
                  <w:r>
                    <w:rPr>
                      <w:color w:val="auto"/>
                      <w:kern w:val="0"/>
                      <w:szCs w:val="21"/>
                    </w:rPr>
                    <w:t>厂界</w:t>
                  </w:r>
                  <w:r>
                    <w:rPr>
                      <w:rFonts w:hint="eastAsia"/>
                      <w:color w:val="auto"/>
                      <w:kern w:val="0"/>
                      <w:szCs w:val="21"/>
                    </w:rPr>
                    <w:t>西侧</w:t>
                  </w:r>
                  <w:r>
                    <w:rPr>
                      <w:color w:val="auto"/>
                      <w:kern w:val="0"/>
                      <w:szCs w:val="21"/>
                    </w:rPr>
                    <w:t>外</w:t>
                  </w:r>
                  <w:r>
                    <w:rPr>
                      <w:rFonts w:hint="eastAsia"/>
                      <w:color w:val="auto"/>
                      <w:kern w:val="0"/>
                      <w:szCs w:val="21"/>
                    </w:rPr>
                    <w:t>1m处</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54</w:t>
                  </w:r>
                </w:p>
              </w:tc>
              <w:tc>
                <w:tcPr>
                  <w:tcW w:w="420" w:type="pct"/>
                  <w:tcBorders>
                    <w:tl2br w:val="nil"/>
                    <w:tr2bl w:val="nil"/>
                  </w:tcBorders>
                  <w:vAlign w:val="center"/>
                </w:tcPr>
                <w:p>
                  <w:pPr>
                    <w:jc w:val="center"/>
                    <w:rPr>
                      <w:rFonts w:hint="default" w:eastAsia="宋体" w:cstheme="minorHAnsi"/>
                      <w:color w:val="auto"/>
                      <w:kern w:val="0"/>
                      <w:szCs w:val="21"/>
                      <w:lang w:val="en-US" w:eastAsia="zh-CN"/>
                    </w:rPr>
                  </w:pPr>
                  <w:r>
                    <w:rPr>
                      <w:rFonts w:hint="eastAsia" w:cstheme="minorHAnsi"/>
                      <w:color w:val="auto"/>
                      <w:kern w:val="0"/>
                      <w:szCs w:val="21"/>
                      <w:lang w:val="en-US" w:eastAsia="zh-CN"/>
                    </w:rPr>
                    <w:t>55</w:t>
                  </w:r>
                </w:p>
              </w:tc>
              <w:tc>
                <w:tcPr>
                  <w:tcW w:w="540"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85"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382" w:type="pct"/>
                  <w:tcBorders>
                    <w:tl2br w:val="nil"/>
                    <w:tr2bl w:val="nil"/>
                  </w:tcBorders>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42</w:t>
                  </w:r>
                </w:p>
              </w:tc>
              <w:tc>
                <w:tcPr>
                  <w:tcW w:w="476" w:type="pct"/>
                  <w:tcBorders>
                    <w:tl2br w:val="nil"/>
                    <w:tr2bl w:val="nil"/>
                  </w:tcBorders>
                  <w:vAlign w:val="center"/>
                </w:tcPr>
                <w:p>
                  <w:pPr>
                    <w:jc w:val="center"/>
                    <w:rPr>
                      <w:rFonts w:cstheme="minorHAnsi"/>
                      <w:color w:val="auto"/>
                      <w:szCs w:val="21"/>
                    </w:rPr>
                  </w:pPr>
                  <w:r>
                    <w:rPr>
                      <w:rFonts w:cstheme="minorHAnsi"/>
                      <w:color w:val="auto"/>
                      <w:szCs w:val="21"/>
                    </w:rPr>
                    <w:t>达标</w:t>
                  </w:r>
                </w:p>
              </w:tc>
              <w:tc>
                <w:tcPr>
                  <w:tcW w:w="393" w:type="pct"/>
                  <w:vMerge w:val="continue"/>
                  <w:tcBorders>
                    <w:tl2br w:val="nil"/>
                    <w:tr2bl w:val="nil"/>
                  </w:tcBorders>
                  <w:vAlign w:val="center"/>
                </w:tcPr>
                <w:p>
                  <w:pPr>
                    <w:jc w:val="center"/>
                    <w:rPr>
                      <w:rFonts w:cstheme="minorHAnsi"/>
                      <w:color w:val="auto"/>
                      <w:szCs w:val="21"/>
                    </w:rPr>
                  </w:pPr>
                </w:p>
              </w:tc>
              <w:tc>
                <w:tcPr>
                  <w:tcW w:w="488" w:type="pct"/>
                  <w:vMerge w:val="continue"/>
                  <w:tcBorders>
                    <w:tl2br w:val="nil"/>
                    <w:tr2bl w:val="nil"/>
                  </w:tcBorders>
                  <w:vAlign w:val="center"/>
                </w:tcPr>
                <w:p>
                  <w:pPr>
                    <w:jc w:val="center"/>
                    <w:rPr>
                      <w:rFonts w:cstheme="minorHAnsi"/>
                      <w:color w:val="auto"/>
                      <w:szCs w:val="21"/>
                    </w:rPr>
                  </w:pPr>
                </w:p>
              </w:tc>
            </w:tr>
          </w:tbl>
          <w:p>
            <w:pPr>
              <w:spacing w:line="360" w:lineRule="auto"/>
              <w:ind w:firstLine="480" w:firstLineChars="200"/>
              <w:rPr>
                <w:rFonts w:cs="Times New Roman"/>
                <w:color w:val="auto"/>
                <w:sz w:val="24"/>
                <w:szCs w:val="24"/>
              </w:rPr>
            </w:pPr>
            <w:r>
              <w:rPr>
                <w:rFonts w:hint="eastAsia"/>
                <w:color w:val="auto"/>
                <w:sz w:val="24"/>
                <w:szCs w:val="24"/>
              </w:rPr>
              <w:t>由上表</w:t>
            </w:r>
            <w:r>
              <w:rPr>
                <w:color w:val="auto"/>
                <w:sz w:val="24"/>
                <w:szCs w:val="24"/>
              </w:rPr>
              <w:t>可知</w:t>
            </w:r>
            <w:r>
              <w:rPr>
                <w:rFonts w:cs="Times New Roman"/>
                <w:color w:val="auto"/>
                <w:sz w:val="24"/>
                <w:szCs w:val="24"/>
              </w:rPr>
              <w:t>，</w:t>
            </w:r>
            <w:r>
              <w:rPr>
                <w:rFonts w:hint="eastAsia" w:cs="Times New Roman"/>
                <w:color w:val="auto"/>
                <w:sz w:val="24"/>
                <w:szCs w:val="24"/>
              </w:rPr>
              <w:t>项目</w:t>
            </w:r>
            <w:r>
              <w:rPr>
                <w:rFonts w:cs="Times New Roman"/>
                <w:color w:val="auto"/>
                <w:sz w:val="24"/>
                <w:szCs w:val="24"/>
              </w:rPr>
              <w:t>厂界</w:t>
            </w:r>
            <w:r>
              <w:rPr>
                <w:rFonts w:hint="eastAsia" w:cs="Times New Roman"/>
                <w:color w:val="auto"/>
                <w:sz w:val="24"/>
                <w:szCs w:val="24"/>
                <w:lang w:val="en-US" w:eastAsia="zh-CN"/>
              </w:rPr>
              <w:t>1-4#</w:t>
            </w:r>
            <w:r>
              <w:rPr>
                <w:rFonts w:hint="eastAsia" w:cs="Times New Roman"/>
                <w:color w:val="auto"/>
                <w:sz w:val="24"/>
                <w:szCs w:val="24"/>
              </w:rPr>
              <w:t>监测点噪声值</w:t>
            </w:r>
            <w:r>
              <w:rPr>
                <w:rFonts w:cs="Times New Roman"/>
                <w:color w:val="auto"/>
                <w:sz w:val="24"/>
                <w:szCs w:val="24"/>
              </w:rPr>
              <w:t>均</w:t>
            </w:r>
            <w:r>
              <w:rPr>
                <w:rFonts w:hint="eastAsia" w:cs="Times New Roman"/>
                <w:color w:val="auto"/>
                <w:sz w:val="24"/>
                <w:szCs w:val="24"/>
                <w:lang w:eastAsia="zh-CN"/>
              </w:rPr>
              <w:t>达到</w:t>
            </w:r>
            <w:r>
              <w:rPr>
                <w:rFonts w:hint="eastAsia" w:cs="Times New Roman"/>
                <w:color w:val="auto"/>
                <w:sz w:val="24"/>
                <w:szCs w:val="24"/>
              </w:rPr>
              <w:t>《工业企业厂界环境噪声排放标准》（GB 12348-2008）</w:t>
            </w:r>
            <w:r>
              <w:rPr>
                <w:rFonts w:cs="Times New Roman"/>
                <w:color w:val="auto"/>
                <w:sz w:val="24"/>
                <w:szCs w:val="24"/>
              </w:rPr>
              <w:t>3类</w:t>
            </w:r>
            <w:r>
              <w:rPr>
                <w:rFonts w:hint="eastAsia" w:cs="Times New Roman"/>
                <w:color w:val="auto"/>
                <w:sz w:val="24"/>
                <w:szCs w:val="24"/>
              </w:rPr>
              <w:t>标准。</w:t>
            </w:r>
          </w:p>
          <w:p>
            <w:pPr>
              <w:pStyle w:val="8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4、地下水及土壤环境质量现状</w:t>
            </w:r>
          </w:p>
          <w:p>
            <w:pPr>
              <w:pStyle w:val="8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根据《建设项目环境影响报告表编制技术指南（污染影响类）》（试行）及结合本项目的实际情况，本项目无需开展地下水及土壤监测</w:t>
            </w:r>
            <w:r>
              <w:rPr>
                <w:rFonts w:hint="default" w:ascii="Times New Roman" w:hAnsi="Times New Roman" w:eastAsia="宋体" w:cs="Times New Roman"/>
                <w:b w:val="0"/>
                <w:bCs w:val="0"/>
                <w:lang w:val="en-US" w:eastAsia="zh-CN"/>
              </w:rPr>
              <w:t>。</w:t>
            </w:r>
          </w:p>
          <w:p>
            <w:pPr>
              <w:pStyle w:val="8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pPr>
            <w:r>
              <w:rPr>
                <w:rFonts w:hint="eastAsia"/>
                <w:lang w:val="en-US" w:eastAsia="zh-CN"/>
              </w:rPr>
              <w:t>5、</w:t>
            </w:r>
            <w:r>
              <w:t>生态环境</w:t>
            </w:r>
          </w:p>
          <w:p>
            <w:pPr>
              <w:spacing w:line="360" w:lineRule="auto"/>
              <w:ind w:firstLine="496" w:firstLineChars="200"/>
              <w:rPr>
                <w:rFonts w:cs="Times New Roman"/>
                <w:sz w:val="24"/>
                <w:szCs w:val="24"/>
              </w:rPr>
            </w:pPr>
            <w:r>
              <w:rPr>
                <w:rFonts w:cs="Times New Roman"/>
                <w:spacing w:val="4"/>
                <w:sz w:val="24"/>
                <w:szCs w:val="28"/>
              </w:rPr>
              <w:t>项目所在区域在工业园区内，经过工业园区规划，地面平整，主要植被为人工绿化地。评价区域内生态环境受人为影响，无天然林及珍稀植被；区域内生物多样性程度较低，无珍稀动物。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1" w:type="pct"/>
            <w:vAlign w:val="center"/>
          </w:tcPr>
          <w:p>
            <w:pPr>
              <w:spacing w:line="360" w:lineRule="auto"/>
              <w:jc w:val="center"/>
              <w:rPr>
                <w:rFonts w:cs="Times New Roman"/>
                <w:sz w:val="24"/>
                <w:szCs w:val="24"/>
              </w:rPr>
            </w:pPr>
            <w:r>
              <w:rPr>
                <w:rFonts w:hint="eastAsia" w:cs="Times New Roman"/>
                <w:sz w:val="24"/>
                <w:szCs w:val="24"/>
              </w:rPr>
              <w:t>环境保护目标</w:t>
            </w:r>
          </w:p>
        </w:tc>
        <w:tc>
          <w:tcPr>
            <w:tcW w:w="4598" w:type="pct"/>
            <w:vAlign w:val="center"/>
          </w:tcPr>
          <w:p>
            <w:pPr>
              <w:spacing w:line="360" w:lineRule="auto"/>
              <w:rPr>
                <w:rFonts w:hint="eastAsia" w:ascii="Times New Roman" w:hAnsi="Times New Roman" w:eastAsia="宋体" w:cs="Times New Roman"/>
                <w:sz w:val="24"/>
                <w:szCs w:val="24"/>
                <w:lang w:val="en-US" w:eastAsia="zh-CN"/>
              </w:rPr>
            </w:pPr>
            <w:r>
              <w:rPr>
                <w:rFonts w:hint="eastAsia"/>
                <w:b/>
                <w:bCs/>
                <w:sz w:val="24"/>
                <w:szCs w:val="22"/>
              </w:rPr>
              <w:t>环境保护目标：</w:t>
            </w:r>
          </w:p>
          <w:p>
            <w:pPr>
              <w:adjustRightInd w:val="0"/>
              <w:snapToGrid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据现场调查结合《建设项目环境影响报告表编制技术指南（污染影响类）》（试行）确定本项目主要环境保护目标如下：</w:t>
            </w:r>
          </w:p>
          <w:p>
            <w:pPr>
              <w:spacing w:line="240" w:lineRule="auto"/>
              <w:jc w:val="center"/>
              <w:rPr>
                <w:rFonts w:hint="eastAsia" w:ascii="Times New Roman" w:hAnsi="Times New Roman" w:eastAsia="宋体" w:cs="Times New Roman"/>
                <w:b/>
                <w:bCs w:val="0"/>
                <w:sz w:val="21"/>
                <w:szCs w:val="18"/>
                <w:lang w:val="en-US" w:eastAsia="zh-CN"/>
              </w:rPr>
            </w:pPr>
            <w:r>
              <w:rPr>
                <w:rFonts w:hint="eastAsia" w:ascii="Times New Roman" w:hAnsi="Times New Roman" w:eastAsia="宋体" w:cs="Times New Roman"/>
                <w:b/>
                <w:bCs w:val="0"/>
                <w:sz w:val="21"/>
                <w:szCs w:val="18"/>
                <w:lang w:val="en-US" w:eastAsia="zh-CN"/>
              </w:rPr>
              <w:t>表3-</w:t>
            </w:r>
            <w:r>
              <w:rPr>
                <w:rFonts w:hint="eastAsia" w:eastAsia="宋体" w:cs="Times New Roman"/>
                <w:b/>
                <w:bCs w:val="0"/>
                <w:sz w:val="21"/>
                <w:szCs w:val="18"/>
                <w:lang w:val="en-US" w:eastAsia="zh-CN"/>
              </w:rPr>
              <w:t>5</w:t>
            </w:r>
            <w:r>
              <w:rPr>
                <w:rFonts w:hint="eastAsia" w:ascii="Times New Roman" w:hAnsi="Times New Roman" w:eastAsia="宋体" w:cs="Times New Roman"/>
                <w:b/>
                <w:bCs w:val="0"/>
                <w:sz w:val="21"/>
                <w:szCs w:val="18"/>
                <w:lang w:val="en-US" w:eastAsia="zh-CN"/>
              </w:rPr>
              <w:t xml:space="preserve">  项目主要环境保护目标一览表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01"/>
              <w:gridCol w:w="1271"/>
              <w:gridCol w:w="1255"/>
              <w:gridCol w:w="1539"/>
              <w:gridCol w:w="16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0" w:type="pct"/>
                  <w:noWrap w:val="0"/>
                  <w:vAlign w:val="center"/>
                </w:tcPr>
                <w:p>
                  <w:pPr>
                    <w:spacing w:line="240" w:lineRule="auto"/>
                    <w:jc w:val="center"/>
                    <w:rPr>
                      <w:rFonts w:hint="default" w:ascii="Times New Roman" w:hAnsi="Times New Roman" w:eastAsia="宋体" w:cs="Times New Roman"/>
                      <w:b/>
                      <w:bCs w:val="0"/>
                      <w:sz w:val="21"/>
                      <w:szCs w:val="18"/>
                      <w:shd w:val="clear" w:color="auto" w:fill="auto"/>
                      <w:lang w:val="en-US" w:eastAsia="zh-CN"/>
                    </w:rPr>
                  </w:pPr>
                  <w:r>
                    <w:rPr>
                      <w:rFonts w:hint="eastAsia" w:ascii="Times New Roman" w:hAnsi="Times New Roman" w:eastAsia="宋体" w:cs="Times New Roman"/>
                      <w:b/>
                      <w:bCs w:val="0"/>
                      <w:sz w:val="21"/>
                      <w:szCs w:val="18"/>
                      <w:shd w:val="clear" w:color="auto" w:fill="auto"/>
                      <w:lang w:val="en-US" w:eastAsia="zh-CN"/>
                    </w:rPr>
                    <w:t>保护类别</w:t>
                  </w:r>
                </w:p>
              </w:tc>
              <w:tc>
                <w:tcPr>
                  <w:tcW w:w="783" w:type="pct"/>
                  <w:noWrap w:val="0"/>
                  <w:vAlign w:val="center"/>
                </w:tcPr>
                <w:p>
                  <w:pPr>
                    <w:spacing w:line="240" w:lineRule="auto"/>
                    <w:jc w:val="center"/>
                    <w:rPr>
                      <w:rFonts w:hint="default" w:ascii="Times New Roman" w:hAnsi="Times New Roman" w:eastAsia="宋体" w:cs="Times New Roman"/>
                      <w:b/>
                      <w:bCs w:val="0"/>
                      <w:sz w:val="21"/>
                      <w:szCs w:val="18"/>
                      <w:shd w:val="clear" w:color="auto" w:fill="auto"/>
                      <w:lang w:val="en-US" w:eastAsia="zh-CN"/>
                    </w:rPr>
                  </w:pPr>
                  <w:r>
                    <w:rPr>
                      <w:rFonts w:hint="default" w:ascii="Times New Roman" w:hAnsi="Times New Roman" w:eastAsia="宋体" w:cs="Times New Roman"/>
                      <w:b/>
                      <w:bCs w:val="0"/>
                      <w:sz w:val="21"/>
                      <w:szCs w:val="18"/>
                      <w:shd w:val="clear" w:color="auto" w:fill="auto"/>
                      <w:lang w:val="en-US" w:eastAsia="zh-CN"/>
                    </w:rPr>
                    <w:t>保护目标</w:t>
                  </w:r>
                </w:p>
              </w:tc>
              <w:tc>
                <w:tcPr>
                  <w:tcW w:w="773" w:type="pct"/>
                  <w:noWrap w:val="0"/>
                  <w:vAlign w:val="center"/>
                </w:tcPr>
                <w:p>
                  <w:pPr>
                    <w:spacing w:line="240" w:lineRule="auto"/>
                    <w:jc w:val="center"/>
                    <w:rPr>
                      <w:rFonts w:hint="default" w:ascii="Times New Roman" w:hAnsi="Times New Roman" w:eastAsia="宋体" w:cs="Times New Roman"/>
                      <w:b/>
                      <w:bCs w:val="0"/>
                      <w:sz w:val="21"/>
                      <w:szCs w:val="18"/>
                      <w:shd w:val="clear" w:color="auto" w:fill="auto"/>
                      <w:lang w:val="en-US" w:eastAsia="zh-CN"/>
                    </w:rPr>
                  </w:pPr>
                  <w:r>
                    <w:rPr>
                      <w:rFonts w:hint="eastAsia" w:ascii="Times New Roman" w:hAnsi="Times New Roman" w:eastAsia="宋体" w:cs="Times New Roman"/>
                      <w:b/>
                      <w:bCs w:val="0"/>
                      <w:sz w:val="21"/>
                      <w:szCs w:val="18"/>
                      <w:shd w:val="clear" w:color="auto" w:fill="auto"/>
                      <w:lang w:val="en-US" w:eastAsia="zh-CN"/>
                    </w:rPr>
                    <w:t>名称</w:t>
                  </w:r>
                </w:p>
              </w:tc>
              <w:tc>
                <w:tcPr>
                  <w:tcW w:w="948" w:type="pct"/>
                  <w:noWrap w:val="0"/>
                  <w:vAlign w:val="center"/>
                </w:tcPr>
                <w:p>
                  <w:pPr>
                    <w:spacing w:line="240" w:lineRule="auto"/>
                    <w:jc w:val="center"/>
                    <w:rPr>
                      <w:rFonts w:hint="default" w:ascii="Times New Roman" w:hAnsi="Times New Roman" w:eastAsia="宋体" w:cs="Times New Roman"/>
                      <w:b/>
                      <w:bCs w:val="0"/>
                      <w:sz w:val="21"/>
                      <w:szCs w:val="18"/>
                      <w:shd w:val="clear" w:color="auto" w:fill="auto"/>
                      <w:lang w:val="en-US" w:eastAsia="zh-CN"/>
                    </w:rPr>
                  </w:pPr>
                  <w:r>
                    <w:rPr>
                      <w:rFonts w:hint="default" w:ascii="Times New Roman" w:hAnsi="Times New Roman" w:eastAsia="宋体" w:cs="Times New Roman"/>
                      <w:b/>
                      <w:bCs w:val="0"/>
                      <w:sz w:val="21"/>
                      <w:szCs w:val="18"/>
                      <w:shd w:val="clear" w:color="auto" w:fill="auto"/>
                      <w:lang w:val="en-US" w:eastAsia="zh-CN"/>
                    </w:rPr>
                    <w:t>与</w:t>
                  </w:r>
                  <w:r>
                    <w:rPr>
                      <w:rFonts w:hint="eastAsia" w:ascii="Times New Roman" w:hAnsi="Times New Roman" w:eastAsia="宋体" w:cs="Times New Roman"/>
                      <w:b/>
                      <w:bCs w:val="0"/>
                      <w:sz w:val="21"/>
                      <w:szCs w:val="18"/>
                      <w:shd w:val="clear" w:color="auto" w:fill="auto"/>
                      <w:lang w:val="en-US" w:eastAsia="zh-CN"/>
                    </w:rPr>
                    <w:t>项目</w:t>
                  </w:r>
                  <w:r>
                    <w:rPr>
                      <w:rFonts w:hint="default" w:ascii="Times New Roman" w:hAnsi="Times New Roman" w:eastAsia="宋体" w:cs="Times New Roman"/>
                      <w:b/>
                      <w:bCs w:val="0"/>
                      <w:sz w:val="21"/>
                      <w:szCs w:val="18"/>
                      <w:shd w:val="clear" w:color="auto" w:fill="auto"/>
                      <w:lang w:val="en-US" w:eastAsia="zh-CN"/>
                    </w:rPr>
                    <w:t>关系</w:t>
                  </w:r>
                </w:p>
              </w:tc>
              <w:tc>
                <w:tcPr>
                  <w:tcW w:w="1015" w:type="pct"/>
                  <w:noWrap w:val="0"/>
                  <w:vAlign w:val="center"/>
                </w:tcPr>
                <w:p>
                  <w:pPr>
                    <w:spacing w:line="240" w:lineRule="auto"/>
                    <w:jc w:val="center"/>
                    <w:rPr>
                      <w:rFonts w:hint="default" w:ascii="Times New Roman" w:hAnsi="Times New Roman" w:eastAsia="宋体" w:cs="Times New Roman"/>
                      <w:b/>
                      <w:bCs w:val="0"/>
                      <w:sz w:val="21"/>
                      <w:szCs w:val="18"/>
                      <w:shd w:val="clear" w:color="auto" w:fill="auto"/>
                      <w:lang w:val="en-US" w:eastAsia="zh-CN"/>
                    </w:rPr>
                  </w:pPr>
                  <w:r>
                    <w:rPr>
                      <w:rFonts w:hint="eastAsia" w:ascii="Times New Roman" w:hAnsi="Times New Roman" w:eastAsia="宋体" w:cs="Times New Roman"/>
                      <w:b/>
                      <w:bCs w:val="0"/>
                      <w:sz w:val="21"/>
                      <w:szCs w:val="18"/>
                      <w:shd w:val="clear" w:color="auto" w:fill="auto"/>
                      <w:lang w:val="en-US" w:eastAsia="zh-CN"/>
                    </w:rPr>
                    <w:t>功能类别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0" w:type="pct"/>
                  <w:noWrap w:val="0"/>
                  <w:vAlign w:val="center"/>
                </w:tcPr>
                <w:p>
                  <w:pPr>
                    <w:spacing w:line="240" w:lineRule="auto"/>
                    <w:jc w:val="center"/>
                    <w:rPr>
                      <w:rFonts w:hint="default" w:ascii="Times New Roman" w:hAnsi="Times New Roman" w:eastAsia="宋体" w:cs="Times New Roman"/>
                      <w:bCs/>
                      <w:sz w:val="21"/>
                      <w:szCs w:val="18"/>
                      <w:lang w:val="en-US" w:eastAsia="zh-CN"/>
                    </w:rPr>
                  </w:pPr>
                  <w:r>
                    <w:rPr>
                      <w:rFonts w:hint="eastAsia" w:ascii="Times New Roman" w:hAnsi="Times New Roman" w:eastAsia="宋体" w:cs="Times New Roman"/>
                      <w:bCs/>
                      <w:sz w:val="21"/>
                      <w:szCs w:val="18"/>
                      <w:lang w:val="en-US" w:eastAsia="zh-CN"/>
                    </w:rPr>
                    <w:t>生态保护目标</w:t>
                  </w:r>
                </w:p>
              </w:tc>
              <w:tc>
                <w:tcPr>
                  <w:tcW w:w="3519" w:type="pct"/>
                  <w:gridSpan w:val="4"/>
                  <w:noWrap w:val="0"/>
                  <w:vAlign w:val="center"/>
                </w:tcPr>
                <w:p>
                  <w:pPr>
                    <w:spacing w:line="240" w:lineRule="auto"/>
                    <w:jc w:val="center"/>
                    <w:rPr>
                      <w:rFonts w:hint="eastAsia" w:ascii="Times New Roman" w:hAnsi="Times New Roman" w:eastAsia="宋体" w:cs="Times New Roman"/>
                      <w:bCs/>
                      <w:sz w:val="21"/>
                      <w:szCs w:val="18"/>
                      <w:lang w:val="en-US" w:eastAsia="zh-CN"/>
                    </w:rPr>
                  </w:pPr>
                  <w:r>
                    <w:rPr>
                      <w:rFonts w:hint="eastAsia" w:ascii="Times New Roman" w:hAnsi="Times New Roman" w:eastAsia="宋体" w:cs="Times New Roman"/>
                      <w:bCs/>
                      <w:sz w:val="21"/>
                      <w:szCs w:val="18"/>
                      <w:lang w:val="en-US" w:eastAsia="zh-CN"/>
                    </w:rPr>
                    <w:t>项目为园区内项目，区域内无生态环境保护目标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0" w:type="pct"/>
                  <w:noWrap w:val="0"/>
                  <w:vAlign w:val="center"/>
                </w:tcPr>
                <w:p>
                  <w:pPr>
                    <w:spacing w:line="240" w:lineRule="auto"/>
                    <w:jc w:val="center"/>
                    <w:rPr>
                      <w:rFonts w:hint="eastAsia" w:ascii="Times New Roman" w:hAnsi="Times New Roman" w:eastAsia="宋体" w:cs="Times New Roman"/>
                      <w:bCs/>
                      <w:sz w:val="21"/>
                      <w:szCs w:val="18"/>
                      <w:lang w:val="en-US" w:eastAsia="zh-CN"/>
                    </w:rPr>
                  </w:pPr>
                  <w:r>
                    <w:rPr>
                      <w:rFonts w:hint="default" w:ascii="Times New Roman" w:hAnsi="Times New Roman" w:eastAsia="宋体" w:cs="Times New Roman"/>
                      <w:bCs/>
                      <w:sz w:val="21"/>
                      <w:szCs w:val="18"/>
                      <w:lang w:val="en-US" w:eastAsia="zh-CN"/>
                    </w:rPr>
                    <w:t>大气环境</w:t>
                  </w:r>
                  <w:r>
                    <w:rPr>
                      <w:rFonts w:hint="eastAsia" w:ascii="Times New Roman" w:hAnsi="Times New Roman" w:eastAsia="宋体" w:cs="Times New Roman"/>
                      <w:bCs/>
                      <w:sz w:val="21"/>
                      <w:szCs w:val="18"/>
                      <w:lang w:val="en-US" w:eastAsia="zh-CN"/>
                    </w:rPr>
                    <w:t>（调查范围500m）</w:t>
                  </w:r>
                </w:p>
              </w:tc>
              <w:tc>
                <w:tcPr>
                  <w:tcW w:w="3519" w:type="pct"/>
                  <w:gridSpan w:val="4"/>
                  <w:noWrap w:val="0"/>
                  <w:vAlign w:val="center"/>
                </w:tcPr>
                <w:p>
                  <w:pPr>
                    <w:spacing w:line="240" w:lineRule="auto"/>
                    <w:jc w:val="center"/>
                    <w:rPr>
                      <w:rFonts w:hint="default" w:ascii="Times New Roman" w:hAnsi="Times New Roman" w:eastAsia="宋体" w:cs="Times New Roman"/>
                      <w:bCs/>
                      <w:sz w:val="21"/>
                      <w:szCs w:val="18"/>
                      <w:lang w:val="en-US" w:eastAsia="zh-CN"/>
                    </w:rPr>
                  </w:pPr>
                  <w:r>
                    <w:rPr>
                      <w:rFonts w:hint="eastAsia" w:ascii="Times New Roman" w:hAnsi="Times New Roman" w:eastAsia="宋体" w:cs="Times New Roman"/>
                      <w:bCs/>
                      <w:color w:val="auto"/>
                      <w:sz w:val="21"/>
                      <w:szCs w:val="18"/>
                      <w:lang w:val="en-US" w:eastAsia="zh-CN"/>
                    </w:rPr>
                    <w:t>根据调查，本项目500m范围内无大气环境保护目标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0" w:type="pct"/>
                  <w:noWrap w:val="0"/>
                  <w:vAlign w:val="center"/>
                </w:tcPr>
                <w:p>
                  <w:pPr>
                    <w:spacing w:line="240" w:lineRule="auto"/>
                    <w:jc w:val="center"/>
                    <w:rPr>
                      <w:rFonts w:hint="default" w:ascii="Times New Roman" w:hAnsi="Times New Roman" w:eastAsia="宋体" w:cs="Times New Roman"/>
                      <w:bCs/>
                      <w:sz w:val="21"/>
                      <w:szCs w:val="18"/>
                      <w:lang w:val="en-US" w:eastAsia="zh-CN"/>
                    </w:rPr>
                  </w:pPr>
                  <w:r>
                    <w:rPr>
                      <w:rFonts w:hint="default" w:ascii="Times New Roman" w:hAnsi="Times New Roman" w:eastAsia="宋体" w:cs="Times New Roman"/>
                      <w:bCs/>
                      <w:sz w:val="21"/>
                      <w:szCs w:val="18"/>
                      <w:lang w:val="en-US" w:eastAsia="zh-CN"/>
                    </w:rPr>
                    <w:t>声环境</w:t>
                  </w:r>
                  <w:r>
                    <w:rPr>
                      <w:rFonts w:hint="eastAsia" w:ascii="Times New Roman" w:hAnsi="Times New Roman" w:eastAsia="宋体" w:cs="Times New Roman"/>
                      <w:bCs/>
                      <w:sz w:val="21"/>
                      <w:szCs w:val="18"/>
                      <w:lang w:val="en-US" w:eastAsia="zh-CN"/>
                    </w:rPr>
                    <w:t>（调查范围50m）</w:t>
                  </w:r>
                </w:p>
              </w:tc>
              <w:tc>
                <w:tcPr>
                  <w:tcW w:w="3519" w:type="pct"/>
                  <w:gridSpan w:val="4"/>
                  <w:noWrap w:val="0"/>
                  <w:vAlign w:val="center"/>
                </w:tcPr>
                <w:p>
                  <w:pPr>
                    <w:spacing w:line="240" w:lineRule="auto"/>
                    <w:jc w:val="center"/>
                    <w:rPr>
                      <w:rFonts w:hint="default" w:ascii="Times New Roman" w:hAnsi="Times New Roman" w:eastAsia="宋体" w:cs="Times New Roman"/>
                      <w:bCs/>
                      <w:sz w:val="21"/>
                      <w:szCs w:val="18"/>
                      <w:lang w:val="en-US" w:eastAsia="zh-CN"/>
                    </w:rPr>
                  </w:pPr>
                  <w:r>
                    <w:rPr>
                      <w:rFonts w:hint="eastAsia" w:ascii="Times New Roman" w:hAnsi="Times New Roman" w:eastAsia="宋体" w:cs="Times New Roman"/>
                      <w:bCs/>
                      <w:sz w:val="21"/>
                      <w:szCs w:val="18"/>
                      <w:lang w:val="en-US" w:eastAsia="zh-CN"/>
                    </w:rPr>
                    <w:t>项目厂界外50m无声环境敏感目标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0" w:type="pct"/>
                  <w:noWrap w:val="0"/>
                  <w:vAlign w:val="center"/>
                </w:tcPr>
                <w:p>
                  <w:pPr>
                    <w:spacing w:line="240" w:lineRule="auto"/>
                    <w:jc w:val="center"/>
                    <w:rPr>
                      <w:rFonts w:hint="default" w:ascii="Times New Roman" w:hAnsi="Times New Roman" w:eastAsia="宋体" w:cs="Times New Roman"/>
                      <w:bCs/>
                      <w:sz w:val="21"/>
                      <w:szCs w:val="18"/>
                      <w:lang w:val="en-US" w:eastAsia="zh-CN"/>
                    </w:rPr>
                  </w:pPr>
                  <w:r>
                    <w:rPr>
                      <w:rFonts w:hint="eastAsia" w:ascii="Times New Roman" w:hAnsi="Times New Roman" w:eastAsia="宋体" w:cs="Times New Roman"/>
                      <w:bCs/>
                      <w:sz w:val="21"/>
                      <w:szCs w:val="18"/>
                      <w:lang w:val="en-US" w:eastAsia="zh-CN"/>
                    </w:rPr>
                    <w:t>地下水（调查范围500m）</w:t>
                  </w:r>
                </w:p>
              </w:tc>
              <w:tc>
                <w:tcPr>
                  <w:tcW w:w="3519" w:type="pct"/>
                  <w:gridSpan w:val="4"/>
                  <w:noWrap w:val="0"/>
                  <w:vAlign w:val="center"/>
                </w:tcPr>
                <w:p>
                  <w:pPr>
                    <w:spacing w:line="240" w:lineRule="auto"/>
                    <w:jc w:val="center"/>
                    <w:rPr>
                      <w:rFonts w:hint="eastAsia" w:ascii="Times New Roman" w:hAnsi="Times New Roman" w:eastAsia="宋体" w:cs="Times New Roman"/>
                      <w:bCs/>
                      <w:sz w:val="21"/>
                      <w:szCs w:val="18"/>
                      <w:lang w:val="en-US" w:eastAsia="zh-CN"/>
                    </w:rPr>
                  </w:pPr>
                  <w:r>
                    <w:rPr>
                      <w:rFonts w:hint="eastAsia" w:ascii="Times New Roman" w:hAnsi="Times New Roman" w:eastAsia="宋体" w:cs="Times New Roman"/>
                      <w:bCs/>
                      <w:sz w:val="21"/>
                      <w:szCs w:val="18"/>
                      <w:lang w:val="en-US" w:eastAsia="zh-CN"/>
                    </w:rPr>
                    <w:t>项目厂界外500m范围内无地下水集中式饮用水源、热水、矿泉水、温泉等地下水环境敏感目标</w:t>
                  </w:r>
                </w:p>
              </w:tc>
            </w:tr>
          </w:tbl>
          <w:p>
            <w:pPr>
              <w:spacing w:line="360" w:lineRule="auto"/>
              <w:ind w:firstLine="482" w:firstLineChars="200"/>
              <w:rPr>
                <w:rFonts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1" w:type="pct"/>
            <w:vAlign w:val="center"/>
          </w:tcPr>
          <w:p>
            <w:pPr>
              <w:spacing w:line="360" w:lineRule="auto"/>
              <w:jc w:val="center"/>
              <w:rPr>
                <w:rFonts w:cs="Times New Roman"/>
                <w:sz w:val="24"/>
                <w:szCs w:val="24"/>
              </w:rPr>
            </w:pPr>
            <w:r>
              <w:rPr>
                <w:rFonts w:hint="eastAsia" w:cs="Times New Roman"/>
                <w:sz w:val="24"/>
                <w:szCs w:val="24"/>
              </w:rPr>
              <w:t>污染物排放控制标准</w:t>
            </w:r>
          </w:p>
        </w:tc>
        <w:tc>
          <w:tcPr>
            <w:tcW w:w="4598" w:type="pct"/>
            <w:vAlign w:val="center"/>
          </w:tcPr>
          <w:p>
            <w:pPr>
              <w:spacing w:line="360" w:lineRule="auto"/>
              <w:ind w:firstLine="482" w:firstLineChars="200"/>
              <w:rPr>
                <w:rFonts w:cs="Times New Roman"/>
                <w:b/>
                <w:sz w:val="24"/>
                <w:szCs w:val="24"/>
              </w:rPr>
            </w:pPr>
            <w:r>
              <w:rPr>
                <w:rFonts w:cs="Times New Roman"/>
                <w:b/>
                <w:sz w:val="24"/>
                <w:szCs w:val="24"/>
              </w:rPr>
              <w:t>1、废气</w:t>
            </w:r>
          </w:p>
          <w:p>
            <w:pPr>
              <w:spacing w:line="360" w:lineRule="auto"/>
              <w:ind w:firstLine="480" w:firstLineChars="200"/>
              <w:rPr>
                <w:rFonts w:cs="Times New Roman"/>
                <w:sz w:val="24"/>
                <w:szCs w:val="24"/>
              </w:rPr>
            </w:pPr>
            <w:r>
              <w:rPr>
                <w:rFonts w:hint="eastAsia" w:cs="Times New Roman"/>
                <w:sz w:val="24"/>
                <w:szCs w:val="24"/>
              </w:rPr>
              <w:t>施工期执行《四川省施工场地扬尘排放标准》（DB51/2682-2020）表1中排放限值，运营期</w:t>
            </w:r>
            <w:r>
              <w:rPr>
                <w:rFonts w:hint="eastAsia" w:cs="Times New Roman"/>
                <w:sz w:val="24"/>
                <w:szCs w:val="24"/>
                <w:lang w:eastAsia="zh-CN"/>
              </w:rPr>
              <w:t>有机</w:t>
            </w:r>
            <w:r>
              <w:rPr>
                <w:rFonts w:hint="eastAsia" w:cs="Times New Roman"/>
                <w:sz w:val="24"/>
                <w:szCs w:val="24"/>
              </w:rPr>
              <w:t>废气执行《四川省固定污染源大气挥发性有机物排放标准》（DB51/2377-2017）表</w:t>
            </w:r>
            <w:r>
              <w:rPr>
                <w:rFonts w:hint="eastAsia" w:cs="Times New Roman"/>
                <w:sz w:val="24"/>
                <w:szCs w:val="24"/>
                <w:lang w:val="en-US" w:eastAsia="zh-CN"/>
              </w:rPr>
              <w:t>3和表</w:t>
            </w:r>
            <w:r>
              <w:rPr>
                <w:rFonts w:hint="eastAsia" w:cs="Times New Roman"/>
                <w:sz w:val="24"/>
                <w:szCs w:val="24"/>
              </w:rPr>
              <w:t>5中排放限值</w:t>
            </w:r>
            <w:r>
              <w:rPr>
                <w:rFonts w:hint="eastAsia" w:cs="Times New Roman"/>
                <w:sz w:val="24"/>
                <w:szCs w:val="24"/>
                <w:lang w:eastAsia="zh-CN"/>
              </w:rPr>
              <w:t>，</w:t>
            </w:r>
            <w:r>
              <w:rPr>
                <w:rFonts w:hint="eastAsia" w:ascii="Times New Roman" w:hAnsi="Times New Roman" w:cs="Times New Roman"/>
                <w:color w:val="auto"/>
                <w:sz w:val="24"/>
                <w:szCs w:val="28"/>
                <w:lang w:eastAsia="zh-CN"/>
              </w:rPr>
              <w:t>厂区内</w:t>
            </w:r>
            <w:r>
              <w:rPr>
                <w:rFonts w:hint="eastAsia" w:ascii="Times New Roman" w:hAnsi="Times New Roman" w:cs="Times New Roman"/>
                <w:color w:val="auto"/>
                <w:sz w:val="24"/>
                <w:szCs w:val="28"/>
                <w:lang w:val="en-US" w:eastAsia="zh-CN"/>
              </w:rPr>
              <w:t>VOCs</w:t>
            </w:r>
            <w:r>
              <w:rPr>
                <w:rFonts w:hint="eastAsia" w:ascii="Times New Roman" w:hAnsi="Times New Roman" w:cs="Times New Roman"/>
                <w:color w:val="auto"/>
                <w:sz w:val="24"/>
                <w:szCs w:val="28"/>
                <w:lang w:eastAsia="zh-CN"/>
              </w:rPr>
              <w:t>无组织排放执行《挥发性有机物无组织排放控制标准》（</w:t>
            </w:r>
            <w:r>
              <w:rPr>
                <w:rFonts w:hint="eastAsia" w:ascii="Times New Roman" w:hAnsi="Times New Roman" w:cs="Times New Roman"/>
                <w:color w:val="auto"/>
                <w:sz w:val="24"/>
                <w:szCs w:val="28"/>
                <w:lang w:val="en-US" w:eastAsia="zh-CN"/>
              </w:rPr>
              <w:t>GB37822-2019</w:t>
            </w:r>
            <w:r>
              <w:rPr>
                <w:rFonts w:hint="eastAsia" w:ascii="Times New Roman" w:hAnsi="Times New Roman" w:cs="Times New Roman"/>
                <w:color w:val="auto"/>
                <w:sz w:val="24"/>
                <w:szCs w:val="28"/>
                <w:lang w:eastAsia="zh-CN"/>
              </w:rPr>
              <w:t>）</w:t>
            </w:r>
            <w:r>
              <w:rPr>
                <w:rFonts w:hint="eastAsia" w:cs="Times New Roman"/>
                <w:sz w:val="24"/>
                <w:szCs w:val="24"/>
              </w:rPr>
              <w:t>。</w:t>
            </w:r>
          </w:p>
          <w:p>
            <w:pPr>
              <w:spacing w:line="240" w:lineRule="auto"/>
              <w:jc w:val="center"/>
              <w:rPr>
                <w:rFonts w:hint="eastAsia" w:ascii="Times New Roman" w:hAnsi="Times New Roman" w:eastAsia="宋体" w:cs="Times New Roman"/>
                <w:b/>
                <w:bCs w:val="0"/>
                <w:sz w:val="21"/>
                <w:szCs w:val="18"/>
                <w:lang w:val="en-US" w:eastAsia="zh-CN"/>
              </w:rPr>
            </w:pPr>
            <w:r>
              <w:rPr>
                <w:rFonts w:hint="default" w:ascii="Times New Roman" w:hAnsi="Times New Roman" w:eastAsia="宋体" w:cs="Times New Roman"/>
                <w:b/>
                <w:bCs w:val="0"/>
                <w:sz w:val="21"/>
                <w:szCs w:val="18"/>
                <w:lang w:val="en-US" w:eastAsia="zh-CN"/>
              </w:rPr>
              <w:t>表3</w:t>
            </w:r>
            <w:r>
              <w:rPr>
                <w:rFonts w:hint="eastAsia" w:ascii="Times New Roman" w:hAnsi="Times New Roman" w:eastAsia="宋体" w:cs="Times New Roman"/>
                <w:b/>
                <w:bCs w:val="0"/>
                <w:sz w:val="21"/>
                <w:szCs w:val="18"/>
                <w:lang w:val="en-US" w:eastAsia="zh-CN"/>
              </w:rPr>
              <w:t>-6</w:t>
            </w:r>
            <w:r>
              <w:rPr>
                <w:rFonts w:hint="default" w:ascii="Times New Roman" w:hAnsi="Times New Roman" w:eastAsia="宋体" w:cs="Times New Roman"/>
                <w:b/>
                <w:bCs w:val="0"/>
                <w:sz w:val="21"/>
                <w:szCs w:val="18"/>
                <w:lang w:val="en-US" w:eastAsia="zh-CN"/>
              </w:rPr>
              <w:t xml:space="preserve">  </w:t>
            </w:r>
            <w:r>
              <w:rPr>
                <w:rFonts w:hint="eastAsia" w:ascii="Times New Roman" w:hAnsi="Times New Roman" w:eastAsia="宋体" w:cs="Times New Roman"/>
                <w:b/>
                <w:bCs w:val="0"/>
                <w:sz w:val="21"/>
                <w:szCs w:val="18"/>
                <w:lang w:val="en-US" w:eastAsia="zh-CN"/>
              </w:rPr>
              <w:t>施工扬尘排放标准限值</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9"/>
              <w:gridCol w:w="1241"/>
              <w:gridCol w:w="3287"/>
              <w:gridCol w:w="1665"/>
              <w:gridCol w:w="12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tcBorders>
                    <w:tl2br w:val="nil"/>
                    <w:tr2bl w:val="nil"/>
                  </w:tcBorders>
                  <w:vAlign w:val="center"/>
                </w:tcPr>
                <w:p>
                  <w:pPr>
                    <w:pStyle w:val="43"/>
                  </w:pPr>
                  <w:r>
                    <w:t>序号</w:t>
                  </w:r>
                </w:p>
              </w:tc>
              <w:tc>
                <w:tcPr>
                  <w:tcW w:w="764" w:type="pct"/>
                  <w:tcBorders>
                    <w:tl2br w:val="nil"/>
                    <w:tr2bl w:val="nil"/>
                  </w:tcBorders>
                  <w:vAlign w:val="center"/>
                </w:tcPr>
                <w:p>
                  <w:pPr>
                    <w:pStyle w:val="43"/>
                  </w:pPr>
                  <w:r>
                    <w:t>污染物</w:t>
                  </w:r>
                </w:p>
              </w:tc>
              <w:tc>
                <w:tcPr>
                  <w:tcW w:w="2024" w:type="pct"/>
                  <w:tcBorders>
                    <w:tl2br w:val="nil"/>
                    <w:tr2bl w:val="nil"/>
                  </w:tcBorders>
                  <w:vAlign w:val="center"/>
                </w:tcPr>
                <w:p>
                  <w:pPr>
                    <w:pStyle w:val="43"/>
                  </w:pPr>
                  <w:r>
                    <w:rPr>
                      <w:rFonts w:hint="eastAsia"/>
                    </w:rPr>
                    <w:t>施工阶段</w:t>
                  </w:r>
                </w:p>
              </w:tc>
              <w:tc>
                <w:tcPr>
                  <w:tcW w:w="1025" w:type="pct"/>
                  <w:tcBorders>
                    <w:tl2br w:val="nil"/>
                    <w:tr2bl w:val="nil"/>
                  </w:tcBorders>
                  <w:vAlign w:val="center"/>
                </w:tcPr>
                <w:p>
                  <w:pPr>
                    <w:pStyle w:val="43"/>
                  </w:pPr>
                  <w:r>
                    <w:rPr>
                      <w:rFonts w:hint="eastAsia"/>
                    </w:rPr>
                    <w:t>监测点</w:t>
                  </w:r>
                  <w:r>
                    <w:t>排放限值</w:t>
                  </w:r>
                  <w:r>
                    <w:rPr>
                      <w:rFonts w:hint="eastAsia"/>
                    </w:rPr>
                    <w:t>（</w:t>
                  </w:r>
                  <w:r>
                    <w:t>m</w:t>
                  </w:r>
                  <w:r>
                    <w:rPr>
                      <w:rFonts w:hint="eastAsia"/>
                    </w:rPr>
                    <w:t>g</w:t>
                  </w:r>
                  <w:r>
                    <w:t>/m</w:t>
                  </w:r>
                  <w:r>
                    <w:rPr>
                      <w:vertAlign w:val="superscript"/>
                    </w:rPr>
                    <w:t>3</w:t>
                  </w:r>
                  <w:r>
                    <w:t>）</w:t>
                  </w:r>
                </w:p>
              </w:tc>
              <w:tc>
                <w:tcPr>
                  <w:tcW w:w="791" w:type="pct"/>
                  <w:tcBorders>
                    <w:tl2br w:val="nil"/>
                    <w:tr2bl w:val="nil"/>
                  </w:tcBorders>
                  <w:vAlign w:val="center"/>
                </w:tcPr>
                <w:p>
                  <w:pPr>
                    <w:pStyle w:val="43"/>
                  </w:pPr>
                  <w:r>
                    <w:rPr>
                      <w:rFonts w:hint="eastAsia"/>
                    </w:rPr>
                    <w:t>监测时间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Merge w:val="restart"/>
                  <w:tcBorders>
                    <w:tl2br w:val="nil"/>
                    <w:tr2bl w:val="nil"/>
                  </w:tcBorders>
                  <w:vAlign w:val="center"/>
                </w:tcPr>
                <w:p>
                  <w:pPr>
                    <w:jc w:val="center"/>
                    <w:rPr>
                      <w:rFonts w:cstheme="minorHAnsi"/>
                      <w:szCs w:val="21"/>
                    </w:rPr>
                  </w:pPr>
                  <w:r>
                    <w:rPr>
                      <w:rFonts w:hint="eastAsia" w:cstheme="minorHAnsi"/>
                      <w:szCs w:val="21"/>
                    </w:rPr>
                    <w:t>1</w:t>
                  </w:r>
                </w:p>
              </w:tc>
              <w:tc>
                <w:tcPr>
                  <w:tcW w:w="764" w:type="pct"/>
                  <w:vMerge w:val="restart"/>
                  <w:tcBorders>
                    <w:tl2br w:val="nil"/>
                    <w:tr2bl w:val="nil"/>
                  </w:tcBorders>
                  <w:vAlign w:val="center"/>
                </w:tcPr>
                <w:p>
                  <w:pPr>
                    <w:jc w:val="center"/>
                    <w:rPr>
                      <w:rFonts w:cstheme="minorHAnsi"/>
                      <w:szCs w:val="21"/>
                    </w:rPr>
                  </w:pPr>
                  <w:r>
                    <w:rPr>
                      <w:rFonts w:hint="eastAsia" w:cstheme="minorHAnsi"/>
                      <w:szCs w:val="21"/>
                    </w:rPr>
                    <w:t>总悬浮颗粒物</w:t>
                  </w:r>
                  <w:r>
                    <w:rPr>
                      <w:rFonts w:cstheme="minorHAnsi"/>
                      <w:szCs w:val="21"/>
                    </w:rPr>
                    <w:t>（TSP）</w:t>
                  </w:r>
                </w:p>
              </w:tc>
              <w:tc>
                <w:tcPr>
                  <w:tcW w:w="2024" w:type="pct"/>
                  <w:tcBorders>
                    <w:tl2br w:val="nil"/>
                    <w:tr2bl w:val="nil"/>
                  </w:tcBorders>
                  <w:vAlign w:val="center"/>
                </w:tcPr>
                <w:p>
                  <w:pPr>
                    <w:jc w:val="center"/>
                    <w:rPr>
                      <w:rFonts w:cstheme="minorHAnsi"/>
                      <w:szCs w:val="21"/>
                    </w:rPr>
                  </w:pPr>
                  <w:r>
                    <w:rPr>
                      <w:rFonts w:hint="eastAsia" w:cstheme="minorHAnsi"/>
                      <w:szCs w:val="21"/>
                    </w:rPr>
                    <w:t>拆除</w:t>
                  </w:r>
                  <w:r>
                    <w:rPr>
                      <w:rFonts w:cstheme="minorHAnsi"/>
                      <w:szCs w:val="21"/>
                    </w:rPr>
                    <w:t>过程</w:t>
                  </w:r>
                  <w:r>
                    <w:rPr>
                      <w:rFonts w:hint="eastAsia" w:cstheme="minorHAnsi"/>
                      <w:szCs w:val="21"/>
                    </w:rPr>
                    <w:t>/土方开挖/土方</w:t>
                  </w:r>
                  <w:r>
                    <w:rPr>
                      <w:rFonts w:cstheme="minorHAnsi"/>
                      <w:szCs w:val="21"/>
                    </w:rPr>
                    <w:t>回填阶段</w:t>
                  </w:r>
                </w:p>
              </w:tc>
              <w:tc>
                <w:tcPr>
                  <w:tcW w:w="1025" w:type="pct"/>
                  <w:tcBorders>
                    <w:tl2br w:val="nil"/>
                    <w:tr2bl w:val="nil"/>
                  </w:tcBorders>
                  <w:vAlign w:val="center"/>
                </w:tcPr>
                <w:p>
                  <w:pPr>
                    <w:jc w:val="center"/>
                    <w:rPr>
                      <w:rFonts w:cstheme="minorHAnsi"/>
                      <w:szCs w:val="21"/>
                    </w:rPr>
                  </w:pPr>
                  <w:r>
                    <w:rPr>
                      <w:rFonts w:hint="eastAsia" w:cstheme="minorHAnsi"/>
                      <w:szCs w:val="21"/>
                    </w:rPr>
                    <w:t>0</w:t>
                  </w:r>
                  <w:r>
                    <w:rPr>
                      <w:rFonts w:cstheme="minorHAnsi"/>
                      <w:szCs w:val="21"/>
                    </w:rPr>
                    <w:t>.600</w:t>
                  </w:r>
                </w:p>
              </w:tc>
              <w:tc>
                <w:tcPr>
                  <w:tcW w:w="791" w:type="pct"/>
                  <w:vMerge w:val="restart"/>
                  <w:tcBorders>
                    <w:tl2br w:val="nil"/>
                    <w:tr2bl w:val="nil"/>
                  </w:tcBorders>
                  <w:vAlign w:val="center"/>
                </w:tcPr>
                <w:p>
                  <w:pPr>
                    <w:jc w:val="center"/>
                    <w:rPr>
                      <w:rFonts w:cstheme="minorHAnsi"/>
                      <w:szCs w:val="21"/>
                    </w:rPr>
                  </w:pPr>
                  <w:r>
                    <w:rPr>
                      <w:rFonts w:hint="eastAsia" w:cstheme="minorHAnsi"/>
                      <w:szCs w:val="21"/>
                    </w:rPr>
                    <w:t>自监测起持续15min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Merge w:val="continue"/>
                  <w:tcBorders>
                    <w:tl2br w:val="nil"/>
                    <w:tr2bl w:val="nil"/>
                  </w:tcBorders>
                  <w:vAlign w:val="center"/>
                </w:tcPr>
                <w:p>
                  <w:pPr>
                    <w:jc w:val="center"/>
                    <w:rPr>
                      <w:rFonts w:cstheme="minorHAnsi"/>
                      <w:szCs w:val="21"/>
                    </w:rPr>
                  </w:pPr>
                </w:p>
              </w:tc>
              <w:tc>
                <w:tcPr>
                  <w:tcW w:w="764" w:type="pct"/>
                  <w:vMerge w:val="continue"/>
                  <w:tcBorders>
                    <w:tl2br w:val="nil"/>
                    <w:tr2bl w:val="nil"/>
                  </w:tcBorders>
                  <w:vAlign w:val="center"/>
                </w:tcPr>
                <w:p>
                  <w:pPr>
                    <w:jc w:val="center"/>
                    <w:rPr>
                      <w:rFonts w:cstheme="minorHAnsi"/>
                      <w:szCs w:val="21"/>
                    </w:rPr>
                  </w:pPr>
                </w:p>
              </w:tc>
              <w:tc>
                <w:tcPr>
                  <w:tcW w:w="2024" w:type="pct"/>
                  <w:tcBorders>
                    <w:tl2br w:val="nil"/>
                    <w:tr2bl w:val="nil"/>
                  </w:tcBorders>
                  <w:vAlign w:val="center"/>
                </w:tcPr>
                <w:p>
                  <w:pPr>
                    <w:jc w:val="center"/>
                    <w:rPr>
                      <w:rFonts w:cstheme="minorHAnsi"/>
                      <w:szCs w:val="21"/>
                    </w:rPr>
                  </w:pPr>
                  <w:r>
                    <w:rPr>
                      <w:rFonts w:hint="eastAsia" w:cstheme="minorHAnsi"/>
                      <w:szCs w:val="21"/>
                    </w:rPr>
                    <w:t>其他工</w:t>
                  </w:r>
                  <w:r>
                    <w:rPr>
                      <w:rFonts w:cstheme="minorHAnsi"/>
                      <w:szCs w:val="21"/>
                    </w:rPr>
                    <w:t>程阶段</w:t>
                  </w:r>
                </w:p>
              </w:tc>
              <w:tc>
                <w:tcPr>
                  <w:tcW w:w="1025" w:type="pct"/>
                  <w:tcBorders>
                    <w:tl2br w:val="nil"/>
                    <w:tr2bl w:val="nil"/>
                  </w:tcBorders>
                  <w:vAlign w:val="center"/>
                </w:tcPr>
                <w:p>
                  <w:pPr>
                    <w:jc w:val="center"/>
                    <w:rPr>
                      <w:rFonts w:cstheme="minorHAnsi"/>
                      <w:szCs w:val="21"/>
                    </w:rPr>
                  </w:pPr>
                  <w:r>
                    <w:rPr>
                      <w:rFonts w:hint="eastAsia" w:cstheme="minorHAnsi"/>
                      <w:szCs w:val="21"/>
                    </w:rPr>
                    <w:t>0.250</w:t>
                  </w:r>
                </w:p>
              </w:tc>
              <w:tc>
                <w:tcPr>
                  <w:tcW w:w="791" w:type="pct"/>
                  <w:vMerge w:val="continue"/>
                  <w:tcBorders>
                    <w:tl2br w:val="nil"/>
                    <w:tr2bl w:val="nil"/>
                  </w:tcBorders>
                  <w:vAlign w:val="center"/>
                </w:tcPr>
                <w:p>
                  <w:pPr>
                    <w:jc w:val="center"/>
                    <w:rPr>
                      <w:rFonts w:cstheme="minorHAnsi"/>
                      <w:szCs w:val="21"/>
                    </w:rPr>
                  </w:pPr>
                </w:p>
              </w:tc>
            </w:tr>
          </w:tbl>
          <w:p>
            <w:pPr>
              <w:spacing w:line="240" w:lineRule="auto"/>
              <w:jc w:val="center"/>
              <w:rPr>
                <w:rFonts w:hint="eastAsia" w:ascii="Times New Roman" w:hAnsi="Times New Roman" w:eastAsia="宋体" w:cs="Times New Roman"/>
                <w:b/>
                <w:bCs w:val="0"/>
                <w:sz w:val="21"/>
                <w:szCs w:val="18"/>
                <w:lang w:val="en-US" w:eastAsia="zh-CN"/>
              </w:rPr>
            </w:pPr>
            <w:r>
              <w:rPr>
                <w:rFonts w:hint="default" w:ascii="Times New Roman" w:hAnsi="Times New Roman" w:eastAsia="宋体" w:cs="Times New Roman"/>
                <w:b/>
                <w:bCs w:val="0"/>
                <w:sz w:val="21"/>
                <w:szCs w:val="18"/>
                <w:lang w:val="en-US" w:eastAsia="zh-CN"/>
              </w:rPr>
              <w:t>表3-</w:t>
            </w:r>
            <w:r>
              <w:rPr>
                <w:rFonts w:hint="eastAsia" w:ascii="Times New Roman" w:hAnsi="Times New Roman" w:eastAsia="宋体" w:cs="Times New Roman"/>
                <w:b/>
                <w:bCs w:val="0"/>
                <w:sz w:val="21"/>
                <w:szCs w:val="18"/>
                <w:lang w:val="en-US" w:eastAsia="zh-CN"/>
              </w:rPr>
              <w:t>7</w:t>
            </w:r>
            <w:r>
              <w:rPr>
                <w:rFonts w:hint="default" w:ascii="Times New Roman" w:hAnsi="Times New Roman" w:eastAsia="宋体" w:cs="Times New Roman"/>
                <w:b/>
                <w:bCs w:val="0"/>
                <w:sz w:val="21"/>
                <w:szCs w:val="18"/>
                <w:lang w:val="en-US" w:eastAsia="zh-CN"/>
              </w:rPr>
              <w:t xml:space="preserve">  </w:t>
            </w:r>
            <w:r>
              <w:rPr>
                <w:rFonts w:hint="eastAsia" w:ascii="Times New Roman" w:hAnsi="Times New Roman" w:eastAsia="宋体" w:cs="Times New Roman"/>
                <w:b/>
                <w:bCs w:val="0"/>
                <w:sz w:val="21"/>
                <w:szCs w:val="18"/>
                <w:lang w:val="en-US" w:eastAsia="zh-CN"/>
              </w:rPr>
              <w:t>运营期大气污染物排放限值</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2"/>
              <w:gridCol w:w="1376"/>
              <w:gridCol w:w="2019"/>
              <w:gridCol w:w="1321"/>
              <w:gridCol w:w="26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43" w:type="pct"/>
                  <w:vMerge w:val="restart"/>
                  <w:tcBorders>
                    <w:tl2br w:val="nil"/>
                    <w:tr2bl w:val="nil"/>
                  </w:tcBorders>
                  <w:shd w:val="clear" w:color="auto" w:fill="auto"/>
                  <w:vAlign w:val="center"/>
                </w:tcPr>
                <w:p>
                  <w:pPr>
                    <w:pStyle w:val="43"/>
                  </w:pPr>
                  <w:r>
                    <w:rPr>
                      <w:rFonts w:hint="eastAsia"/>
                    </w:rPr>
                    <w:t>污染物名称</w:t>
                  </w:r>
                </w:p>
              </w:tc>
              <w:tc>
                <w:tcPr>
                  <w:tcW w:w="851" w:type="pct"/>
                  <w:vMerge w:val="restart"/>
                  <w:tcBorders>
                    <w:tl2br w:val="nil"/>
                    <w:tr2bl w:val="nil"/>
                  </w:tcBorders>
                  <w:shd w:val="clear" w:color="auto" w:fill="auto"/>
                  <w:vAlign w:val="center"/>
                </w:tcPr>
                <w:p>
                  <w:pPr>
                    <w:pStyle w:val="43"/>
                  </w:pPr>
                  <w:r>
                    <w:rPr>
                      <w:rFonts w:hint="eastAsia"/>
                    </w:rPr>
                    <w:t>最高</w:t>
                  </w:r>
                  <w:r>
                    <w:t>允许</w:t>
                  </w:r>
                  <w:r>
                    <w:rPr>
                      <w:rFonts w:hint="eastAsia"/>
                    </w:rPr>
                    <w:t>排放浓度（</w:t>
                  </w:r>
                  <w:r>
                    <w:t>mg/m</w:t>
                  </w:r>
                  <w:r>
                    <w:rPr>
                      <w:rFonts w:hint="eastAsia"/>
                      <w:vertAlign w:val="superscript"/>
                    </w:rPr>
                    <w:t>3</w:t>
                  </w:r>
                  <w:r>
                    <w:rPr>
                      <w:rFonts w:hint="eastAsia"/>
                    </w:rPr>
                    <w:t>）</w:t>
                  </w:r>
                </w:p>
              </w:tc>
              <w:tc>
                <w:tcPr>
                  <w:tcW w:w="1247" w:type="pct"/>
                  <w:tcBorders>
                    <w:tl2br w:val="nil"/>
                    <w:tr2bl w:val="nil"/>
                  </w:tcBorders>
                  <w:shd w:val="clear" w:color="auto" w:fill="auto"/>
                  <w:vAlign w:val="center"/>
                </w:tcPr>
                <w:p>
                  <w:pPr>
                    <w:pStyle w:val="43"/>
                    <w:rPr>
                      <w:rFonts w:hint="eastAsia" w:eastAsia="宋体"/>
                      <w:lang w:eastAsia="zh-CN"/>
                    </w:rPr>
                  </w:pPr>
                  <w:r>
                    <w:rPr>
                      <w:rFonts w:hint="eastAsia"/>
                      <w:lang w:eastAsia="zh-CN"/>
                    </w:rPr>
                    <w:t>排放速率（</w:t>
                  </w:r>
                  <w:r>
                    <w:rPr>
                      <w:rFonts w:hint="eastAsia"/>
                      <w:lang w:val="en-US" w:eastAsia="zh-CN"/>
                    </w:rPr>
                    <w:t>kg/h</w:t>
                  </w:r>
                  <w:r>
                    <w:rPr>
                      <w:rFonts w:hint="eastAsia"/>
                      <w:lang w:eastAsia="zh-CN"/>
                    </w:rPr>
                    <w:t>）</w:t>
                  </w:r>
                </w:p>
              </w:tc>
              <w:tc>
                <w:tcPr>
                  <w:tcW w:w="817" w:type="pct"/>
                  <w:vMerge w:val="restart"/>
                  <w:tcBorders>
                    <w:tl2br w:val="nil"/>
                    <w:tr2bl w:val="nil"/>
                  </w:tcBorders>
                  <w:shd w:val="clear" w:color="auto" w:fill="auto"/>
                  <w:vAlign w:val="center"/>
                </w:tcPr>
                <w:p>
                  <w:pPr>
                    <w:pStyle w:val="43"/>
                  </w:pPr>
                  <w:r>
                    <w:rPr>
                      <w:rFonts w:hint="eastAsia"/>
                    </w:rPr>
                    <w:t>无组织排放浓度</w:t>
                  </w:r>
                  <w:r>
                    <w:t>限值</w:t>
                  </w:r>
                  <w:r>
                    <w:rPr>
                      <w:rFonts w:hint="eastAsia"/>
                    </w:rPr>
                    <w:t>（</w:t>
                  </w:r>
                  <w:r>
                    <w:t>mg/m</w:t>
                  </w:r>
                  <w:r>
                    <w:rPr>
                      <w:rFonts w:hint="eastAsia"/>
                      <w:vertAlign w:val="superscript"/>
                    </w:rPr>
                    <w:t>3</w:t>
                  </w:r>
                  <w:r>
                    <w:rPr>
                      <w:rFonts w:hint="eastAsia"/>
                    </w:rPr>
                    <w:t>）</w:t>
                  </w:r>
                </w:p>
              </w:tc>
              <w:tc>
                <w:tcPr>
                  <w:tcW w:w="1639" w:type="pct"/>
                  <w:vMerge w:val="restart"/>
                  <w:tcBorders>
                    <w:tl2br w:val="nil"/>
                    <w:tr2bl w:val="nil"/>
                  </w:tcBorders>
                  <w:shd w:val="clear" w:color="auto" w:fill="auto"/>
                  <w:vAlign w:val="center"/>
                </w:tcPr>
                <w:p>
                  <w:pPr>
                    <w:pStyle w:val="43"/>
                  </w:pPr>
                  <w:r>
                    <w:rPr>
                      <w:rFonts w:hint="eastAsia"/>
                    </w:rPr>
                    <w:t>排放</w:t>
                  </w:r>
                  <w: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43" w:type="pct"/>
                  <w:vMerge w:val="continue"/>
                  <w:tcBorders>
                    <w:tl2br w:val="nil"/>
                    <w:tr2bl w:val="nil"/>
                  </w:tcBorders>
                  <w:shd w:val="clear" w:color="auto" w:fill="auto"/>
                  <w:vAlign w:val="center"/>
                </w:tcPr>
                <w:p>
                  <w:pPr>
                    <w:pStyle w:val="43"/>
                  </w:pPr>
                </w:p>
              </w:tc>
              <w:tc>
                <w:tcPr>
                  <w:tcW w:w="851" w:type="pct"/>
                  <w:vMerge w:val="continue"/>
                  <w:tcBorders>
                    <w:tl2br w:val="nil"/>
                    <w:tr2bl w:val="nil"/>
                  </w:tcBorders>
                  <w:shd w:val="clear" w:color="auto" w:fill="auto"/>
                  <w:vAlign w:val="center"/>
                </w:tcPr>
                <w:p>
                  <w:pPr>
                    <w:pStyle w:val="43"/>
                  </w:pPr>
                </w:p>
              </w:tc>
              <w:tc>
                <w:tcPr>
                  <w:tcW w:w="1247" w:type="pct"/>
                  <w:tcBorders>
                    <w:tl2br w:val="nil"/>
                    <w:tr2bl w:val="nil"/>
                  </w:tcBorders>
                  <w:shd w:val="clear" w:color="auto" w:fill="auto"/>
                  <w:vAlign w:val="center"/>
                </w:tcPr>
                <w:p>
                  <w:pPr>
                    <w:pStyle w:val="43"/>
                    <w:rPr>
                      <w:rFonts w:hint="eastAsia" w:eastAsia="宋体"/>
                      <w:lang w:eastAsia="zh-CN"/>
                    </w:rPr>
                  </w:pPr>
                  <w:r>
                    <w:rPr>
                      <w:rFonts w:hint="eastAsia"/>
                      <w:lang w:eastAsia="zh-CN"/>
                    </w:rPr>
                    <w:t>排气筒高度（</w:t>
                  </w:r>
                  <w:r>
                    <w:rPr>
                      <w:rFonts w:hint="eastAsia"/>
                      <w:lang w:val="en-US" w:eastAsia="zh-CN"/>
                    </w:rPr>
                    <w:t>15m</w:t>
                  </w:r>
                  <w:r>
                    <w:rPr>
                      <w:rFonts w:hint="eastAsia"/>
                      <w:lang w:eastAsia="zh-CN"/>
                    </w:rPr>
                    <w:t>）</w:t>
                  </w:r>
                </w:p>
              </w:tc>
              <w:tc>
                <w:tcPr>
                  <w:tcW w:w="817" w:type="pct"/>
                  <w:vMerge w:val="continue"/>
                  <w:tcBorders>
                    <w:tl2br w:val="nil"/>
                    <w:tr2bl w:val="nil"/>
                  </w:tcBorders>
                  <w:shd w:val="clear" w:color="auto" w:fill="auto"/>
                  <w:vAlign w:val="center"/>
                </w:tcPr>
                <w:p>
                  <w:pPr>
                    <w:pStyle w:val="43"/>
                    <w:rPr>
                      <w:rFonts w:hint="eastAsia"/>
                    </w:rPr>
                  </w:pPr>
                </w:p>
              </w:tc>
              <w:tc>
                <w:tcPr>
                  <w:tcW w:w="1639" w:type="pct"/>
                  <w:vMerge w:val="continue"/>
                  <w:tcBorders>
                    <w:tl2br w:val="nil"/>
                    <w:tr2bl w:val="nil"/>
                  </w:tcBorders>
                  <w:shd w:val="clear" w:color="auto" w:fill="auto"/>
                  <w:vAlign w:val="center"/>
                </w:tcPr>
                <w:p>
                  <w:pPr>
                    <w:pStyle w:val="43"/>
                    <w:rPr>
                      <w:rFonts w:hint="eastAsi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43" w:type="pct"/>
                  <w:tcBorders>
                    <w:tl2br w:val="nil"/>
                    <w:tr2bl w:val="nil"/>
                  </w:tcBorders>
                  <w:shd w:val="clear" w:color="auto" w:fill="auto"/>
                  <w:vAlign w:val="center"/>
                </w:tcPr>
                <w:p>
                  <w:pPr>
                    <w:jc w:val="center"/>
                    <w:rPr>
                      <w:szCs w:val="21"/>
                    </w:rPr>
                  </w:pPr>
                  <w:r>
                    <w:rPr>
                      <w:rFonts w:hint="eastAsia"/>
                      <w:szCs w:val="21"/>
                    </w:rPr>
                    <w:t>VOCs</w:t>
                  </w:r>
                </w:p>
              </w:tc>
              <w:tc>
                <w:tcPr>
                  <w:tcW w:w="851" w:type="pct"/>
                  <w:tcBorders>
                    <w:tl2br w:val="nil"/>
                    <w:tr2bl w:val="nil"/>
                  </w:tcBorders>
                  <w:shd w:val="clear" w:color="auto" w:fill="auto"/>
                  <w:vAlign w:val="center"/>
                </w:tcPr>
                <w:p>
                  <w:pPr>
                    <w:jc w:val="center"/>
                    <w:rPr>
                      <w:rFonts w:hint="default" w:eastAsia="宋体"/>
                      <w:szCs w:val="21"/>
                      <w:lang w:val="en-US" w:eastAsia="zh-CN"/>
                    </w:rPr>
                  </w:pPr>
                  <w:r>
                    <w:rPr>
                      <w:rFonts w:hint="eastAsia"/>
                      <w:szCs w:val="21"/>
                      <w:lang w:val="en-US" w:eastAsia="zh-CN"/>
                    </w:rPr>
                    <w:t>60</w:t>
                  </w:r>
                </w:p>
              </w:tc>
              <w:tc>
                <w:tcPr>
                  <w:tcW w:w="1247" w:type="pct"/>
                  <w:tcBorders>
                    <w:tl2br w:val="nil"/>
                    <w:tr2bl w:val="nil"/>
                  </w:tcBorders>
                  <w:shd w:val="clear" w:color="auto" w:fill="auto"/>
                  <w:vAlign w:val="center"/>
                </w:tcPr>
                <w:p>
                  <w:pPr>
                    <w:jc w:val="center"/>
                    <w:rPr>
                      <w:rFonts w:hint="default" w:eastAsia="宋体"/>
                      <w:szCs w:val="21"/>
                      <w:lang w:val="en-US" w:eastAsia="zh-CN"/>
                    </w:rPr>
                  </w:pPr>
                  <w:r>
                    <w:rPr>
                      <w:rFonts w:hint="eastAsia"/>
                      <w:szCs w:val="21"/>
                      <w:lang w:val="en-US" w:eastAsia="zh-CN"/>
                    </w:rPr>
                    <w:t>3.4kg/h</w:t>
                  </w:r>
                </w:p>
              </w:tc>
              <w:tc>
                <w:tcPr>
                  <w:tcW w:w="817" w:type="pct"/>
                  <w:tcBorders>
                    <w:tl2br w:val="nil"/>
                    <w:tr2bl w:val="nil"/>
                  </w:tcBorders>
                  <w:shd w:val="clear" w:color="auto" w:fill="auto"/>
                  <w:vAlign w:val="center"/>
                </w:tcPr>
                <w:p>
                  <w:pPr>
                    <w:jc w:val="center"/>
                    <w:rPr>
                      <w:szCs w:val="21"/>
                    </w:rPr>
                  </w:pPr>
                  <w:r>
                    <w:rPr>
                      <w:rFonts w:hint="eastAsia"/>
                      <w:szCs w:val="21"/>
                    </w:rPr>
                    <w:t>2</w:t>
                  </w:r>
                  <w:r>
                    <w:rPr>
                      <w:szCs w:val="21"/>
                    </w:rPr>
                    <w:t>.0</w:t>
                  </w:r>
                </w:p>
              </w:tc>
              <w:tc>
                <w:tcPr>
                  <w:tcW w:w="1639" w:type="pct"/>
                  <w:tcBorders>
                    <w:tl2br w:val="nil"/>
                    <w:tr2bl w:val="nil"/>
                  </w:tcBorders>
                  <w:shd w:val="clear" w:color="auto" w:fill="auto"/>
                  <w:vAlign w:val="center"/>
                </w:tcPr>
                <w:p>
                  <w:pPr>
                    <w:jc w:val="center"/>
                    <w:rPr>
                      <w:szCs w:val="21"/>
                    </w:rPr>
                  </w:pPr>
                  <w:r>
                    <w:rPr>
                      <w:rFonts w:hint="eastAsia"/>
                      <w:szCs w:val="21"/>
                    </w:rPr>
                    <w:t>《四川省固定污染源大气挥发性有机物排放标准》（DB51/2377-2017）</w:t>
                  </w:r>
                </w:p>
              </w:tc>
            </w:tr>
          </w:tbl>
          <w:p>
            <w:pPr>
              <w:pStyle w:val="105"/>
              <w:spacing w:line="276" w:lineRule="auto"/>
              <w:ind w:left="505" w:firstLine="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rPr>
              <w:t>-</w:t>
            </w:r>
            <w:r>
              <w:rPr>
                <w:rFonts w:hint="eastAsia" w:ascii="Times New Roman" w:hAnsi="Times New Roman" w:eastAsia="宋体" w:cs="Times New Roman"/>
                <w:b/>
                <w:bCs w:val="0"/>
                <w:color w:val="auto"/>
                <w:sz w:val="21"/>
                <w:szCs w:val="21"/>
                <w:lang w:val="en-US" w:eastAsia="zh-CN"/>
              </w:rPr>
              <w:t>8</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eastAsia="zh-CN"/>
              </w:rPr>
              <w:t>厂区内</w:t>
            </w:r>
            <w:r>
              <w:rPr>
                <w:rFonts w:hint="eastAsia" w:ascii="Times New Roman" w:hAnsi="Times New Roman" w:eastAsia="宋体" w:cs="Times New Roman"/>
                <w:b/>
                <w:bCs w:val="0"/>
                <w:color w:val="auto"/>
                <w:sz w:val="21"/>
                <w:szCs w:val="21"/>
                <w:lang w:val="en-US" w:eastAsia="zh-CN"/>
              </w:rPr>
              <w:t>VOCs无组织排放限值</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4"/>
              <w:gridCol w:w="1386"/>
              <w:gridCol w:w="1328"/>
              <w:gridCol w:w="2453"/>
              <w:gridCol w:w="16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1" w:type="pct"/>
                  <w:tcBorders>
                    <w:tl2br w:val="nil"/>
                    <w:tr2bl w:val="nil"/>
                  </w:tcBorders>
                  <w:noWrap w:val="0"/>
                  <w:vAlign w:val="center"/>
                </w:tcPr>
                <w:p>
                  <w:pPr>
                    <w:snapToGrid w:val="0"/>
                    <w:jc w:val="center"/>
                    <w:rPr>
                      <w:color w:val="auto"/>
                      <w:sz w:val="21"/>
                      <w:szCs w:val="21"/>
                    </w:rPr>
                  </w:pPr>
                  <w:r>
                    <w:rPr>
                      <w:rFonts w:hint="eastAsia"/>
                      <w:color w:val="auto"/>
                      <w:sz w:val="21"/>
                      <w:szCs w:val="21"/>
                    </w:rPr>
                    <w:t>污染物</w:t>
                  </w:r>
                </w:p>
              </w:tc>
              <w:tc>
                <w:tcPr>
                  <w:tcW w:w="854" w:type="pct"/>
                  <w:tcBorders>
                    <w:tl2br w:val="nil"/>
                    <w:tr2bl w:val="nil"/>
                  </w:tcBorders>
                  <w:noWrap w:val="0"/>
                  <w:vAlign w:val="center"/>
                </w:tcPr>
                <w:p>
                  <w:pPr>
                    <w:snapToGrid w:val="0"/>
                    <w:jc w:val="center"/>
                    <w:rPr>
                      <w:rFonts w:hint="eastAsia" w:eastAsia="宋体"/>
                      <w:color w:val="auto"/>
                      <w:sz w:val="21"/>
                      <w:szCs w:val="21"/>
                      <w:lang w:eastAsia="zh-CN"/>
                    </w:rPr>
                  </w:pPr>
                  <w:r>
                    <w:rPr>
                      <w:rFonts w:hint="eastAsia"/>
                      <w:color w:val="auto"/>
                      <w:sz w:val="21"/>
                      <w:szCs w:val="21"/>
                      <w:lang w:eastAsia="zh-CN"/>
                    </w:rPr>
                    <w:t>排放限值</w:t>
                  </w:r>
                </w:p>
              </w:tc>
              <w:tc>
                <w:tcPr>
                  <w:tcW w:w="818" w:type="pct"/>
                  <w:tcBorders>
                    <w:tl2br w:val="nil"/>
                    <w:tr2bl w:val="nil"/>
                  </w:tcBorders>
                  <w:noWrap w:val="0"/>
                  <w:vAlign w:val="center"/>
                </w:tcPr>
                <w:p>
                  <w:pPr>
                    <w:snapToGrid w:val="0"/>
                    <w:jc w:val="center"/>
                    <w:rPr>
                      <w:color w:val="auto"/>
                      <w:sz w:val="21"/>
                      <w:szCs w:val="21"/>
                    </w:rPr>
                  </w:pPr>
                  <w:r>
                    <w:rPr>
                      <w:rFonts w:hint="eastAsia"/>
                      <w:color w:val="auto"/>
                      <w:sz w:val="21"/>
                      <w:szCs w:val="21"/>
                      <w:lang w:eastAsia="zh-CN"/>
                    </w:rPr>
                    <w:t>特别排放限值</w:t>
                  </w:r>
                </w:p>
              </w:tc>
              <w:tc>
                <w:tcPr>
                  <w:tcW w:w="1511" w:type="pct"/>
                  <w:tcBorders>
                    <w:tl2br w:val="nil"/>
                    <w:tr2bl w:val="nil"/>
                  </w:tcBorders>
                  <w:noWrap w:val="0"/>
                  <w:vAlign w:val="center"/>
                </w:tcPr>
                <w:p>
                  <w:pPr>
                    <w:snapToGrid w:val="0"/>
                    <w:jc w:val="center"/>
                    <w:rPr>
                      <w:rFonts w:hint="eastAsia" w:eastAsia="宋体"/>
                      <w:color w:val="auto"/>
                      <w:sz w:val="21"/>
                      <w:szCs w:val="21"/>
                      <w:lang w:eastAsia="zh-CN"/>
                    </w:rPr>
                  </w:pPr>
                  <w:r>
                    <w:rPr>
                      <w:rFonts w:hint="eastAsia"/>
                      <w:color w:val="auto"/>
                      <w:sz w:val="21"/>
                      <w:szCs w:val="21"/>
                      <w:lang w:eastAsia="zh-CN"/>
                    </w:rPr>
                    <w:t>限值含义</w:t>
                  </w:r>
                </w:p>
              </w:tc>
              <w:tc>
                <w:tcPr>
                  <w:tcW w:w="1024" w:type="pct"/>
                  <w:tcBorders>
                    <w:tl2br w:val="nil"/>
                    <w:tr2bl w:val="nil"/>
                  </w:tcBorders>
                  <w:noWrap w:val="0"/>
                  <w:vAlign w:val="center"/>
                </w:tcPr>
                <w:p>
                  <w:pPr>
                    <w:snapToGrid w:val="0"/>
                    <w:jc w:val="center"/>
                    <w:rPr>
                      <w:rFonts w:hint="eastAsia" w:eastAsia="宋体"/>
                      <w:color w:val="auto"/>
                      <w:sz w:val="21"/>
                      <w:szCs w:val="21"/>
                      <w:lang w:eastAsia="zh-CN"/>
                    </w:rPr>
                  </w:pPr>
                  <w:r>
                    <w:rPr>
                      <w:rFonts w:hint="eastAsia"/>
                      <w:color w:val="auto"/>
                      <w:sz w:val="21"/>
                      <w:szCs w:val="21"/>
                    </w:rPr>
                    <w:t>无组织排放监控</w:t>
                  </w:r>
                  <w:r>
                    <w:rPr>
                      <w:rFonts w:hint="eastAsia"/>
                      <w:color w:val="auto"/>
                      <w:sz w:val="21"/>
                      <w:szCs w:val="21"/>
                      <w:lang w:eastAsia="zh-CN"/>
                    </w:rPr>
                    <w:t>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1" w:type="pct"/>
                  <w:vMerge w:val="restart"/>
                  <w:tcBorders>
                    <w:tl2br w:val="nil"/>
                    <w:tr2bl w:val="nil"/>
                  </w:tcBorders>
                  <w:noWrap w:val="0"/>
                  <w:vAlign w:val="center"/>
                </w:tcPr>
                <w:p>
                  <w:pPr>
                    <w:snapToGrid w:val="0"/>
                    <w:jc w:val="center"/>
                    <w:rPr>
                      <w:rFonts w:hint="default" w:eastAsia="宋体"/>
                      <w:color w:val="auto"/>
                      <w:sz w:val="21"/>
                      <w:szCs w:val="21"/>
                      <w:lang w:val="en-US" w:eastAsia="zh-CN"/>
                    </w:rPr>
                  </w:pPr>
                  <w:r>
                    <w:rPr>
                      <w:rFonts w:hint="eastAsia"/>
                      <w:color w:val="auto"/>
                      <w:sz w:val="21"/>
                      <w:szCs w:val="21"/>
                      <w:lang w:val="en-US" w:eastAsia="zh-CN"/>
                    </w:rPr>
                    <w:t>NMHC</w:t>
                  </w:r>
                </w:p>
              </w:tc>
              <w:tc>
                <w:tcPr>
                  <w:tcW w:w="854" w:type="pct"/>
                  <w:tcBorders>
                    <w:tl2br w:val="nil"/>
                    <w:tr2bl w:val="nil"/>
                  </w:tcBorders>
                  <w:noWrap w:val="0"/>
                  <w:vAlign w:val="center"/>
                </w:tcPr>
                <w:p>
                  <w:pPr>
                    <w:snapToGrid w:val="0"/>
                    <w:jc w:val="center"/>
                    <w:rPr>
                      <w:rFonts w:hint="default" w:eastAsia="宋体"/>
                      <w:color w:val="auto"/>
                      <w:sz w:val="21"/>
                      <w:szCs w:val="21"/>
                      <w:lang w:val="en-US" w:eastAsia="zh-CN"/>
                    </w:rPr>
                  </w:pPr>
                  <w:r>
                    <w:rPr>
                      <w:rFonts w:hint="eastAsia"/>
                      <w:color w:val="auto"/>
                      <w:sz w:val="21"/>
                      <w:szCs w:val="21"/>
                      <w:lang w:val="en-US" w:eastAsia="zh-CN"/>
                    </w:rPr>
                    <w:t>10</w:t>
                  </w:r>
                </w:p>
              </w:tc>
              <w:tc>
                <w:tcPr>
                  <w:tcW w:w="818" w:type="pct"/>
                  <w:tcBorders>
                    <w:tl2br w:val="nil"/>
                    <w:tr2bl w:val="nil"/>
                  </w:tcBorders>
                  <w:noWrap w:val="0"/>
                  <w:vAlign w:val="center"/>
                </w:tcPr>
                <w:p>
                  <w:pPr>
                    <w:snapToGrid w:val="0"/>
                    <w:jc w:val="center"/>
                    <w:rPr>
                      <w:rFonts w:hint="default" w:eastAsia="宋体"/>
                      <w:color w:val="auto"/>
                      <w:sz w:val="21"/>
                      <w:szCs w:val="21"/>
                      <w:lang w:val="en-US" w:eastAsia="zh-CN"/>
                    </w:rPr>
                  </w:pPr>
                  <w:r>
                    <w:rPr>
                      <w:rFonts w:hint="eastAsia"/>
                      <w:color w:val="auto"/>
                      <w:sz w:val="21"/>
                      <w:szCs w:val="21"/>
                      <w:lang w:val="en-US" w:eastAsia="zh-CN"/>
                    </w:rPr>
                    <w:t>6</w:t>
                  </w:r>
                </w:p>
              </w:tc>
              <w:tc>
                <w:tcPr>
                  <w:tcW w:w="1511" w:type="pct"/>
                  <w:tcBorders>
                    <w:tl2br w:val="nil"/>
                    <w:tr2bl w:val="nil"/>
                  </w:tcBorders>
                  <w:noWrap w:val="0"/>
                  <w:vAlign w:val="center"/>
                </w:tcPr>
                <w:p>
                  <w:pPr>
                    <w:snapToGrid w:val="0"/>
                    <w:jc w:val="center"/>
                    <w:rPr>
                      <w:rFonts w:hint="default" w:eastAsia="宋体"/>
                      <w:color w:val="auto"/>
                      <w:sz w:val="21"/>
                      <w:szCs w:val="21"/>
                      <w:lang w:val="en-US" w:eastAsia="zh-CN"/>
                    </w:rPr>
                  </w:pPr>
                  <w:r>
                    <w:rPr>
                      <w:rFonts w:hint="eastAsia"/>
                      <w:color w:val="auto"/>
                      <w:sz w:val="21"/>
                      <w:szCs w:val="21"/>
                      <w:lang w:eastAsia="zh-CN"/>
                    </w:rPr>
                    <w:t>监控点处</w:t>
                  </w:r>
                  <w:r>
                    <w:rPr>
                      <w:rFonts w:hint="eastAsia"/>
                      <w:color w:val="auto"/>
                      <w:sz w:val="21"/>
                      <w:szCs w:val="21"/>
                      <w:lang w:val="en-US" w:eastAsia="zh-CN"/>
                    </w:rPr>
                    <w:t>1h平均浓度</w:t>
                  </w:r>
                </w:p>
              </w:tc>
              <w:tc>
                <w:tcPr>
                  <w:tcW w:w="1024" w:type="pct"/>
                  <w:vMerge w:val="restart"/>
                  <w:tcBorders>
                    <w:tl2br w:val="nil"/>
                    <w:tr2bl w:val="nil"/>
                  </w:tcBorders>
                  <w:noWrap w:val="0"/>
                  <w:vAlign w:val="center"/>
                </w:tcPr>
                <w:p>
                  <w:pPr>
                    <w:snapToGrid w:val="0"/>
                    <w:jc w:val="center"/>
                    <w:rPr>
                      <w:rFonts w:hint="eastAsia" w:eastAsia="宋体"/>
                      <w:color w:val="auto"/>
                      <w:sz w:val="21"/>
                      <w:szCs w:val="21"/>
                      <w:lang w:eastAsia="zh-CN"/>
                    </w:rPr>
                  </w:pPr>
                  <w:r>
                    <w:rPr>
                      <w:rFonts w:hint="eastAsia"/>
                      <w:color w:val="auto"/>
                      <w:sz w:val="21"/>
                      <w:szCs w:val="21"/>
                      <w:lang w:eastAsia="zh-CN"/>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1" w:type="pct"/>
                  <w:vMerge w:val="continue"/>
                  <w:tcBorders>
                    <w:tl2br w:val="nil"/>
                    <w:tr2bl w:val="nil"/>
                  </w:tcBorders>
                  <w:noWrap w:val="0"/>
                  <w:vAlign w:val="center"/>
                </w:tcPr>
                <w:p>
                  <w:pPr>
                    <w:snapToGrid w:val="0"/>
                    <w:jc w:val="center"/>
                    <w:rPr>
                      <w:color w:val="auto"/>
                      <w:sz w:val="21"/>
                      <w:szCs w:val="21"/>
                    </w:rPr>
                  </w:pPr>
                </w:p>
              </w:tc>
              <w:tc>
                <w:tcPr>
                  <w:tcW w:w="854" w:type="pct"/>
                  <w:tcBorders>
                    <w:tl2br w:val="nil"/>
                    <w:tr2bl w:val="nil"/>
                  </w:tcBorders>
                  <w:noWrap w:val="0"/>
                  <w:vAlign w:val="center"/>
                </w:tcPr>
                <w:p>
                  <w:pPr>
                    <w:snapToGrid w:val="0"/>
                    <w:jc w:val="center"/>
                    <w:rPr>
                      <w:rFonts w:hint="default" w:eastAsia="宋体"/>
                      <w:color w:val="auto"/>
                      <w:sz w:val="21"/>
                      <w:szCs w:val="21"/>
                      <w:lang w:val="en-US" w:eastAsia="zh-CN"/>
                    </w:rPr>
                  </w:pPr>
                  <w:r>
                    <w:rPr>
                      <w:rFonts w:hint="eastAsia"/>
                      <w:color w:val="auto"/>
                      <w:sz w:val="21"/>
                      <w:szCs w:val="21"/>
                      <w:lang w:val="en-US" w:eastAsia="zh-CN"/>
                    </w:rPr>
                    <w:t>30</w:t>
                  </w:r>
                </w:p>
              </w:tc>
              <w:tc>
                <w:tcPr>
                  <w:tcW w:w="818" w:type="pct"/>
                  <w:tcBorders>
                    <w:tl2br w:val="nil"/>
                    <w:tr2bl w:val="nil"/>
                  </w:tcBorders>
                  <w:noWrap w:val="0"/>
                  <w:vAlign w:val="center"/>
                </w:tcPr>
                <w:p>
                  <w:pPr>
                    <w:snapToGrid w:val="0"/>
                    <w:jc w:val="center"/>
                    <w:rPr>
                      <w:rFonts w:hint="default" w:eastAsia="宋体"/>
                      <w:color w:val="auto"/>
                      <w:sz w:val="21"/>
                      <w:szCs w:val="21"/>
                      <w:lang w:val="en-US" w:eastAsia="zh-CN"/>
                    </w:rPr>
                  </w:pPr>
                  <w:r>
                    <w:rPr>
                      <w:rFonts w:hint="eastAsia"/>
                      <w:color w:val="auto"/>
                      <w:sz w:val="21"/>
                      <w:szCs w:val="21"/>
                      <w:lang w:val="en-US" w:eastAsia="zh-CN"/>
                    </w:rPr>
                    <w:t>20</w:t>
                  </w:r>
                </w:p>
              </w:tc>
              <w:tc>
                <w:tcPr>
                  <w:tcW w:w="1511" w:type="pct"/>
                  <w:tcBorders>
                    <w:tl2br w:val="nil"/>
                    <w:tr2bl w:val="nil"/>
                  </w:tcBorders>
                  <w:noWrap w:val="0"/>
                  <w:vAlign w:val="center"/>
                </w:tcPr>
                <w:p>
                  <w:pPr>
                    <w:snapToGrid w:val="0"/>
                    <w:jc w:val="center"/>
                    <w:rPr>
                      <w:rFonts w:hint="eastAsia" w:eastAsia="宋体"/>
                      <w:color w:val="auto"/>
                      <w:sz w:val="21"/>
                      <w:szCs w:val="21"/>
                      <w:lang w:eastAsia="zh-CN"/>
                    </w:rPr>
                  </w:pPr>
                  <w:r>
                    <w:rPr>
                      <w:rFonts w:hint="eastAsia"/>
                      <w:color w:val="auto"/>
                      <w:sz w:val="21"/>
                      <w:szCs w:val="21"/>
                      <w:lang w:eastAsia="zh-CN"/>
                    </w:rPr>
                    <w:t>监控点处任意一次浓度值</w:t>
                  </w:r>
                </w:p>
              </w:tc>
              <w:tc>
                <w:tcPr>
                  <w:tcW w:w="1024" w:type="pct"/>
                  <w:vMerge w:val="continue"/>
                  <w:tcBorders>
                    <w:tl2br w:val="nil"/>
                    <w:tr2bl w:val="nil"/>
                  </w:tcBorders>
                  <w:noWrap w:val="0"/>
                  <w:vAlign w:val="center"/>
                </w:tcPr>
                <w:p>
                  <w:pPr>
                    <w:snapToGrid w:val="0"/>
                    <w:jc w:val="center"/>
                    <w:rPr>
                      <w:color w:val="auto"/>
                      <w:sz w:val="21"/>
                      <w:szCs w:val="21"/>
                    </w:rPr>
                  </w:pPr>
                </w:p>
              </w:tc>
            </w:tr>
          </w:tbl>
          <w:p>
            <w:pPr>
              <w:spacing w:line="360" w:lineRule="auto"/>
              <w:ind w:firstLine="482" w:firstLineChars="200"/>
              <w:rPr>
                <w:rFonts w:cs="Times New Roman"/>
                <w:b/>
                <w:sz w:val="24"/>
                <w:szCs w:val="24"/>
              </w:rPr>
            </w:pPr>
            <w:r>
              <w:rPr>
                <w:rFonts w:cs="Times New Roman"/>
                <w:b/>
                <w:sz w:val="24"/>
                <w:szCs w:val="24"/>
              </w:rPr>
              <w:t>2、废</w:t>
            </w:r>
            <w:r>
              <w:rPr>
                <w:rFonts w:hint="eastAsia" w:cs="Times New Roman"/>
                <w:b/>
                <w:sz w:val="24"/>
                <w:szCs w:val="24"/>
              </w:rPr>
              <w:t>水</w:t>
            </w:r>
          </w:p>
          <w:p>
            <w:pPr>
              <w:spacing w:line="360" w:lineRule="auto"/>
              <w:ind w:firstLine="482"/>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本项目废水总排口执行《污水综合排放标准》（GB8978-1996）中的三级标准，相关的污染物排放限值见</w:t>
            </w:r>
            <w:r>
              <w:rPr>
                <w:rFonts w:hint="eastAsia" w:ascii="Times New Roman" w:hAnsi="Times New Roman" w:cs="Times New Roman"/>
                <w:color w:val="000000"/>
                <w:sz w:val="24"/>
                <w:szCs w:val="24"/>
                <w:lang w:eastAsia="zh-CN"/>
              </w:rPr>
              <w:t>下表</w:t>
            </w:r>
            <w:r>
              <w:rPr>
                <w:rFonts w:hint="default" w:ascii="Times New Roman" w:hAnsi="Times New Roman" w:cs="Times New Roman"/>
                <w:color w:val="000000"/>
                <w:sz w:val="24"/>
                <w:szCs w:val="24"/>
              </w:rPr>
              <w:t>。</w:t>
            </w:r>
          </w:p>
          <w:p>
            <w:pPr>
              <w:spacing w:line="240" w:lineRule="auto"/>
              <w:ind w:left="465" w:firstLine="422"/>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表</w:t>
            </w:r>
            <w:r>
              <w:rPr>
                <w:rFonts w:hint="eastAsia" w:ascii="Times New Roman" w:hAnsi="Times New Roman" w:cs="Times New Roman"/>
                <w:b/>
                <w:bCs/>
                <w:color w:val="000000"/>
                <w:kern w:val="2"/>
                <w:sz w:val="21"/>
                <w:szCs w:val="21"/>
                <w:lang w:val="en-US" w:eastAsia="zh-CN"/>
              </w:rPr>
              <w:t>3-9</w:t>
            </w:r>
            <w:r>
              <w:rPr>
                <w:rFonts w:hint="default" w:ascii="Times New Roman" w:hAnsi="Times New Roman" w:cs="Times New Roman"/>
                <w:b/>
                <w:bCs/>
                <w:color w:val="000000"/>
                <w:kern w:val="2"/>
                <w:sz w:val="21"/>
                <w:szCs w:val="21"/>
              </w:rPr>
              <w:t xml:space="preserve">  </w:t>
            </w:r>
            <w:r>
              <w:rPr>
                <w:rFonts w:hint="default" w:ascii="Times New Roman" w:hAnsi="Times New Roman" w:cs="Times New Roman"/>
                <w:b/>
                <w:color w:val="000000"/>
                <w:kern w:val="2"/>
                <w:sz w:val="21"/>
                <w:szCs w:val="21"/>
              </w:rPr>
              <w:t>《污水综合排放标准》（GB8978-1996）（摘录）</w:t>
            </w:r>
            <w:r>
              <w:rPr>
                <w:rFonts w:hint="default" w:ascii="Times New Roman" w:hAnsi="Times New Roman" w:cs="Times New Roman"/>
                <w:b/>
                <w:color w:val="000000"/>
                <w:kern w:val="2"/>
                <w:sz w:val="21"/>
                <w:szCs w:val="21"/>
                <w:lang w:val="zh-CN"/>
              </w:rPr>
              <w:t>单位：mg/L</w:t>
            </w:r>
          </w:p>
          <w:tbl>
            <w:tblPr>
              <w:tblStyle w:val="24"/>
              <w:tblW w:w="8117"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86"/>
              <w:gridCol w:w="924"/>
              <w:gridCol w:w="783"/>
              <w:gridCol w:w="1187"/>
              <w:gridCol w:w="925"/>
              <w:gridCol w:w="888"/>
              <w:gridCol w:w="24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tblHeader/>
              </w:trPr>
              <w:tc>
                <w:tcPr>
                  <w:tcW w:w="986"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控制项目</w:t>
                  </w:r>
                </w:p>
              </w:tc>
              <w:tc>
                <w:tcPr>
                  <w:tcW w:w="924"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单位</w:t>
                  </w:r>
                </w:p>
              </w:tc>
              <w:tc>
                <w:tcPr>
                  <w:tcW w:w="783"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tc>
              <w:tc>
                <w:tcPr>
                  <w:tcW w:w="1187"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控制项目</w:t>
                  </w:r>
                </w:p>
              </w:tc>
              <w:tc>
                <w:tcPr>
                  <w:tcW w:w="925"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单位</w:t>
                  </w:r>
                </w:p>
              </w:tc>
              <w:tc>
                <w:tcPr>
                  <w:tcW w:w="888"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tc>
              <w:tc>
                <w:tcPr>
                  <w:tcW w:w="2424" w:type="dxa"/>
                  <w:tcBorders>
                    <w:tl2br w:val="nil"/>
                    <w:tr2bl w:val="nil"/>
                  </w:tcBorders>
                  <w:noWrap w:val="0"/>
                  <w:vAlign w:val="center"/>
                </w:tcPr>
                <w:p>
                  <w:pPr>
                    <w:autoSpaceDE w:val="0"/>
                    <w:autoSpaceDN w:val="0"/>
                    <w:adjustRightInd w:val="0"/>
                    <w:snapToGrid w:val="0"/>
                    <w:spacing w:line="240" w:lineRule="auto"/>
                    <w:jc w:val="center"/>
                    <w:textAlignment w:val="bottom"/>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98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pH</w:t>
                  </w:r>
                </w:p>
              </w:tc>
              <w:tc>
                <w:tcPr>
                  <w:tcW w:w="924"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无量纲</w:t>
                  </w:r>
                </w:p>
              </w:tc>
              <w:tc>
                <w:tcPr>
                  <w:tcW w:w="78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w:t>
                  </w:r>
                </w:p>
              </w:tc>
              <w:tc>
                <w:tcPr>
                  <w:tcW w:w="1187"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92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c>
                <w:tcPr>
                  <w:tcW w:w="888"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45</w:t>
                  </w:r>
                </w:p>
              </w:tc>
              <w:tc>
                <w:tcPr>
                  <w:tcW w:w="2424"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《污水综合排放标准》（GB8978-1996）中</w:t>
                  </w:r>
                </w:p>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三级标准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98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SS</w:t>
                  </w:r>
                </w:p>
              </w:tc>
              <w:tc>
                <w:tcPr>
                  <w:tcW w:w="92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mg/L</w:t>
                  </w:r>
                </w:p>
              </w:tc>
              <w:tc>
                <w:tcPr>
                  <w:tcW w:w="78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400</w:t>
                  </w:r>
                </w:p>
              </w:tc>
              <w:tc>
                <w:tcPr>
                  <w:tcW w:w="1187"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BOD</w:t>
                  </w:r>
                  <w:r>
                    <w:rPr>
                      <w:rFonts w:hint="default" w:ascii="Times New Roman" w:hAnsi="Times New Roman" w:cs="Times New Roman"/>
                      <w:color w:val="000000"/>
                      <w:sz w:val="21"/>
                      <w:szCs w:val="21"/>
                      <w:vertAlign w:val="subscript"/>
                      <w:lang w:val="en-US" w:eastAsia="zh-CN"/>
                    </w:rPr>
                    <w:t>5</w:t>
                  </w:r>
                </w:p>
              </w:tc>
              <w:tc>
                <w:tcPr>
                  <w:tcW w:w="92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c>
                <w:tcPr>
                  <w:tcW w:w="88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300</w:t>
                  </w:r>
                </w:p>
              </w:tc>
              <w:tc>
                <w:tcPr>
                  <w:tcW w:w="242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98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COD</w:t>
                  </w:r>
                  <w:r>
                    <w:rPr>
                      <w:rFonts w:hint="default" w:ascii="Times New Roman" w:hAnsi="Times New Roman" w:cs="Times New Roman"/>
                      <w:color w:val="000000"/>
                      <w:sz w:val="21"/>
                      <w:szCs w:val="21"/>
                      <w:vertAlign w:val="subscript"/>
                    </w:rPr>
                    <w:t>Cr</w:t>
                  </w:r>
                </w:p>
              </w:tc>
              <w:tc>
                <w:tcPr>
                  <w:tcW w:w="924"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mg/L</w:t>
                  </w:r>
                </w:p>
              </w:tc>
              <w:tc>
                <w:tcPr>
                  <w:tcW w:w="783"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500</w:t>
                  </w:r>
                </w:p>
              </w:tc>
              <w:tc>
                <w:tcPr>
                  <w:tcW w:w="1187"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总磷</w:t>
                  </w:r>
                </w:p>
              </w:tc>
              <w:tc>
                <w:tcPr>
                  <w:tcW w:w="92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c>
                <w:tcPr>
                  <w:tcW w:w="888"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242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r>
          </w:tbl>
          <w:p>
            <w:pPr>
              <w:spacing w:line="360" w:lineRule="auto"/>
              <w:ind w:firstLine="420" w:firstLineChars="200"/>
              <w:rPr>
                <w:rFonts w:hint="default" w:ascii="Times New Roman" w:hAnsi="Times New Roman" w:cs="Times New Roman"/>
                <w:b w:val="0"/>
                <w:bCs/>
                <w:color w:val="000000"/>
                <w:kern w:val="2"/>
                <w:sz w:val="21"/>
                <w:szCs w:val="21"/>
              </w:rPr>
            </w:pPr>
            <w:r>
              <w:rPr>
                <w:rFonts w:hint="default" w:ascii="Times New Roman" w:hAnsi="Times New Roman" w:cs="Times New Roman"/>
                <w:b w:val="0"/>
                <w:bCs/>
                <w:color w:val="000000"/>
                <w:sz w:val="21"/>
                <w:szCs w:val="21"/>
              </w:rPr>
              <w:t>注：NH</w:t>
            </w:r>
            <w:r>
              <w:rPr>
                <w:rFonts w:hint="default" w:ascii="Times New Roman" w:hAnsi="Times New Roman" w:cs="Times New Roman"/>
                <w:b w:val="0"/>
                <w:bCs/>
                <w:color w:val="000000"/>
                <w:sz w:val="21"/>
                <w:szCs w:val="21"/>
                <w:vertAlign w:val="subscript"/>
              </w:rPr>
              <w:t>3</w:t>
            </w:r>
            <w:r>
              <w:rPr>
                <w:rFonts w:hint="default" w:ascii="Times New Roman" w:hAnsi="Times New Roman" w:cs="Times New Roman"/>
                <w:b w:val="0"/>
                <w:bCs/>
                <w:color w:val="000000"/>
                <w:sz w:val="21"/>
                <w:szCs w:val="21"/>
              </w:rPr>
              <w:t>-N/总磷在</w:t>
            </w:r>
            <w:r>
              <w:rPr>
                <w:rFonts w:hint="default" w:ascii="Times New Roman" w:hAnsi="Times New Roman" w:cs="Times New Roman"/>
                <w:b w:val="0"/>
                <w:bCs/>
                <w:color w:val="000000"/>
                <w:kern w:val="2"/>
                <w:sz w:val="21"/>
                <w:szCs w:val="21"/>
              </w:rPr>
              <w:t>《污水综合排放标准》（GB8978-1996）表4三级排放标准中未作规定，参照执行《污水排入城镇下水管道水质标准》（GB/T31962-2015）表1中B等级标准。</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噪声</w:t>
            </w:r>
          </w:p>
          <w:p>
            <w:pPr>
              <w:spacing w:line="360" w:lineRule="auto"/>
              <w:ind w:firstLine="482"/>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（1）施工期</w:t>
            </w:r>
          </w:p>
          <w:p>
            <w:pPr>
              <w:spacing w:line="360" w:lineRule="auto"/>
              <w:ind w:firstLine="482"/>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施工期噪声排放标准执行《建筑施工场界环境噪声排放标准》(GB12523-2011)标准，标准值如下表所示。</w:t>
            </w:r>
          </w:p>
          <w:p>
            <w:pPr>
              <w:adjustRightInd w:val="0"/>
              <w:snapToGrid w:val="0"/>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表</w:t>
            </w:r>
            <w:r>
              <w:rPr>
                <w:rFonts w:hint="eastAsia" w:ascii="Times New Roman" w:hAnsi="Times New Roman" w:cs="Times New Roman"/>
                <w:b/>
                <w:bCs/>
                <w:color w:val="000000"/>
                <w:kern w:val="2"/>
                <w:sz w:val="21"/>
                <w:szCs w:val="21"/>
                <w:lang w:val="en-US" w:eastAsia="zh-CN"/>
              </w:rPr>
              <w:t>3-10</w:t>
            </w:r>
            <w:r>
              <w:rPr>
                <w:rFonts w:hint="default" w:ascii="Times New Roman" w:hAnsi="Times New Roman" w:cs="Times New Roman"/>
                <w:b/>
                <w:bCs/>
                <w:color w:val="000000"/>
                <w:kern w:val="2"/>
                <w:sz w:val="21"/>
                <w:szCs w:val="21"/>
              </w:rPr>
              <w:t xml:space="preserve">  建筑施工场界噪声排放标准</w:t>
            </w:r>
          </w:p>
          <w:tbl>
            <w:tblPr>
              <w:tblStyle w:val="24"/>
              <w:tblW w:w="502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778"/>
              <w:gridCol w:w="1208"/>
              <w:gridCol w:w="11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427"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标准来源</w:t>
                  </w:r>
                </w:p>
              </w:tc>
              <w:tc>
                <w:tcPr>
                  <w:tcW w:w="1365"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昼间</w:t>
                  </w:r>
                </w:p>
              </w:tc>
              <w:tc>
                <w:tcPr>
                  <w:tcW w:w="1326"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427"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《建筑施工场界环境噪声排放标准》（GB12523-2011）</w:t>
                  </w:r>
                </w:p>
              </w:tc>
              <w:tc>
                <w:tcPr>
                  <w:tcW w:w="1365"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70</w:t>
                  </w:r>
                </w:p>
              </w:tc>
              <w:tc>
                <w:tcPr>
                  <w:tcW w:w="1326"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55</w:t>
                  </w:r>
                </w:p>
              </w:tc>
            </w:tr>
          </w:tbl>
          <w:p>
            <w:pPr>
              <w:spacing w:line="360" w:lineRule="auto"/>
              <w:ind w:firstLine="482"/>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（2）营运期</w:t>
            </w:r>
          </w:p>
          <w:p>
            <w:pPr>
              <w:spacing w:line="360" w:lineRule="auto"/>
              <w:ind w:firstLine="482"/>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运营期厂界噪声执行《工业企业厂界环境噪声排放标准》(GB12348-2008)中的3类标准，标准值如下表所示。</w:t>
            </w:r>
          </w:p>
          <w:p>
            <w:pPr>
              <w:adjustRightInd w:val="0"/>
              <w:snapToGrid w:val="0"/>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表</w:t>
            </w:r>
            <w:r>
              <w:rPr>
                <w:rFonts w:hint="eastAsia" w:ascii="Times New Roman" w:hAnsi="Times New Roman" w:cs="Times New Roman"/>
                <w:b/>
                <w:bCs/>
                <w:color w:val="000000"/>
                <w:kern w:val="2"/>
                <w:sz w:val="21"/>
                <w:szCs w:val="21"/>
                <w:lang w:val="en-US" w:eastAsia="zh-CN"/>
              </w:rPr>
              <w:t>3-11</w:t>
            </w:r>
            <w:r>
              <w:rPr>
                <w:rFonts w:hint="default" w:ascii="Times New Roman" w:hAnsi="Times New Roman" w:cs="Times New Roman"/>
                <w:b/>
                <w:bCs/>
                <w:color w:val="000000"/>
                <w:kern w:val="2"/>
                <w:sz w:val="21"/>
                <w:szCs w:val="21"/>
              </w:rPr>
              <w:t xml:space="preserve">  工业企业厂界环境噪声排放标准限值</w:t>
            </w:r>
          </w:p>
          <w:tbl>
            <w:tblPr>
              <w:tblStyle w:val="24"/>
              <w:tblW w:w="502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778"/>
              <w:gridCol w:w="1208"/>
              <w:gridCol w:w="11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427"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标准来源</w:t>
                  </w:r>
                </w:p>
              </w:tc>
              <w:tc>
                <w:tcPr>
                  <w:tcW w:w="1365"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昼间</w:t>
                  </w:r>
                </w:p>
              </w:tc>
              <w:tc>
                <w:tcPr>
                  <w:tcW w:w="1326"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427"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color w:val="000000"/>
                      <w:kern w:val="2"/>
                      <w:sz w:val="21"/>
                      <w:szCs w:val="21"/>
                    </w:rPr>
                  </w:pPr>
                  <w:r>
                    <w:rPr>
                      <w:rFonts w:hint="default" w:ascii="Times New Roman" w:hAnsi="Times New Roman" w:cs="Times New Roman"/>
                      <w:bCs/>
                      <w:color w:val="000000"/>
                      <w:kern w:val="2"/>
                      <w:sz w:val="21"/>
                      <w:szCs w:val="24"/>
                    </w:rPr>
                    <w:t>《工业企业厂界环境噪声排放标准》（GB12348-2008）3类功能区标准</w:t>
                  </w:r>
                </w:p>
              </w:tc>
              <w:tc>
                <w:tcPr>
                  <w:tcW w:w="1365"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65</w:t>
                  </w:r>
                </w:p>
              </w:tc>
              <w:tc>
                <w:tcPr>
                  <w:tcW w:w="1326" w:type="dxa"/>
                  <w:tcBorders>
                    <w:tl2br w:val="nil"/>
                    <w:tr2bl w:val="nil"/>
                  </w:tcBorders>
                  <w:noWrap w:val="0"/>
                  <w:vAlign w:val="center"/>
                </w:tcPr>
                <w:p>
                  <w:pPr>
                    <w:tabs>
                      <w:tab w:val="left" w:pos="2592"/>
                    </w:tabs>
                    <w:spacing w:line="240" w:lineRule="auto"/>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55</w:t>
                  </w:r>
                </w:p>
              </w:tc>
            </w:tr>
          </w:tbl>
          <w:p>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固体废物</w:t>
            </w:r>
          </w:p>
          <w:p>
            <w:pPr>
              <w:spacing w:line="360" w:lineRule="auto"/>
              <w:ind w:firstLine="480" w:firstLineChars="200"/>
              <w:rPr>
                <w:rFonts w:cs="Times New Roman"/>
                <w:sz w:val="24"/>
                <w:szCs w:val="24"/>
              </w:rPr>
            </w:pPr>
            <w:r>
              <w:rPr>
                <w:rFonts w:hint="eastAsia" w:ascii="Times New Roman" w:hAnsi="Times New Roman" w:eastAsia="宋体" w:cs="Times New Roman"/>
                <w:color w:val="auto"/>
                <w:sz w:val="24"/>
              </w:rPr>
              <w:t>项目固废贮存过程应满足相应防渗漏、防雨淋、防扬尘等环境保护要求</w:t>
            </w:r>
            <w:r>
              <w:rPr>
                <w:rFonts w:hint="eastAsia" w:ascii="Times New Roman" w:hAnsi="Times New Roman" w:cs="Times New Roman"/>
                <w:color w:val="auto"/>
                <w:sz w:val="24"/>
                <w:lang w:eastAsia="zh-CN"/>
              </w:rPr>
              <w:t>；危险废物执行《危险废物贮存污染控制标准》（GB18597-2023）中的相关要求，妥善处理，不得造成二次污染</w:t>
            </w:r>
            <w:r>
              <w:rPr>
                <w:rFonts w:hint="eastAsia"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01" w:type="pct"/>
            <w:vAlign w:val="center"/>
          </w:tcPr>
          <w:p>
            <w:pPr>
              <w:spacing w:line="360" w:lineRule="auto"/>
              <w:jc w:val="center"/>
              <w:rPr>
                <w:rFonts w:cs="Times New Roman"/>
                <w:sz w:val="24"/>
                <w:szCs w:val="24"/>
              </w:rPr>
            </w:pPr>
            <w:r>
              <w:rPr>
                <w:rFonts w:hint="eastAsia" w:cs="Times New Roman"/>
                <w:sz w:val="24"/>
                <w:szCs w:val="24"/>
              </w:rPr>
              <w:t>总量控制指标</w:t>
            </w:r>
          </w:p>
        </w:tc>
        <w:tc>
          <w:tcPr>
            <w:tcW w:w="4598" w:type="pct"/>
            <w:vAlign w:val="center"/>
          </w:tcPr>
          <w:p>
            <w:pPr>
              <w:spacing w:before="120" w:beforeLines="50" w:line="360" w:lineRule="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1</w:t>
            </w:r>
            <w:r>
              <w:rPr>
                <w:rFonts w:hint="default" w:ascii="Times New Roman" w:hAnsi="Times New Roman" w:cs="Times New Roman"/>
                <w:b/>
                <w:color w:val="auto"/>
                <w:sz w:val="24"/>
              </w:rPr>
              <w:t>、现有项目总量指标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现有项目的总量控制指标见下表。</w:t>
            </w:r>
          </w:p>
          <w:p>
            <w:pPr>
              <w:ind w:firstLine="42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eastAsia" w:ascii="Times New Roman" w:hAnsi="Times New Roman" w:cs="Times New Roman"/>
                <w:b/>
                <w:color w:val="auto"/>
                <w:szCs w:val="21"/>
                <w:lang w:val="en-US" w:eastAsia="zh-CN"/>
              </w:rPr>
              <w:t>1</w:t>
            </w:r>
            <w:r>
              <w:rPr>
                <w:rFonts w:hint="eastAsia" w:cs="Times New Roman"/>
                <w:b/>
                <w:color w:val="auto"/>
                <w:szCs w:val="21"/>
                <w:lang w:val="en-US" w:eastAsia="zh-CN"/>
              </w:rPr>
              <w:t>2</w:t>
            </w:r>
            <w:r>
              <w:rPr>
                <w:rFonts w:hint="default" w:ascii="Times New Roman" w:hAnsi="Times New Roman" w:cs="Times New Roman"/>
                <w:b/>
                <w:color w:val="auto"/>
                <w:szCs w:val="21"/>
              </w:rPr>
              <w:t xml:space="preserve">  现有项目总量控制指标  单位：t/a</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213"/>
              <w:gridCol w:w="3067"/>
              <w:gridCol w:w="2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gridSpan w:val="2"/>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污染物</w:t>
                  </w:r>
                </w:p>
              </w:tc>
              <w:tc>
                <w:tcPr>
                  <w:tcW w:w="1889" w:type="pct"/>
                  <w:noWrap w:val="0"/>
                  <w:vAlign w:val="center"/>
                </w:tcPr>
                <w:p>
                  <w:pPr>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已取得总量</w:t>
                  </w:r>
                </w:p>
              </w:tc>
              <w:tc>
                <w:tcPr>
                  <w:tcW w:w="1693" w:type="pct"/>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实际排放总量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vMerge w:val="restar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w:t>
                  </w:r>
                </w:p>
              </w:tc>
              <w:tc>
                <w:tcPr>
                  <w:tcW w:w="747" w:type="pc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889" w:type="pct"/>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1.64</w:t>
                  </w:r>
                </w:p>
              </w:tc>
              <w:tc>
                <w:tcPr>
                  <w:tcW w:w="1693" w:type="pct"/>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olor w:val="auto"/>
                      <w:szCs w:val="21"/>
                      <w:lang w:val="en-US" w:eastAsia="zh-CN"/>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pct"/>
                  <w:vMerge w:val="continue"/>
                  <w:noWrap w:val="0"/>
                  <w:vAlign w:val="center"/>
                </w:tcPr>
                <w:p>
                  <w:pPr>
                    <w:jc w:val="center"/>
                    <w:rPr>
                      <w:rFonts w:hint="default" w:ascii="Times New Roman" w:hAnsi="Times New Roman" w:cs="Times New Roman"/>
                      <w:bCs/>
                      <w:color w:val="auto"/>
                      <w:sz w:val="21"/>
                      <w:szCs w:val="21"/>
                    </w:rPr>
                  </w:pPr>
                </w:p>
              </w:tc>
              <w:tc>
                <w:tcPr>
                  <w:tcW w:w="747" w:type="pct"/>
                  <w:noWrap w:val="0"/>
                  <w:vAlign w:val="center"/>
                </w:tcPr>
                <w:p>
                  <w:pPr>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 w:val="21"/>
                      <w:szCs w:val="21"/>
                    </w:rPr>
                    <w:t>氨氮</w:t>
                  </w:r>
                </w:p>
              </w:tc>
              <w:tc>
                <w:tcPr>
                  <w:tcW w:w="1889" w:type="pct"/>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0.25</w:t>
                  </w:r>
                </w:p>
              </w:tc>
              <w:tc>
                <w:tcPr>
                  <w:tcW w:w="1693" w:type="pct"/>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Cs w:val="21"/>
                      <w:lang w:val="en-US" w:eastAsia="zh-CN"/>
                    </w:rPr>
                    <w:t>0.0036</w:t>
                  </w:r>
                </w:p>
              </w:tc>
            </w:tr>
          </w:tbl>
          <w:p>
            <w:pPr>
              <w:spacing w:line="360" w:lineRule="auto"/>
              <w:rPr>
                <w:rFonts w:hint="eastAsia" w:eastAsia="宋体" w:cs="Times New Roman"/>
                <w:b/>
                <w:bCs/>
                <w:sz w:val="24"/>
                <w:szCs w:val="24"/>
                <w:lang w:eastAsia="zh-CN"/>
              </w:rPr>
            </w:pPr>
            <w:r>
              <w:rPr>
                <w:rFonts w:hint="eastAsia" w:cs="Times New Roman"/>
                <w:b/>
                <w:bCs/>
                <w:sz w:val="24"/>
                <w:szCs w:val="24"/>
                <w:lang w:val="en-US" w:eastAsia="zh-CN"/>
              </w:rPr>
              <w:t>2、本项目</w:t>
            </w:r>
            <w:r>
              <w:rPr>
                <w:rFonts w:hint="eastAsia" w:cs="Times New Roman"/>
                <w:b/>
                <w:bCs/>
                <w:sz w:val="24"/>
                <w:szCs w:val="24"/>
              </w:rPr>
              <w:t>总量</w:t>
            </w:r>
            <w:r>
              <w:rPr>
                <w:rFonts w:hint="eastAsia" w:cs="Times New Roman"/>
                <w:b/>
                <w:bCs/>
                <w:sz w:val="24"/>
                <w:szCs w:val="24"/>
                <w:lang w:eastAsia="zh-CN"/>
              </w:rPr>
              <w:t>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sz w:val="24"/>
                <w:szCs w:val="24"/>
                <w:lang w:val="de-DE" w:eastAsia="zh-CN"/>
              </w:rPr>
            </w:pPr>
            <w:r>
              <w:rPr>
                <w:rFonts w:hint="default" w:ascii="Times New Roman" w:hAnsi="Times New Roman" w:cs="Times New Roman"/>
                <w:color w:val="000000"/>
                <w:sz w:val="24"/>
                <w:szCs w:val="24"/>
                <w:lang w:val="de-DE" w:eastAsia="de-DE"/>
              </w:rPr>
              <w:t>按照</w:t>
            </w:r>
            <w:r>
              <w:rPr>
                <w:rFonts w:hint="default" w:ascii="Times New Roman" w:hAnsi="Times New Roman" w:cs="Times New Roman"/>
                <w:color w:val="000000"/>
                <w:sz w:val="24"/>
                <w:szCs w:val="24"/>
                <w:lang w:val="de-DE"/>
              </w:rPr>
              <w:t>四川省环境保护厅</w:t>
            </w:r>
            <w:r>
              <w:rPr>
                <w:rFonts w:hint="default" w:ascii="Times New Roman" w:hAnsi="Times New Roman" w:cs="Times New Roman"/>
                <w:color w:val="000000"/>
                <w:sz w:val="24"/>
                <w:szCs w:val="24"/>
                <w:lang w:val="de-DE" w:eastAsia="de-DE"/>
              </w:rPr>
              <w:t>《关于贯彻落实&lt;建设项目主要污染物排放总量指标审核及管理暂行办法&gt;的通知》（川环办发〔2015〕333号）文件</w:t>
            </w:r>
            <w:r>
              <w:rPr>
                <w:rFonts w:hint="default" w:ascii="Times New Roman" w:hAnsi="Times New Roman" w:cs="Times New Roman"/>
                <w:color w:val="000000"/>
                <w:sz w:val="24"/>
                <w:szCs w:val="24"/>
                <w:lang w:val="de-DE"/>
              </w:rPr>
              <w:t>中第三条“关于指标审核”</w:t>
            </w:r>
            <w:r>
              <w:rPr>
                <w:rFonts w:hint="eastAsia" w:ascii="Times New Roman" w:hAnsi="Times New Roman" w:cs="Times New Roman"/>
                <w:color w:val="000000"/>
                <w:sz w:val="24"/>
                <w:szCs w:val="24"/>
                <w:lang w:val="de-DE"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000000"/>
                <w:sz w:val="24"/>
                <w:szCs w:val="24"/>
                <w:lang w:val="de-DE" w:eastAsia="zh-CN"/>
              </w:rPr>
            </w:pPr>
            <w:r>
              <w:rPr>
                <w:rFonts w:hint="eastAsia" w:ascii="Times New Roman" w:hAnsi="Times New Roman" w:cs="Times New Roman"/>
                <w:b/>
                <w:sz w:val="24"/>
                <w:szCs w:val="24"/>
                <w:lang w:eastAsia="zh-CN"/>
              </w:rPr>
              <w:t>（</w:t>
            </w:r>
            <w:r>
              <w:rPr>
                <w:rFonts w:hint="eastAsia" w:ascii="Times New Roman" w:hAnsi="Times New Roman" w:cs="Times New Roman"/>
                <w:b/>
                <w:sz w:val="24"/>
                <w:szCs w:val="24"/>
                <w:lang w:val="en-US" w:eastAsia="zh-CN"/>
              </w:rPr>
              <w:t>1</w:t>
            </w:r>
            <w:r>
              <w:rPr>
                <w:rFonts w:hint="eastAsia" w:ascii="Times New Roman" w:hAnsi="Times New Roman" w:cs="Times New Roman"/>
                <w:b/>
                <w:sz w:val="24"/>
                <w:szCs w:val="24"/>
                <w:lang w:eastAsia="zh-CN"/>
              </w:rPr>
              <w:t>）</w:t>
            </w:r>
            <w:r>
              <w:rPr>
                <w:rFonts w:hint="eastAsia" w:ascii="Times New Roman" w:hAnsi="Times New Roman" w:cs="Times New Roman"/>
                <w:b/>
                <w:sz w:val="24"/>
                <w:szCs w:val="24"/>
              </w:rPr>
              <w:t>水污染物总量控制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lang w:eastAsia="zh-CN"/>
              </w:rPr>
            </w:pPr>
            <w:r>
              <w:rPr>
                <w:rFonts w:hint="default" w:ascii="Times New Roman" w:hAnsi="Times New Roman" w:cs="Times New Roman"/>
                <w:color w:val="000000"/>
                <w:sz w:val="24"/>
                <w:szCs w:val="24"/>
                <w:lang w:val="de-DE"/>
              </w:rPr>
              <w:t>废水排入集中式污水处理厂的建设项目按污水处理厂排放标准计算水污染物总量指标；废水排入城镇式生活污水处理设施的建设项目，按纳管标准计算水污染物总量指标。</w:t>
            </w:r>
            <w:r>
              <w:rPr>
                <w:rFonts w:hint="default" w:ascii="Times New Roman" w:hAnsi="Times New Roman" w:cs="Times New Roman"/>
                <w:color w:val="000000"/>
                <w:sz w:val="24"/>
                <w:szCs w:val="24"/>
              </w:rPr>
              <w:t>因此，本项目废水指标就进入巴中市经开区污水处理厂处理前后给出统计量，以污水处理厂</w:t>
            </w:r>
            <w:r>
              <w:rPr>
                <w:rFonts w:hint="default" w:ascii="Times New Roman" w:hAnsi="Times New Roman" w:cs="Times New Roman"/>
                <w:color w:val="000000"/>
                <w:sz w:val="24"/>
                <w:szCs w:val="24"/>
                <w:lang w:val="de-DE"/>
              </w:rPr>
              <w:t>排放标准</w:t>
            </w:r>
            <w:r>
              <w:rPr>
                <w:rFonts w:hint="default" w:ascii="Times New Roman" w:hAnsi="Times New Roman" w:cs="Times New Roman"/>
                <w:color w:val="000000"/>
                <w:sz w:val="24"/>
                <w:szCs w:val="24"/>
              </w:rPr>
              <w:t>计算总量控制指标。</w:t>
            </w:r>
          </w:p>
          <w:p>
            <w:pPr>
              <w:tabs>
                <w:tab w:val="left" w:pos="7290"/>
              </w:tabs>
              <w:spacing w:line="360" w:lineRule="auto"/>
              <w:ind w:firstLine="482" w:firstLineChars="200"/>
              <w:rPr>
                <w:rFonts w:hint="eastAsia" w:eastAsia="宋体" w:cs="Times New Roman"/>
                <w:bCs/>
                <w:sz w:val="24"/>
                <w:szCs w:val="24"/>
                <w:lang w:eastAsia="zh-CN"/>
              </w:rPr>
            </w:pPr>
            <w:r>
              <w:rPr>
                <w:rFonts w:hint="eastAsia" w:cs="Times New Roman"/>
                <w:b/>
                <w:bCs/>
                <w:sz w:val="24"/>
                <w:szCs w:val="24"/>
              </w:rPr>
              <w:t>企业排口</w:t>
            </w:r>
            <w:r>
              <w:rPr>
                <w:rFonts w:hint="eastAsia" w:cs="Times New Roman"/>
                <w:b/>
                <w:bCs/>
                <w:sz w:val="24"/>
                <w:szCs w:val="24"/>
                <w:lang w:eastAsia="zh-CN"/>
              </w:rPr>
              <w:t>：</w:t>
            </w:r>
          </w:p>
          <w:p>
            <w:pPr>
              <w:tabs>
                <w:tab w:val="left" w:pos="7290"/>
              </w:tabs>
              <w:spacing w:line="360" w:lineRule="auto"/>
              <w:ind w:firstLine="480" w:firstLineChars="200"/>
              <w:rPr>
                <w:rFonts w:cs="Times New Roman"/>
                <w:bCs/>
                <w:sz w:val="24"/>
                <w:szCs w:val="24"/>
              </w:rPr>
            </w:pPr>
            <w:r>
              <w:rPr>
                <w:rFonts w:hint="eastAsia" w:cs="Times New Roman"/>
                <w:sz w:val="24"/>
                <w:szCs w:val="24"/>
                <w:lang w:val="en-US" w:eastAsia="zh-CN"/>
              </w:rPr>
              <w:t>本</w:t>
            </w:r>
            <w:r>
              <w:rPr>
                <w:rFonts w:hint="eastAsia" w:cs="Times New Roman"/>
                <w:sz w:val="24"/>
                <w:szCs w:val="24"/>
              </w:rPr>
              <w:t>项目</w:t>
            </w:r>
            <w:r>
              <w:rPr>
                <w:rFonts w:hint="eastAsia" w:cs="Times New Roman"/>
                <w:sz w:val="24"/>
                <w:szCs w:val="24"/>
                <w:lang w:val="en-US" w:eastAsia="zh-CN"/>
              </w:rPr>
              <w:t>本次新增</w:t>
            </w:r>
            <w:r>
              <w:rPr>
                <w:rFonts w:hint="eastAsia" w:cs="Times New Roman"/>
                <w:sz w:val="24"/>
                <w:szCs w:val="24"/>
              </w:rPr>
              <w:t>废水排放量约</w:t>
            </w:r>
            <w:r>
              <w:rPr>
                <w:rFonts w:hint="eastAsia"/>
                <w:kern w:val="24"/>
                <w:sz w:val="24"/>
                <w:szCs w:val="24"/>
                <w:highlight w:val="none"/>
                <w:lang w:val="en-US" w:eastAsia="zh-CN"/>
              </w:rPr>
              <w:t>613.5</w:t>
            </w:r>
            <w:r>
              <w:rPr>
                <w:rFonts w:hint="eastAsia"/>
                <w:kern w:val="24"/>
                <w:sz w:val="24"/>
                <w:szCs w:val="24"/>
                <w:highlight w:val="none"/>
              </w:rPr>
              <w:t>m</w:t>
            </w:r>
            <w:r>
              <w:rPr>
                <w:kern w:val="24"/>
                <w:sz w:val="24"/>
                <w:szCs w:val="24"/>
                <w:highlight w:val="none"/>
                <w:vertAlign w:val="superscript"/>
              </w:rPr>
              <w:t>3</w:t>
            </w:r>
            <w:r>
              <w:rPr>
                <w:kern w:val="24"/>
                <w:sz w:val="24"/>
                <w:szCs w:val="24"/>
                <w:highlight w:val="none"/>
              </w:rPr>
              <w:t>/</w:t>
            </w:r>
            <w:r>
              <w:rPr>
                <w:rFonts w:hint="eastAsia"/>
                <w:kern w:val="24"/>
                <w:sz w:val="24"/>
                <w:szCs w:val="24"/>
                <w:highlight w:val="none"/>
              </w:rPr>
              <w:t>a</w:t>
            </w:r>
            <w:r>
              <w:rPr>
                <w:rFonts w:hint="eastAsia"/>
                <w:kern w:val="24"/>
                <w:sz w:val="24"/>
                <w:szCs w:val="24"/>
              </w:rPr>
              <w:t>，</w:t>
            </w:r>
            <w:r>
              <w:rPr>
                <w:rFonts w:hint="eastAsia" w:cs="Times New Roman"/>
                <w:bCs/>
                <w:sz w:val="24"/>
                <w:szCs w:val="24"/>
              </w:rPr>
              <w:t>企业排口总量按COD：</w:t>
            </w:r>
            <w:r>
              <w:rPr>
                <w:rFonts w:hint="eastAsia" w:cs="Times New Roman"/>
                <w:bCs/>
                <w:sz w:val="24"/>
                <w:szCs w:val="24"/>
                <w:lang w:val="en-US" w:eastAsia="zh-CN"/>
              </w:rPr>
              <w:t>5</w:t>
            </w:r>
            <w:r>
              <w:rPr>
                <w:rFonts w:cs="Times New Roman"/>
                <w:bCs/>
                <w:sz w:val="24"/>
                <w:szCs w:val="24"/>
              </w:rPr>
              <w:t>00</w:t>
            </w:r>
            <w:r>
              <w:rPr>
                <w:rFonts w:hint="eastAsia" w:cs="Times New Roman"/>
                <w:bCs/>
                <w:sz w:val="24"/>
                <w:szCs w:val="24"/>
              </w:rPr>
              <w:t>mg/L，NH</w:t>
            </w:r>
            <w:r>
              <w:rPr>
                <w:rFonts w:cs="Times New Roman"/>
                <w:bCs/>
                <w:sz w:val="24"/>
                <w:szCs w:val="24"/>
                <w:vertAlign w:val="subscript"/>
              </w:rPr>
              <w:t>3</w:t>
            </w:r>
            <w:r>
              <w:rPr>
                <w:rFonts w:cs="Times New Roman"/>
                <w:bCs/>
                <w:sz w:val="24"/>
                <w:szCs w:val="24"/>
              </w:rPr>
              <w:t>-N</w:t>
            </w:r>
            <w:r>
              <w:rPr>
                <w:rFonts w:hint="eastAsia" w:cs="Times New Roman"/>
                <w:bCs/>
                <w:sz w:val="24"/>
                <w:szCs w:val="24"/>
              </w:rPr>
              <w:t>、</w:t>
            </w:r>
            <w:r>
              <w:rPr>
                <w:rFonts w:cs="Times New Roman"/>
                <w:bCs/>
                <w:sz w:val="24"/>
                <w:szCs w:val="24"/>
              </w:rPr>
              <w:t>TP</w:t>
            </w:r>
            <w:r>
              <w:rPr>
                <w:rFonts w:hint="eastAsia" w:cs="Times New Roman"/>
                <w:bCs/>
                <w:sz w:val="24"/>
                <w:szCs w:val="24"/>
              </w:rPr>
              <w:t>按《污水排入城镇下水道水质标准》（GB/T31962-2015）</w:t>
            </w:r>
            <w:r>
              <w:rPr>
                <w:rFonts w:hint="eastAsia"/>
                <w:kern w:val="24"/>
                <w:sz w:val="24"/>
                <w:szCs w:val="24"/>
              </w:rPr>
              <w:t>表1中B级标准</w:t>
            </w:r>
            <w:r>
              <w:rPr>
                <w:rFonts w:hint="eastAsia" w:cs="Times New Roman"/>
                <w:bCs/>
                <w:sz w:val="24"/>
                <w:szCs w:val="24"/>
              </w:rPr>
              <w:t>（NH</w:t>
            </w:r>
            <w:r>
              <w:rPr>
                <w:rFonts w:cs="Times New Roman"/>
                <w:bCs/>
                <w:sz w:val="24"/>
                <w:szCs w:val="24"/>
                <w:vertAlign w:val="subscript"/>
              </w:rPr>
              <w:t>3</w:t>
            </w:r>
            <w:r>
              <w:rPr>
                <w:rFonts w:cs="Times New Roman"/>
                <w:bCs/>
                <w:sz w:val="24"/>
                <w:szCs w:val="24"/>
              </w:rPr>
              <w:t>-N：45</w:t>
            </w:r>
            <w:r>
              <w:rPr>
                <w:rFonts w:hint="eastAsia" w:cs="Times New Roman"/>
                <w:bCs/>
                <w:sz w:val="24"/>
                <w:szCs w:val="24"/>
              </w:rPr>
              <w:t>mg/L</w:t>
            </w:r>
            <w:r>
              <w:rPr>
                <w:rFonts w:cs="Times New Roman"/>
                <w:bCs/>
                <w:sz w:val="24"/>
                <w:szCs w:val="24"/>
              </w:rPr>
              <w:t>，TP：8</w:t>
            </w:r>
            <w:r>
              <w:rPr>
                <w:rFonts w:hint="eastAsia" w:cs="Times New Roman"/>
                <w:bCs/>
                <w:sz w:val="24"/>
                <w:szCs w:val="24"/>
              </w:rPr>
              <w:t>mg/L）进行计算：</w:t>
            </w:r>
          </w:p>
          <w:p>
            <w:pPr>
              <w:tabs>
                <w:tab w:val="left" w:pos="7290"/>
              </w:tabs>
              <w:spacing w:line="360" w:lineRule="auto"/>
              <w:ind w:firstLine="480" w:firstLineChars="200"/>
              <w:rPr>
                <w:rFonts w:cs="Times New Roman"/>
                <w:bCs/>
                <w:sz w:val="24"/>
                <w:szCs w:val="24"/>
              </w:rPr>
            </w:pPr>
            <w:r>
              <w:rPr>
                <w:rFonts w:hint="eastAsia" w:cs="Times New Roman"/>
                <w:bCs/>
                <w:sz w:val="24"/>
                <w:szCs w:val="24"/>
              </w:rPr>
              <w:t>COD</w:t>
            </w:r>
            <w:r>
              <w:rPr>
                <w:rFonts w:cs="Times New Roman"/>
                <w:bCs/>
                <w:sz w:val="24"/>
                <w:szCs w:val="24"/>
              </w:rPr>
              <w:t>：</w:t>
            </w:r>
            <w:r>
              <w:rPr>
                <w:rFonts w:hint="eastAsia"/>
                <w:kern w:val="24"/>
                <w:sz w:val="24"/>
                <w:szCs w:val="24"/>
                <w:highlight w:val="none"/>
                <w:lang w:val="en-US" w:eastAsia="zh-CN"/>
              </w:rPr>
              <w:t>291</w:t>
            </w:r>
            <w:r>
              <w:rPr>
                <w:rFonts w:cs="Times New Roman"/>
                <w:bCs/>
                <w:sz w:val="24"/>
                <w:szCs w:val="24"/>
                <w:highlight w:val="none"/>
              </w:rPr>
              <w:t>m</w:t>
            </w:r>
            <w:r>
              <w:rPr>
                <w:rFonts w:cs="Times New Roman"/>
                <w:bCs/>
                <w:sz w:val="24"/>
                <w:szCs w:val="24"/>
                <w:highlight w:val="none"/>
                <w:vertAlign w:val="superscript"/>
              </w:rPr>
              <w:t>3</w:t>
            </w:r>
            <w:r>
              <w:rPr>
                <w:rFonts w:cs="Times New Roman"/>
                <w:bCs/>
                <w:sz w:val="24"/>
                <w:szCs w:val="24"/>
                <w:highlight w:val="none"/>
              </w:rPr>
              <w:t>/a</w:t>
            </w:r>
            <w:r>
              <w:rPr>
                <w:rFonts w:cs="Times New Roman"/>
                <w:bCs/>
                <w:sz w:val="24"/>
                <w:szCs w:val="24"/>
              </w:rPr>
              <w:t>×</w:t>
            </w:r>
            <w:r>
              <w:rPr>
                <w:rFonts w:hint="eastAsia" w:cs="Times New Roman"/>
                <w:bCs/>
                <w:sz w:val="24"/>
                <w:szCs w:val="24"/>
                <w:lang w:val="en-US" w:eastAsia="zh-CN"/>
              </w:rPr>
              <w:t>5</w:t>
            </w:r>
            <w:r>
              <w:rPr>
                <w:rFonts w:cs="Times New Roman"/>
                <w:bCs/>
                <w:sz w:val="24"/>
                <w:szCs w:val="24"/>
              </w:rPr>
              <w:t>00mg/L×10</w:t>
            </w:r>
            <w:r>
              <w:rPr>
                <w:rFonts w:cs="Times New Roman"/>
                <w:bCs/>
                <w:sz w:val="24"/>
                <w:szCs w:val="24"/>
                <w:vertAlign w:val="superscript"/>
              </w:rPr>
              <w:t>-6</w:t>
            </w:r>
            <w:r>
              <w:rPr>
                <w:rFonts w:cs="Times New Roman"/>
                <w:bCs/>
                <w:sz w:val="24"/>
                <w:szCs w:val="24"/>
              </w:rPr>
              <w:t>=</w:t>
            </w:r>
            <w:r>
              <w:rPr>
                <w:rFonts w:hint="eastAsia" w:cs="Times New Roman"/>
                <w:bCs/>
                <w:sz w:val="24"/>
                <w:szCs w:val="24"/>
                <w:lang w:val="en-US" w:eastAsia="zh-CN"/>
              </w:rPr>
              <w:t>0.1455</w:t>
            </w:r>
            <w:r>
              <w:rPr>
                <w:rFonts w:cs="Times New Roman"/>
                <w:bCs/>
                <w:sz w:val="24"/>
                <w:szCs w:val="24"/>
              </w:rPr>
              <w:t>t/a</w:t>
            </w:r>
          </w:p>
          <w:p>
            <w:pPr>
              <w:tabs>
                <w:tab w:val="left" w:pos="7290"/>
              </w:tabs>
              <w:spacing w:line="360" w:lineRule="auto"/>
              <w:ind w:firstLine="480" w:firstLineChars="200"/>
              <w:rPr>
                <w:rFonts w:cs="Times New Roman"/>
                <w:bCs/>
                <w:sz w:val="24"/>
                <w:szCs w:val="24"/>
              </w:rPr>
            </w:pPr>
            <w:r>
              <w:rPr>
                <w:rFonts w:cs="Times New Roman"/>
                <w:bCs/>
                <w:sz w:val="24"/>
                <w:szCs w:val="24"/>
              </w:rPr>
              <w:t>NH</w:t>
            </w:r>
            <w:r>
              <w:rPr>
                <w:rFonts w:cs="Times New Roman"/>
                <w:bCs/>
                <w:sz w:val="24"/>
                <w:szCs w:val="24"/>
                <w:vertAlign w:val="subscript"/>
              </w:rPr>
              <w:t>3</w:t>
            </w:r>
            <w:r>
              <w:rPr>
                <w:rFonts w:cs="Times New Roman"/>
                <w:bCs/>
                <w:sz w:val="24"/>
                <w:szCs w:val="24"/>
              </w:rPr>
              <w:t>-N：</w:t>
            </w:r>
            <w:r>
              <w:rPr>
                <w:rFonts w:hint="eastAsia"/>
                <w:kern w:val="24"/>
                <w:sz w:val="24"/>
                <w:szCs w:val="24"/>
                <w:highlight w:val="none"/>
                <w:lang w:val="en-US" w:eastAsia="zh-CN"/>
              </w:rPr>
              <w:t>291</w:t>
            </w:r>
            <w:r>
              <w:rPr>
                <w:rFonts w:cs="Times New Roman"/>
                <w:bCs/>
                <w:sz w:val="24"/>
                <w:szCs w:val="24"/>
                <w:highlight w:val="none"/>
              </w:rPr>
              <w:t>m</w:t>
            </w:r>
            <w:r>
              <w:rPr>
                <w:rFonts w:cs="Times New Roman"/>
                <w:bCs/>
                <w:sz w:val="24"/>
                <w:szCs w:val="24"/>
                <w:highlight w:val="none"/>
                <w:vertAlign w:val="superscript"/>
              </w:rPr>
              <w:t>3</w:t>
            </w:r>
            <w:r>
              <w:rPr>
                <w:rFonts w:cs="Times New Roman"/>
                <w:bCs/>
                <w:sz w:val="24"/>
                <w:szCs w:val="24"/>
                <w:highlight w:val="none"/>
              </w:rPr>
              <w:t>/a</w:t>
            </w:r>
            <w:r>
              <w:rPr>
                <w:rFonts w:cs="Times New Roman"/>
                <w:bCs/>
                <w:sz w:val="24"/>
                <w:szCs w:val="24"/>
              </w:rPr>
              <w:t>×45mg/L×10</w:t>
            </w:r>
            <w:r>
              <w:rPr>
                <w:rFonts w:cs="Times New Roman"/>
                <w:bCs/>
                <w:sz w:val="24"/>
                <w:szCs w:val="24"/>
                <w:vertAlign w:val="superscript"/>
              </w:rPr>
              <w:t>-6</w:t>
            </w:r>
            <w:r>
              <w:rPr>
                <w:rFonts w:cs="Times New Roman"/>
                <w:bCs/>
                <w:sz w:val="24"/>
                <w:szCs w:val="24"/>
              </w:rPr>
              <w:t>=</w:t>
            </w:r>
            <w:r>
              <w:rPr>
                <w:rFonts w:hint="eastAsia" w:cs="Times New Roman"/>
                <w:bCs/>
                <w:sz w:val="24"/>
                <w:szCs w:val="24"/>
                <w:lang w:val="en-US" w:eastAsia="zh-CN"/>
              </w:rPr>
              <w:t>0.0131</w:t>
            </w:r>
            <w:r>
              <w:rPr>
                <w:rFonts w:cs="Times New Roman"/>
                <w:bCs/>
                <w:sz w:val="24"/>
                <w:szCs w:val="24"/>
              </w:rPr>
              <w:t>t/a</w:t>
            </w:r>
          </w:p>
          <w:p>
            <w:pPr>
              <w:tabs>
                <w:tab w:val="left" w:pos="7290"/>
              </w:tabs>
              <w:spacing w:line="360" w:lineRule="auto"/>
              <w:ind w:firstLine="480" w:firstLineChars="200"/>
              <w:rPr>
                <w:rFonts w:hint="default" w:eastAsia="宋体"/>
                <w:b w:val="0"/>
                <w:bCs w:val="0"/>
                <w:sz w:val="24"/>
                <w:szCs w:val="24"/>
                <w:lang w:val="en-US" w:eastAsia="zh-CN"/>
              </w:rPr>
            </w:pPr>
            <w:r>
              <w:rPr>
                <w:rFonts w:hint="eastAsia"/>
                <w:b w:val="0"/>
                <w:bCs w:val="0"/>
                <w:sz w:val="24"/>
                <w:szCs w:val="24"/>
                <w:lang w:val="en-US" w:eastAsia="zh-CN"/>
              </w:rPr>
              <w:t>TP：</w:t>
            </w:r>
            <w:r>
              <w:rPr>
                <w:rFonts w:hint="eastAsia"/>
                <w:kern w:val="24"/>
                <w:sz w:val="24"/>
                <w:szCs w:val="24"/>
                <w:highlight w:val="none"/>
                <w:lang w:val="en-US" w:eastAsia="zh-CN"/>
              </w:rPr>
              <w:t>291</w:t>
            </w:r>
            <w:r>
              <w:rPr>
                <w:rFonts w:cs="Times New Roman"/>
                <w:bCs/>
                <w:sz w:val="24"/>
                <w:szCs w:val="24"/>
                <w:highlight w:val="none"/>
              </w:rPr>
              <w:t>m</w:t>
            </w:r>
            <w:r>
              <w:rPr>
                <w:rFonts w:cs="Times New Roman"/>
                <w:bCs/>
                <w:sz w:val="24"/>
                <w:szCs w:val="24"/>
                <w:highlight w:val="none"/>
                <w:vertAlign w:val="superscript"/>
              </w:rPr>
              <w:t>3</w:t>
            </w:r>
            <w:r>
              <w:rPr>
                <w:rFonts w:cs="Times New Roman"/>
                <w:bCs/>
                <w:sz w:val="24"/>
                <w:szCs w:val="24"/>
                <w:highlight w:val="none"/>
              </w:rPr>
              <w:t>/a</w:t>
            </w:r>
            <w:r>
              <w:rPr>
                <w:rFonts w:cs="Times New Roman"/>
                <w:bCs/>
                <w:sz w:val="24"/>
                <w:szCs w:val="24"/>
              </w:rPr>
              <w:t>×</w:t>
            </w:r>
            <w:r>
              <w:rPr>
                <w:rFonts w:hint="eastAsia" w:cs="Times New Roman"/>
                <w:bCs/>
                <w:sz w:val="24"/>
                <w:szCs w:val="24"/>
                <w:lang w:val="en-US" w:eastAsia="zh-CN"/>
              </w:rPr>
              <w:t>8</w:t>
            </w:r>
            <w:r>
              <w:rPr>
                <w:rFonts w:cs="Times New Roman"/>
                <w:bCs/>
                <w:sz w:val="24"/>
                <w:szCs w:val="24"/>
              </w:rPr>
              <w:t>mg/L×10</w:t>
            </w:r>
            <w:r>
              <w:rPr>
                <w:rFonts w:cs="Times New Roman"/>
                <w:bCs/>
                <w:sz w:val="24"/>
                <w:szCs w:val="24"/>
                <w:vertAlign w:val="superscript"/>
              </w:rPr>
              <w:t>-6</w:t>
            </w:r>
            <w:r>
              <w:rPr>
                <w:rFonts w:cs="Times New Roman"/>
                <w:bCs/>
                <w:sz w:val="24"/>
                <w:szCs w:val="24"/>
              </w:rPr>
              <w:t>=</w:t>
            </w:r>
            <w:r>
              <w:rPr>
                <w:rFonts w:hint="eastAsia" w:cs="Times New Roman"/>
                <w:bCs/>
                <w:sz w:val="24"/>
                <w:szCs w:val="24"/>
                <w:lang w:val="en-US" w:eastAsia="zh-CN"/>
              </w:rPr>
              <w:t>0.0023</w:t>
            </w:r>
            <w:r>
              <w:rPr>
                <w:rFonts w:cs="Times New Roman"/>
                <w:bCs/>
                <w:sz w:val="24"/>
                <w:szCs w:val="24"/>
              </w:rPr>
              <w:t>t/a</w:t>
            </w:r>
          </w:p>
          <w:p>
            <w:pPr>
              <w:tabs>
                <w:tab w:val="left" w:pos="7290"/>
              </w:tabs>
              <w:spacing w:line="360" w:lineRule="auto"/>
              <w:ind w:firstLine="482" w:firstLineChars="200"/>
              <w:rPr>
                <w:rFonts w:hint="eastAsia" w:eastAsia="宋体" w:cs="Times New Roman"/>
                <w:bCs/>
                <w:sz w:val="24"/>
                <w:szCs w:val="24"/>
                <w:lang w:eastAsia="zh-CN"/>
              </w:rPr>
            </w:pPr>
            <w:r>
              <w:rPr>
                <w:rFonts w:hint="eastAsia"/>
                <w:b/>
                <w:bCs/>
                <w:sz w:val="24"/>
                <w:szCs w:val="24"/>
              </w:rPr>
              <w:t>污水处理厂排口</w:t>
            </w:r>
            <w:r>
              <w:rPr>
                <w:rFonts w:hint="eastAsia" w:cs="Times New Roman"/>
                <w:b/>
                <w:bCs/>
                <w:sz w:val="24"/>
                <w:szCs w:val="24"/>
                <w:lang w:eastAsia="zh-CN"/>
              </w:rPr>
              <w:t>：</w:t>
            </w:r>
          </w:p>
          <w:p>
            <w:pPr>
              <w:spacing w:line="360" w:lineRule="auto"/>
              <w:ind w:firstLine="480" w:firstLineChars="200"/>
              <w:rPr>
                <w:rFonts w:cs="Times New Roman"/>
                <w:bCs/>
                <w:sz w:val="24"/>
                <w:szCs w:val="24"/>
              </w:rPr>
            </w:pPr>
            <w:r>
              <w:rPr>
                <w:rFonts w:hint="eastAsia" w:cs="Times New Roman"/>
                <w:bCs/>
                <w:sz w:val="24"/>
                <w:szCs w:val="24"/>
              </w:rPr>
              <w:t>根据污水处理厂排口出水标准计算，巴中经开区污水处理厂执行</w:t>
            </w:r>
            <w:r>
              <w:rPr>
                <w:rFonts w:hint="eastAsia"/>
                <w:kern w:val="24"/>
                <w:sz w:val="24"/>
                <w:szCs w:val="24"/>
              </w:rPr>
              <w:t>《城镇污水处理厂污染物排放标准》（GB18918-2002）一级A标准</w:t>
            </w:r>
            <w:r>
              <w:rPr>
                <w:rFonts w:hint="eastAsia" w:cs="Times New Roman"/>
                <w:bCs/>
                <w:sz w:val="24"/>
              </w:rPr>
              <w:t>（COD：</w:t>
            </w:r>
            <w:r>
              <w:rPr>
                <w:rFonts w:cs="Times New Roman"/>
                <w:bCs/>
                <w:sz w:val="24"/>
              </w:rPr>
              <w:t>50</w:t>
            </w:r>
            <w:r>
              <w:rPr>
                <w:rFonts w:hint="eastAsia" w:cs="Times New Roman"/>
                <w:bCs/>
                <w:sz w:val="24"/>
              </w:rPr>
              <w:t>mg</w:t>
            </w:r>
            <w:r>
              <w:rPr>
                <w:rFonts w:cs="Times New Roman"/>
                <w:bCs/>
                <w:sz w:val="24"/>
              </w:rPr>
              <w:t>/L，</w:t>
            </w:r>
            <w:r>
              <w:rPr>
                <w:rFonts w:hint="eastAsia" w:cs="Times New Roman"/>
                <w:bCs/>
                <w:sz w:val="24"/>
              </w:rPr>
              <w:t>NH</w:t>
            </w:r>
            <w:r>
              <w:rPr>
                <w:rFonts w:cs="Times New Roman"/>
                <w:bCs/>
                <w:sz w:val="24"/>
                <w:vertAlign w:val="subscript"/>
              </w:rPr>
              <w:t>3</w:t>
            </w:r>
            <w:r>
              <w:rPr>
                <w:rFonts w:cs="Times New Roman"/>
                <w:bCs/>
                <w:sz w:val="24"/>
              </w:rPr>
              <w:t>-N：</w:t>
            </w:r>
            <w:r>
              <w:rPr>
                <w:rFonts w:hint="eastAsia" w:cs="Times New Roman"/>
                <w:bCs/>
                <w:sz w:val="24"/>
              </w:rPr>
              <w:t>5mg/L，TP</w:t>
            </w:r>
            <w:r>
              <w:rPr>
                <w:rFonts w:cs="Times New Roman"/>
                <w:bCs/>
                <w:sz w:val="24"/>
              </w:rPr>
              <w:t>：</w:t>
            </w:r>
            <w:r>
              <w:rPr>
                <w:rFonts w:hint="eastAsia" w:cs="Times New Roman"/>
                <w:bCs/>
                <w:sz w:val="24"/>
              </w:rPr>
              <w:t>0</w:t>
            </w:r>
            <w:r>
              <w:rPr>
                <w:rFonts w:cs="Times New Roman"/>
                <w:bCs/>
                <w:sz w:val="24"/>
              </w:rPr>
              <w:t>.5</w:t>
            </w:r>
            <w:r>
              <w:rPr>
                <w:rFonts w:hint="eastAsia" w:cs="Times New Roman"/>
                <w:bCs/>
                <w:sz w:val="24"/>
              </w:rPr>
              <w:t>mg/L），即</w:t>
            </w:r>
            <w:r>
              <w:rPr>
                <w:rFonts w:hint="eastAsia" w:cs="Times New Roman"/>
                <w:bCs/>
                <w:sz w:val="24"/>
                <w:szCs w:val="24"/>
              </w:rPr>
              <w:t>：</w:t>
            </w:r>
          </w:p>
          <w:p>
            <w:pPr>
              <w:tabs>
                <w:tab w:val="left" w:pos="7290"/>
              </w:tabs>
              <w:spacing w:line="360" w:lineRule="auto"/>
              <w:ind w:firstLine="480" w:firstLineChars="200"/>
              <w:rPr>
                <w:rFonts w:cs="Times New Roman"/>
                <w:bCs/>
                <w:sz w:val="24"/>
                <w:szCs w:val="24"/>
                <w:highlight w:val="none"/>
              </w:rPr>
            </w:pPr>
            <w:r>
              <w:rPr>
                <w:rFonts w:hint="eastAsia" w:cs="Times New Roman"/>
                <w:bCs/>
                <w:sz w:val="24"/>
                <w:szCs w:val="24"/>
                <w:highlight w:val="none"/>
              </w:rPr>
              <w:t>COD</w:t>
            </w:r>
            <w:r>
              <w:rPr>
                <w:rFonts w:cs="Times New Roman"/>
                <w:bCs/>
                <w:sz w:val="24"/>
                <w:szCs w:val="24"/>
                <w:highlight w:val="none"/>
              </w:rPr>
              <w:t>：</w:t>
            </w:r>
            <w:r>
              <w:rPr>
                <w:rFonts w:hint="eastAsia"/>
                <w:kern w:val="24"/>
                <w:sz w:val="24"/>
                <w:szCs w:val="24"/>
                <w:highlight w:val="none"/>
                <w:lang w:val="en-US" w:eastAsia="zh-CN"/>
              </w:rPr>
              <w:t>291</w:t>
            </w:r>
            <w:r>
              <w:rPr>
                <w:rFonts w:cs="Times New Roman"/>
                <w:bCs/>
                <w:sz w:val="24"/>
                <w:szCs w:val="24"/>
                <w:highlight w:val="none"/>
              </w:rPr>
              <w:t>m</w:t>
            </w:r>
            <w:r>
              <w:rPr>
                <w:rFonts w:cs="Times New Roman"/>
                <w:bCs/>
                <w:sz w:val="24"/>
                <w:szCs w:val="24"/>
                <w:highlight w:val="none"/>
                <w:vertAlign w:val="superscript"/>
              </w:rPr>
              <w:t>3</w:t>
            </w:r>
            <w:r>
              <w:rPr>
                <w:rFonts w:cs="Times New Roman"/>
                <w:bCs/>
                <w:sz w:val="24"/>
                <w:szCs w:val="24"/>
                <w:highlight w:val="none"/>
              </w:rPr>
              <w:t>/a×</w:t>
            </w:r>
            <w:r>
              <w:rPr>
                <w:rFonts w:hint="eastAsia" w:cs="Times New Roman"/>
                <w:bCs/>
                <w:sz w:val="24"/>
                <w:szCs w:val="24"/>
                <w:highlight w:val="none"/>
                <w:lang w:val="en-US" w:eastAsia="zh-CN"/>
              </w:rPr>
              <w:t>5</w:t>
            </w:r>
            <w:r>
              <w:rPr>
                <w:rFonts w:cs="Times New Roman"/>
                <w:bCs/>
                <w:sz w:val="24"/>
                <w:szCs w:val="24"/>
                <w:highlight w:val="none"/>
              </w:rPr>
              <w:t>0mg/L×10</w:t>
            </w:r>
            <w:r>
              <w:rPr>
                <w:rFonts w:cs="Times New Roman"/>
                <w:bCs/>
                <w:sz w:val="24"/>
                <w:szCs w:val="24"/>
                <w:highlight w:val="none"/>
                <w:vertAlign w:val="superscript"/>
              </w:rPr>
              <w:t>-6</w:t>
            </w:r>
            <w:r>
              <w:rPr>
                <w:rFonts w:cs="Times New Roman"/>
                <w:bCs/>
                <w:sz w:val="24"/>
                <w:szCs w:val="24"/>
                <w:highlight w:val="none"/>
              </w:rPr>
              <w:t>=</w:t>
            </w:r>
            <w:r>
              <w:rPr>
                <w:rFonts w:hint="eastAsia" w:cs="Times New Roman"/>
                <w:bCs/>
                <w:sz w:val="24"/>
                <w:szCs w:val="24"/>
                <w:highlight w:val="none"/>
                <w:lang w:val="en-US" w:eastAsia="zh-CN"/>
              </w:rPr>
              <w:t>0.0146</w:t>
            </w:r>
            <w:r>
              <w:rPr>
                <w:rFonts w:cs="Times New Roman"/>
                <w:bCs/>
                <w:sz w:val="24"/>
                <w:szCs w:val="24"/>
                <w:highlight w:val="none"/>
              </w:rPr>
              <w:t>t/a</w:t>
            </w:r>
          </w:p>
          <w:p>
            <w:pPr>
              <w:tabs>
                <w:tab w:val="left" w:pos="7290"/>
              </w:tabs>
              <w:spacing w:line="360" w:lineRule="auto"/>
              <w:ind w:firstLine="480" w:firstLineChars="200"/>
              <w:rPr>
                <w:rFonts w:cs="Times New Roman"/>
                <w:bCs/>
                <w:sz w:val="24"/>
                <w:szCs w:val="24"/>
                <w:highlight w:val="none"/>
              </w:rPr>
            </w:pPr>
            <w:r>
              <w:rPr>
                <w:rFonts w:cs="Times New Roman"/>
                <w:bCs/>
                <w:sz w:val="24"/>
                <w:szCs w:val="24"/>
                <w:highlight w:val="none"/>
              </w:rPr>
              <w:t>NH</w:t>
            </w:r>
            <w:r>
              <w:rPr>
                <w:rFonts w:cs="Times New Roman"/>
                <w:bCs/>
                <w:sz w:val="24"/>
                <w:szCs w:val="24"/>
                <w:highlight w:val="none"/>
                <w:vertAlign w:val="subscript"/>
              </w:rPr>
              <w:t>3</w:t>
            </w:r>
            <w:r>
              <w:rPr>
                <w:rFonts w:cs="Times New Roman"/>
                <w:bCs/>
                <w:sz w:val="24"/>
                <w:szCs w:val="24"/>
                <w:highlight w:val="none"/>
              </w:rPr>
              <w:t>-N：</w:t>
            </w:r>
            <w:r>
              <w:rPr>
                <w:rFonts w:hint="eastAsia" w:cs="Times New Roman"/>
                <w:bCs/>
                <w:sz w:val="24"/>
                <w:szCs w:val="24"/>
                <w:highlight w:val="none"/>
                <w:lang w:val="en-US" w:eastAsia="zh-CN"/>
              </w:rPr>
              <w:t>291</w:t>
            </w:r>
            <w:r>
              <w:rPr>
                <w:rFonts w:cs="Times New Roman"/>
                <w:bCs/>
                <w:sz w:val="24"/>
                <w:szCs w:val="24"/>
                <w:highlight w:val="none"/>
              </w:rPr>
              <w:t>m</w:t>
            </w:r>
            <w:r>
              <w:rPr>
                <w:rFonts w:cs="Times New Roman"/>
                <w:bCs/>
                <w:sz w:val="24"/>
                <w:szCs w:val="24"/>
                <w:highlight w:val="none"/>
                <w:vertAlign w:val="superscript"/>
              </w:rPr>
              <w:t>3</w:t>
            </w:r>
            <w:r>
              <w:rPr>
                <w:rFonts w:cs="Times New Roman"/>
                <w:bCs/>
                <w:sz w:val="24"/>
                <w:szCs w:val="24"/>
                <w:highlight w:val="none"/>
              </w:rPr>
              <w:t>/a×5mg/L×10</w:t>
            </w:r>
            <w:r>
              <w:rPr>
                <w:rFonts w:cs="Times New Roman"/>
                <w:bCs/>
                <w:sz w:val="24"/>
                <w:szCs w:val="24"/>
                <w:highlight w:val="none"/>
                <w:vertAlign w:val="superscript"/>
              </w:rPr>
              <w:t>-6</w:t>
            </w:r>
            <w:r>
              <w:rPr>
                <w:rFonts w:cs="Times New Roman"/>
                <w:bCs/>
                <w:sz w:val="24"/>
                <w:szCs w:val="24"/>
                <w:highlight w:val="none"/>
              </w:rPr>
              <w:t>=</w:t>
            </w:r>
            <w:r>
              <w:rPr>
                <w:rFonts w:hint="eastAsia" w:cs="Times New Roman"/>
                <w:bCs/>
                <w:sz w:val="24"/>
                <w:szCs w:val="24"/>
                <w:highlight w:val="none"/>
                <w:lang w:val="en-US" w:eastAsia="zh-CN"/>
              </w:rPr>
              <w:t>0.0015</w:t>
            </w:r>
            <w:r>
              <w:rPr>
                <w:rFonts w:cs="Times New Roman"/>
                <w:bCs/>
                <w:sz w:val="24"/>
                <w:szCs w:val="24"/>
                <w:highlight w:val="none"/>
              </w:rPr>
              <w:t>t/a</w:t>
            </w:r>
          </w:p>
          <w:p>
            <w:pPr>
              <w:tabs>
                <w:tab w:val="left" w:pos="7290"/>
              </w:tabs>
              <w:spacing w:line="360" w:lineRule="auto"/>
              <w:ind w:firstLine="480" w:firstLineChars="200"/>
              <w:rPr>
                <w:rFonts w:hint="eastAsia" w:cs="Times New Roman"/>
                <w:b/>
                <w:bCs/>
                <w:sz w:val="24"/>
                <w:szCs w:val="24"/>
              </w:rPr>
            </w:pPr>
            <w:r>
              <w:rPr>
                <w:rFonts w:hint="eastAsia"/>
                <w:b w:val="0"/>
                <w:bCs w:val="0"/>
                <w:sz w:val="24"/>
                <w:szCs w:val="24"/>
                <w:lang w:val="en-US" w:eastAsia="zh-CN"/>
              </w:rPr>
              <w:t>TP：291</w:t>
            </w:r>
            <w:r>
              <w:rPr>
                <w:rFonts w:cs="Times New Roman"/>
                <w:bCs/>
                <w:sz w:val="24"/>
                <w:szCs w:val="24"/>
                <w:highlight w:val="none"/>
              </w:rPr>
              <w:t>m</w:t>
            </w:r>
            <w:r>
              <w:rPr>
                <w:rFonts w:cs="Times New Roman"/>
                <w:bCs/>
                <w:sz w:val="24"/>
                <w:szCs w:val="24"/>
                <w:highlight w:val="none"/>
                <w:vertAlign w:val="superscript"/>
              </w:rPr>
              <w:t>3</w:t>
            </w:r>
            <w:r>
              <w:rPr>
                <w:rFonts w:cs="Times New Roman"/>
                <w:bCs/>
                <w:sz w:val="24"/>
                <w:szCs w:val="24"/>
                <w:highlight w:val="none"/>
              </w:rPr>
              <w:t>/a</w:t>
            </w:r>
            <w:r>
              <w:rPr>
                <w:rFonts w:cs="Times New Roman"/>
                <w:bCs/>
                <w:sz w:val="24"/>
                <w:szCs w:val="24"/>
              </w:rPr>
              <w:t>×</w:t>
            </w:r>
            <w:r>
              <w:rPr>
                <w:rFonts w:hint="eastAsia" w:cs="Times New Roman"/>
                <w:bCs/>
                <w:sz w:val="24"/>
                <w:szCs w:val="24"/>
                <w:lang w:val="en-US" w:eastAsia="zh-CN"/>
              </w:rPr>
              <w:t>0.5</w:t>
            </w:r>
            <w:r>
              <w:rPr>
                <w:rFonts w:cs="Times New Roman"/>
                <w:bCs/>
                <w:sz w:val="24"/>
                <w:szCs w:val="24"/>
              </w:rPr>
              <w:t>mg/L×10</w:t>
            </w:r>
            <w:r>
              <w:rPr>
                <w:rFonts w:cs="Times New Roman"/>
                <w:bCs/>
                <w:sz w:val="24"/>
                <w:szCs w:val="24"/>
                <w:vertAlign w:val="superscript"/>
              </w:rPr>
              <w:t>-6</w:t>
            </w:r>
            <w:r>
              <w:rPr>
                <w:rFonts w:cs="Times New Roman"/>
                <w:bCs/>
                <w:sz w:val="24"/>
                <w:szCs w:val="24"/>
              </w:rPr>
              <w:t>=</w:t>
            </w:r>
            <w:r>
              <w:rPr>
                <w:rFonts w:hint="eastAsia" w:cs="Times New Roman"/>
                <w:bCs/>
                <w:sz w:val="24"/>
                <w:szCs w:val="24"/>
                <w:lang w:val="en-US" w:eastAsia="zh-CN"/>
              </w:rPr>
              <w:t>0.0002</w:t>
            </w:r>
            <w:r>
              <w:rPr>
                <w:rFonts w:cs="Times New Roman"/>
                <w:bCs/>
                <w:sz w:val="24"/>
                <w:szCs w:val="24"/>
              </w:rPr>
              <w:t>t/a</w:t>
            </w:r>
          </w:p>
          <w:p>
            <w:pPr>
              <w:spacing w:line="360" w:lineRule="auto"/>
              <w:ind w:firstLine="482" w:firstLineChars="200"/>
              <w:rPr>
                <w:rFonts w:cs="Times New Roman"/>
                <w:b/>
                <w:sz w:val="24"/>
                <w:szCs w:val="24"/>
              </w:rPr>
            </w:pPr>
            <w:r>
              <w:rPr>
                <w:rFonts w:hint="eastAsia" w:cs="Times New Roman"/>
                <w:b/>
                <w:sz w:val="24"/>
                <w:szCs w:val="24"/>
                <w:lang w:eastAsia="zh-CN"/>
              </w:rPr>
              <w:t>（</w:t>
            </w:r>
            <w:r>
              <w:rPr>
                <w:rFonts w:hint="eastAsia" w:cs="Times New Roman"/>
                <w:b/>
                <w:sz w:val="24"/>
                <w:szCs w:val="24"/>
                <w:lang w:val="en-US" w:eastAsia="zh-CN"/>
              </w:rPr>
              <w:t>2</w:t>
            </w:r>
            <w:r>
              <w:rPr>
                <w:rFonts w:hint="eastAsia" w:cs="Times New Roman"/>
                <w:b/>
                <w:sz w:val="24"/>
                <w:szCs w:val="24"/>
                <w:lang w:eastAsia="zh-CN"/>
              </w:rPr>
              <w:t>）</w:t>
            </w:r>
            <w:r>
              <w:rPr>
                <w:rFonts w:hint="eastAsia" w:cs="Times New Roman"/>
                <w:b/>
                <w:sz w:val="24"/>
                <w:szCs w:val="24"/>
              </w:rPr>
              <w:t>大气污染物总量控制</w:t>
            </w:r>
          </w:p>
          <w:p>
            <w:pPr>
              <w:spacing w:line="360" w:lineRule="auto"/>
              <w:ind w:firstLine="480" w:firstLineChars="200"/>
              <w:rPr>
                <w:rFonts w:hint="eastAsia" w:cs="Times New Roman"/>
                <w:color w:val="auto"/>
                <w:sz w:val="24"/>
                <w:szCs w:val="24"/>
                <w:highlight w:val="none"/>
                <w:lang w:eastAsia="zh-CN"/>
              </w:rPr>
            </w:pPr>
            <w:r>
              <w:rPr>
                <w:rFonts w:cs="Times New Roman"/>
                <w:color w:val="auto"/>
                <w:sz w:val="24"/>
                <w:szCs w:val="24"/>
                <w:highlight w:val="none"/>
              </w:rPr>
              <w:t>根据工程分析核算，</w:t>
            </w:r>
            <w:r>
              <w:rPr>
                <w:rFonts w:hint="eastAsia" w:cs="Times New Roman"/>
                <w:color w:val="auto"/>
                <w:sz w:val="24"/>
                <w:szCs w:val="24"/>
                <w:highlight w:val="none"/>
                <w:lang w:eastAsia="zh-CN"/>
              </w:rPr>
              <w:t>本项目</w:t>
            </w:r>
            <w:r>
              <w:rPr>
                <w:rFonts w:hint="eastAsia" w:cs="Times New Roman"/>
                <w:color w:val="auto"/>
                <w:sz w:val="24"/>
                <w:szCs w:val="24"/>
                <w:highlight w:val="none"/>
              </w:rPr>
              <w:t>挥发性有机废气（VOCs）</w:t>
            </w:r>
            <w:r>
              <w:rPr>
                <w:rFonts w:hint="eastAsia" w:cs="Times New Roman"/>
                <w:color w:val="auto"/>
                <w:sz w:val="24"/>
                <w:szCs w:val="24"/>
                <w:highlight w:val="none"/>
                <w:lang w:val="en-US" w:eastAsia="zh-CN"/>
              </w:rPr>
              <w:t>有组织</w:t>
            </w:r>
            <w:r>
              <w:rPr>
                <w:rFonts w:hint="eastAsia" w:cs="Times New Roman"/>
                <w:color w:val="auto"/>
                <w:sz w:val="24"/>
                <w:szCs w:val="24"/>
                <w:highlight w:val="none"/>
              </w:rPr>
              <w:t>排放量约</w:t>
            </w:r>
            <w:r>
              <w:rPr>
                <w:rFonts w:hint="eastAsia" w:cs="Times New Roman"/>
                <w:color w:val="auto"/>
                <w:sz w:val="24"/>
                <w:szCs w:val="24"/>
                <w:highlight w:val="none"/>
                <w:lang w:eastAsia="zh-CN"/>
              </w:rPr>
              <w:t>为</w:t>
            </w:r>
            <w:r>
              <w:rPr>
                <w:rFonts w:hint="eastAsia" w:cs="Times New Roman"/>
                <w:color w:val="auto"/>
                <w:sz w:val="24"/>
                <w:szCs w:val="24"/>
                <w:highlight w:val="none"/>
                <w:lang w:val="en-US" w:eastAsia="zh-CN"/>
              </w:rPr>
              <w:t>0.54</w:t>
            </w:r>
            <w:r>
              <w:rPr>
                <w:rFonts w:hint="eastAsia" w:cs="Times New Roman"/>
                <w:color w:val="auto"/>
                <w:sz w:val="24"/>
                <w:szCs w:val="24"/>
                <w:highlight w:val="none"/>
              </w:rPr>
              <w:t>t</w:t>
            </w:r>
            <w:r>
              <w:rPr>
                <w:rFonts w:cs="Times New Roman"/>
                <w:color w:val="auto"/>
                <w:sz w:val="24"/>
                <w:szCs w:val="24"/>
                <w:highlight w:val="none"/>
              </w:rPr>
              <w: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无组织</w:t>
            </w:r>
            <w:r>
              <w:rPr>
                <w:rFonts w:hint="eastAsia" w:cs="Times New Roman"/>
                <w:color w:val="auto"/>
                <w:sz w:val="24"/>
                <w:szCs w:val="24"/>
                <w:highlight w:val="none"/>
              </w:rPr>
              <w:t>排放量约</w:t>
            </w:r>
            <w:r>
              <w:rPr>
                <w:rFonts w:hint="eastAsia" w:cs="Times New Roman"/>
                <w:color w:val="auto"/>
                <w:sz w:val="24"/>
                <w:szCs w:val="24"/>
                <w:highlight w:val="none"/>
                <w:lang w:eastAsia="zh-CN"/>
              </w:rPr>
              <w:t>为</w:t>
            </w:r>
            <w:r>
              <w:rPr>
                <w:rFonts w:hint="eastAsia" w:cs="Times New Roman"/>
                <w:color w:val="auto"/>
                <w:sz w:val="24"/>
                <w:szCs w:val="24"/>
                <w:highlight w:val="none"/>
                <w:lang w:val="en-US" w:eastAsia="zh-CN"/>
              </w:rPr>
              <w:t>0.6</w:t>
            </w:r>
            <w:r>
              <w:rPr>
                <w:rFonts w:hint="eastAsia" w:cs="Times New Roman"/>
                <w:color w:val="auto"/>
                <w:sz w:val="24"/>
                <w:szCs w:val="24"/>
                <w:highlight w:val="none"/>
              </w:rPr>
              <w:t>t</w:t>
            </w:r>
            <w:r>
              <w:rPr>
                <w:rFonts w:cs="Times New Roman"/>
                <w:color w:val="auto"/>
                <w:sz w:val="24"/>
                <w:szCs w:val="24"/>
                <w:highlight w:val="none"/>
              </w:rPr>
              <w:t>/a</w:t>
            </w:r>
            <w:r>
              <w:rPr>
                <w:rFonts w:hint="eastAsia" w:cs="Times New Roman"/>
                <w:color w:val="auto"/>
                <w:sz w:val="24"/>
                <w:szCs w:val="24"/>
                <w:highlight w:val="none"/>
                <w:lang w:eastAsia="zh-CN"/>
              </w:rPr>
              <w:t>；</w:t>
            </w:r>
          </w:p>
          <w:p>
            <w:pPr>
              <w:spacing w:line="360" w:lineRule="auto"/>
              <w:ind w:firstLine="480" w:firstLineChars="200"/>
              <w:rPr>
                <w:sz w:val="24"/>
                <w:szCs w:val="24"/>
              </w:rPr>
            </w:pPr>
            <w:r>
              <w:rPr>
                <w:rFonts w:hint="eastAsia"/>
                <w:sz w:val="24"/>
                <w:szCs w:val="24"/>
              </w:rPr>
              <w:t>综上所述，本项目总量控制指标建议如下：</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
                <w:color w:val="auto"/>
                <w:sz w:val="21"/>
                <w:highlight w:val="none"/>
                <w:lang w:eastAsia="zh-CN"/>
              </w:rPr>
            </w:pPr>
            <w:r>
              <w:rPr>
                <w:rFonts w:hint="default" w:ascii="Times New Roman" w:hAnsi="Times New Roman" w:eastAsia="宋体" w:cs="宋体"/>
                <w:b/>
                <w:bCs/>
                <w:i w:val="0"/>
                <w:color w:val="auto"/>
                <w:kern w:val="2"/>
                <w:sz w:val="21"/>
                <w:szCs w:val="21"/>
                <w:vertAlign w:val="baseline"/>
                <w:lang w:val="en-US" w:eastAsia="zh-CN" w:bidi="ar-SA"/>
              </w:rPr>
              <w:t>表3-1</w:t>
            </w:r>
            <w:r>
              <w:rPr>
                <w:rFonts w:hint="eastAsia" w:ascii="Times New Roman" w:hAnsi="Times New Roman" w:cs="宋体"/>
                <w:b/>
                <w:bCs/>
                <w:i w:val="0"/>
                <w:color w:val="auto"/>
                <w:kern w:val="2"/>
                <w:sz w:val="21"/>
                <w:szCs w:val="21"/>
                <w:vertAlign w:val="baseline"/>
                <w:lang w:val="en-US" w:eastAsia="zh-CN" w:bidi="ar-SA"/>
              </w:rPr>
              <w:t>3</w:t>
            </w:r>
            <w:r>
              <w:rPr>
                <w:rFonts w:hint="default" w:ascii="Times New Roman" w:hAnsi="Times New Roman" w:eastAsia="宋体" w:cs="宋体"/>
                <w:b/>
                <w:bCs/>
                <w:i w:val="0"/>
                <w:color w:val="auto"/>
                <w:kern w:val="2"/>
                <w:sz w:val="21"/>
                <w:szCs w:val="21"/>
                <w:vertAlign w:val="baseline"/>
                <w:lang w:val="en-US" w:eastAsia="zh-CN" w:bidi="ar-SA"/>
              </w:rPr>
              <w:t xml:space="preserve">   </w:t>
            </w:r>
            <w:r>
              <w:rPr>
                <w:rFonts w:hint="eastAsia" w:ascii="Times New Roman" w:hAnsi="Times New Roman" w:cs="Times New Roman"/>
                <w:b/>
                <w:color w:val="auto"/>
                <w:sz w:val="21"/>
                <w:highlight w:val="none"/>
                <w:lang w:eastAsia="zh-CN"/>
              </w:rPr>
              <w:t>本项目</w:t>
            </w:r>
            <w:r>
              <w:rPr>
                <w:rFonts w:hint="eastAsia" w:ascii="Times New Roman" w:hAnsi="Times New Roman" w:eastAsia="宋体" w:cs="Times New Roman"/>
                <w:b/>
                <w:color w:val="auto"/>
                <w:sz w:val="21"/>
                <w:highlight w:val="none"/>
                <w:lang w:eastAsia="zh-CN"/>
              </w:rPr>
              <w:t>总量控制指标建议</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5"/>
              <w:gridCol w:w="448"/>
              <w:gridCol w:w="1215"/>
              <w:gridCol w:w="2061"/>
              <w:gridCol w:w="2061"/>
              <w:gridCol w:w="15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495" w:type="pct"/>
                  <w:gridSpan w:val="3"/>
                  <w:tcBorders>
                    <w:tl2br w:val="nil"/>
                    <w:tr2bl w:val="nil"/>
                  </w:tcBorders>
                  <w:vAlign w:val="center"/>
                </w:tcPr>
                <w:p>
                  <w:pPr>
                    <w:pStyle w:val="43"/>
                  </w:pPr>
                  <w:r>
                    <w:rPr>
                      <w:rFonts w:hint="eastAsia"/>
                    </w:rPr>
                    <w:t>类型</w:t>
                  </w:r>
                </w:p>
              </w:tc>
              <w:tc>
                <w:tcPr>
                  <w:tcW w:w="1269" w:type="pct"/>
                  <w:tcBorders>
                    <w:tl2br w:val="nil"/>
                    <w:tr2bl w:val="nil"/>
                  </w:tcBorders>
                  <w:shd w:val="clear" w:color="auto" w:fill="auto"/>
                  <w:vAlign w:val="center"/>
                </w:tcPr>
                <w:p>
                  <w:pPr>
                    <w:pStyle w:val="43"/>
                  </w:pPr>
                  <w:r>
                    <w:t>污染</w:t>
                  </w:r>
                  <w:r>
                    <w:rPr>
                      <w:rFonts w:hint="eastAsia"/>
                    </w:rPr>
                    <w:t>物</w:t>
                  </w:r>
                </w:p>
              </w:tc>
              <w:tc>
                <w:tcPr>
                  <w:tcW w:w="1269" w:type="pct"/>
                  <w:tcBorders>
                    <w:tl2br w:val="nil"/>
                    <w:tr2bl w:val="nil"/>
                  </w:tcBorders>
                  <w:vAlign w:val="center"/>
                </w:tcPr>
                <w:p>
                  <w:pPr>
                    <w:pStyle w:val="43"/>
                  </w:pPr>
                  <w:r>
                    <w:rPr>
                      <w:rFonts w:hint="eastAsia"/>
                    </w:rPr>
                    <w:t>总量控制（</w:t>
                  </w:r>
                  <w:r>
                    <w:t>t/a</w:t>
                  </w:r>
                  <w:r>
                    <w:rPr>
                      <w:rFonts w:hint="eastAsia"/>
                    </w:rPr>
                    <w:t>）</w:t>
                  </w:r>
                </w:p>
              </w:tc>
              <w:tc>
                <w:tcPr>
                  <w:tcW w:w="965" w:type="pct"/>
                  <w:tcBorders>
                    <w:tl2br w:val="nil"/>
                    <w:tr2bl w:val="nil"/>
                  </w:tcBorders>
                  <w:shd w:val="clear" w:color="auto" w:fill="auto"/>
                  <w:vAlign w:val="center"/>
                </w:tcPr>
                <w:p>
                  <w:pPr>
                    <w:pStyle w:val="43"/>
                  </w:pPr>
                  <w: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1" w:type="pct"/>
                  <w:vMerge w:val="restart"/>
                  <w:tcBorders>
                    <w:tl2br w:val="nil"/>
                    <w:tr2bl w:val="nil"/>
                  </w:tcBorders>
                  <w:vAlign w:val="center"/>
                </w:tcPr>
                <w:p>
                  <w:pPr>
                    <w:jc w:val="center"/>
                    <w:rPr>
                      <w:szCs w:val="21"/>
                    </w:rPr>
                  </w:pPr>
                  <w:r>
                    <w:rPr>
                      <w:rFonts w:hint="eastAsia"/>
                      <w:szCs w:val="21"/>
                    </w:rPr>
                    <w:t>废水</w:t>
                  </w:r>
                </w:p>
              </w:tc>
              <w:tc>
                <w:tcPr>
                  <w:tcW w:w="1024" w:type="pct"/>
                  <w:gridSpan w:val="2"/>
                  <w:vMerge w:val="restart"/>
                  <w:tcBorders>
                    <w:tl2br w:val="nil"/>
                    <w:tr2bl w:val="nil"/>
                  </w:tcBorders>
                  <w:shd w:val="clear" w:color="auto" w:fill="auto"/>
                  <w:vAlign w:val="center"/>
                </w:tcPr>
                <w:p>
                  <w:pPr>
                    <w:jc w:val="center"/>
                    <w:rPr>
                      <w:szCs w:val="21"/>
                    </w:rPr>
                  </w:pPr>
                  <w:r>
                    <w:rPr>
                      <w:rFonts w:hint="eastAsia"/>
                      <w:szCs w:val="21"/>
                    </w:rPr>
                    <w:t>企业排口</w:t>
                  </w:r>
                </w:p>
              </w:tc>
              <w:tc>
                <w:tcPr>
                  <w:tcW w:w="1269" w:type="pct"/>
                  <w:tcBorders>
                    <w:tl2br w:val="nil"/>
                    <w:tr2bl w:val="nil"/>
                  </w:tcBorders>
                  <w:shd w:val="clear" w:color="auto" w:fill="auto"/>
                  <w:vAlign w:val="center"/>
                </w:tcPr>
                <w:p>
                  <w:pPr>
                    <w:jc w:val="center"/>
                    <w:rPr>
                      <w:szCs w:val="21"/>
                    </w:rPr>
                  </w:pPr>
                  <w:r>
                    <w:rPr>
                      <w:szCs w:val="21"/>
                    </w:rPr>
                    <w:t>COD</w:t>
                  </w:r>
                </w:p>
              </w:tc>
              <w:tc>
                <w:tcPr>
                  <w:tcW w:w="1269"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0.1455</w:t>
                  </w:r>
                </w:p>
              </w:tc>
              <w:tc>
                <w:tcPr>
                  <w:tcW w:w="965" w:type="pct"/>
                  <w:vMerge w:val="restart"/>
                  <w:tcBorders>
                    <w:tl2br w:val="nil"/>
                    <w:tr2bl w:val="nil"/>
                  </w:tcBorders>
                  <w:shd w:val="clear" w:color="auto" w:fill="auto"/>
                  <w:vAlign w:val="center"/>
                </w:tcPr>
                <w:p>
                  <w:pPr>
                    <w:jc w:val="center"/>
                    <w:rPr>
                      <w:szCs w:val="21"/>
                    </w:rPr>
                  </w:pPr>
                  <w:r>
                    <w:rPr>
                      <w:rFonts w:hint="eastAsia"/>
                      <w:szCs w:val="21"/>
                    </w:rPr>
                    <w:t>巴中经开区污水处理厂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1" w:type="pct"/>
                  <w:vMerge w:val="continue"/>
                  <w:tcBorders>
                    <w:tl2br w:val="nil"/>
                    <w:tr2bl w:val="nil"/>
                  </w:tcBorders>
                  <w:vAlign w:val="center"/>
                </w:tcPr>
                <w:p>
                  <w:pPr>
                    <w:jc w:val="center"/>
                    <w:rPr>
                      <w:szCs w:val="21"/>
                    </w:rPr>
                  </w:pPr>
                </w:p>
              </w:tc>
              <w:tc>
                <w:tcPr>
                  <w:tcW w:w="1024" w:type="pct"/>
                  <w:gridSpan w:val="2"/>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szCs w:val="21"/>
                    </w:rPr>
                  </w:pPr>
                  <w:r>
                    <w:rPr>
                      <w:szCs w:val="21"/>
                    </w:rPr>
                    <w:t>NH</w:t>
                  </w:r>
                  <w:r>
                    <w:rPr>
                      <w:szCs w:val="21"/>
                      <w:vertAlign w:val="subscript"/>
                    </w:rPr>
                    <w:t>3</w:t>
                  </w:r>
                  <w:r>
                    <w:rPr>
                      <w:szCs w:val="21"/>
                    </w:rPr>
                    <w:t>-N</w:t>
                  </w:r>
                </w:p>
              </w:tc>
              <w:tc>
                <w:tcPr>
                  <w:tcW w:w="1269"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0.0131</w:t>
                  </w:r>
                </w:p>
              </w:tc>
              <w:tc>
                <w:tcPr>
                  <w:tcW w:w="96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1" w:type="pct"/>
                  <w:vMerge w:val="continue"/>
                  <w:tcBorders>
                    <w:tl2br w:val="nil"/>
                    <w:tr2bl w:val="nil"/>
                  </w:tcBorders>
                  <w:vAlign w:val="center"/>
                </w:tcPr>
                <w:p>
                  <w:pPr>
                    <w:jc w:val="center"/>
                    <w:rPr>
                      <w:szCs w:val="21"/>
                    </w:rPr>
                  </w:pPr>
                </w:p>
              </w:tc>
              <w:tc>
                <w:tcPr>
                  <w:tcW w:w="1024" w:type="pct"/>
                  <w:gridSpan w:val="2"/>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rFonts w:hint="default" w:eastAsia="宋体"/>
                      <w:szCs w:val="21"/>
                      <w:lang w:val="en-US" w:eastAsia="zh-CN"/>
                    </w:rPr>
                  </w:pPr>
                  <w:r>
                    <w:rPr>
                      <w:rFonts w:hint="eastAsia"/>
                      <w:szCs w:val="21"/>
                      <w:lang w:val="en-US" w:eastAsia="zh-CN"/>
                    </w:rPr>
                    <w:t>TP</w:t>
                  </w:r>
                </w:p>
              </w:tc>
              <w:tc>
                <w:tcPr>
                  <w:tcW w:w="1269" w:type="pct"/>
                  <w:tcBorders>
                    <w:tl2br w:val="nil"/>
                    <w:tr2bl w:val="nil"/>
                  </w:tcBorders>
                  <w:vAlign w:val="center"/>
                </w:tcPr>
                <w:p>
                  <w:pPr>
                    <w:jc w:val="center"/>
                    <w:rPr>
                      <w:rFonts w:hint="default"/>
                      <w:szCs w:val="21"/>
                      <w:lang w:val="en-US" w:eastAsia="zh-CN"/>
                    </w:rPr>
                  </w:pPr>
                  <w:r>
                    <w:rPr>
                      <w:rFonts w:hint="eastAsia"/>
                      <w:szCs w:val="21"/>
                      <w:lang w:val="en-US" w:eastAsia="zh-CN"/>
                    </w:rPr>
                    <w:t>0.0023</w:t>
                  </w:r>
                </w:p>
              </w:tc>
              <w:tc>
                <w:tcPr>
                  <w:tcW w:w="96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1" w:type="pct"/>
                  <w:vMerge w:val="continue"/>
                  <w:tcBorders>
                    <w:tl2br w:val="nil"/>
                    <w:tr2bl w:val="nil"/>
                  </w:tcBorders>
                  <w:vAlign w:val="center"/>
                </w:tcPr>
                <w:p>
                  <w:pPr>
                    <w:jc w:val="center"/>
                    <w:rPr>
                      <w:szCs w:val="21"/>
                    </w:rPr>
                  </w:pPr>
                </w:p>
              </w:tc>
              <w:tc>
                <w:tcPr>
                  <w:tcW w:w="1024" w:type="pct"/>
                  <w:gridSpan w:val="2"/>
                  <w:vMerge w:val="restart"/>
                  <w:tcBorders>
                    <w:tl2br w:val="nil"/>
                    <w:tr2bl w:val="nil"/>
                  </w:tcBorders>
                  <w:shd w:val="clear" w:color="auto" w:fill="auto"/>
                  <w:vAlign w:val="center"/>
                </w:tcPr>
                <w:p>
                  <w:pPr>
                    <w:jc w:val="center"/>
                    <w:rPr>
                      <w:szCs w:val="21"/>
                    </w:rPr>
                  </w:pPr>
                  <w:r>
                    <w:rPr>
                      <w:rFonts w:hint="eastAsia"/>
                      <w:szCs w:val="21"/>
                    </w:rPr>
                    <w:t>污水处理厂排口</w:t>
                  </w:r>
                </w:p>
              </w:tc>
              <w:tc>
                <w:tcPr>
                  <w:tcW w:w="1269" w:type="pct"/>
                  <w:tcBorders>
                    <w:tl2br w:val="nil"/>
                    <w:tr2bl w:val="nil"/>
                  </w:tcBorders>
                  <w:shd w:val="clear" w:color="auto" w:fill="auto"/>
                  <w:vAlign w:val="center"/>
                </w:tcPr>
                <w:p>
                  <w:pPr>
                    <w:jc w:val="center"/>
                    <w:rPr>
                      <w:szCs w:val="21"/>
                    </w:rPr>
                  </w:pPr>
                  <w:r>
                    <w:rPr>
                      <w:szCs w:val="21"/>
                    </w:rPr>
                    <w:t>COD</w:t>
                  </w:r>
                </w:p>
              </w:tc>
              <w:tc>
                <w:tcPr>
                  <w:tcW w:w="1269"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0.0146</w:t>
                  </w:r>
                </w:p>
              </w:tc>
              <w:tc>
                <w:tcPr>
                  <w:tcW w:w="965" w:type="pct"/>
                  <w:vMerge w:val="restart"/>
                  <w:tcBorders>
                    <w:tl2br w:val="nil"/>
                    <w:tr2bl w:val="nil"/>
                  </w:tcBorders>
                  <w:shd w:val="clear" w:color="auto" w:fill="auto"/>
                  <w:vAlign w:val="center"/>
                </w:tcPr>
                <w:p>
                  <w:pPr>
                    <w:jc w:val="center"/>
                    <w:rPr>
                      <w:szCs w:val="21"/>
                    </w:rPr>
                  </w:pPr>
                  <w:r>
                    <w:rPr>
                      <w:rFonts w:hint="eastAsia"/>
                      <w:szCs w:val="21"/>
                    </w:rPr>
                    <w:t>巴河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1" w:type="pct"/>
                  <w:vMerge w:val="continue"/>
                  <w:tcBorders>
                    <w:tl2br w:val="nil"/>
                    <w:tr2bl w:val="nil"/>
                  </w:tcBorders>
                  <w:vAlign w:val="center"/>
                </w:tcPr>
                <w:p>
                  <w:pPr>
                    <w:jc w:val="center"/>
                    <w:rPr>
                      <w:szCs w:val="21"/>
                    </w:rPr>
                  </w:pPr>
                </w:p>
              </w:tc>
              <w:tc>
                <w:tcPr>
                  <w:tcW w:w="1024" w:type="pct"/>
                  <w:gridSpan w:val="2"/>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szCs w:val="21"/>
                    </w:rPr>
                  </w:pPr>
                  <w:r>
                    <w:rPr>
                      <w:szCs w:val="21"/>
                    </w:rPr>
                    <w:t>NH</w:t>
                  </w:r>
                  <w:r>
                    <w:rPr>
                      <w:szCs w:val="21"/>
                      <w:vertAlign w:val="subscript"/>
                    </w:rPr>
                    <w:t>3</w:t>
                  </w:r>
                  <w:r>
                    <w:rPr>
                      <w:szCs w:val="21"/>
                    </w:rPr>
                    <w:t>-N</w:t>
                  </w:r>
                </w:p>
              </w:tc>
              <w:tc>
                <w:tcPr>
                  <w:tcW w:w="1269"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0.0015</w:t>
                  </w:r>
                </w:p>
              </w:tc>
              <w:tc>
                <w:tcPr>
                  <w:tcW w:w="965" w:type="pct"/>
                  <w:vMerge w:val="continue"/>
                  <w:tcBorders>
                    <w:tl2br w:val="nil"/>
                    <w:tr2bl w:val="nil"/>
                  </w:tcBorders>
                  <w:shd w:val="clear" w:color="auto" w:fill="auto"/>
                  <w:vAlign w:val="center"/>
                </w:tcPr>
                <w:p>
                  <w:pPr>
                    <w:jc w:val="center"/>
                    <w:rPr>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1" w:type="pct"/>
                  <w:vMerge w:val="continue"/>
                  <w:tcBorders>
                    <w:tl2br w:val="nil"/>
                    <w:tr2bl w:val="nil"/>
                  </w:tcBorders>
                  <w:vAlign w:val="center"/>
                </w:tcPr>
                <w:p>
                  <w:pPr>
                    <w:jc w:val="center"/>
                    <w:rPr>
                      <w:szCs w:val="21"/>
                    </w:rPr>
                  </w:pPr>
                </w:p>
              </w:tc>
              <w:tc>
                <w:tcPr>
                  <w:tcW w:w="1024" w:type="pct"/>
                  <w:gridSpan w:val="2"/>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rFonts w:hint="default" w:eastAsia="宋体"/>
                      <w:szCs w:val="21"/>
                      <w:lang w:val="en-US" w:eastAsia="zh-CN"/>
                    </w:rPr>
                  </w:pPr>
                  <w:r>
                    <w:rPr>
                      <w:rFonts w:hint="eastAsia"/>
                      <w:szCs w:val="21"/>
                      <w:lang w:val="en-US" w:eastAsia="zh-CN"/>
                    </w:rPr>
                    <w:t>TP</w:t>
                  </w:r>
                </w:p>
              </w:tc>
              <w:tc>
                <w:tcPr>
                  <w:tcW w:w="1269" w:type="pct"/>
                  <w:tcBorders>
                    <w:tl2br w:val="nil"/>
                    <w:tr2bl w:val="nil"/>
                  </w:tcBorders>
                  <w:vAlign w:val="center"/>
                </w:tcPr>
                <w:p>
                  <w:pPr>
                    <w:jc w:val="center"/>
                    <w:rPr>
                      <w:rFonts w:hint="default"/>
                      <w:szCs w:val="21"/>
                      <w:lang w:val="en-US" w:eastAsia="zh-CN"/>
                    </w:rPr>
                  </w:pPr>
                  <w:r>
                    <w:rPr>
                      <w:rFonts w:hint="eastAsia"/>
                      <w:szCs w:val="21"/>
                      <w:lang w:val="en-US" w:eastAsia="zh-CN"/>
                    </w:rPr>
                    <w:t>0.0002</w:t>
                  </w:r>
                </w:p>
              </w:tc>
              <w:tc>
                <w:tcPr>
                  <w:tcW w:w="965" w:type="pct"/>
                  <w:vMerge w:val="continue"/>
                  <w:tcBorders>
                    <w:tl2br w:val="nil"/>
                    <w:tr2bl w:val="nil"/>
                  </w:tcBorders>
                  <w:shd w:val="clear" w:color="auto" w:fill="auto"/>
                  <w:vAlign w:val="center"/>
                </w:tcPr>
                <w:p>
                  <w:pPr>
                    <w:jc w:val="center"/>
                    <w:rPr>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gridSpan w:val="2"/>
                  <w:vMerge w:val="restart"/>
                  <w:tcBorders>
                    <w:tl2br w:val="nil"/>
                    <w:tr2bl w:val="nil"/>
                  </w:tcBorders>
                  <w:vAlign w:val="center"/>
                </w:tcPr>
                <w:p>
                  <w:pPr>
                    <w:jc w:val="center"/>
                    <w:rPr>
                      <w:szCs w:val="21"/>
                    </w:rPr>
                  </w:pPr>
                  <w:r>
                    <w:rPr>
                      <w:szCs w:val="21"/>
                    </w:rPr>
                    <w:t>废气</w:t>
                  </w:r>
                </w:p>
              </w:tc>
              <w:tc>
                <w:tcPr>
                  <w:tcW w:w="748" w:type="pct"/>
                  <w:tcBorders>
                    <w:tl2br w:val="nil"/>
                    <w:tr2bl w:val="nil"/>
                  </w:tcBorders>
                  <w:vAlign w:val="center"/>
                </w:tcPr>
                <w:p>
                  <w:pPr>
                    <w:jc w:val="center"/>
                    <w:rPr>
                      <w:color w:val="auto"/>
                      <w:szCs w:val="21"/>
                    </w:rPr>
                  </w:pPr>
                  <w:r>
                    <w:rPr>
                      <w:rFonts w:hint="eastAsia"/>
                      <w:color w:val="auto"/>
                      <w:szCs w:val="21"/>
                      <w:lang w:val="en-US" w:eastAsia="zh-CN"/>
                    </w:rPr>
                    <w:t>有组织</w:t>
                  </w:r>
                </w:p>
              </w:tc>
              <w:tc>
                <w:tcPr>
                  <w:tcW w:w="1269" w:type="pct"/>
                  <w:tcBorders>
                    <w:tl2br w:val="nil"/>
                    <w:tr2bl w:val="nil"/>
                  </w:tcBorders>
                  <w:shd w:val="clear" w:color="auto" w:fill="auto"/>
                  <w:vAlign w:val="center"/>
                </w:tcPr>
                <w:p>
                  <w:pPr>
                    <w:jc w:val="center"/>
                    <w:rPr>
                      <w:color w:val="auto"/>
                      <w:szCs w:val="21"/>
                    </w:rPr>
                  </w:pPr>
                  <w:r>
                    <w:rPr>
                      <w:rFonts w:hint="eastAsia"/>
                      <w:color w:val="auto"/>
                      <w:szCs w:val="21"/>
                    </w:rPr>
                    <w:t>VOCs</w:t>
                  </w:r>
                </w:p>
              </w:tc>
              <w:tc>
                <w:tcPr>
                  <w:tcW w:w="1269"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0.54</w:t>
                  </w:r>
                </w:p>
              </w:tc>
              <w:tc>
                <w:tcPr>
                  <w:tcW w:w="965" w:type="pct"/>
                  <w:vMerge w:val="restart"/>
                  <w:tcBorders>
                    <w:tl2br w:val="nil"/>
                    <w:tr2bl w:val="nil"/>
                  </w:tcBorders>
                  <w:shd w:val="clear" w:color="auto" w:fill="auto"/>
                  <w:vAlign w:val="center"/>
                </w:tcPr>
                <w:p>
                  <w:pPr>
                    <w:jc w:val="center"/>
                    <w:rPr>
                      <w:szCs w:val="21"/>
                    </w:rPr>
                  </w:pPr>
                  <w:r>
                    <w:rPr>
                      <w:szCs w:val="21"/>
                    </w:rPr>
                    <w:t>大气环境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gridSpan w:val="2"/>
                  <w:vMerge w:val="continue"/>
                  <w:tcBorders>
                    <w:tl2br w:val="nil"/>
                    <w:tr2bl w:val="nil"/>
                  </w:tcBorders>
                  <w:vAlign w:val="center"/>
                </w:tcPr>
                <w:p>
                  <w:pPr>
                    <w:jc w:val="center"/>
                    <w:rPr>
                      <w:szCs w:val="21"/>
                    </w:rPr>
                  </w:pPr>
                </w:p>
              </w:tc>
              <w:tc>
                <w:tcPr>
                  <w:tcW w:w="748" w:type="pct"/>
                  <w:tcBorders>
                    <w:tl2br w:val="nil"/>
                    <w:tr2bl w:val="nil"/>
                  </w:tcBorders>
                  <w:vAlign w:val="center"/>
                </w:tcPr>
                <w:p>
                  <w:pPr>
                    <w:jc w:val="center"/>
                    <w:rPr>
                      <w:color w:val="auto"/>
                      <w:szCs w:val="21"/>
                    </w:rPr>
                  </w:pPr>
                  <w:r>
                    <w:rPr>
                      <w:rFonts w:hint="eastAsia"/>
                      <w:color w:val="auto"/>
                      <w:szCs w:val="21"/>
                      <w:lang w:eastAsia="zh-CN"/>
                    </w:rPr>
                    <w:t>无组织</w:t>
                  </w:r>
                </w:p>
              </w:tc>
              <w:tc>
                <w:tcPr>
                  <w:tcW w:w="1269" w:type="pct"/>
                  <w:tcBorders>
                    <w:tl2br w:val="nil"/>
                    <w:tr2bl w:val="nil"/>
                  </w:tcBorders>
                  <w:shd w:val="clear" w:color="auto" w:fill="auto"/>
                  <w:vAlign w:val="center"/>
                </w:tcPr>
                <w:p>
                  <w:pPr>
                    <w:jc w:val="center"/>
                    <w:rPr>
                      <w:rFonts w:hint="eastAsia"/>
                      <w:color w:val="auto"/>
                      <w:szCs w:val="21"/>
                    </w:rPr>
                  </w:pPr>
                  <w:r>
                    <w:rPr>
                      <w:rFonts w:hint="eastAsia"/>
                      <w:color w:val="auto"/>
                      <w:szCs w:val="21"/>
                    </w:rPr>
                    <w:t>VOCs</w:t>
                  </w:r>
                </w:p>
              </w:tc>
              <w:tc>
                <w:tcPr>
                  <w:tcW w:w="1269"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0.6</w:t>
                  </w:r>
                </w:p>
              </w:tc>
              <w:tc>
                <w:tcPr>
                  <w:tcW w:w="965" w:type="pct"/>
                  <w:vMerge w:val="continue"/>
                  <w:tcBorders>
                    <w:tl2br w:val="nil"/>
                    <w:tr2bl w:val="nil"/>
                  </w:tcBorders>
                  <w:shd w:val="clear" w:color="auto" w:fill="auto"/>
                  <w:vAlign w:val="center"/>
                </w:tcPr>
                <w:p>
                  <w:pPr>
                    <w:jc w:val="center"/>
                    <w:rPr>
                      <w:szCs w:val="21"/>
                    </w:rPr>
                  </w:pPr>
                </w:p>
              </w:tc>
            </w:tr>
          </w:tbl>
          <w:p>
            <w:pPr>
              <w:spacing w:before="120" w:beforeLines="50" w:line="360" w:lineRule="auto"/>
              <w:rPr>
                <w:rFonts w:hint="eastAsia" w:ascii="Times New Roman" w:hAnsi="Times New Roman" w:eastAsia="宋体" w:cs="Times New Roman"/>
                <w:b/>
                <w:color w:val="auto"/>
                <w:sz w:val="24"/>
                <w:lang w:val="en-US" w:eastAsia="zh-CN"/>
              </w:rPr>
            </w:pPr>
            <w:r>
              <w:rPr>
                <w:rFonts w:hint="eastAsia" w:cs="Times New Roman"/>
                <w:b/>
                <w:color w:val="auto"/>
                <w:sz w:val="24"/>
                <w:lang w:val="en-US" w:eastAsia="zh-CN"/>
              </w:rPr>
              <w:t>3、全厂总量控制指标</w:t>
            </w:r>
          </w:p>
          <w:p>
            <w:pPr>
              <w:widowControl/>
              <w:spacing w:line="360" w:lineRule="auto"/>
              <w:ind w:firstLine="480" w:firstLineChars="200"/>
              <w:jc w:val="left"/>
              <w:rPr>
                <w:rFonts w:hint="default" w:ascii="Times New Roman" w:hAnsi="Times New Roman" w:eastAsia="宋体" w:cs="宋体"/>
                <w:b/>
                <w:bCs/>
                <w:i w:val="0"/>
                <w:color w:val="auto"/>
                <w:kern w:val="2"/>
                <w:sz w:val="21"/>
                <w:szCs w:val="21"/>
                <w:vertAlign w:val="baseline"/>
                <w:lang w:val="en-US" w:eastAsia="zh-CN" w:bidi="ar-SA"/>
              </w:rPr>
            </w:pPr>
            <w:r>
              <w:rPr>
                <w:rFonts w:hint="eastAsia"/>
                <w:color w:val="auto"/>
                <w:sz w:val="24"/>
                <w:szCs w:val="22"/>
                <w:lang w:eastAsia="zh-CN"/>
              </w:rPr>
              <w:t>全厂总量控制指标</w:t>
            </w:r>
            <w:r>
              <w:rPr>
                <w:color w:val="auto"/>
                <w:sz w:val="24"/>
                <w:szCs w:val="22"/>
              </w:rPr>
              <w:t>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
                <w:color w:val="auto"/>
                <w:sz w:val="21"/>
                <w:highlight w:val="none"/>
                <w:lang w:eastAsia="zh-CN"/>
              </w:rPr>
            </w:pPr>
            <w:r>
              <w:rPr>
                <w:rFonts w:hint="default" w:ascii="Times New Roman" w:hAnsi="Times New Roman" w:eastAsia="宋体" w:cs="宋体"/>
                <w:b/>
                <w:bCs/>
                <w:i w:val="0"/>
                <w:color w:val="auto"/>
                <w:kern w:val="2"/>
                <w:sz w:val="21"/>
                <w:szCs w:val="21"/>
                <w:vertAlign w:val="baseline"/>
                <w:lang w:val="en-US" w:eastAsia="zh-CN" w:bidi="ar-SA"/>
              </w:rPr>
              <w:t xml:space="preserve">表3-14   </w:t>
            </w:r>
            <w:r>
              <w:rPr>
                <w:rFonts w:hint="eastAsia" w:ascii="Times New Roman" w:hAnsi="Times New Roman" w:cs="Times New Roman"/>
                <w:b/>
                <w:color w:val="auto"/>
                <w:sz w:val="21"/>
                <w:highlight w:val="none"/>
                <w:lang w:eastAsia="zh-CN"/>
              </w:rPr>
              <w:t>本项目</w:t>
            </w:r>
            <w:r>
              <w:rPr>
                <w:rFonts w:hint="eastAsia" w:ascii="Times New Roman" w:hAnsi="Times New Roman" w:eastAsia="宋体" w:cs="Times New Roman"/>
                <w:b/>
                <w:color w:val="auto"/>
                <w:sz w:val="21"/>
                <w:highlight w:val="none"/>
                <w:lang w:eastAsia="zh-CN"/>
              </w:rPr>
              <w:t>总量控制指标建议</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3"/>
              <w:gridCol w:w="1215"/>
              <w:gridCol w:w="2061"/>
              <w:gridCol w:w="2061"/>
              <w:gridCol w:w="15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495" w:type="pct"/>
                  <w:gridSpan w:val="2"/>
                  <w:tcBorders>
                    <w:tl2br w:val="nil"/>
                    <w:tr2bl w:val="nil"/>
                  </w:tcBorders>
                  <w:vAlign w:val="center"/>
                </w:tcPr>
                <w:p>
                  <w:pPr>
                    <w:pStyle w:val="43"/>
                  </w:pPr>
                  <w:r>
                    <w:rPr>
                      <w:rFonts w:hint="eastAsia"/>
                    </w:rPr>
                    <w:t>类型</w:t>
                  </w:r>
                </w:p>
              </w:tc>
              <w:tc>
                <w:tcPr>
                  <w:tcW w:w="1269" w:type="pct"/>
                  <w:tcBorders>
                    <w:tl2br w:val="nil"/>
                    <w:tr2bl w:val="nil"/>
                  </w:tcBorders>
                  <w:shd w:val="clear" w:color="auto" w:fill="auto"/>
                  <w:vAlign w:val="center"/>
                </w:tcPr>
                <w:p>
                  <w:pPr>
                    <w:pStyle w:val="43"/>
                  </w:pPr>
                  <w:r>
                    <w:t>污染</w:t>
                  </w:r>
                  <w:r>
                    <w:rPr>
                      <w:rFonts w:hint="eastAsia"/>
                    </w:rPr>
                    <w:t>物</w:t>
                  </w:r>
                </w:p>
              </w:tc>
              <w:tc>
                <w:tcPr>
                  <w:tcW w:w="1269" w:type="pct"/>
                  <w:tcBorders>
                    <w:tl2br w:val="nil"/>
                    <w:tr2bl w:val="nil"/>
                  </w:tcBorders>
                  <w:vAlign w:val="center"/>
                </w:tcPr>
                <w:p>
                  <w:pPr>
                    <w:pStyle w:val="43"/>
                  </w:pPr>
                  <w:r>
                    <w:rPr>
                      <w:rFonts w:hint="eastAsia"/>
                    </w:rPr>
                    <w:t>总量控制（</w:t>
                  </w:r>
                  <w:r>
                    <w:t>t/a</w:t>
                  </w:r>
                  <w:r>
                    <w:rPr>
                      <w:rFonts w:hint="eastAsia"/>
                    </w:rPr>
                    <w:t>）</w:t>
                  </w:r>
                </w:p>
              </w:tc>
              <w:tc>
                <w:tcPr>
                  <w:tcW w:w="965" w:type="pct"/>
                  <w:tcBorders>
                    <w:tl2br w:val="nil"/>
                    <w:tr2bl w:val="nil"/>
                  </w:tcBorders>
                  <w:shd w:val="clear" w:color="auto" w:fill="auto"/>
                  <w:vAlign w:val="center"/>
                </w:tcPr>
                <w:p>
                  <w:pPr>
                    <w:pStyle w:val="43"/>
                  </w:pPr>
                  <w: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restart"/>
                  <w:tcBorders>
                    <w:tl2br w:val="nil"/>
                    <w:tr2bl w:val="nil"/>
                  </w:tcBorders>
                  <w:vAlign w:val="center"/>
                </w:tcPr>
                <w:p>
                  <w:pPr>
                    <w:jc w:val="center"/>
                    <w:rPr>
                      <w:szCs w:val="21"/>
                    </w:rPr>
                  </w:pPr>
                  <w:r>
                    <w:rPr>
                      <w:rFonts w:hint="eastAsia"/>
                      <w:szCs w:val="21"/>
                    </w:rPr>
                    <w:t>废水</w:t>
                  </w:r>
                </w:p>
              </w:tc>
              <w:tc>
                <w:tcPr>
                  <w:tcW w:w="748" w:type="pct"/>
                  <w:vMerge w:val="restart"/>
                  <w:tcBorders>
                    <w:tl2br w:val="nil"/>
                    <w:tr2bl w:val="nil"/>
                  </w:tcBorders>
                  <w:shd w:val="clear" w:color="auto" w:fill="auto"/>
                  <w:vAlign w:val="center"/>
                </w:tcPr>
                <w:p>
                  <w:pPr>
                    <w:jc w:val="center"/>
                    <w:rPr>
                      <w:szCs w:val="21"/>
                    </w:rPr>
                  </w:pPr>
                  <w:r>
                    <w:rPr>
                      <w:rFonts w:hint="eastAsia"/>
                      <w:szCs w:val="21"/>
                    </w:rPr>
                    <w:t>企业排口</w:t>
                  </w:r>
                </w:p>
              </w:tc>
              <w:tc>
                <w:tcPr>
                  <w:tcW w:w="1269" w:type="pct"/>
                  <w:tcBorders>
                    <w:tl2br w:val="nil"/>
                    <w:tr2bl w:val="nil"/>
                  </w:tcBorders>
                  <w:shd w:val="clear" w:color="auto" w:fill="auto"/>
                  <w:vAlign w:val="center"/>
                </w:tcPr>
                <w:p>
                  <w:pPr>
                    <w:jc w:val="center"/>
                    <w:rPr>
                      <w:szCs w:val="21"/>
                    </w:rPr>
                  </w:pPr>
                  <w:r>
                    <w:rPr>
                      <w:szCs w:val="21"/>
                    </w:rPr>
                    <w:t>COD</w:t>
                  </w:r>
                </w:p>
              </w:tc>
              <w:tc>
                <w:tcPr>
                  <w:tcW w:w="126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eastAsia="宋体"/>
                      <w:szCs w:val="21"/>
                      <w:lang w:val="en-US" w:eastAsia="zh-CN"/>
                    </w:rPr>
                  </w:pPr>
                  <w:r>
                    <w:rPr>
                      <w:rFonts w:hint="eastAsia" w:cs="Times New Roman"/>
                      <w:bCs/>
                      <w:color w:val="auto"/>
                      <w:kern w:val="2"/>
                      <w:sz w:val="21"/>
                      <w:szCs w:val="21"/>
                      <w:lang w:val="en-US" w:eastAsia="zh-CN" w:bidi="ar-SA"/>
                    </w:rPr>
                    <w:t>0.1795</w:t>
                  </w:r>
                </w:p>
              </w:tc>
              <w:tc>
                <w:tcPr>
                  <w:tcW w:w="965" w:type="pct"/>
                  <w:vMerge w:val="restart"/>
                  <w:tcBorders>
                    <w:tl2br w:val="nil"/>
                    <w:tr2bl w:val="nil"/>
                  </w:tcBorders>
                  <w:shd w:val="clear" w:color="auto" w:fill="auto"/>
                  <w:vAlign w:val="center"/>
                </w:tcPr>
                <w:p>
                  <w:pPr>
                    <w:jc w:val="center"/>
                    <w:rPr>
                      <w:szCs w:val="21"/>
                    </w:rPr>
                  </w:pPr>
                  <w:r>
                    <w:rPr>
                      <w:rFonts w:hint="eastAsia"/>
                      <w:szCs w:val="21"/>
                    </w:rPr>
                    <w:t>巴中经开区污水处理厂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continue"/>
                  <w:tcBorders>
                    <w:tl2br w:val="nil"/>
                    <w:tr2bl w:val="nil"/>
                  </w:tcBorders>
                  <w:vAlign w:val="center"/>
                </w:tcPr>
                <w:p>
                  <w:pPr>
                    <w:jc w:val="center"/>
                    <w:rPr>
                      <w:szCs w:val="21"/>
                    </w:rPr>
                  </w:pPr>
                </w:p>
              </w:tc>
              <w:tc>
                <w:tcPr>
                  <w:tcW w:w="748" w:type="pct"/>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szCs w:val="21"/>
                    </w:rPr>
                  </w:pPr>
                  <w:r>
                    <w:rPr>
                      <w:szCs w:val="21"/>
                    </w:rPr>
                    <w:t>NH</w:t>
                  </w:r>
                  <w:r>
                    <w:rPr>
                      <w:szCs w:val="21"/>
                      <w:vertAlign w:val="subscript"/>
                    </w:rPr>
                    <w:t>3</w:t>
                  </w:r>
                  <w:r>
                    <w:rPr>
                      <w:szCs w:val="21"/>
                    </w:rPr>
                    <w:t>-N</w:t>
                  </w:r>
                </w:p>
              </w:tc>
              <w:tc>
                <w:tcPr>
                  <w:tcW w:w="126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eastAsia="宋体"/>
                      <w:szCs w:val="21"/>
                      <w:lang w:val="en-US" w:eastAsia="zh-CN"/>
                    </w:rPr>
                  </w:pPr>
                  <w:r>
                    <w:rPr>
                      <w:rFonts w:hint="eastAsia" w:cs="Times New Roman"/>
                      <w:bCs/>
                      <w:color w:val="auto"/>
                      <w:kern w:val="2"/>
                      <w:sz w:val="21"/>
                      <w:szCs w:val="21"/>
                      <w:lang w:val="en-US" w:eastAsia="zh-CN" w:bidi="ar-SA"/>
                    </w:rPr>
                    <w:t>0.0167</w:t>
                  </w:r>
                </w:p>
              </w:tc>
              <w:tc>
                <w:tcPr>
                  <w:tcW w:w="96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continue"/>
                  <w:tcBorders>
                    <w:tl2br w:val="nil"/>
                    <w:tr2bl w:val="nil"/>
                  </w:tcBorders>
                  <w:vAlign w:val="center"/>
                </w:tcPr>
                <w:p>
                  <w:pPr>
                    <w:jc w:val="center"/>
                    <w:rPr>
                      <w:szCs w:val="21"/>
                    </w:rPr>
                  </w:pPr>
                </w:p>
              </w:tc>
              <w:tc>
                <w:tcPr>
                  <w:tcW w:w="748" w:type="pct"/>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rFonts w:hint="default" w:eastAsia="宋体"/>
                      <w:szCs w:val="21"/>
                      <w:lang w:val="en-US" w:eastAsia="zh-CN"/>
                    </w:rPr>
                  </w:pPr>
                  <w:r>
                    <w:rPr>
                      <w:rFonts w:hint="eastAsia"/>
                      <w:szCs w:val="21"/>
                      <w:lang w:val="en-US" w:eastAsia="zh-CN"/>
                    </w:rPr>
                    <w:t>TP</w:t>
                  </w:r>
                </w:p>
              </w:tc>
              <w:tc>
                <w:tcPr>
                  <w:tcW w:w="126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szCs w:val="21"/>
                      <w:lang w:val="en-US" w:eastAsia="zh-CN"/>
                    </w:rPr>
                  </w:pPr>
                  <w:r>
                    <w:rPr>
                      <w:rFonts w:hint="eastAsia" w:ascii="Times New Roman" w:hAnsi="Times New Roman" w:eastAsia="宋体" w:cs="Times New Roman"/>
                      <w:bCs/>
                      <w:color w:val="auto"/>
                      <w:kern w:val="2"/>
                      <w:sz w:val="21"/>
                      <w:szCs w:val="21"/>
                      <w:lang w:val="en-US" w:eastAsia="zh-CN" w:bidi="ar-SA"/>
                    </w:rPr>
                    <w:t>0.0</w:t>
                  </w:r>
                  <w:r>
                    <w:rPr>
                      <w:rFonts w:hint="eastAsia" w:cs="Times New Roman"/>
                      <w:bCs/>
                      <w:color w:val="auto"/>
                      <w:kern w:val="2"/>
                      <w:sz w:val="21"/>
                      <w:szCs w:val="21"/>
                      <w:lang w:val="en-US" w:eastAsia="zh-CN" w:bidi="ar-SA"/>
                    </w:rPr>
                    <w:t>023</w:t>
                  </w:r>
                </w:p>
              </w:tc>
              <w:tc>
                <w:tcPr>
                  <w:tcW w:w="96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continue"/>
                  <w:tcBorders>
                    <w:tl2br w:val="nil"/>
                    <w:tr2bl w:val="nil"/>
                  </w:tcBorders>
                  <w:vAlign w:val="center"/>
                </w:tcPr>
                <w:p>
                  <w:pPr>
                    <w:jc w:val="center"/>
                    <w:rPr>
                      <w:szCs w:val="21"/>
                    </w:rPr>
                  </w:pPr>
                </w:p>
              </w:tc>
              <w:tc>
                <w:tcPr>
                  <w:tcW w:w="748" w:type="pct"/>
                  <w:vMerge w:val="restart"/>
                  <w:tcBorders>
                    <w:tl2br w:val="nil"/>
                    <w:tr2bl w:val="nil"/>
                  </w:tcBorders>
                  <w:shd w:val="clear" w:color="auto" w:fill="auto"/>
                  <w:vAlign w:val="center"/>
                </w:tcPr>
                <w:p>
                  <w:pPr>
                    <w:jc w:val="center"/>
                    <w:rPr>
                      <w:szCs w:val="21"/>
                    </w:rPr>
                  </w:pPr>
                  <w:r>
                    <w:rPr>
                      <w:rFonts w:hint="eastAsia"/>
                      <w:szCs w:val="21"/>
                    </w:rPr>
                    <w:t>污水处理厂排口</w:t>
                  </w:r>
                </w:p>
              </w:tc>
              <w:tc>
                <w:tcPr>
                  <w:tcW w:w="1269" w:type="pct"/>
                  <w:tcBorders>
                    <w:tl2br w:val="nil"/>
                    <w:tr2bl w:val="nil"/>
                  </w:tcBorders>
                  <w:shd w:val="clear" w:color="auto" w:fill="auto"/>
                  <w:vAlign w:val="center"/>
                </w:tcPr>
                <w:p>
                  <w:pPr>
                    <w:jc w:val="center"/>
                    <w:rPr>
                      <w:rFonts w:hint="eastAsia" w:ascii="Times New Roman" w:hAnsi="Times New Roman" w:eastAsia="宋体" w:cs="黑体"/>
                      <w:kern w:val="2"/>
                      <w:sz w:val="21"/>
                      <w:szCs w:val="21"/>
                      <w:lang w:val="en-US" w:eastAsia="zh-CN" w:bidi="ar-SA"/>
                    </w:rPr>
                  </w:pPr>
                  <w:r>
                    <w:rPr>
                      <w:szCs w:val="21"/>
                    </w:rPr>
                    <w:t>COD</w:t>
                  </w:r>
                </w:p>
              </w:tc>
              <w:tc>
                <w:tcPr>
                  <w:tcW w:w="2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0.064</w:t>
                  </w:r>
                </w:p>
              </w:tc>
              <w:tc>
                <w:tcPr>
                  <w:tcW w:w="965" w:type="pct"/>
                  <w:vMerge w:val="restart"/>
                  <w:tcBorders>
                    <w:tl2br w:val="nil"/>
                    <w:tr2bl w:val="nil"/>
                  </w:tcBorders>
                  <w:shd w:val="clear" w:color="auto" w:fill="auto"/>
                  <w:vAlign w:val="center"/>
                </w:tcPr>
                <w:p>
                  <w:pPr>
                    <w:jc w:val="center"/>
                    <w:rPr>
                      <w:rFonts w:hint="eastAsia" w:eastAsia="宋体"/>
                      <w:szCs w:val="21"/>
                      <w:lang w:eastAsia="zh-CN"/>
                    </w:rPr>
                  </w:pPr>
                  <w:r>
                    <w:rPr>
                      <w:rFonts w:hint="eastAsia"/>
                      <w:szCs w:val="21"/>
                      <w:lang w:eastAsia="zh-CN"/>
                    </w:rPr>
                    <w:t>巴河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continue"/>
                  <w:tcBorders>
                    <w:tl2br w:val="nil"/>
                    <w:tr2bl w:val="nil"/>
                  </w:tcBorders>
                  <w:vAlign w:val="center"/>
                </w:tcPr>
                <w:p>
                  <w:pPr>
                    <w:jc w:val="center"/>
                    <w:rPr>
                      <w:szCs w:val="21"/>
                    </w:rPr>
                  </w:pPr>
                </w:p>
              </w:tc>
              <w:tc>
                <w:tcPr>
                  <w:tcW w:w="748" w:type="pct"/>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rFonts w:hint="eastAsia" w:ascii="Times New Roman" w:hAnsi="Times New Roman" w:eastAsia="宋体" w:cs="黑体"/>
                      <w:kern w:val="2"/>
                      <w:sz w:val="21"/>
                      <w:szCs w:val="21"/>
                      <w:lang w:val="en-US" w:eastAsia="zh-CN" w:bidi="ar-SA"/>
                    </w:rPr>
                  </w:pPr>
                  <w:r>
                    <w:rPr>
                      <w:szCs w:val="21"/>
                    </w:rPr>
                    <w:t>NH</w:t>
                  </w:r>
                  <w:r>
                    <w:rPr>
                      <w:szCs w:val="21"/>
                      <w:vertAlign w:val="subscript"/>
                    </w:rPr>
                    <w:t>3</w:t>
                  </w:r>
                  <w:r>
                    <w:rPr>
                      <w:szCs w:val="21"/>
                    </w:rPr>
                    <w:t>-N</w:t>
                  </w:r>
                </w:p>
              </w:tc>
              <w:tc>
                <w:tcPr>
                  <w:tcW w:w="2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0.0064</w:t>
                  </w:r>
                </w:p>
              </w:tc>
              <w:tc>
                <w:tcPr>
                  <w:tcW w:w="96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continue"/>
                  <w:tcBorders>
                    <w:tl2br w:val="nil"/>
                    <w:tr2bl w:val="nil"/>
                  </w:tcBorders>
                  <w:vAlign w:val="center"/>
                </w:tcPr>
                <w:p>
                  <w:pPr>
                    <w:jc w:val="center"/>
                    <w:rPr>
                      <w:szCs w:val="21"/>
                    </w:rPr>
                  </w:pPr>
                </w:p>
              </w:tc>
              <w:tc>
                <w:tcPr>
                  <w:tcW w:w="748" w:type="pct"/>
                  <w:vMerge w:val="continue"/>
                  <w:tcBorders>
                    <w:tl2br w:val="nil"/>
                    <w:tr2bl w:val="nil"/>
                  </w:tcBorders>
                  <w:shd w:val="clear" w:color="auto" w:fill="auto"/>
                  <w:vAlign w:val="center"/>
                </w:tcPr>
                <w:p>
                  <w:pPr>
                    <w:jc w:val="center"/>
                    <w:rPr>
                      <w:szCs w:val="21"/>
                    </w:rPr>
                  </w:pPr>
                </w:p>
              </w:tc>
              <w:tc>
                <w:tcPr>
                  <w:tcW w:w="1269" w:type="pct"/>
                  <w:tcBorders>
                    <w:tl2br w:val="nil"/>
                    <w:tr2bl w:val="nil"/>
                  </w:tcBorders>
                  <w:shd w:val="clear" w:color="auto" w:fill="auto"/>
                  <w:vAlign w:val="center"/>
                </w:tcPr>
                <w:p>
                  <w:pPr>
                    <w:jc w:val="center"/>
                    <w:rPr>
                      <w:rFonts w:hint="eastAsia" w:ascii="Times New Roman" w:hAnsi="Times New Roman" w:eastAsia="宋体" w:cs="黑体"/>
                      <w:kern w:val="2"/>
                      <w:sz w:val="21"/>
                      <w:szCs w:val="21"/>
                      <w:lang w:val="en-US" w:eastAsia="zh-CN" w:bidi="ar-SA"/>
                    </w:rPr>
                  </w:pPr>
                  <w:r>
                    <w:rPr>
                      <w:rFonts w:hint="eastAsia"/>
                      <w:szCs w:val="21"/>
                      <w:lang w:val="en-US" w:eastAsia="zh-CN"/>
                    </w:rPr>
                    <w:t>TP</w:t>
                  </w:r>
                </w:p>
              </w:tc>
              <w:tc>
                <w:tcPr>
                  <w:tcW w:w="2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0.0007</w:t>
                  </w:r>
                </w:p>
              </w:tc>
              <w:tc>
                <w:tcPr>
                  <w:tcW w:w="96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restart"/>
                  <w:tcBorders>
                    <w:tl2br w:val="nil"/>
                    <w:tr2bl w:val="nil"/>
                  </w:tcBorders>
                  <w:vAlign w:val="center"/>
                </w:tcPr>
                <w:p>
                  <w:pPr>
                    <w:jc w:val="center"/>
                    <w:rPr>
                      <w:szCs w:val="21"/>
                    </w:rPr>
                  </w:pPr>
                  <w:r>
                    <w:rPr>
                      <w:szCs w:val="21"/>
                    </w:rPr>
                    <w:t>废气</w:t>
                  </w:r>
                </w:p>
              </w:tc>
              <w:tc>
                <w:tcPr>
                  <w:tcW w:w="748" w:type="pct"/>
                  <w:tcBorders>
                    <w:tl2br w:val="nil"/>
                    <w:tr2bl w:val="nil"/>
                  </w:tcBorders>
                  <w:vAlign w:val="center"/>
                </w:tcPr>
                <w:p>
                  <w:pPr>
                    <w:jc w:val="center"/>
                    <w:rPr>
                      <w:color w:val="auto"/>
                      <w:szCs w:val="21"/>
                    </w:rPr>
                  </w:pPr>
                  <w:r>
                    <w:rPr>
                      <w:rFonts w:hint="eastAsia"/>
                      <w:color w:val="auto"/>
                      <w:szCs w:val="21"/>
                      <w:lang w:val="en-US" w:eastAsia="zh-CN"/>
                    </w:rPr>
                    <w:t>有组织</w:t>
                  </w:r>
                </w:p>
              </w:tc>
              <w:tc>
                <w:tcPr>
                  <w:tcW w:w="1269" w:type="pct"/>
                  <w:tcBorders>
                    <w:tl2br w:val="nil"/>
                    <w:tr2bl w:val="nil"/>
                  </w:tcBorders>
                  <w:shd w:val="clear" w:color="auto" w:fill="auto"/>
                  <w:vAlign w:val="center"/>
                </w:tcPr>
                <w:p>
                  <w:pPr>
                    <w:jc w:val="center"/>
                    <w:rPr>
                      <w:color w:val="auto"/>
                      <w:szCs w:val="21"/>
                    </w:rPr>
                  </w:pPr>
                  <w:r>
                    <w:rPr>
                      <w:rFonts w:hint="eastAsia"/>
                      <w:color w:val="auto"/>
                      <w:szCs w:val="21"/>
                    </w:rPr>
                    <w:t>VOCs</w:t>
                  </w:r>
                </w:p>
              </w:tc>
              <w:tc>
                <w:tcPr>
                  <w:tcW w:w="1269" w:type="pct"/>
                  <w:tcBorders>
                    <w:tl2br w:val="nil"/>
                    <w:tr2bl w:val="nil"/>
                  </w:tcBorders>
                  <w:vAlign w:val="center"/>
                </w:tcPr>
                <w:p>
                  <w:pPr>
                    <w:keepNext w:val="0"/>
                    <w:keepLines w:val="0"/>
                    <w:pageBreakBefore w:val="0"/>
                    <w:widowControl/>
                    <w:kinsoku/>
                    <w:wordWrap/>
                    <w:overflowPunct/>
                    <w:topLinePunct w:val="0"/>
                    <w:autoSpaceDE/>
                    <w:autoSpaceDN/>
                    <w:bidi w:val="0"/>
                    <w:jc w:val="center"/>
                    <w:textAlignment w:val="center"/>
                    <w:rPr>
                      <w:rFonts w:hint="default" w:eastAsia="宋体"/>
                      <w:color w:val="auto"/>
                      <w:szCs w:val="21"/>
                      <w:lang w:val="en-US" w:eastAsia="zh-CN"/>
                    </w:rPr>
                  </w:pPr>
                  <w:r>
                    <w:rPr>
                      <w:rFonts w:hint="eastAsia" w:cs="Times New Roman"/>
                      <w:bCs/>
                      <w:color w:val="auto"/>
                      <w:sz w:val="21"/>
                      <w:szCs w:val="21"/>
                      <w:highlight w:val="none"/>
                      <w:lang w:val="en-US" w:eastAsia="zh-CN"/>
                    </w:rPr>
                    <w:t>1.3706</w:t>
                  </w:r>
                </w:p>
              </w:tc>
              <w:tc>
                <w:tcPr>
                  <w:tcW w:w="965" w:type="pct"/>
                  <w:vMerge w:val="restart"/>
                  <w:tcBorders>
                    <w:tl2br w:val="nil"/>
                    <w:tr2bl w:val="nil"/>
                  </w:tcBorders>
                  <w:shd w:val="clear" w:color="auto" w:fill="auto"/>
                  <w:vAlign w:val="center"/>
                </w:tcPr>
                <w:p>
                  <w:pPr>
                    <w:jc w:val="center"/>
                    <w:rPr>
                      <w:szCs w:val="21"/>
                    </w:rPr>
                  </w:pPr>
                  <w:r>
                    <w:rPr>
                      <w:szCs w:val="21"/>
                    </w:rPr>
                    <w:t>大气环境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7" w:type="pct"/>
                  <w:vMerge w:val="continue"/>
                  <w:tcBorders>
                    <w:tl2br w:val="nil"/>
                    <w:tr2bl w:val="nil"/>
                  </w:tcBorders>
                  <w:vAlign w:val="center"/>
                </w:tcPr>
                <w:p>
                  <w:pPr>
                    <w:jc w:val="center"/>
                    <w:rPr>
                      <w:szCs w:val="21"/>
                    </w:rPr>
                  </w:pPr>
                </w:p>
              </w:tc>
              <w:tc>
                <w:tcPr>
                  <w:tcW w:w="748" w:type="pct"/>
                  <w:tcBorders>
                    <w:tl2br w:val="nil"/>
                    <w:tr2bl w:val="nil"/>
                  </w:tcBorders>
                  <w:vAlign w:val="center"/>
                </w:tcPr>
                <w:p>
                  <w:pPr>
                    <w:jc w:val="center"/>
                    <w:rPr>
                      <w:color w:val="auto"/>
                      <w:szCs w:val="21"/>
                    </w:rPr>
                  </w:pPr>
                  <w:r>
                    <w:rPr>
                      <w:rFonts w:hint="eastAsia"/>
                      <w:color w:val="auto"/>
                      <w:szCs w:val="21"/>
                      <w:lang w:eastAsia="zh-CN"/>
                    </w:rPr>
                    <w:t>无组织</w:t>
                  </w:r>
                </w:p>
              </w:tc>
              <w:tc>
                <w:tcPr>
                  <w:tcW w:w="1269" w:type="pct"/>
                  <w:tcBorders>
                    <w:tl2br w:val="nil"/>
                    <w:tr2bl w:val="nil"/>
                  </w:tcBorders>
                  <w:shd w:val="clear" w:color="auto" w:fill="auto"/>
                  <w:vAlign w:val="center"/>
                </w:tcPr>
                <w:p>
                  <w:pPr>
                    <w:jc w:val="center"/>
                    <w:rPr>
                      <w:rFonts w:hint="eastAsia"/>
                      <w:color w:val="auto"/>
                      <w:szCs w:val="21"/>
                    </w:rPr>
                  </w:pPr>
                  <w:r>
                    <w:rPr>
                      <w:rFonts w:hint="eastAsia"/>
                      <w:color w:val="auto"/>
                      <w:szCs w:val="21"/>
                    </w:rPr>
                    <w:t>VOCs</w:t>
                  </w:r>
                </w:p>
              </w:tc>
              <w:tc>
                <w:tcPr>
                  <w:tcW w:w="1269" w:type="pct"/>
                  <w:tcBorders>
                    <w:tl2br w:val="nil"/>
                    <w:tr2bl w:val="nil"/>
                  </w:tcBorders>
                  <w:vAlign w:val="center"/>
                </w:tcPr>
                <w:p>
                  <w:pPr>
                    <w:keepNext w:val="0"/>
                    <w:keepLines w:val="0"/>
                    <w:pageBreakBefore w:val="0"/>
                    <w:widowControl/>
                    <w:kinsoku/>
                    <w:wordWrap/>
                    <w:overflowPunct/>
                    <w:topLinePunct w:val="0"/>
                    <w:autoSpaceDE/>
                    <w:autoSpaceDN/>
                    <w:bidi w:val="0"/>
                    <w:jc w:val="center"/>
                    <w:textAlignment w:val="center"/>
                    <w:rPr>
                      <w:rFonts w:hint="default"/>
                      <w:color w:val="auto"/>
                      <w:szCs w:val="21"/>
                      <w:lang w:val="en-US" w:eastAsia="zh-CN"/>
                    </w:rPr>
                  </w:pPr>
                  <w:r>
                    <w:rPr>
                      <w:rFonts w:hint="eastAsia" w:cs="Times New Roman"/>
                      <w:bCs/>
                      <w:color w:val="auto"/>
                      <w:sz w:val="21"/>
                      <w:szCs w:val="21"/>
                      <w:highlight w:val="none"/>
                      <w:lang w:val="en-US" w:eastAsia="zh-CN"/>
                    </w:rPr>
                    <w:t>1.5228</w:t>
                  </w:r>
                </w:p>
              </w:tc>
              <w:tc>
                <w:tcPr>
                  <w:tcW w:w="965" w:type="pct"/>
                  <w:vMerge w:val="continue"/>
                  <w:tcBorders>
                    <w:tl2br w:val="nil"/>
                    <w:tr2bl w:val="nil"/>
                  </w:tcBorders>
                  <w:shd w:val="clear" w:color="auto" w:fill="auto"/>
                  <w:vAlign w:val="center"/>
                </w:tcPr>
                <w:p>
                  <w:pPr>
                    <w:jc w:val="center"/>
                    <w:rPr>
                      <w:szCs w:val="21"/>
                    </w:rPr>
                  </w:pPr>
                </w:p>
              </w:tc>
            </w:tr>
          </w:tbl>
          <w:p>
            <w:pPr>
              <w:spacing w:before="120" w:beforeLines="50" w:line="360" w:lineRule="auto"/>
              <w:rPr>
                <w:rFonts w:hint="default" w:ascii="Times New Roman" w:hAnsi="Times New Roman" w:cs="Times New Roman"/>
                <w:b/>
                <w:color w:val="auto"/>
                <w:sz w:val="24"/>
              </w:rPr>
            </w:pPr>
            <w:r>
              <w:rPr>
                <w:rFonts w:hint="eastAsia" w:cs="Times New Roman"/>
                <w:b/>
                <w:color w:val="auto"/>
                <w:sz w:val="24"/>
                <w:lang w:val="en-US" w:eastAsia="zh-CN"/>
              </w:rPr>
              <w:t>4</w:t>
            </w:r>
            <w:r>
              <w:rPr>
                <w:rFonts w:hint="default" w:ascii="Times New Roman" w:hAnsi="Times New Roman" w:cs="Times New Roman"/>
                <w:b/>
                <w:color w:val="auto"/>
                <w:sz w:val="24"/>
              </w:rPr>
              <w:t>、</w:t>
            </w:r>
            <w:r>
              <w:rPr>
                <w:rFonts w:hint="eastAsia"/>
                <w:b/>
                <w:color w:val="auto"/>
                <w:sz w:val="24"/>
              </w:rPr>
              <w:t>项目“三本账”</w:t>
            </w:r>
          </w:p>
          <w:p>
            <w:pPr>
              <w:widowControl/>
              <w:spacing w:line="360" w:lineRule="auto"/>
              <w:ind w:firstLine="480" w:firstLineChars="200"/>
              <w:jc w:val="left"/>
              <w:rPr>
                <w:color w:val="auto"/>
                <w:sz w:val="24"/>
                <w:szCs w:val="22"/>
              </w:rPr>
            </w:pPr>
            <w:r>
              <w:rPr>
                <w:color w:val="auto"/>
                <w:sz w:val="24"/>
                <w:szCs w:val="22"/>
              </w:rPr>
              <w:t>本项目“三本账”见下表：</w:t>
            </w:r>
          </w:p>
          <w:p>
            <w:pPr>
              <w:widowControl/>
              <w:spacing w:before="120" w:beforeLines="50"/>
              <w:contextualSpacing/>
              <w:jc w:val="center"/>
              <w:rPr>
                <w:b/>
                <w:bCs/>
                <w:color w:val="auto"/>
                <w:szCs w:val="21"/>
              </w:rPr>
            </w:pPr>
            <w:r>
              <w:rPr>
                <w:b/>
                <w:bCs/>
                <w:color w:val="auto"/>
                <w:szCs w:val="21"/>
              </w:rPr>
              <w:t>表</w:t>
            </w:r>
            <w:r>
              <w:rPr>
                <w:rFonts w:hint="eastAsia"/>
                <w:b/>
                <w:bCs/>
                <w:color w:val="auto"/>
                <w:szCs w:val="21"/>
                <w:lang w:val="en-US" w:eastAsia="zh-CN"/>
              </w:rPr>
              <w:t xml:space="preserve">3-15  </w:t>
            </w:r>
            <w:r>
              <w:rPr>
                <w:b/>
                <w:bCs/>
                <w:color w:val="auto"/>
                <w:szCs w:val="21"/>
              </w:rPr>
              <w:t>本项目</w:t>
            </w:r>
            <w:r>
              <w:rPr>
                <w:rFonts w:hint="eastAsia"/>
                <w:b/>
                <w:bCs/>
                <w:color w:val="auto"/>
                <w:szCs w:val="21"/>
                <w:lang w:eastAsia="zh-CN"/>
              </w:rPr>
              <w:t>技改后</w:t>
            </w:r>
            <w:r>
              <w:rPr>
                <w:b/>
                <w:bCs/>
                <w:color w:val="auto"/>
                <w:szCs w:val="21"/>
              </w:rPr>
              <w:t>全厂污染物“三本账”</w:t>
            </w:r>
          </w:p>
          <w:tbl>
            <w:tblPr>
              <w:tblStyle w:val="24"/>
              <w:tblW w:w="8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742"/>
              <w:gridCol w:w="1048"/>
              <w:gridCol w:w="1125"/>
              <w:gridCol w:w="1028"/>
              <w:gridCol w:w="1080"/>
              <w:gridCol w:w="1216"/>
              <w:gridCol w:w="1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2" w:type="dxa"/>
                  <w:gridSpan w:val="3"/>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125" w:type="dxa"/>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现有工程（t/a）</w:t>
                  </w:r>
                </w:p>
              </w:tc>
              <w:tc>
                <w:tcPr>
                  <w:tcW w:w="1028" w:type="dxa"/>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本工程（t/a）</w:t>
                  </w:r>
                </w:p>
              </w:tc>
              <w:tc>
                <w:tcPr>
                  <w:tcW w:w="1080" w:type="dxa"/>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cs="Times New Roman"/>
                      <w:b/>
                      <w:bCs/>
                      <w:color w:val="auto"/>
                      <w:szCs w:val="21"/>
                    </w:rPr>
                  </w:pPr>
                  <w:r>
                    <w:rPr>
                      <w:rFonts w:hint="eastAsia" w:cs="Times New Roman"/>
                      <w:b/>
                      <w:bCs/>
                      <w:color w:val="auto"/>
                      <w:szCs w:val="21"/>
                      <w:lang w:eastAsia="zh-CN"/>
                    </w:rPr>
                    <w:t>以新带老</w:t>
                  </w:r>
                  <w:r>
                    <w:rPr>
                      <w:rFonts w:hint="default" w:ascii="Times New Roman" w:hAnsi="Times New Roman" w:cs="Times New Roman"/>
                      <w:b/>
                      <w:bCs/>
                      <w:color w:val="auto"/>
                      <w:szCs w:val="21"/>
                    </w:rPr>
                    <w:t>削减量（t/a）</w:t>
                  </w:r>
                </w:p>
              </w:tc>
              <w:tc>
                <w:tcPr>
                  <w:tcW w:w="1216" w:type="dxa"/>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全厂（t/a）</w:t>
                  </w:r>
                </w:p>
              </w:tc>
              <w:tc>
                <w:tcPr>
                  <w:tcW w:w="1296" w:type="dxa"/>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增减量（t/a）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废气</w:t>
                  </w:r>
                </w:p>
              </w:tc>
              <w:tc>
                <w:tcPr>
                  <w:tcW w:w="74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VOCs</w:t>
                  </w:r>
                </w:p>
              </w:tc>
              <w:tc>
                <w:tcPr>
                  <w:tcW w:w="10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有组织</w:t>
                  </w:r>
                </w:p>
              </w:tc>
              <w:tc>
                <w:tcPr>
                  <w:tcW w:w="1125"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1028" w:type="dxa"/>
                  <w:tcBorders>
                    <w:tl2br w:val="nil"/>
                    <w:tr2bl w:val="nil"/>
                  </w:tcBorders>
                  <w:noWrap w:val="0"/>
                  <w:vAlign w:val="center"/>
                </w:tcPr>
                <w:p>
                  <w:pPr>
                    <w:pStyle w:val="2"/>
                    <w:keepNext w:val="0"/>
                    <w:keepLines w:val="0"/>
                    <w:pageBreakBefore w:val="0"/>
                    <w:tabs>
                      <w:tab w:val="left" w:pos="3300"/>
                    </w:tabs>
                    <w:kinsoku/>
                    <w:wordWrap/>
                    <w:overflowPunct/>
                    <w:topLinePunct w:val="0"/>
                    <w:autoSpaceDE/>
                    <w:autoSpaceDN/>
                    <w:bidi w:val="0"/>
                    <w:spacing w:after="0"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0.54</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+0.8306</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bCs/>
                      <w:color w:val="auto"/>
                      <w:sz w:val="21"/>
                      <w:szCs w:val="21"/>
                      <w:highlight w:val="none"/>
                      <w:lang w:val="en-US" w:eastAsia="zh-CN"/>
                    </w:rPr>
                    <w:t>1.3706</w:t>
                  </w:r>
                </w:p>
              </w:tc>
              <w:tc>
                <w:tcPr>
                  <w:tcW w:w="1296" w:type="dxa"/>
                  <w:tcBorders>
                    <w:tl2br w:val="nil"/>
                    <w:tr2bl w:val="nil"/>
                  </w:tcBorders>
                  <w:noWrap w:val="0"/>
                  <w:vAlign w:val="center"/>
                </w:tcPr>
                <w:p>
                  <w:pPr>
                    <w:pStyle w:val="2"/>
                    <w:keepNext w:val="0"/>
                    <w:keepLines w:val="0"/>
                    <w:pageBreakBefore w:val="0"/>
                    <w:tabs>
                      <w:tab w:val="left" w:pos="3300"/>
                    </w:tabs>
                    <w:kinsoku/>
                    <w:wordWrap/>
                    <w:overflowPunct/>
                    <w:topLinePunct w:val="0"/>
                    <w:autoSpaceDE/>
                    <w:autoSpaceDN/>
                    <w:bidi w:val="0"/>
                    <w:spacing w:after="0"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1.3706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cs="Times New Roman"/>
                      <w:color w:val="auto"/>
                      <w:szCs w:val="21"/>
                      <w:lang w:eastAsia="zh-CN"/>
                    </w:rPr>
                  </w:pPr>
                </w:p>
              </w:tc>
              <w:tc>
                <w:tcPr>
                  <w:tcW w:w="74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p>
              </w:tc>
              <w:tc>
                <w:tcPr>
                  <w:tcW w:w="10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无组织</w:t>
                  </w:r>
                </w:p>
              </w:tc>
              <w:tc>
                <w:tcPr>
                  <w:tcW w:w="1125"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cs="Times New Roman"/>
                      <w:color w:val="auto"/>
                      <w:szCs w:val="21"/>
                      <w:lang w:val="en-US" w:eastAsia="zh-CN"/>
                    </w:rPr>
                  </w:pPr>
                  <w:r>
                    <w:rPr>
                      <w:rFonts w:hint="eastAsia" w:cs="Times New Roman"/>
                      <w:color w:val="auto"/>
                      <w:szCs w:val="21"/>
                      <w:lang w:val="en-US" w:eastAsia="zh-CN"/>
                    </w:rPr>
                    <w:t>9.2284</w:t>
                  </w:r>
                </w:p>
              </w:tc>
              <w:tc>
                <w:tcPr>
                  <w:tcW w:w="1028" w:type="dxa"/>
                  <w:tcBorders>
                    <w:tl2br w:val="nil"/>
                    <w:tr2bl w:val="nil"/>
                  </w:tcBorders>
                  <w:noWrap w:val="0"/>
                  <w:vAlign w:val="center"/>
                </w:tcPr>
                <w:p>
                  <w:pPr>
                    <w:pStyle w:val="2"/>
                    <w:keepNext w:val="0"/>
                    <w:keepLines w:val="0"/>
                    <w:pageBreakBefore w:val="0"/>
                    <w:tabs>
                      <w:tab w:val="left" w:pos="3300"/>
                    </w:tabs>
                    <w:kinsoku/>
                    <w:wordWrap/>
                    <w:overflowPunct/>
                    <w:topLinePunct w:val="0"/>
                    <w:autoSpaceDE/>
                    <w:autoSpaceDN/>
                    <w:bidi w:val="0"/>
                    <w:spacing w:after="0" w:line="240" w:lineRule="auto"/>
                    <w:ind w:left="0" w:leftChars="0"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0.6</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-8.3056</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lang w:val="en-US" w:eastAsia="zh-CN"/>
                    </w:rPr>
                  </w:pPr>
                  <w:r>
                    <w:rPr>
                      <w:rFonts w:hint="eastAsia"/>
                      <w:lang w:val="en-US" w:eastAsia="zh-CN"/>
                    </w:rPr>
                    <w:t>1.5228</w:t>
                  </w:r>
                </w:p>
              </w:tc>
              <w:tc>
                <w:tcPr>
                  <w:tcW w:w="1296" w:type="dxa"/>
                  <w:tcBorders>
                    <w:tl2br w:val="nil"/>
                    <w:tr2bl w:val="nil"/>
                  </w:tcBorders>
                  <w:noWrap w:val="0"/>
                  <w:vAlign w:val="center"/>
                </w:tcPr>
                <w:p>
                  <w:pPr>
                    <w:pStyle w:val="2"/>
                    <w:keepNext w:val="0"/>
                    <w:keepLines w:val="0"/>
                    <w:pageBreakBefore w:val="0"/>
                    <w:tabs>
                      <w:tab w:val="left" w:pos="3300"/>
                    </w:tabs>
                    <w:kinsoku/>
                    <w:wordWrap/>
                    <w:overflowPunct/>
                    <w:topLinePunct w:val="0"/>
                    <w:autoSpaceDE/>
                    <w:autoSpaceDN/>
                    <w:bidi w:val="0"/>
                    <w:spacing w:after="0"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-7.7056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79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125"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0.034</w:t>
                  </w:r>
                </w:p>
              </w:tc>
              <w:tc>
                <w:tcPr>
                  <w:tcW w:w="1028"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yellow"/>
                      <w:lang w:val="en-US" w:eastAsia="zh-CN" w:bidi="ar-SA"/>
                    </w:rPr>
                  </w:pPr>
                  <w:r>
                    <w:rPr>
                      <w:rFonts w:hint="eastAsia"/>
                      <w:color w:val="auto"/>
                      <w:szCs w:val="21"/>
                      <w:lang w:val="en-US" w:eastAsia="zh-CN"/>
                    </w:rPr>
                    <w:t>0.1455</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0.1795</w:t>
                  </w:r>
                </w:p>
              </w:tc>
              <w:tc>
                <w:tcPr>
                  <w:tcW w:w="1296"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color w:val="auto"/>
                      <w:szCs w:val="21"/>
                      <w:lang w:val="en-US" w:eastAsia="zh-CN"/>
                    </w:rPr>
                    <w:t>+0.1455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p>
              </w:tc>
              <w:tc>
                <w:tcPr>
                  <w:tcW w:w="179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125"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0.0036</w:t>
                  </w:r>
                </w:p>
              </w:tc>
              <w:tc>
                <w:tcPr>
                  <w:tcW w:w="1028"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yellow"/>
                      <w:lang w:val="en-US" w:eastAsia="zh-CN" w:bidi="ar-SA"/>
                    </w:rPr>
                  </w:pPr>
                  <w:r>
                    <w:rPr>
                      <w:rFonts w:hint="eastAsia"/>
                      <w:color w:val="auto"/>
                      <w:szCs w:val="21"/>
                      <w:lang w:val="en-US" w:eastAsia="zh-CN"/>
                    </w:rPr>
                    <w:t>0.0131</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0.0167</w:t>
                  </w:r>
                </w:p>
              </w:tc>
              <w:tc>
                <w:tcPr>
                  <w:tcW w:w="1296"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color w:val="auto"/>
                      <w:szCs w:val="21"/>
                      <w:lang w:val="en-US" w:eastAsia="zh-CN"/>
                    </w:rPr>
                    <w:t>+0.0131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p>
              </w:tc>
              <w:tc>
                <w:tcPr>
                  <w:tcW w:w="179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1125"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1028"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yellow"/>
                      <w:lang w:val="en-US" w:eastAsia="zh-CN" w:bidi="ar-SA"/>
                    </w:rPr>
                  </w:pPr>
                  <w:r>
                    <w:rPr>
                      <w:rFonts w:hint="eastAsia"/>
                      <w:color w:val="auto"/>
                      <w:szCs w:val="21"/>
                      <w:lang w:val="en-US" w:eastAsia="zh-CN"/>
                    </w:rPr>
                    <w:t>0.0023</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w:t>
                  </w:r>
                  <w:r>
                    <w:rPr>
                      <w:rFonts w:hint="eastAsia" w:cs="Times New Roman"/>
                      <w:bCs/>
                      <w:color w:val="auto"/>
                      <w:kern w:val="2"/>
                      <w:sz w:val="21"/>
                      <w:szCs w:val="21"/>
                      <w:lang w:val="en-US" w:eastAsia="zh-CN" w:bidi="ar-SA"/>
                    </w:rPr>
                    <w:t>023</w:t>
                  </w:r>
                </w:p>
              </w:tc>
              <w:tc>
                <w:tcPr>
                  <w:tcW w:w="1296"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color w:val="auto"/>
                      <w:szCs w:val="21"/>
                      <w:lang w:val="en-US" w:eastAsia="zh-CN"/>
                    </w:rPr>
                    <w:t>+0.0023</w:t>
                  </w:r>
                </w:p>
              </w:tc>
            </w:tr>
          </w:tbl>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widowControl/>
              <w:spacing w:before="120" w:beforeLines="50"/>
              <w:contextualSpacing/>
              <w:jc w:val="center"/>
              <w:rPr>
                <w:b/>
                <w:bCs/>
                <w:color w:val="auto"/>
                <w:szCs w:val="21"/>
              </w:rPr>
            </w:pPr>
          </w:p>
          <w:p>
            <w:pPr>
              <w:spacing w:line="360" w:lineRule="auto"/>
              <w:rPr>
                <w:rFonts w:hint="eastAsia" w:eastAsia="宋体" w:cs="Times New Roman"/>
                <w:sz w:val="24"/>
                <w:szCs w:val="24"/>
                <w:highlight w:val="yellow"/>
                <w:lang w:eastAsia="zh-CN"/>
              </w:rPr>
            </w:pPr>
          </w:p>
        </w:tc>
      </w:tr>
    </w:tbl>
    <w:p>
      <w:pPr>
        <w:spacing w:line="360" w:lineRule="auto"/>
        <w:rPr>
          <w:rFonts w:cs="Times New Roman"/>
          <w:b/>
          <w:sz w:val="28"/>
          <w:szCs w:val="24"/>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0"/>
        <w:jc w:val="center"/>
        <w:rPr>
          <w:rFonts w:ascii="黑体" w:hAnsi="黑体" w:eastAsia="黑体"/>
          <w:b w:val="0"/>
          <w:sz w:val="30"/>
          <w:szCs w:val="30"/>
        </w:rPr>
      </w:pPr>
      <w:bookmarkStart w:id="7" w:name="_Toc127864089"/>
      <w:r>
        <w:rPr>
          <w:rFonts w:hint="eastAsia" w:ascii="黑体" w:hAnsi="黑体" w:eastAsia="黑体"/>
          <w:b w:val="0"/>
          <w:sz w:val="30"/>
          <w:szCs w:val="30"/>
        </w:rPr>
        <w:t>四、主要环境影响和保护措施</w:t>
      </w:r>
      <w:bookmarkEnd w:id="7"/>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1" w:type="pct"/>
            <w:vAlign w:val="center"/>
          </w:tcPr>
          <w:p>
            <w:pPr>
              <w:spacing w:line="360" w:lineRule="auto"/>
              <w:jc w:val="center"/>
              <w:rPr>
                <w:rFonts w:cs="Times New Roman"/>
                <w:sz w:val="24"/>
                <w:szCs w:val="24"/>
              </w:rPr>
            </w:pPr>
            <w:r>
              <w:rPr>
                <w:rFonts w:hint="eastAsia" w:cs="Times New Roman"/>
                <w:sz w:val="24"/>
                <w:szCs w:val="24"/>
              </w:rPr>
              <w:t>施工期环境保护措施</w:t>
            </w:r>
          </w:p>
        </w:tc>
        <w:tc>
          <w:tcPr>
            <w:tcW w:w="4598" w:type="pct"/>
            <w:vAlign w:val="center"/>
          </w:tcPr>
          <w:p>
            <w:pPr>
              <w:spacing w:line="360" w:lineRule="auto"/>
              <w:ind w:firstLine="482" w:firstLineChars="200"/>
              <w:rPr>
                <w:b/>
                <w:sz w:val="24"/>
                <w:szCs w:val="24"/>
              </w:rPr>
            </w:pPr>
            <w:r>
              <w:rPr>
                <w:rFonts w:hint="eastAsia"/>
                <w:b/>
                <w:sz w:val="24"/>
                <w:szCs w:val="24"/>
              </w:rPr>
              <w:t>1、废气</w:t>
            </w:r>
          </w:p>
          <w:p>
            <w:pPr>
              <w:spacing w:line="360" w:lineRule="auto"/>
              <w:ind w:firstLine="482" w:firstLineChars="200"/>
              <w:rPr>
                <w:b/>
                <w:sz w:val="24"/>
                <w:szCs w:val="24"/>
              </w:rPr>
            </w:pPr>
            <w:r>
              <w:rPr>
                <w:rFonts w:hint="eastAsia"/>
                <w:b/>
                <w:sz w:val="24"/>
                <w:szCs w:val="24"/>
              </w:rPr>
              <w:t>（1）施工扬尘</w:t>
            </w:r>
          </w:p>
          <w:p>
            <w:pPr>
              <w:spacing w:line="360" w:lineRule="auto"/>
              <w:ind w:firstLine="480" w:firstLineChars="200"/>
              <w:rPr>
                <w:sz w:val="24"/>
                <w:szCs w:val="24"/>
              </w:rPr>
            </w:pPr>
            <w:r>
              <w:rPr>
                <w:rFonts w:hint="eastAsia"/>
                <w:sz w:val="24"/>
                <w:szCs w:val="24"/>
              </w:rPr>
              <w:t>在施工阶段，施工扬尘主要来源于土地平整、开挖、回填、建材运输、装卸等过程，施工场地是典型的无组织扬尘排放源，具有很高的排放潜势，可以在短时内严重影响当地的空气质量。除了排放潜势高以外，施工扬尘的最大特点是多变性，几乎突出体现了无组织排放的所有特点，是最难以把控的无组织扬尘，污染呈现时空多变、形式多元等复杂特征，监测、评价和管理都比较困难。经类比分析，施工场地扬尘浓度一般约为3.5mg/m</w:t>
            </w:r>
            <w:r>
              <w:rPr>
                <w:rFonts w:hint="eastAsia"/>
                <w:sz w:val="24"/>
                <w:szCs w:val="24"/>
                <w:vertAlign w:val="superscript"/>
              </w:rPr>
              <w:t>3</w:t>
            </w:r>
            <w:r>
              <w:rPr>
                <w:rFonts w:hint="eastAsia"/>
                <w:sz w:val="24"/>
                <w:szCs w:val="24"/>
              </w:rPr>
              <w:t>，会对周围环境产生一定影响。</w:t>
            </w:r>
          </w:p>
          <w:p>
            <w:pPr>
              <w:spacing w:line="360" w:lineRule="auto"/>
              <w:ind w:firstLine="480" w:firstLineChars="200"/>
              <w:rPr>
                <w:rFonts w:cs="Times New Roman"/>
                <w:sz w:val="24"/>
                <w:szCs w:val="24"/>
              </w:rPr>
            </w:pPr>
            <w:r>
              <w:rPr>
                <w:rFonts w:hint="eastAsia"/>
                <w:sz w:val="24"/>
                <w:szCs w:val="24"/>
              </w:rPr>
              <w:t>为减轻施工期扬尘对大气环境的影响，根据《住房和城乡建设部办公厅关于进一步加强施工工地和道路扬尘管控工作的通知》（建办质〔2019〕23号）、《四川省建筑工程扬尘污染防治技术导则（试行）》（川建发〔2019〕16号）和《巴中市扬尘污染防治条例》等有关规定</w:t>
            </w:r>
            <w:r>
              <w:rPr>
                <w:rFonts w:cs="Times New Roman"/>
                <w:sz w:val="24"/>
                <w:szCs w:val="24"/>
              </w:rPr>
              <w:t>，施工现场应采取以下扬尘污染防治措施：</w:t>
            </w:r>
          </w:p>
          <w:p>
            <w:pPr>
              <w:spacing w:line="360" w:lineRule="auto"/>
              <w:ind w:firstLine="480"/>
              <w:rPr>
                <w:rFonts w:cs="Times New Roman"/>
                <w:sz w:val="24"/>
                <w:szCs w:val="24"/>
              </w:rPr>
            </w:pPr>
            <w:r>
              <w:rPr>
                <w:rFonts w:hint="eastAsia" w:ascii="宋体" w:hAnsi="宋体" w:cs="宋体"/>
                <w:sz w:val="24"/>
                <w:szCs w:val="24"/>
              </w:rPr>
              <w:t>①</w:t>
            </w:r>
            <w:r>
              <w:rPr>
                <w:rFonts w:hint="eastAsia"/>
                <w:sz w:val="24"/>
                <w:szCs w:val="24"/>
              </w:rPr>
              <w:t>施工现场应实行封闭管理，并应采用硬质围挡，围挡高度不应低于2.5m。围挡顶端必须设置喷雾装置，朝向施工现场，喷雾设施间距不应大于5m；围挡底部应当密封，不得有泥浆外漏</w:t>
            </w:r>
            <w:r>
              <w:rPr>
                <w:rFonts w:cs="Times New Roman"/>
                <w:sz w:val="24"/>
                <w:szCs w:val="24"/>
              </w:rPr>
              <w:t>。</w:t>
            </w:r>
          </w:p>
          <w:p>
            <w:pPr>
              <w:spacing w:line="360" w:lineRule="auto"/>
              <w:ind w:firstLine="480" w:firstLineChars="200"/>
              <w:rPr>
                <w:rFonts w:cs="Times New Roman"/>
                <w:sz w:val="24"/>
                <w:szCs w:val="24"/>
              </w:rPr>
            </w:pPr>
            <w:r>
              <w:rPr>
                <w:rFonts w:hint="eastAsia" w:cs="Times New Roman"/>
                <w:sz w:val="24"/>
                <w:szCs w:val="24"/>
              </w:rPr>
              <w:t>②</w:t>
            </w:r>
            <w:r>
              <w:rPr>
                <w:rFonts w:hint="eastAsia"/>
                <w:sz w:val="24"/>
                <w:szCs w:val="24"/>
              </w:rPr>
              <w:t>施工现场出入口、主要道路（主要材料通道，不含场内中转、土方平场转运临时通道）、材料堆场、加工区、仓库等生产区域应进行地面硬化。车辆出入口应设置车辆冲洗设施，包括冲洗平台、冲洗设备（不具备设置自动冲洗设施的工地出入口，应配备高压水枪的人工冲洗设施）、挡水带、排水沟、三级沉淀池。施工现场设专人负责保洁，对施工现场路面进行冲洗降尘，严禁车辆带泥出场</w:t>
            </w:r>
            <w:r>
              <w:rPr>
                <w:rFonts w:cs="Times New Roman"/>
                <w:sz w:val="24"/>
                <w:szCs w:val="24"/>
              </w:rPr>
              <w:t>。</w:t>
            </w:r>
          </w:p>
          <w:p>
            <w:pPr>
              <w:spacing w:line="360" w:lineRule="auto"/>
              <w:ind w:firstLine="480" w:firstLineChars="200"/>
              <w:rPr>
                <w:sz w:val="24"/>
                <w:szCs w:val="24"/>
              </w:rPr>
            </w:pPr>
            <w:r>
              <w:rPr>
                <w:rFonts w:hint="eastAsia"/>
                <w:sz w:val="24"/>
                <w:szCs w:val="24"/>
              </w:rPr>
              <w:t>③施工现场裸土及施工期易起尘物料均应使用防尘网进行覆盖，覆盖要封闭严密、连接牢固；必须使用商品混凝土，施工现场禁止设置搅拌站。</w:t>
            </w:r>
          </w:p>
          <w:p>
            <w:pPr>
              <w:spacing w:line="360" w:lineRule="auto"/>
              <w:ind w:firstLine="480" w:firstLineChars="200"/>
              <w:rPr>
                <w:rFonts w:cs="Times New Roman"/>
                <w:sz w:val="24"/>
                <w:szCs w:val="24"/>
              </w:rPr>
            </w:pPr>
            <w:r>
              <w:rPr>
                <w:rFonts w:hint="eastAsia" w:ascii="宋体" w:hAnsi="宋体" w:cs="宋体"/>
                <w:sz w:val="24"/>
                <w:szCs w:val="24"/>
              </w:rPr>
              <w:t>④</w:t>
            </w:r>
            <w:r>
              <w:rPr>
                <w:rFonts w:cs="Times New Roman"/>
                <w:sz w:val="24"/>
                <w:szCs w:val="24"/>
              </w:rPr>
              <w:t>施工期易产生扬尘的钻孔、拆除作业，建渣清运等易产生扬尘的施工作业时，</w:t>
            </w:r>
            <w:r>
              <w:rPr>
                <w:rFonts w:hint="eastAsia" w:cs="Times New Roman"/>
                <w:sz w:val="24"/>
                <w:szCs w:val="24"/>
              </w:rPr>
              <w:t>应采取喷淋、喷雾等湿法降尘措施，对于固定喷淋装置无法覆盖的区域和应设置移动式雾炮进行降尘</w:t>
            </w:r>
            <w:r>
              <w:rPr>
                <w:rFonts w:cs="Times New Roman"/>
                <w:sz w:val="24"/>
                <w:szCs w:val="24"/>
              </w:rPr>
              <w:t>。</w:t>
            </w:r>
          </w:p>
          <w:p>
            <w:pPr>
              <w:spacing w:line="360" w:lineRule="auto"/>
              <w:ind w:firstLine="480" w:firstLineChars="200"/>
              <w:rPr>
                <w:sz w:val="24"/>
                <w:szCs w:val="24"/>
              </w:rPr>
            </w:pPr>
            <w:r>
              <w:rPr>
                <w:rFonts w:hint="eastAsia"/>
                <w:sz w:val="24"/>
                <w:szCs w:val="24"/>
              </w:rPr>
              <w:t>⑤施工单位应当建立运输扬尘污染防治管理制度和相关措施，加强对渣土运输车辆、人员管理；运输车辆必须采取覆盖措施，采用密闭式运输车辆，装载不得冒出车辆栏板，防止道路遗撒。</w:t>
            </w:r>
          </w:p>
          <w:p>
            <w:pPr>
              <w:spacing w:line="360" w:lineRule="auto"/>
              <w:ind w:firstLine="480" w:firstLineChars="200"/>
              <w:rPr>
                <w:sz w:val="24"/>
                <w:szCs w:val="24"/>
              </w:rPr>
            </w:pPr>
            <w:r>
              <w:rPr>
                <w:rFonts w:hint="eastAsia"/>
                <w:sz w:val="24"/>
                <w:szCs w:val="24"/>
              </w:rPr>
              <w:t>⑥风速大于4m/s时应停止施工；遇重污染天气，施工单位应按照《巴中市重污染天气应急预案（2020年修订）》及修改单的要求，落实各级预警下应当采取的应急减排措施。</w:t>
            </w:r>
          </w:p>
          <w:p>
            <w:pPr>
              <w:spacing w:line="360" w:lineRule="auto"/>
              <w:ind w:firstLine="480" w:firstLineChars="200"/>
              <w:rPr>
                <w:b w:val="0"/>
                <w:bCs/>
                <w:sz w:val="24"/>
                <w:szCs w:val="24"/>
              </w:rPr>
            </w:pPr>
            <w:r>
              <w:rPr>
                <w:rFonts w:hint="eastAsia"/>
                <w:b w:val="0"/>
                <w:bCs/>
                <w:sz w:val="24"/>
                <w:szCs w:val="24"/>
              </w:rPr>
              <w:t>同时，施工单位必须全面落实建筑工地“六必须、六不准”要求，即：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等扬尘污染防治规定。此外，施工单位还应按照《四川省建筑工程扬尘污染防治技术导则（试行）》（川建发〔2019〕16号）中规定，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）施工机械废气</w:t>
            </w:r>
          </w:p>
          <w:p>
            <w:pPr>
              <w:spacing w:line="360" w:lineRule="auto"/>
              <w:ind w:firstLine="480" w:firstLineChars="200"/>
              <w:rPr>
                <w:sz w:val="24"/>
                <w:szCs w:val="24"/>
              </w:rPr>
            </w:pPr>
            <w:r>
              <w:rPr>
                <w:rFonts w:hint="eastAsia"/>
                <w:sz w:val="24"/>
                <w:szCs w:val="24"/>
              </w:rPr>
              <w:t>本项目施工设备和建筑机械设备的运转，会排放一定量的CO、NO</w:t>
            </w:r>
            <w:r>
              <w:rPr>
                <w:rFonts w:hint="eastAsia"/>
                <w:sz w:val="24"/>
                <w:szCs w:val="24"/>
                <w:vertAlign w:val="subscript"/>
              </w:rPr>
              <w:t>x</w:t>
            </w:r>
            <w:r>
              <w:rPr>
                <w:rFonts w:hint="eastAsia"/>
                <w:sz w:val="24"/>
                <w:szCs w:val="24"/>
              </w:rPr>
              <w:t>以及未完全燃烧的THC等，由于其属间断性无组织排放，特点是排放量小，加之施工现场开阔，扩散条件良好，对其不加处理也可达到相应的排放标准。环评要求：建设单位应禁止使用高排放非道路移动机械，制定施工现场非道路移动机械管理制度，加强施工设备维护，采用低污染的燃料，减少废气排放。</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）装修废气</w:t>
            </w:r>
          </w:p>
          <w:p>
            <w:pPr>
              <w:spacing w:line="360" w:lineRule="auto"/>
              <w:ind w:firstLine="480" w:firstLineChars="200"/>
              <w:rPr>
                <w:sz w:val="24"/>
                <w:szCs w:val="24"/>
              </w:rPr>
            </w:pPr>
            <w:r>
              <w:rPr>
                <w:rFonts w:hint="eastAsia"/>
                <w:sz w:val="24"/>
                <w:szCs w:val="24"/>
              </w:rPr>
              <w:t>装修过程中主要污染因子是涂料挥发废气，该废气的排放属无组织排放，由于装修阶段的装修废气排放周期短，且装修面积较少、作业点分散，故装修期间应加强通风换气，环评要求：施工期应选用符合国家标准要求的材料、涂料，减少废气中有害物质的排放。</w:t>
            </w:r>
          </w:p>
          <w:p>
            <w:pPr>
              <w:spacing w:line="360" w:lineRule="auto"/>
              <w:ind w:firstLine="482" w:firstLineChars="200"/>
              <w:rPr>
                <w:b/>
                <w:sz w:val="24"/>
                <w:szCs w:val="24"/>
              </w:rPr>
            </w:pPr>
            <w:r>
              <w:rPr>
                <w:b/>
                <w:sz w:val="24"/>
                <w:szCs w:val="24"/>
              </w:rPr>
              <w:t>2</w:t>
            </w:r>
            <w:r>
              <w:rPr>
                <w:rFonts w:hint="eastAsia"/>
                <w:b/>
                <w:sz w:val="24"/>
                <w:szCs w:val="24"/>
              </w:rPr>
              <w:t>、废水</w:t>
            </w:r>
          </w:p>
          <w:p>
            <w:pPr>
              <w:spacing w:line="360" w:lineRule="auto"/>
              <w:ind w:firstLine="482" w:firstLineChars="200"/>
              <w:rPr>
                <w:b/>
                <w:sz w:val="24"/>
                <w:szCs w:val="24"/>
              </w:rPr>
            </w:pPr>
            <w:r>
              <w:rPr>
                <w:rFonts w:hint="eastAsia"/>
                <w:b/>
                <w:sz w:val="24"/>
                <w:szCs w:val="24"/>
              </w:rPr>
              <w:t>（1）施工废水</w:t>
            </w:r>
          </w:p>
          <w:p>
            <w:pPr>
              <w:spacing w:line="360" w:lineRule="auto"/>
              <w:ind w:firstLine="480" w:firstLineChars="200"/>
              <w:rPr>
                <w:sz w:val="24"/>
                <w:szCs w:val="24"/>
              </w:rPr>
            </w:pPr>
            <w:r>
              <w:rPr>
                <w:rFonts w:hint="eastAsia"/>
                <w:sz w:val="24"/>
                <w:szCs w:val="24"/>
              </w:rPr>
              <w:t>施工废水中的主要污染物为pH（一般大于7）、SS、COD、石油类，污水中COD浓度值最高约500mg/L、BOD</w:t>
            </w:r>
            <w:r>
              <w:rPr>
                <w:rFonts w:hint="eastAsia"/>
                <w:sz w:val="24"/>
                <w:szCs w:val="24"/>
                <w:vertAlign w:val="subscript"/>
              </w:rPr>
              <w:t>5</w:t>
            </w:r>
            <w:r>
              <w:rPr>
                <w:rFonts w:hint="eastAsia"/>
                <w:sz w:val="24"/>
                <w:szCs w:val="24"/>
              </w:rPr>
              <w:t>约400mg/L、SS 约1000mg/L。经类比分析，项目施工期施工废水预计排放量为</w:t>
            </w:r>
            <w:r>
              <w:rPr>
                <w:sz w:val="24"/>
                <w:szCs w:val="24"/>
              </w:rPr>
              <w:t>5</w:t>
            </w:r>
            <w:r>
              <w:rPr>
                <w:rFonts w:hint="eastAsia"/>
                <w:sz w:val="24"/>
                <w:szCs w:val="24"/>
              </w:rPr>
              <w:t>m</w:t>
            </w:r>
            <w:r>
              <w:rPr>
                <w:rFonts w:hint="eastAsia"/>
                <w:sz w:val="24"/>
                <w:szCs w:val="24"/>
                <w:vertAlign w:val="superscript"/>
              </w:rPr>
              <w:t>3</w:t>
            </w:r>
            <w:r>
              <w:rPr>
                <w:rFonts w:hint="eastAsia"/>
                <w:sz w:val="24"/>
                <w:szCs w:val="24"/>
              </w:rPr>
              <w:t>/d，为防止施工废水对区域地表水环境造成影响，环评要求建设单位应采取以下污染防治措施：</w:t>
            </w:r>
          </w:p>
          <w:p>
            <w:pPr>
              <w:spacing w:line="360" w:lineRule="auto"/>
              <w:ind w:firstLine="480" w:firstLineChars="200"/>
              <w:rPr>
                <w:rFonts w:cs="Times New Roman"/>
                <w:sz w:val="24"/>
                <w:szCs w:val="24"/>
              </w:rPr>
            </w:pPr>
            <w:r>
              <w:rPr>
                <w:rFonts w:hint="eastAsia" w:cs="Times New Roman"/>
                <w:sz w:val="24"/>
                <w:szCs w:val="24"/>
              </w:rPr>
              <w:t>①</w:t>
            </w:r>
            <w:r>
              <w:rPr>
                <w:rFonts w:cs="Times New Roman"/>
                <w:sz w:val="24"/>
                <w:szCs w:val="24"/>
              </w:rPr>
              <w:t>施工场地设置排水沟和沉淀池，车辆冲洗点配套修建隔油设施，废水经沉淀、隔油处理后</w:t>
            </w:r>
            <w:r>
              <w:rPr>
                <w:rFonts w:hint="eastAsia" w:cs="Times New Roman"/>
                <w:sz w:val="24"/>
                <w:szCs w:val="24"/>
                <w:lang w:eastAsia="zh-CN"/>
              </w:rPr>
              <w:t>排入园区管网</w:t>
            </w:r>
            <w:r>
              <w:rPr>
                <w:rFonts w:cs="Times New Roman"/>
                <w:sz w:val="24"/>
                <w:szCs w:val="24"/>
              </w:rPr>
              <w:t>。</w:t>
            </w:r>
          </w:p>
          <w:p>
            <w:pPr>
              <w:spacing w:line="360" w:lineRule="auto"/>
              <w:ind w:firstLine="480" w:firstLineChars="200"/>
              <w:rPr>
                <w:sz w:val="24"/>
                <w:szCs w:val="24"/>
              </w:rPr>
            </w:pPr>
            <w:r>
              <w:rPr>
                <w:rFonts w:hint="eastAsia"/>
                <w:sz w:val="24"/>
                <w:szCs w:val="24"/>
              </w:rPr>
              <w:t>②加强施工管理，严格避免超挖、禁止雨天开挖作业；</w:t>
            </w:r>
            <w:r>
              <w:rPr>
                <w:rFonts w:hint="eastAsia" w:cstheme="minorHAnsi"/>
                <w:sz w:val="24"/>
              </w:rPr>
              <w:t>场地内地下渗水应收集后用作车辆冲洗、洒水降尘等</w:t>
            </w:r>
            <w:r>
              <w:rPr>
                <w:rFonts w:hint="eastAsia"/>
                <w:sz w:val="24"/>
                <w:szCs w:val="24"/>
              </w:rPr>
              <w:t>。</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）生活污水</w:t>
            </w:r>
          </w:p>
          <w:p>
            <w:pPr>
              <w:spacing w:line="360" w:lineRule="auto"/>
              <w:ind w:firstLine="480" w:firstLineChars="200"/>
              <w:rPr>
                <w:sz w:val="24"/>
                <w:szCs w:val="24"/>
              </w:rPr>
            </w:pPr>
            <w:r>
              <w:rPr>
                <w:rFonts w:hint="eastAsia"/>
                <w:sz w:val="24"/>
                <w:szCs w:val="24"/>
              </w:rPr>
              <w:t>项目施</w:t>
            </w:r>
            <w:r>
              <w:rPr>
                <w:rFonts w:cs="Times New Roman"/>
                <w:sz w:val="24"/>
                <w:szCs w:val="24"/>
              </w:rPr>
              <w:t>工人员预计可达</w:t>
            </w:r>
            <w:r>
              <w:rPr>
                <w:rFonts w:hint="eastAsia" w:cs="Times New Roman"/>
                <w:sz w:val="24"/>
                <w:szCs w:val="24"/>
                <w:lang w:val="en-US" w:eastAsia="zh-CN"/>
              </w:rPr>
              <w:t>25</w:t>
            </w:r>
            <w:r>
              <w:rPr>
                <w:rFonts w:cs="Times New Roman"/>
                <w:sz w:val="24"/>
                <w:szCs w:val="24"/>
              </w:rPr>
              <w:t>人，</w:t>
            </w:r>
            <w:r>
              <w:rPr>
                <w:rFonts w:hint="eastAsia" w:cs="Times New Roman"/>
                <w:sz w:val="24"/>
                <w:szCs w:val="24"/>
              </w:rPr>
              <w:t>根据</w:t>
            </w:r>
            <w:r>
              <w:rPr>
                <w:rFonts w:cs="Times New Roman"/>
                <w:sz w:val="24"/>
                <w:szCs w:val="24"/>
              </w:rPr>
              <w:t>《四川省用水定额》（川府函〔2021〕8号），施工人员生活用水量按100L/人·d计，生活污水产生系数取0.85，则生活污水产生量为</w:t>
            </w:r>
            <w:r>
              <w:rPr>
                <w:rFonts w:hint="eastAsia" w:cs="Times New Roman"/>
                <w:sz w:val="24"/>
                <w:szCs w:val="24"/>
                <w:lang w:val="en-US" w:eastAsia="zh-CN"/>
              </w:rPr>
              <w:t>2.13</w:t>
            </w:r>
            <w:r>
              <w:rPr>
                <w:rFonts w:cs="Times New Roman"/>
                <w:sz w:val="24"/>
                <w:szCs w:val="24"/>
              </w:rPr>
              <w:t>m</w:t>
            </w:r>
            <w:r>
              <w:rPr>
                <w:rFonts w:cs="Times New Roman"/>
                <w:sz w:val="24"/>
                <w:szCs w:val="24"/>
                <w:vertAlign w:val="superscript"/>
              </w:rPr>
              <w:t>3</w:t>
            </w:r>
            <w:r>
              <w:rPr>
                <w:rFonts w:cs="Times New Roman"/>
                <w:sz w:val="24"/>
                <w:szCs w:val="24"/>
              </w:rPr>
              <w:t>/d。生活污水</w:t>
            </w:r>
            <w:r>
              <w:rPr>
                <w:rFonts w:hint="eastAsia" w:cs="Times New Roman"/>
                <w:sz w:val="24"/>
                <w:szCs w:val="24"/>
                <w:lang w:eastAsia="zh-CN"/>
              </w:rPr>
              <w:t>经一期项目</w:t>
            </w:r>
            <w:r>
              <w:rPr>
                <w:rFonts w:hint="eastAsia" w:cs="Times New Roman"/>
                <w:sz w:val="24"/>
                <w:szCs w:val="24"/>
              </w:rPr>
              <w:t>预处理池（容积1</w:t>
            </w:r>
            <w:r>
              <w:rPr>
                <w:rFonts w:hint="eastAsia" w:cs="Times New Roman"/>
                <w:sz w:val="24"/>
                <w:szCs w:val="24"/>
                <w:lang w:val="en-US" w:eastAsia="zh-CN"/>
              </w:rPr>
              <w:t>6</w:t>
            </w:r>
            <w:r>
              <w:rPr>
                <w:rFonts w:hint="eastAsia" w:cs="Times New Roman"/>
                <w:sz w:val="24"/>
                <w:szCs w:val="24"/>
              </w:rPr>
              <w:t>m</w:t>
            </w:r>
            <w:r>
              <w:rPr>
                <w:rFonts w:cs="Times New Roman"/>
                <w:sz w:val="24"/>
                <w:szCs w:val="24"/>
                <w:vertAlign w:val="superscript"/>
              </w:rPr>
              <w:t>3</w:t>
            </w:r>
            <w:r>
              <w:rPr>
                <w:rFonts w:hint="eastAsia" w:cs="Times New Roman"/>
                <w:sz w:val="24"/>
                <w:szCs w:val="24"/>
              </w:rPr>
              <w:t>）</w:t>
            </w:r>
            <w:r>
              <w:rPr>
                <w:rFonts w:cs="Times New Roman"/>
                <w:sz w:val="24"/>
                <w:szCs w:val="24"/>
              </w:rPr>
              <w:t>处理后排入</w:t>
            </w:r>
            <w:r>
              <w:rPr>
                <w:rFonts w:hint="eastAsia" w:cs="Times New Roman"/>
                <w:sz w:val="24"/>
                <w:szCs w:val="24"/>
              </w:rPr>
              <w:t>园区</w:t>
            </w:r>
            <w:r>
              <w:rPr>
                <w:rFonts w:cs="Times New Roman"/>
                <w:sz w:val="24"/>
                <w:szCs w:val="24"/>
              </w:rPr>
              <w:t>污水管网，</w:t>
            </w:r>
            <w:r>
              <w:rPr>
                <w:rFonts w:hint="eastAsia"/>
                <w:kern w:val="24"/>
                <w:sz w:val="24"/>
                <w:szCs w:val="24"/>
              </w:rPr>
              <w:t>经巴中经开区污水处理厂处理达到《城镇污水处理厂污染物排放标准》（GB18918-2002）一级A标准后排入巴河</w:t>
            </w:r>
            <w:r>
              <w:rPr>
                <w:rFonts w:cs="Times New Roman"/>
                <w:sz w:val="24"/>
                <w:szCs w:val="24"/>
              </w:rPr>
              <w:t>。</w:t>
            </w:r>
          </w:p>
          <w:p>
            <w:pPr>
              <w:spacing w:line="360" w:lineRule="auto"/>
              <w:ind w:firstLine="482" w:firstLineChars="200"/>
              <w:rPr>
                <w:b/>
                <w:sz w:val="24"/>
                <w:szCs w:val="24"/>
              </w:rPr>
            </w:pPr>
            <w:r>
              <w:rPr>
                <w:b/>
                <w:sz w:val="24"/>
                <w:szCs w:val="24"/>
              </w:rPr>
              <w:t>3</w:t>
            </w:r>
            <w:r>
              <w:rPr>
                <w:rFonts w:hint="eastAsia"/>
                <w:b/>
                <w:sz w:val="24"/>
                <w:szCs w:val="24"/>
              </w:rPr>
              <w:t>、噪声</w:t>
            </w:r>
          </w:p>
          <w:p>
            <w:pPr>
              <w:spacing w:line="360" w:lineRule="auto"/>
              <w:ind w:firstLine="480" w:firstLineChars="200"/>
              <w:rPr>
                <w:sz w:val="24"/>
                <w:szCs w:val="24"/>
              </w:rPr>
            </w:pPr>
            <w:r>
              <w:rPr>
                <w:rFonts w:hint="eastAsia"/>
                <w:sz w:val="24"/>
                <w:szCs w:val="24"/>
              </w:rPr>
              <w:t>施工期噪声主要来源于施工现场的各类机械设备噪声，不同施工阶段和不同施工机械发出的噪声水平是不同的，且有大量设备交互作业，各施工阶段主要施工机械设备噪声源强值见下表。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
                <w:sz w:val="21"/>
                <w:lang w:eastAsia="zh-CN"/>
              </w:rPr>
            </w:pPr>
            <w:r>
              <w:rPr>
                <w:rFonts w:hint="default" w:ascii="Times New Roman" w:hAnsi="Times New Roman" w:eastAsia="宋体" w:cs="宋体"/>
                <w:b/>
                <w:bCs/>
                <w:i w:val="0"/>
                <w:kern w:val="2"/>
                <w:sz w:val="21"/>
                <w:szCs w:val="21"/>
                <w:vertAlign w:val="baseline"/>
                <w:lang w:val="en-US" w:eastAsia="zh-CN" w:bidi="ar-SA"/>
              </w:rPr>
              <w:t xml:space="preserve">表4-1  </w:t>
            </w:r>
            <w:r>
              <w:rPr>
                <w:rFonts w:hint="eastAsia" w:ascii="Times New Roman" w:hAnsi="Times New Roman" w:eastAsia="宋体" w:cs="Times New Roman"/>
                <w:b/>
                <w:sz w:val="21"/>
                <w:lang w:eastAsia="zh-CN"/>
              </w:rPr>
              <w:t>主要机械设备源强值</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3"/>
              <w:gridCol w:w="1520"/>
              <w:gridCol w:w="1393"/>
              <w:gridCol w:w="1395"/>
              <w:gridCol w:w="1393"/>
              <w:gridCol w:w="13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66" w:type="pct"/>
                  <w:gridSpan w:val="2"/>
                  <w:tcBorders>
                    <w:tl2br w:val="nil"/>
                    <w:tr2bl w:val="nil"/>
                  </w:tcBorders>
                  <w:shd w:val="clear" w:color="auto" w:fill="auto"/>
                  <w:vAlign w:val="center"/>
                </w:tcPr>
                <w:p>
                  <w:pPr>
                    <w:pStyle w:val="43"/>
                  </w:pPr>
                  <w:r>
                    <w:rPr>
                      <w:rFonts w:hint="eastAsia"/>
                    </w:rPr>
                    <w:t>施工设备</w:t>
                  </w:r>
                  <w:r>
                    <w:t>明</w:t>
                  </w:r>
                  <w:r>
                    <w:rPr>
                      <w:rFonts w:hint="eastAsia"/>
                    </w:rPr>
                    <w:t>名称</w:t>
                  </w:r>
                </w:p>
              </w:tc>
              <w:tc>
                <w:tcPr>
                  <w:tcW w:w="858" w:type="pct"/>
                  <w:tcBorders>
                    <w:tl2br w:val="nil"/>
                    <w:tr2bl w:val="nil"/>
                  </w:tcBorders>
                  <w:shd w:val="clear" w:color="auto" w:fill="auto"/>
                  <w:vAlign w:val="center"/>
                </w:tcPr>
                <w:p>
                  <w:pPr>
                    <w:pStyle w:val="43"/>
                  </w:pPr>
                  <w:r>
                    <w:rPr>
                      <w:rFonts w:hint="eastAsia"/>
                    </w:rPr>
                    <w:t>运输</w:t>
                  </w:r>
                  <w:r>
                    <w:t>车辆</w:t>
                  </w:r>
                </w:p>
              </w:tc>
              <w:tc>
                <w:tcPr>
                  <w:tcW w:w="859" w:type="pct"/>
                  <w:tcBorders>
                    <w:tl2br w:val="nil"/>
                    <w:tr2bl w:val="nil"/>
                  </w:tcBorders>
                  <w:shd w:val="clear" w:color="auto" w:fill="auto"/>
                  <w:vAlign w:val="center"/>
                </w:tcPr>
                <w:p>
                  <w:pPr>
                    <w:pStyle w:val="43"/>
                  </w:pPr>
                  <w:r>
                    <w:rPr>
                      <w:rFonts w:hint="eastAsia"/>
                    </w:rPr>
                    <w:t>装载</w:t>
                  </w:r>
                </w:p>
              </w:tc>
              <w:tc>
                <w:tcPr>
                  <w:tcW w:w="858" w:type="pct"/>
                  <w:tcBorders>
                    <w:tl2br w:val="nil"/>
                    <w:tr2bl w:val="nil"/>
                  </w:tcBorders>
                  <w:shd w:val="clear" w:color="auto" w:fill="auto"/>
                  <w:vAlign w:val="center"/>
                </w:tcPr>
                <w:p>
                  <w:pPr>
                    <w:pStyle w:val="43"/>
                  </w:pPr>
                  <w:r>
                    <w:rPr>
                      <w:rFonts w:hint="eastAsia"/>
                    </w:rPr>
                    <w:t>推土机</w:t>
                  </w:r>
                </w:p>
              </w:tc>
              <w:tc>
                <w:tcPr>
                  <w:tcW w:w="859" w:type="pct"/>
                  <w:tcBorders>
                    <w:tl2br w:val="nil"/>
                    <w:tr2bl w:val="nil"/>
                  </w:tcBorders>
                  <w:shd w:val="clear" w:color="auto" w:fill="auto"/>
                  <w:vAlign w:val="center"/>
                </w:tcPr>
                <w:p>
                  <w:pPr>
                    <w:pStyle w:val="43"/>
                  </w:pPr>
                  <w:r>
                    <w:rPr>
                      <w:rFonts w:hint="eastAsia"/>
                    </w:rPr>
                    <w:t>挖掘机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31" w:type="pct"/>
                  <w:vMerge w:val="restart"/>
                  <w:tcBorders>
                    <w:tl2br w:val="nil"/>
                    <w:tr2bl w:val="nil"/>
                  </w:tcBorders>
                  <w:shd w:val="clear" w:color="auto" w:fill="auto"/>
                  <w:vAlign w:val="center"/>
                </w:tcPr>
                <w:p>
                  <w:pPr>
                    <w:jc w:val="center"/>
                    <w:rPr>
                      <w:szCs w:val="21"/>
                    </w:rPr>
                  </w:pPr>
                  <w:r>
                    <w:rPr>
                      <w:rFonts w:hint="eastAsia"/>
                      <w:szCs w:val="21"/>
                    </w:rPr>
                    <w:t>噪声值</w:t>
                  </w:r>
                </w:p>
                <w:p>
                  <w:pPr>
                    <w:jc w:val="center"/>
                    <w:rPr>
                      <w:szCs w:val="21"/>
                    </w:rPr>
                  </w:pPr>
                  <w:r>
                    <w:rPr>
                      <w:rFonts w:hint="eastAsia"/>
                      <w:szCs w:val="21"/>
                    </w:rPr>
                    <w:t>dB</w:t>
                  </w:r>
                  <w:r>
                    <w:rPr>
                      <w:szCs w:val="21"/>
                    </w:rPr>
                    <w:t>（A）</w:t>
                  </w:r>
                </w:p>
              </w:tc>
              <w:tc>
                <w:tcPr>
                  <w:tcW w:w="936" w:type="pct"/>
                  <w:tcBorders>
                    <w:tl2br w:val="nil"/>
                    <w:tr2bl w:val="nil"/>
                  </w:tcBorders>
                  <w:shd w:val="clear" w:color="auto" w:fill="auto"/>
                  <w:vAlign w:val="center"/>
                </w:tcPr>
                <w:p>
                  <w:pPr>
                    <w:jc w:val="center"/>
                    <w:rPr>
                      <w:szCs w:val="21"/>
                    </w:rPr>
                  </w:pPr>
                  <w:r>
                    <w:rPr>
                      <w:rFonts w:hint="eastAsia"/>
                      <w:szCs w:val="21"/>
                    </w:rPr>
                    <w:t>距机械5</w:t>
                  </w:r>
                  <w:r>
                    <w:rPr>
                      <w:szCs w:val="21"/>
                    </w:rPr>
                    <w:t>m处</w:t>
                  </w:r>
                </w:p>
              </w:tc>
              <w:tc>
                <w:tcPr>
                  <w:tcW w:w="858" w:type="pct"/>
                  <w:tcBorders>
                    <w:tl2br w:val="nil"/>
                    <w:tr2bl w:val="nil"/>
                  </w:tcBorders>
                  <w:shd w:val="clear" w:color="auto" w:fill="auto"/>
                  <w:vAlign w:val="center"/>
                </w:tcPr>
                <w:p>
                  <w:pPr>
                    <w:jc w:val="center"/>
                    <w:rPr>
                      <w:szCs w:val="21"/>
                    </w:rPr>
                  </w:pPr>
                  <w:r>
                    <w:rPr>
                      <w:szCs w:val="21"/>
                    </w:rPr>
                    <w:t>82~90</w:t>
                  </w:r>
                </w:p>
              </w:tc>
              <w:tc>
                <w:tcPr>
                  <w:tcW w:w="859" w:type="pct"/>
                  <w:tcBorders>
                    <w:tl2br w:val="nil"/>
                    <w:tr2bl w:val="nil"/>
                  </w:tcBorders>
                  <w:shd w:val="clear" w:color="auto" w:fill="auto"/>
                  <w:vAlign w:val="center"/>
                </w:tcPr>
                <w:p>
                  <w:pPr>
                    <w:jc w:val="center"/>
                    <w:rPr>
                      <w:szCs w:val="21"/>
                    </w:rPr>
                  </w:pPr>
                  <w:r>
                    <w:rPr>
                      <w:szCs w:val="21"/>
                    </w:rPr>
                    <w:t>90~95</w:t>
                  </w:r>
                </w:p>
              </w:tc>
              <w:tc>
                <w:tcPr>
                  <w:tcW w:w="858" w:type="pct"/>
                  <w:tcBorders>
                    <w:tl2br w:val="nil"/>
                    <w:tr2bl w:val="nil"/>
                  </w:tcBorders>
                  <w:shd w:val="clear" w:color="auto" w:fill="auto"/>
                  <w:vAlign w:val="center"/>
                </w:tcPr>
                <w:p>
                  <w:pPr>
                    <w:jc w:val="center"/>
                    <w:rPr>
                      <w:szCs w:val="21"/>
                    </w:rPr>
                  </w:pPr>
                  <w:r>
                    <w:rPr>
                      <w:szCs w:val="21"/>
                    </w:rPr>
                    <w:t>83~88</w:t>
                  </w:r>
                </w:p>
              </w:tc>
              <w:tc>
                <w:tcPr>
                  <w:tcW w:w="859" w:type="pct"/>
                  <w:tcBorders>
                    <w:tl2br w:val="nil"/>
                    <w:tr2bl w:val="nil"/>
                  </w:tcBorders>
                  <w:shd w:val="clear" w:color="auto" w:fill="auto"/>
                  <w:vAlign w:val="center"/>
                </w:tcPr>
                <w:p>
                  <w:pPr>
                    <w:jc w:val="center"/>
                    <w:rPr>
                      <w:szCs w:val="21"/>
                    </w:rPr>
                  </w:pPr>
                  <w:r>
                    <w:rPr>
                      <w:szCs w:val="21"/>
                    </w:rPr>
                    <w:t>82~90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31" w:type="pct"/>
                  <w:vMerge w:val="continue"/>
                  <w:tcBorders>
                    <w:tl2br w:val="nil"/>
                    <w:tr2bl w:val="nil"/>
                  </w:tcBorders>
                  <w:shd w:val="clear" w:color="auto" w:fill="auto"/>
                  <w:vAlign w:val="center"/>
                </w:tcPr>
                <w:p>
                  <w:pPr>
                    <w:jc w:val="center"/>
                    <w:rPr>
                      <w:szCs w:val="21"/>
                    </w:rPr>
                  </w:pPr>
                </w:p>
              </w:tc>
              <w:tc>
                <w:tcPr>
                  <w:tcW w:w="936" w:type="pct"/>
                  <w:tcBorders>
                    <w:tl2br w:val="nil"/>
                    <w:tr2bl w:val="nil"/>
                  </w:tcBorders>
                  <w:shd w:val="clear" w:color="auto" w:fill="auto"/>
                  <w:vAlign w:val="center"/>
                </w:tcPr>
                <w:p>
                  <w:pPr>
                    <w:jc w:val="center"/>
                    <w:rPr>
                      <w:szCs w:val="21"/>
                    </w:rPr>
                  </w:pPr>
                  <w:r>
                    <w:rPr>
                      <w:rFonts w:hint="eastAsia"/>
                      <w:szCs w:val="21"/>
                    </w:rPr>
                    <w:t>距机械</w:t>
                  </w:r>
                  <w:r>
                    <w:rPr>
                      <w:szCs w:val="21"/>
                    </w:rPr>
                    <w:t>10m处</w:t>
                  </w:r>
                </w:p>
              </w:tc>
              <w:tc>
                <w:tcPr>
                  <w:tcW w:w="858" w:type="pct"/>
                  <w:tcBorders>
                    <w:tl2br w:val="nil"/>
                    <w:tr2bl w:val="nil"/>
                  </w:tcBorders>
                  <w:shd w:val="clear" w:color="auto" w:fill="auto"/>
                  <w:vAlign w:val="center"/>
                </w:tcPr>
                <w:p>
                  <w:pPr>
                    <w:jc w:val="center"/>
                    <w:rPr>
                      <w:szCs w:val="21"/>
                    </w:rPr>
                  </w:pPr>
                  <w:r>
                    <w:rPr>
                      <w:szCs w:val="21"/>
                    </w:rPr>
                    <w:t>78~86</w:t>
                  </w:r>
                </w:p>
              </w:tc>
              <w:tc>
                <w:tcPr>
                  <w:tcW w:w="859" w:type="pct"/>
                  <w:tcBorders>
                    <w:tl2br w:val="nil"/>
                    <w:tr2bl w:val="nil"/>
                  </w:tcBorders>
                  <w:shd w:val="clear" w:color="auto" w:fill="auto"/>
                  <w:vAlign w:val="center"/>
                </w:tcPr>
                <w:p>
                  <w:pPr>
                    <w:jc w:val="center"/>
                    <w:rPr>
                      <w:szCs w:val="21"/>
                    </w:rPr>
                  </w:pPr>
                  <w:r>
                    <w:rPr>
                      <w:szCs w:val="21"/>
                    </w:rPr>
                    <w:t>85~91</w:t>
                  </w:r>
                </w:p>
              </w:tc>
              <w:tc>
                <w:tcPr>
                  <w:tcW w:w="858" w:type="pct"/>
                  <w:tcBorders>
                    <w:tl2br w:val="nil"/>
                    <w:tr2bl w:val="nil"/>
                  </w:tcBorders>
                  <w:shd w:val="clear" w:color="auto" w:fill="auto"/>
                  <w:vAlign w:val="center"/>
                </w:tcPr>
                <w:p>
                  <w:pPr>
                    <w:jc w:val="center"/>
                    <w:rPr>
                      <w:szCs w:val="21"/>
                    </w:rPr>
                  </w:pPr>
                  <w:r>
                    <w:rPr>
                      <w:szCs w:val="21"/>
                    </w:rPr>
                    <w:t>80~85</w:t>
                  </w:r>
                </w:p>
              </w:tc>
              <w:tc>
                <w:tcPr>
                  <w:tcW w:w="859" w:type="pct"/>
                  <w:tcBorders>
                    <w:tl2br w:val="nil"/>
                    <w:tr2bl w:val="nil"/>
                  </w:tcBorders>
                  <w:shd w:val="clear" w:color="auto" w:fill="auto"/>
                  <w:vAlign w:val="center"/>
                </w:tcPr>
                <w:p>
                  <w:pPr>
                    <w:jc w:val="center"/>
                    <w:rPr>
                      <w:szCs w:val="21"/>
                    </w:rPr>
                  </w:pPr>
                  <w:r>
                    <w:rPr>
                      <w:szCs w:val="21"/>
                    </w:rPr>
                    <w:t>78~86</w:t>
                  </w:r>
                </w:p>
              </w:tc>
            </w:tr>
          </w:tbl>
          <w:p>
            <w:pPr>
              <w:spacing w:line="360" w:lineRule="auto"/>
              <w:ind w:firstLine="480" w:firstLineChars="200"/>
              <w:rPr>
                <w:sz w:val="24"/>
                <w:szCs w:val="24"/>
              </w:rPr>
            </w:pPr>
            <w:r>
              <w:rPr>
                <w:rFonts w:hint="eastAsia"/>
                <w:sz w:val="24"/>
                <w:szCs w:val="24"/>
              </w:rPr>
              <w:t>为实现施工场界噪声达标排放，降低施工噪声对周围环境的影响，根据《中华人民共和国噪声污染防治法》的有关要求，建设单位和施工单位应采取以下噪声防治措施：</w:t>
            </w:r>
          </w:p>
          <w:p>
            <w:pPr>
              <w:spacing w:line="360" w:lineRule="auto"/>
              <w:ind w:firstLine="480" w:firstLineChars="200"/>
              <w:rPr>
                <w:sz w:val="24"/>
                <w:szCs w:val="24"/>
              </w:rPr>
            </w:pPr>
            <w:r>
              <w:rPr>
                <w:rFonts w:hint="eastAsia"/>
                <w:sz w:val="24"/>
                <w:szCs w:val="24"/>
              </w:rPr>
              <w:t>①建设单位应当按照规定将噪声污染防治费用列入工程造价，在施工合同中明确施工单位的噪声污染防治责任。施工单位应结合施工工地现场条件、周边噪声敏感点分布，识别主要噪声污染源，明确噪声污染防治的具体措施，编制噪声污染防治方案。</w:t>
            </w:r>
          </w:p>
          <w:p>
            <w:pPr>
              <w:spacing w:line="360" w:lineRule="auto"/>
              <w:ind w:firstLine="480" w:firstLineChars="200"/>
              <w:rPr>
                <w:sz w:val="24"/>
                <w:szCs w:val="24"/>
              </w:rPr>
            </w:pPr>
            <w:r>
              <w:rPr>
                <w:rFonts w:hint="eastAsia"/>
                <w:sz w:val="24"/>
                <w:szCs w:val="24"/>
              </w:rPr>
              <w:t>②选用低噪声施工工艺，采用符合国家相关标准或经实际监测近场5m处噪声优于《环境噪声与振动控制工程技术导则》（HJ2034）附录A2的低噪声施工设备。</w:t>
            </w:r>
          </w:p>
          <w:p>
            <w:pPr>
              <w:spacing w:line="360" w:lineRule="auto"/>
              <w:ind w:firstLine="480" w:firstLineChars="200"/>
              <w:rPr>
                <w:sz w:val="24"/>
                <w:szCs w:val="24"/>
              </w:rPr>
            </w:pPr>
            <w:r>
              <w:rPr>
                <w:rFonts w:hint="eastAsia"/>
                <w:sz w:val="24"/>
                <w:szCs w:val="24"/>
              </w:rPr>
              <w:t>③建设单位应当按照国家规定，设置噪声自动监测系统，与监督管理部门联网，保存原始监测记录，对监测数据的真实性和准确性负责。</w:t>
            </w:r>
          </w:p>
          <w:p>
            <w:pPr>
              <w:spacing w:line="360" w:lineRule="auto"/>
              <w:ind w:firstLine="480" w:firstLineChars="200"/>
              <w:rPr>
                <w:sz w:val="24"/>
                <w:szCs w:val="24"/>
              </w:rPr>
            </w:pPr>
            <w:r>
              <w:rPr>
                <w:rFonts w:hint="eastAsia"/>
                <w:sz w:val="24"/>
                <w:szCs w:val="24"/>
              </w:rPr>
              <w:t>④禁止夜间（22:00~6:00）进行产生噪声的建筑施工作业，因工艺要求或者特殊需要确需进行夜间施工的必须办理《夜间施工许可证》，严格按照许可时限和许可范围进行夜间施工，并在施工现场进出口的显著位置公示夜间施工许可证书，公告附近居民。</w:t>
            </w:r>
          </w:p>
          <w:p>
            <w:pPr>
              <w:spacing w:line="360" w:lineRule="auto"/>
              <w:ind w:firstLine="480" w:firstLineChars="200"/>
              <w:rPr>
                <w:sz w:val="24"/>
                <w:szCs w:val="24"/>
              </w:rPr>
            </w:pPr>
            <w:r>
              <w:rPr>
                <w:rFonts w:hint="eastAsia"/>
                <w:sz w:val="24"/>
                <w:szCs w:val="24"/>
              </w:rPr>
              <w:t>⑤合理布局施工平面，应充分考虑不同区域的噪声影响和需求，高噪声施工设备应远离周边噪声敏感建筑物布置。</w:t>
            </w:r>
          </w:p>
          <w:p>
            <w:pPr>
              <w:spacing w:line="360" w:lineRule="auto"/>
              <w:ind w:firstLine="480" w:firstLineChars="200"/>
              <w:rPr>
                <w:sz w:val="24"/>
                <w:szCs w:val="24"/>
              </w:rPr>
            </w:pPr>
            <w:r>
              <w:rPr>
                <w:rFonts w:hint="eastAsia"/>
                <w:sz w:val="24"/>
                <w:szCs w:val="24"/>
              </w:rPr>
              <w:t>⑥加强管理，文明施工。装卸、搬运木材、模具、钢材等严禁抛掷，运输车辆实施限速、禁止鸣笛。运输车辆应按照有关部门同意的运输路线行进，运输时间应避开居民进出高峰期。</w:t>
            </w:r>
          </w:p>
          <w:p>
            <w:pPr>
              <w:spacing w:line="360" w:lineRule="auto"/>
              <w:ind w:firstLine="480" w:firstLineChars="200"/>
              <w:rPr>
                <w:sz w:val="24"/>
                <w:szCs w:val="24"/>
              </w:rPr>
            </w:pPr>
            <w:r>
              <w:rPr>
                <w:rFonts w:hint="eastAsia"/>
                <w:sz w:val="24"/>
                <w:szCs w:val="24"/>
              </w:rPr>
              <w:t>⑦施工前应进行公示，施工单位应在现场张贴通告和投诉电话，建设单位在接到投诉电话后及时与主管部门联系，及时处理各种环境纠纷。</w:t>
            </w:r>
          </w:p>
          <w:p>
            <w:pPr>
              <w:spacing w:line="360" w:lineRule="auto"/>
              <w:ind w:firstLine="482" w:firstLineChars="200"/>
              <w:rPr>
                <w:b/>
                <w:sz w:val="24"/>
                <w:szCs w:val="24"/>
              </w:rPr>
            </w:pPr>
            <w:r>
              <w:rPr>
                <w:b/>
                <w:sz w:val="24"/>
                <w:szCs w:val="24"/>
              </w:rPr>
              <w:t>4</w:t>
            </w:r>
            <w:r>
              <w:rPr>
                <w:rFonts w:hint="eastAsia"/>
                <w:b/>
                <w:sz w:val="24"/>
                <w:szCs w:val="24"/>
              </w:rPr>
              <w:t>、固体废物</w:t>
            </w:r>
          </w:p>
          <w:p>
            <w:pPr>
              <w:spacing w:line="360" w:lineRule="auto"/>
              <w:ind w:firstLine="482" w:firstLineChars="200"/>
              <w:rPr>
                <w:b/>
                <w:sz w:val="24"/>
                <w:szCs w:val="24"/>
              </w:rPr>
            </w:pPr>
            <w:r>
              <w:rPr>
                <w:rFonts w:hint="eastAsia"/>
                <w:b/>
                <w:sz w:val="24"/>
                <w:szCs w:val="24"/>
              </w:rPr>
              <w:t>（1）土石方</w:t>
            </w:r>
          </w:p>
          <w:p>
            <w:pPr>
              <w:spacing w:line="360" w:lineRule="auto"/>
              <w:ind w:firstLine="480" w:firstLineChars="200"/>
              <w:rPr>
                <w:sz w:val="24"/>
                <w:szCs w:val="24"/>
              </w:rPr>
            </w:pPr>
            <w:r>
              <w:rPr>
                <w:rFonts w:hint="eastAsia"/>
                <w:sz w:val="24"/>
                <w:szCs w:val="24"/>
              </w:rPr>
              <w:t>施工期开挖土石方全部用于场地回填、调整场平，无弃土产生。为防止施工期土石方处置不当对周围环境的影响，本环评要求：施工期禁止大风天气和雨天进行土石方开挖作业，开挖的土石方应及时回填，不能及时回填的应设立临时堆土场，</w:t>
            </w:r>
            <w:r>
              <w:rPr>
                <w:rFonts w:hint="eastAsia" w:cs="Times New Roman"/>
                <w:kern w:val="0"/>
                <w:sz w:val="24"/>
                <w:szCs w:val="24"/>
              </w:rPr>
              <w:t>采用防尘防雨布覆盖</w:t>
            </w:r>
            <w:r>
              <w:rPr>
                <w:rFonts w:hint="eastAsia"/>
                <w:sz w:val="24"/>
                <w:szCs w:val="24"/>
              </w:rPr>
              <w:t>；施工完成后，应尽快进行绿化建设，优先选用固沙植物，覆盖的泥土应不超出绿化边界。</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）建筑垃圾</w:t>
            </w:r>
          </w:p>
          <w:p>
            <w:pPr>
              <w:spacing w:line="360" w:lineRule="auto"/>
              <w:ind w:firstLine="480" w:firstLineChars="200"/>
              <w:rPr>
                <w:sz w:val="24"/>
                <w:szCs w:val="24"/>
              </w:rPr>
            </w:pPr>
            <w:r>
              <w:rPr>
                <w:rFonts w:hint="eastAsia"/>
                <w:sz w:val="24"/>
                <w:szCs w:val="24"/>
              </w:rPr>
              <w:t>施工期建筑垃圾包括建筑废料和装修垃圾，预计产生量约</w:t>
            </w:r>
            <w:r>
              <w:rPr>
                <w:rFonts w:hint="eastAsia"/>
                <w:sz w:val="24"/>
                <w:szCs w:val="24"/>
                <w:lang w:val="en-US" w:eastAsia="zh-CN"/>
              </w:rPr>
              <w:t>2</w:t>
            </w:r>
            <w:r>
              <w:rPr>
                <w:rFonts w:hint="eastAsia"/>
                <w:sz w:val="24"/>
                <w:szCs w:val="24"/>
              </w:rPr>
              <w:t>t，环评要求：施工期产生的建筑垃圾，应在48小时内及时清运；建筑垃圾在48小时内</w:t>
            </w:r>
            <w:bookmarkStart w:id="8" w:name="_Hlk92568536"/>
            <w:r>
              <w:rPr>
                <w:rFonts w:hint="eastAsia"/>
                <w:sz w:val="24"/>
                <w:szCs w:val="24"/>
              </w:rPr>
              <w:t>未能清运的，施工现场应设置建筑垃圾临时堆放场，临时堆放场应采取围挡、覆盖等防尘措施</w:t>
            </w:r>
            <w:bookmarkEnd w:id="8"/>
            <w:r>
              <w:rPr>
                <w:rFonts w:hint="eastAsia"/>
                <w:sz w:val="24"/>
                <w:szCs w:val="24"/>
              </w:rPr>
              <w:t>；施工现场建筑垃圾清运时，建设单位或施工单位应与建筑垃圾运输和处置企业依法签订建筑垃圾运输、处置协议。建设单位或施工单位应在施工现场派驻建筑垃圾处置管理员，负责监督建筑垃圾外运时运渣车辆是否密闭运输、冲洗除尘和号牌清晰，做到不带泥出门，不冒顶装载。</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）生活垃圾</w:t>
            </w:r>
          </w:p>
          <w:p>
            <w:pPr>
              <w:spacing w:line="360" w:lineRule="auto"/>
              <w:ind w:firstLine="480" w:firstLineChars="200"/>
              <w:rPr>
                <w:sz w:val="24"/>
                <w:szCs w:val="24"/>
              </w:rPr>
            </w:pPr>
            <w:r>
              <w:rPr>
                <w:rFonts w:hint="eastAsia"/>
                <w:sz w:val="24"/>
                <w:szCs w:val="24"/>
              </w:rPr>
              <w:t>施工期生活垃圾</w:t>
            </w:r>
            <w:r>
              <w:rPr>
                <w:rFonts w:cs="Times New Roman"/>
                <w:sz w:val="24"/>
                <w:szCs w:val="24"/>
              </w:rPr>
              <w:t>主要为施工人员办公生活过程的产生的垃圾，施工人员预计约</w:t>
            </w:r>
            <w:r>
              <w:rPr>
                <w:rFonts w:hint="eastAsia" w:cs="Times New Roman"/>
                <w:sz w:val="24"/>
                <w:szCs w:val="24"/>
                <w:lang w:val="en-US" w:eastAsia="zh-CN"/>
              </w:rPr>
              <w:t>25</w:t>
            </w:r>
            <w:r>
              <w:rPr>
                <w:rFonts w:cs="Times New Roman"/>
                <w:sz w:val="24"/>
                <w:szCs w:val="24"/>
              </w:rPr>
              <w:t>人，生活垃圾产生量按0.5kg/人·d计，预计产生量</w:t>
            </w:r>
            <w:r>
              <w:rPr>
                <w:rFonts w:hint="eastAsia" w:cs="Times New Roman"/>
                <w:sz w:val="24"/>
                <w:szCs w:val="24"/>
                <w:lang w:val="en-US" w:eastAsia="zh-CN"/>
              </w:rPr>
              <w:t>12.5</w:t>
            </w:r>
            <w:r>
              <w:rPr>
                <w:rFonts w:cs="Times New Roman"/>
                <w:sz w:val="24"/>
                <w:szCs w:val="24"/>
              </w:rPr>
              <w:t>kg/d，生活垃圾经袋装收集后，由环卫部门统一清运处理。</w:t>
            </w:r>
          </w:p>
          <w:p>
            <w:pPr>
              <w:spacing w:line="360" w:lineRule="auto"/>
              <w:ind w:firstLine="482" w:firstLineChars="200"/>
              <w:rPr>
                <w:b/>
                <w:sz w:val="24"/>
                <w:szCs w:val="24"/>
              </w:rPr>
            </w:pPr>
            <w:r>
              <w:rPr>
                <w:b/>
                <w:sz w:val="24"/>
                <w:szCs w:val="24"/>
              </w:rPr>
              <w:t>5</w:t>
            </w:r>
            <w:r>
              <w:rPr>
                <w:rFonts w:hint="eastAsia"/>
                <w:b/>
                <w:sz w:val="24"/>
                <w:szCs w:val="24"/>
              </w:rPr>
              <w:t>、生态影响</w:t>
            </w:r>
          </w:p>
          <w:p>
            <w:pPr>
              <w:spacing w:line="360" w:lineRule="auto"/>
              <w:ind w:firstLine="480" w:firstLineChars="200"/>
              <w:rPr>
                <w:sz w:val="24"/>
                <w:szCs w:val="24"/>
              </w:rPr>
            </w:pPr>
            <w:r>
              <w:rPr>
                <w:rFonts w:hint="eastAsia"/>
                <w:sz w:val="24"/>
                <w:szCs w:val="24"/>
              </w:rPr>
              <w:t>工程施工期对生态的影响和破坏的途径主要为土石方填挖、场地平整等使原有土壤结构发生改变，破坏原有植被，在一定时段和一定区域将造成水土流失。为防止施工期水土流失，环评要求施工阶段应采取以下措施：</w:t>
            </w:r>
          </w:p>
          <w:p>
            <w:pPr>
              <w:spacing w:line="360" w:lineRule="auto"/>
              <w:ind w:firstLine="480" w:firstLineChars="200"/>
              <w:rPr>
                <w:sz w:val="24"/>
                <w:szCs w:val="24"/>
              </w:rPr>
            </w:pPr>
            <w:r>
              <w:rPr>
                <w:rFonts w:hint="eastAsia"/>
                <w:sz w:val="24"/>
                <w:szCs w:val="24"/>
              </w:rPr>
              <w:t>①严格遵守环保法律法规，加强施工人员环保意识；科学合理的安排施工进度与时序，严格控制开挖施工作业面。</w:t>
            </w:r>
          </w:p>
          <w:p>
            <w:pPr>
              <w:spacing w:line="360" w:lineRule="auto"/>
              <w:ind w:firstLine="480" w:firstLineChars="200"/>
              <w:rPr>
                <w:sz w:val="24"/>
                <w:szCs w:val="24"/>
              </w:rPr>
            </w:pPr>
            <w:r>
              <w:rPr>
                <w:rFonts w:hint="eastAsia"/>
                <w:sz w:val="24"/>
                <w:szCs w:val="24"/>
              </w:rPr>
              <w:t>②为防止雨水、地表径流对堆料场和渣（土）体的冲刷，应对临时堆土、裸土采取覆盖、拦挡措施，避免雨水冲刷造成水土流失。</w:t>
            </w:r>
          </w:p>
          <w:p>
            <w:pPr>
              <w:spacing w:line="360" w:lineRule="auto"/>
              <w:ind w:firstLine="480" w:firstLineChars="200"/>
              <w:rPr>
                <w:sz w:val="24"/>
                <w:szCs w:val="24"/>
              </w:rPr>
            </w:pPr>
            <w:r>
              <w:rPr>
                <w:rFonts w:hint="eastAsia"/>
                <w:sz w:val="24"/>
                <w:szCs w:val="24"/>
              </w:rPr>
              <w:t>③做好表层土剥离、暂存工作，施工结束后及时进行回铺表土、撒草绿化等，所选草种应具有抗逆性强、保土性好、生长快的特点，最大限度保护和恢复植被。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401" w:type="pct"/>
            <w:vAlign w:val="center"/>
          </w:tcPr>
          <w:p>
            <w:pPr>
              <w:spacing w:line="360" w:lineRule="auto"/>
              <w:jc w:val="center"/>
              <w:rPr>
                <w:rFonts w:cs="Times New Roman"/>
                <w:sz w:val="24"/>
                <w:szCs w:val="24"/>
              </w:rPr>
            </w:pPr>
            <w:r>
              <w:rPr>
                <w:rFonts w:hint="eastAsia" w:cs="Times New Roman"/>
                <w:sz w:val="24"/>
                <w:szCs w:val="24"/>
              </w:rPr>
              <w:t>运营期环境影响和保护措施</w:t>
            </w:r>
          </w:p>
        </w:tc>
        <w:tc>
          <w:tcPr>
            <w:tcW w:w="4598" w:type="pct"/>
            <w:vAlign w:val="center"/>
          </w:tcPr>
          <w:p>
            <w:pPr>
              <w:spacing w:line="360" w:lineRule="auto"/>
              <w:ind w:firstLine="482" w:firstLineChars="200"/>
              <w:rPr>
                <w:b/>
                <w:sz w:val="24"/>
                <w:szCs w:val="24"/>
              </w:rPr>
            </w:pPr>
            <w:r>
              <w:rPr>
                <w:rFonts w:hint="eastAsia"/>
                <w:b/>
                <w:sz w:val="24"/>
                <w:szCs w:val="24"/>
              </w:rPr>
              <w:t>1、废气</w:t>
            </w:r>
          </w:p>
          <w:p>
            <w:pPr>
              <w:spacing w:line="360" w:lineRule="auto"/>
              <w:ind w:firstLine="482" w:firstLineChars="200"/>
              <w:rPr>
                <w:rFonts w:cs="Times New Roman"/>
                <w:b/>
                <w:bCs/>
                <w:sz w:val="24"/>
                <w:szCs w:val="24"/>
              </w:rPr>
            </w:pPr>
            <w:r>
              <w:rPr>
                <w:rFonts w:hint="eastAsia" w:cs="Times New Roman"/>
                <w:b/>
                <w:bCs/>
                <w:sz w:val="24"/>
                <w:szCs w:val="24"/>
              </w:rPr>
              <w:t>（1）</w:t>
            </w:r>
            <w:r>
              <w:rPr>
                <w:rFonts w:hint="eastAsia" w:cs="Times New Roman"/>
                <w:b/>
                <w:bCs/>
                <w:sz w:val="24"/>
                <w:szCs w:val="24"/>
                <w:lang w:eastAsia="zh-CN"/>
              </w:rPr>
              <w:t>有机废气</w:t>
            </w:r>
            <w:r>
              <w:rPr>
                <w:rFonts w:hint="eastAsia" w:cs="Times New Roman"/>
                <w:b/>
                <w:bCs/>
                <w:sz w:val="24"/>
                <w:szCs w:val="24"/>
              </w:rPr>
              <w:t>产生源及治理措施</w:t>
            </w:r>
          </w:p>
          <w:p>
            <w:pPr>
              <w:spacing w:line="360" w:lineRule="auto"/>
              <w:ind w:firstLine="482" w:firstLineChars="200"/>
              <w:rPr>
                <w:rFonts w:hint="eastAsia" w:eastAsia="宋体" w:cs="Times New Roman"/>
                <w:b/>
                <w:bCs/>
                <w:sz w:val="24"/>
                <w:szCs w:val="24"/>
                <w:lang w:eastAsia="zh-CN"/>
              </w:rPr>
            </w:pPr>
            <w:r>
              <w:rPr>
                <w:rFonts w:hint="eastAsia" w:cs="Times New Roman"/>
                <w:b/>
                <w:bCs/>
                <w:sz w:val="24"/>
                <w:szCs w:val="24"/>
              </w:rPr>
              <w:t>1）</w:t>
            </w:r>
            <w:r>
              <w:rPr>
                <w:rFonts w:hint="eastAsia" w:cs="Times New Roman"/>
                <w:b/>
                <w:bCs/>
                <w:sz w:val="24"/>
                <w:szCs w:val="24"/>
                <w:lang w:eastAsia="zh-CN"/>
              </w:rPr>
              <w:t>有机废气源强</w:t>
            </w:r>
          </w:p>
          <w:p>
            <w:pPr>
              <w:spacing w:line="360" w:lineRule="auto"/>
              <w:ind w:firstLine="480" w:firstLineChars="200"/>
              <w:rPr>
                <w:rFonts w:hint="eastAsia" w:cs="Times New Roman"/>
                <w:sz w:val="24"/>
                <w:szCs w:val="24"/>
              </w:rPr>
            </w:pPr>
            <w:r>
              <w:rPr>
                <w:rFonts w:hint="eastAsia" w:cs="Times New Roman"/>
                <w:sz w:val="24"/>
                <w:szCs w:val="24"/>
              </w:rPr>
              <w:t>本项目对钢化玻璃进行镀膜过程中会使用UV蓝色纳米隔热剂，隔热剂均匀涂布在玻璃后，经过加热的方式进行烘干，此过程会使得湿膜中溶剂逸散挥发。</w:t>
            </w:r>
          </w:p>
          <w:p>
            <w:pPr>
              <w:spacing w:line="360" w:lineRule="auto"/>
              <w:ind w:firstLine="480" w:firstLineChars="200"/>
              <w:rPr>
                <w:rFonts w:hint="eastAsia" w:cs="Times New Roman"/>
                <w:sz w:val="24"/>
                <w:szCs w:val="24"/>
              </w:rPr>
            </w:pPr>
            <w:r>
              <w:rPr>
                <w:rFonts w:hint="eastAsia" w:cs="Times New Roman"/>
                <w:sz w:val="24"/>
                <w:szCs w:val="24"/>
              </w:rPr>
              <w:t>本项目涂膜工序采用70型UV蓝色纳米隔热剂作为原料，涂膜</w:t>
            </w:r>
            <w:r>
              <w:rPr>
                <w:rFonts w:hint="eastAsia" w:cs="Times New Roman"/>
                <w:sz w:val="24"/>
                <w:szCs w:val="24"/>
                <w:lang w:eastAsia="zh-CN"/>
              </w:rPr>
              <w:t>和紫外线烘干设备</w:t>
            </w:r>
            <w:r>
              <w:rPr>
                <w:rFonts w:hint="eastAsia" w:cs="Times New Roman"/>
                <w:sz w:val="24"/>
                <w:szCs w:val="24"/>
              </w:rPr>
              <w:t>过程会挥发出有机废气，以</w:t>
            </w:r>
            <w:r>
              <w:rPr>
                <w:rFonts w:hint="eastAsia" w:cs="Times New Roman"/>
                <w:sz w:val="24"/>
                <w:szCs w:val="24"/>
                <w:lang w:val="en-US" w:eastAsia="zh-CN"/>
              </w:rPr>
              <w:t>VOC</w:t>
            </w:r>
            <w:r>
              <w:rPr>
                <w:rFonts w:hint="eastAsia" w:cs="Times New Roman"/>
                <w:sz w:val="24"/>
                <w:szCs w:val="24"/>
                <w:vertAlign w:val="subscript"/>
                <w:lang w:val="en-US" w:eastAsia="zh-CN"/>
              </w:rPr>
              <w:t>S</w:t>
            </w:r>
            <w:r>
              <w:rPr>
                <w:rFonts w:hint="eastAsia" w:cs="Times New Roman"/>
                <w:sz w:val="24"/>
                <w:szCs w:val="24"/>
              </w:rPr>
              <w:t>计，</w:t>
            </w:r>
            <w:r>
              <w:rPr>
                <w:rFonts w:hint="eastAsia" w:cs="Times New Roman"/>
                <w:sz w:val="24"/>
                <w:szCs w:val="24"/>
                <w:lang w:eastAsia="zh-CN"/>
              </w:rPr>
              <w:t>根据70型UV蓝色纳米隔热剂 MSDS成分报告，</w:t>
            </w:r>
            <w:r>
              <w:rPr>
                <w:rFonts w:hint="eastAsia"/>
                <w:sz w:val="24"/>
                <w:szCs w:val="28"/>
                <w:lang w:val="en-US" w:eastAsia="zh-CN"/>
              </w:rPr>
              <w:t>醇醚溶剂为15%~30%，助剂成分未知，含量为0%~10%，</w:t>
            </w:r>
            <w:r>
              <w:rPr>
                <w:rFonts w:hint="eastAsia" w:cs="Times New Roman"/>
                <w:sz w:val="24"/>
                <w:szCs w:val="24"/>
                <w:lang w:eastAsia="zh-CN"/>
              </w:rPr>
              <w:t>本项目</w:t>
            </w:r>
            <w:r>
              <w:rPr>
                <w:rFonts w:hint="eastAsia" w:cs="Times New Roman"/>
                <w:sz w:val="24"/>
                <w:szCs w:val="24"/>
                <w:lang w:val="en-US" w:eastAsia="zh-CN"/>
              </w:rPr>
              <w:t>VOC</w:t>
            </w:r>
            <w:r>
              <w:rPr>
                <w:rFonts w:hint="eastAsia" w:cs="Times New Roman"/>
                <w:sz w:val="24"/>
                <w:szCs w:val="24"/>
                <w:vertAlign w:val="subscript"/>
                <w:lang w:val="en-US" w:eastAsia="zh-CN"/>
              </w:rPr>
              <w:t>S</w:t>
            </w:r>
            <w:r>
              <w:rPr>
                <w:rFonts w:hint="eastAsia" w:cs="Times New Roman"/>
                <w:sz w:val="24"/>
                <w:szCs w:val="24"/>
                <w:lang w:eastAsia="zh-CN"/>
              </w:rPr>
              <w:t>含量取最大值为</w:t>
            </w:r>
            <w:r>
              <w:rPr>
                <w:rFonts w:hint="eastAsia" w:cs="Times New Roman"/>
                <w:sz w:val="24"/>
                <w:szCs w:val="24"/>
                <w:lang w:val="en-US" w:eastAsia="zh-CN"/>
              </w:rPr>
              <w:t>40%，</w:t>
            </w:r>
            <w:r>
              <w:rPr>
                <w:rFonts w:hint="eastAsia" w:cs="Times New Roman"/>
                <w:sz w:val="24"/>
                <w:szCs w:val="24"/>
              </w:rPr>
              <w:t>本项目70型UV蓝色纳米隔热剂年消耗量为</w:t>
            </w:r>
            <w:r>
              <w:rPr>
                <w:rFonts w:hint="eastAsia" w:cs="Times New Roman"/>
                <w:sz w:val="24"/>
                <w:szCs w:val="24"/>
                <w:lang w:val="en-US" w:eastAsia="zh-CN"/>
              </w:rPr>
              <w:t>15</w:t>
            </w:r>
            <w:r>
              <w:rPr>
                <w:rFonts w:hint="eastAsia" w:cs="Times New Roman"/>
                <w:sz w:val="24"/>
                <w:szCs w:val="24"/>
              </w:rPr>
              <w:t>吨，则</w:t>
            </w:r>
            <w:r>
              <w:rPr>
                <w:rFonts w:hint="eastAsia" w:cs="Times New Roman"/>
                <w:sz w:val="24"/>
                <w:szCs w:val="24"/>
                <w:lang w:val="en-US" w:eastAsia="zh-CN"/>
              </w:rPr>
              <w:t>VOC</w:t>
            </w:r>
            <w:r>
              <w:rPr>
                <w:rFonts w:hint="eastAsia" w:cs="Times New Roman"/>
                <w:sz w:val="24"/>
                <w:szCs w:val="24"/>
                <w:vertAlign w:val="subscript"/>
                <w:lang w:val="en-US" w:eastAsia="zh-CN"/>
              </w:rPr>
              <w:t>S</w:t>
            </w:r>
            <w:r>
              <w:rPr>
                <w:rFonts w:hint="eastAsia" w:cs="Times New Roman"/>
                <w:sz w:val="24"/>
                <w:szCs w:val="24"/>
              </w:rPr>
              <w:t>产生量为</w:t>
            </w:r>
            <w:r>
              <w:rPr>
                <w:rFonts w:hint="eastAsia" w:cs="Times New Roman"/>
                <w:sz w:val="24"/>
                <w:szCs w:val="24"/>
                <w:lang w:val="en-US" w:eastAsia="zh-CN"/>
              </w:rPr>
              <w:t>6</w:t>
            </w:r>
            <w:r>
              <w:rPr>
                <w:rFonts w:hint="eastAsia" w:cs="Times New Roman"/>
                <w:sz w:val="24"/>
                <w:szCs w:val="24"/>
              </w:rPr>
              <w:t>t/a</w:t>
            </w:r>
            <w:r>
              <w:rPr>
                <w:rFonts w:hint="eastAsia" w:cs="Times New Roman"/>
                <w:sz w:val="24"/>
                <w:szCs w:val="24"/>
                <w:lang w:eastAsia="zh-CN"/>
              </w:rPr>
              <w:t>，产生速率为</w:t>
            </w:r>
            <w:r>
              <w:rPr>
                <w:rFonts w:hint="eastAsia" w:cs="Times New Roman"/>
                <w:sz w:val="24"/>
                <w:szCs w:val="24"/>
                <w:lang w:val="en-US" w:eastAsia="zh-CN"/>
              </w:rPr>
              <w:t>2.5kg/h</w:t>
            </w:r>
            <w:r>
              <w:rPr>
                <w:rFonts w:hint="eastAsia" w:cs="Times New Roman"/>
                <w:sz w:val="24"/>
                <w:szCs w:val="24"/>
              </w:rPr>
              <w:t>。</w:t>
            </w:r>
          </w:p>
          <w:p>
            <w:pPr>
              <w:spacing w:line="360" w:lineRule="auto"/>
              <w:ind w:firstLine="482" w:firstLineChars="200"/>
              <w:rPr>
                <w:b/>
                <w:color w:val="auto"/>
                <w:sz w:val="24"/>
                <w:szCs w:val="24"/>
              </w:rPr>
            </w:pPr>
            <w:r>
              <w:rPr>
                <w:rFonts w:hint="eastAsia"/>
                <w:b/>
                <w:color w:val="auto"/>
                <w:sz w:val="24"/>
                <w:szCs w:val="24"/>
                <w:lang w:val="en-US" w:eastAsia="zh-CN"/>
              </w:rPr>
              <w:t>2）</w:t>
            </w:r>
            <w:r>
              <w:rPr>
                <w:rFonts w:hint="eastAsia"/>
                <w:b/>
                <w:color w:val="auto"/>
                <w:sz w:val="24"/>
                <w:szCs w:val="24"/>
              </w:rPr>
              <w:t>治理措施</w:t>
            </w:r>
          </w:p>
          <w:p>
            <w:pPr>
              <w:spacing w:line="360" w:lineRule="auto"/>
              <w:ind w:firstLine="480" w:firstLineChars="200"/>
              <w:rPr>
                <w:rFonts w:hint="eastAsia" w:cs="Times New Roman"/>
                <w:bCs/>
                <w:sz w:val="24"/>
                <w:szCs w:val="24"/>
              </w:rPr>
            </w:pPr>
            <w:r>
              <w:rPr>
                <w:rFonts w:hint="eastAsia" w:cs="Times New Roman"/>
                <w:color w:val="auto"/>
                <w:sz w:val="24"/>
                <w:szCs w:val="24"/>
              </w:rPr>
              <w:t>涂膜</w:t>
            </w:r>
            <w:r>
              <w:rPr>
                <w:rFonts w:hint="eastAsia" w:cs="Times New Roman"/>
                <w:color w:val="auto"/>
                <w:sz w:val="24"/>
                <w:szCs w:val="24"/>
                <w:lang w:eastAsia="zh-CN"/>
              </w:rPr>
              <w:t>工序和</w:t>
            </w:r>
            <w:r>
              <w:rPr>
                <w:rFonts w:hint="eastAsia" w:cs="Times New Roman"/>
                <w:color w:val="auto"/>
                <w:sz w:val="24"/>
                <w:szCs w:val="24"/>
              </w:rPr>
              <w:t>烘干工序</w:t>
            </w:r>
            <w:r>
              <w:rPr>
                <w:rFonts w:hint="eastAsia" w:cs="Times New Roman"/>
                <w:color w:val="auto"/>
                <w:sz w:val="24"/>
                <w:szCs w:val="24"/>
                <w:lang w:eastAsia="zh-CN"/>
              </w:rPr>
              <w:t>有机废气产生量为</w:t>
            </w:r>
            <w:r>
              <w:rPr>
                <w:rFonts w:hint="eastAsia" w:cs="Times New Roman"/>
                <w:color w:val="auto"/>
                <w:sz w:val="24"/>
                <w:szCs w:val="24"/>
                <w:lang w:val="en-US" w:eastAsia="zh-CN"/>
              </w:rPr>
              <w:t>6t/a，</w:t>
            </w:r>
            <w:r>
              <w:rPr>
                <w:rFonts w:hint="eastAsia" w:cs="Times New Roman"/>
                <w:color w:val="auto"/>
                <w:sz w:val="24"/>
                <w:szCs w:val="24"/>
              </w:rPr>
              <w:t>产生的废气由</w:t>
            </w:r>
            <w:r>
              <w:rPr>
                <w:rFonts w:hint="eastAsia" w:cs="Times New Roman"/>
                <w:color w:val="auto"/>
                <w:sz w:val="24"/>
                <w:szCs w:val="24"/>
                <w:lang w:eastAsia="zh-CN"/>
              </w:rPr>
              <w:t>集气罩</w:t>
            </w:r>
            <w:r>
              <w:rPr>
                <w:rFonts w:hint="eastAsia" w:cs="Times New Roman"/>
                <w:color w:val="auto"/>
                <w:sz w:val="24"/>
                <w:szCs w:val="24"/>
                <w:lang w:val="en-US" w:eastAsia="zh-CN"/>
              </w:rPr>
              <w:t>+软帘</w:t>
            </w:r>
            <w:r>
              <w:rPr>
                <w:rFonts w:hint="eastAsia" w:cs="Times New Roman"/>
                <w:color w:val="auto"/>
                <w:sz w:val="24"/>
                <w:szCs w:val="24"/>
              </w:rPr>
              <w:t>收集，经“</w:t>
            </w:r>
            <w:r>
              <w:rPr>
                <w:rFonts w:hint="eastAsia" w:cs="Times New Roman"/>
                <w:color w:val="auto"/>
                <w:sz w:val="24"/>
                <w:szCs w:val="24"/>
                <w:lang w:eastAsia="zh-CN"/>
              </w:rPr>
              <w:t>二级</w:t>
            </w:r>
            <w:r>
              <w:rPr>
                <w:rFonts w:hint="eastAsia" w:cs="Times New Roman"/>
                <w:color w:val="auto"/>
                <w:sz w:val="24"/>
                <w:szCs w:val="24"/>
              </w:rPr>
              <w:t>活性炭”处理后，通过15m高排气筒排放。收集效率按</w:t>
            </w:r>
            <w:r>
              <w:rPr>
                <w:rFonts w:hint="eastAsia" w:cs="Times New Roman"/>
                <w:color w:val="auto"/>
                <w:sz w:val="24"/>
                <w:szCs w:val="24"/>
                <w:lang w:val="en-US" w:eastAsia="zh-CN"/>
              </w:rPr>
              <w:t>90</w:t>
            </w:r>
            <w:r>
              <w:rPr>
                <w:rFonts w:hint="eastAsia" w:cs="Times New Roman"/>
                <w:color w:val="auto"/>
                <w:sz w:val="24"/>
                <w:szCs w:val="24"/>
              </w:rPr>
              <w:t>%计算，则收集的</w:t>
            </w:r>
            <w:r>
              <w:rPr>
                <w:rFonts w:hint="eastAsia" w:cs="Times New Roman"/>
                <w:color w:val="auto"/>
                <w:sz w:val="24"/>
                <w:szCs w:val="24"/>
                <w:lang w:val="en-US" w:eastAsia="zh-CN"/>
              </w:rPr>
              <w:t>VOC</w:t>
            </w:r>
            <w:r>
              <w:rPr>
                <w:rFonts w:hint="eastAsia" w:cs="Times New Roman"/>
                <w:color w:val="auto"/>
                <w:sz w:val="24"/>
                <w:szCs w:val="24"/>
                <w:vertAlign w:val="subscript"/>
                <w:lang w:val="en-US" w:eastAsia="zh-CN"/>
              </w:rPr>
              <w:t>S</w:t>
            </w:r>
            <w:r>
              <w:rPr>
                <w:rFonts w:hint="eastAsia" w:cs="Times New Roman"/>
                <w:color w:val="auto"/>
                <w:sz w:val="24"/>
                <w:szCs w:val="24"/>
                <w:lang w:eastAsia="zh-CN"/>
              </w:rPr>
              <w:t>有组织收集量</w:t>
            </w:r>
            <w:r>
              <w:rPr>
                <w:rFonts w:hint="eastAsia" w:cs="Times New Roman"/>
                <w:color w:val="auto"/>
                <w:sz w:val="24"/>
                <w:szCs w:val="24"/>
              </w:rPr>
              <w:t>为</w:t>
            </w:r>
            <w:r>
              <w:rPr>
                <w:rFonts w:hint="eastAsia" w:cs="Times New Roman"/>
                <w:color w:val="auto"/>
                <w:sz w:val="24"/>
                <w:szCs w:val="24"/>
                <w:lang w:val="en-US" w:eastAsia="zh-CN"/>
              </w:rPr>
              <w:t>5.4</w:t>
            </w:r>
            <w:r>
              <w:rPr>
                <w:rFonts w:hint="eastAsia" w:cs="Times New Roman"/>
                <w:color w:val="auto"/>
                <w:sz w:val="24"/>
                <w:szCs w:val="24"/>
              </w:rPr>
              <w:t>t/a。该套环保装置对</w:t>
            </w:r>
            <w:r>
              <w:rPr>
                <w:rFonts w:hint="eastAsia" w:cs="Times New Roman"/>
                <w:color w:val="auto"/>
                <w:sz w:val="24"/>
                <w:szCs w:val="24"/>
                <w:lang w:val="en-US" w:eastAsia="zh-CN"/>
              </w:rPr>
              <w:t>VOC</w:t>
            </w:r>
            <w:r>
              <w:rPr>
                <w:rFonts w:hint="eastAsia" w:cs="Times New Roman"/>
                <w:color w:val="auto"/>
                <w:sz w:val="24"/>
                <w:szCs w:val="24"/>
                <w:vertAlign w:val="subscript"/>
                <w:lang w:val="en-US" w:eastAsia="zh-CN"/>
              </w:rPr>
              <w:t>S</w:t>
            </w:r>
            <w:r>
              <w:rPr>
                <w:rFonts w:hint="eastAsia" w:cs="Times New Roman"/>
                <w:color w:val="auto"/>
                <w:sz w:val="24"/>
                <w:szCs w:val="24"/>
              </w:rPr>
              <w:t>去除效率</w:t>
            </w:r>
            <w:r>
              <w:rPr>
                <w:rFonts w:hint="eastAsia" w:cs="Times New Roman"/>
                <w:color w:val="auto"/>
                <w:sz w:val="24"/>
                <w:szCs w:val="24"/>
                <w:lang w:val="en-US" w:eastAsia="zh-CN"/>
              </w:rPr>
              <w:t>90</w:t>
            </w:r>
            <w:r>
              <w:rPr>
                <w:rFonts w:hint="eastAsia" w:cs="Times New Roman"/>
                <w:color w:val="auto"/>
                <w:sz w:val="24"/>
                <w:szCs w:val="24"/>
              </w:rPr>
              <w:t>%，风机风量</w:t>
            </w:r>
            <w:r>
              <w:rPr>
                <w:rFonts w:hint="eastAsia" w:cs="Times New Roman"/>
                <w:color w:val="auto"/>
                <w:sz w:val="24"/>
                <w:szCs w:val="24"/>
                <w:lang w:eastAsia="zh-CN"/>
              </w:rPr>
              <w:t>设置</w:t>
            </w:r>
            <w:r>
              <w:rPr>
                <w:rFonts w:hint="eastAsia" w:cs="Times New Roman"/>
                <w:color w:val="auto"/>
                <w:sz w:val="24"/>
                <w:szCs w:val="24"/>
              </w:rPr>
              <w:t>为</w:t>
            </w:r>
            <w:r>
              <w:rPr>
                <w:rFonts w:hint="eastAsia" w:cs="Times New Roman"/>
                <w:color w:val="auto"/>
                <w:sz w:val="24"/>
                <w:szCs w:val="24"/>
                <w:lang w:val="en-US" w:eastAsia="zh-CN"/>
              </w:rPr>
              <w:t>88</w:t>
            </w:r>
            <w:r>
              <w:rPr>
                <w:rFonts w:hint="eastAsia" w:cs="Times New Roman"/>
                <w:color w:val="auto"/>
                <w:sz w:val="24"/>
                <w:szCs w:val="24"/>
              </w:rPr>
              <w:t>000</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rPr>
              <w:t>/h，年工作时间按2400h计算，则</w:t>
            </w:r>
            <w:r>
              <w:rPr>
                <w:rFonts w:hint="eastAsia" w:cs="Times New Roman"/>
                <w:color w:val="auto"/>
                <w:sz w:val="24"/>
                <w:szCs w:val="24"/>
                <w:lang w:val="en-US" w:eastAsia="zh-CN"/>
              </w:rPr>
              <w:t>VOC</w:t>
            </w:r>
            <w:r>
              <w:rPr>
                <w:rFonts w:hint="eastAsia" w:cs="Times New Roman"/>
                <w:color w:val="auto"/>
                <w:sz w:val="24"/>
                <w:szCs w:val="24"/>
                <w:vertAlign w:val="subscript"/>
                <w:lang w:val="en-US" w:eastAsia="zh-CN"/>
              </w:rPr>
              <w:t>S</w:t>
            </w:r>
            <w:r>
              <w:rPr>
                <w:rFonts w:hint="eastAsia" w:cs="Times New Roman"/>
                <w:color w:val="auto"/>
                <w:sz w:val="24"/>
                <w:szCs w:val="24"/>
                <w:lang w:eastAsia="zh-CN"/>
              </w:rPr>
              <w:t>有组织</w:t>
            </w:r>
            <w:r>
              <w:rPr>
                <w:rFonts w:hint="eastAsia" w:cs="Times New Roman"/>
                <w:color w:val="auto"/>
                <w:sz w:val="24"/>
                <w:szCs w:val="24"/>
              </w:rPr>
              <w:t>排放量为</w:t>
            </w:r>
            <w:r>
              <w:rPr>
                <w:rFonts w:hint="eastAsia" w:cs="Times New Roman"/>
                <w:color w:val="auto"/>
                <w:sz w:val="24"/>
                <w:szCs w:val="24"/>
                <w:lang w:val="en-US" w:eastAsia="zh-CN"/>
              </w:rPr>
              <w:t>0.54</w:t>
            </w:r>
            <w:r>
              <w:rPr>
                <w:rFonts w:hint="eastAsia" w:cs="Times New Roman"/>
                <w:color w:val="auto"/>
                <w:sz w:val="24"/>
                <w:szCs w:val="24"/>
              </w:rPr>
              <w:t>t/a，排放速率为</w:t>
            </w:r>
            <w:r>
              <w:rPr>
                <w:rFonts w:hint="eastAsia" w:cs="Times New Roman"/>
                <w:color w:val="auto"/>
                <w:sz w:val="24"/>
                <w:szCs w:val="24"/>
                <w:lang w:val="en-US" w:eastAsia="zh-CN"/>
              </w:rPr>
              <w:t>0.225</w:t>
            </w:r>
            <w:r>
              <w:rPr>
                <w:rFonts w:hint="eastAsia" w:cs="Times New Roman"/>
                <w:color w:val="auto"/>
                <w:sz w:val="24"/>
                <w:szCs w:val="24"/>
              </w:rPr>
              <w:t>kg/h，排放浓度为</w:t>
            </w:r>
            <w:r>
              <w:rPr>
                <w:rFonts w:hint="eastAsia" w:cs="Times New Roman"/>
                <w:color w:val="auto"/>
                <w:sz w:val="24"/>
                <w:szCs w:val="24"/>
                <w:lang w:val="en-US" w:eastAsia="zh-CN"/>
              </w:rPr>
              <w:t>2.557</w:t>
            </w:r>
            <w:r>
              <w:rPr>
                <w:rFonts w:hint="eastAsia" w:cs="Times New Roman"/>
                <w:color w:val="auto"/>
                <w:sz w:val="24"/>
                <w:szCs w:val="24"/>
              </w:rPr>
              <w:t>mg/</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lang w:eastAsia="zh-CN"/>
              </w:rPr>
              <w:t>；</w:t>
            </w:r>
            <w:r>
              <w:rPr>
                <w:rFonts w:hint="eastAsia" w:cs="Times New Roman"/>
                <w:sz w:val="24"/>
                <w:szCs w:val="24"/>
                <w:lang w:eastAsia="zh-CN"/>
              </w:rPr>
              <w:t>无组织排放量为</w:t>
            </w:r>
            <w:r>
              <w:rPr>
                <w:rFonts w:hint="eastAsia" w:cs="Times New Roman"/>
                <w:sz w:val="24"/>
                <w:szCs w:val="24"/>
                <w:lang w:val="en-US" w:eastAsia="zh-CN"/>
              </w:rPr>
              <w:t>0.6t/a，排放速率为0.25kg/h</w:t>
            </w:r>
            <w:r>
              <w:rPr>
                <w:rFonts w:hint="eastAsia" w:cs="Times New Roman"/>
                <w:bCs/>
                <w:sz w:val="24"/>
                <w:szCs w:val="24"/>
              </w:rPr>
              <w:t>。在企业正常生产期间，通过加强废气的收集效率，定期对密闭间及生产、环保设备进行检修，增加其收集效率，降低无组织废气排放量。</w:t>
            </w:r>
            <w:r>
              <w:rPr>
                <w:rFonts w:hint="eastAsia" w:cs="Times New Roman"/>
                <w:sz w:val="24"/>
                <w:szCs w:val="24"/>
                <w:lang w:val="en-US" w:eastAsia="zh-CN"/>
              </w:rPr>
              <w:t>VOC</w:t>
            </w:r>
            <w:r>
              <w:rPr>
                <w:rFonts w:hint="eastAsia" w:cs="Times New Roman"/>
                <w:sz w:val="24"/>
                <w:szCs w:val="24"/>
                <w:vertAlign w:val="subscript"/>
                <w:lang w:val="en-US" w:eastAsia="zh-CN"/>
              </w:rPr>
              <w:t>S</w:t>
            </w:r>
            <w:r>
              <w:rPr>
                <w:rFonts w:hint="eastAsia" w:cs="Times New Roman"/>
                <w:sz w:val="24"/>
                <w:szCs w:val="24"/>
              </w:rPr>
              <w:t>排放满足《四川省固定污染源大气挥发性有机物排放标准》（DB51/2377-2017）中排放限值要求。</w:t>
            </w:r>
          </w:p>
          <w:p>
            <w:pPr>
              <w:spacing w:line="360" w:lineRule="auto"/>
              <w:ind w:firstLine="482" w:firstLineChars="200"/>
              <w:rPr>
                <w:rFonts w:hint="eastAsia"/>
                <w:b/>
                <w:bCs/>
                <w:color w:val="auto"/>
                <w:sz w:val="24"/>
                <w:lang w:eastAsia="zh-CN"/>
              </w:rPr>
            </w:pPr>
            <w:r>
              <w:rPr>
                <w:rFonts w:hint="eastAsia"/>
                <w:b/>
                <w:bCs/>
                <w:color w:val="auto"/>
                <w:sz w:val="24"/>
                <w:lang w:eastAsia="zh-CN"/>
              </w:rPr>
              <w:t>风量核算：</w:t>
            </w:r>
          </w:p>
          <w:p>
            <w:pPr>
              <w:spacing w:line="360" w:lineRule="auto"/>
              <w:ind w:firstLine="480" w:firstLineChars="200"/>
              <w:rPr>
                <w:rFonts w:hint="eastAsia"/>
                <w:b w:val="0"/>
                <w:bCs w:val="0"/>
                <w:color w:val="auto"/>
                <w:sz w:val="24"/>
                <w:lang w:val="en-US" w:eastAsia="zh-CN"/>
              </w:rPr>
            </w:pPr>
            <w:r>
              <w:rPr>
                <w:rFonts w:hint="eastAsia"/>
                <w:b w:val="0"/>
                <w:bCs w:val="0"/>
                <w:color w:val="auto"/>
                <w:sz w:val="24"/>
                <w:lang w:eastAsia="zh-CN"/>
              </w:rPr>
              <w:t>本项目镀膜前输送（4米），镀膜机（1.8米），镀膜后输送（4米），IR流平机（16米），UV固化机（2米）</w:t>
            </w:r>
            <w:r>
              <w:rPr>
                <w:rFonts w:hint="eastAsia"/>
                <w:b w:val="0"/>
                <w:bCs w:val="0"/>
                <w:color w:val="auto"/>
                <w:sz w:val="24"/>
                <w:lang w:val="en-US" w:eastAsia="zh-CN"/>
              </w:rPr>
              <w:t>，宽度均为3m，本项目按25m考虑有机废气收集，项目设置一个集气罩，为保证收集效率，集气罩设置多个抽风口。</w:t>
            </w:r>
          </w:p>
          <w:p>
            <w:pPr>
              <w:spacing w:line="360" w:lineRule="auto"/>
              <w:ind w:firstLine="480" w:firstLineChars="200"/>
              <w:rPr>
                <w:rFonts w:hint="eastAsia"/>
                <w:b w:val="0"/>
                <w:bCs w:val="0"/>
                <w:color w:val="auto"/>
                <w:sz w:val="24"/>
                <w:lang w:eastAsia="zh-CN"/>
              </w:rPr>
            </w:pPr>
            <w:r>
              <w:rPr>
                <w:rFonts w:hint="eastAsia"/>
                <w:b w:val="0"/>
                <w:bCs w:val="0"/>
                <w:color w:val="auto"/>
                <w:sz w:val="24"/>
                <w:lang w:eastAsia="zh-CN"/>
              </w:rPr>
              <w:t>根据《排风罩的分类及技术条件》(GB/T16758-2008) ，风量计算公示如下：</w:t>
            </w:r>
          </w:p>
          <w:p>
            <w:pPr>
              <w:spacing w:line="360" w:lineRule="auto"/>
              <w:ind w:firstLine="480" w:firstLineChars="200"/>
              <w:jc w:val="center"/>
              <w:rPr>
                <w:rFonts w:hint="default"/>
                <w:b w:val="0"/>
                <w:bCs w:val="0"/>
                <w:color w:val="auto"/>
                <w:sz w:val="24"/>
                <w:lang w:val="en-US" w:eastAsia="zh-CN"/>
              </w:rPr>
            </w:pPr>
            <w:r>
              <w:rPr>
                <w:rFonts w:hint="eastAsia"/>
                <w:b w:val="0"/>
                <w:bCs w:val="0"/>
                <w:color w:val="auto"/>
                <w:sz w:val="24"/>
                <w:lang w:eastAsia="zh-CN"/>
              </w:rPr>
              <w:t>Q=F</w:t>
            </w:r>
            <w:r>
              <w:rPr>
                <w:rFonts w:hint="eastAsia"/>
                <w:b w:val="0"/>
                <w:bCs w:val="0"/>
                <w:color w:val="auto"/>
                <w:sz w:val="24"/>
                <w:lang w:val="en-US" w:eastAsia="zh-CN"/>
              </w:rPr>
              <w:t>V</w:t>
            </w:r>
          </w:p>
          <w:p>
            <w:pPr>
              <w:spacing w:line="360" w:lineRule="auto"/>
              <w:ind w:firstLine="480" w:firstLineChars="200"/>
              <w:rPr>
                <w:rFonts w:hint="eastAsia"/>
                <w:b w:val="0"/>
                <w:bCs w:val="0"/>
                <w:color w:val="auto"/>
                <w:sz w:val="24"/>
                <w:vertAlign w:val="baseline"/>
                <w:lang w:eastAsia="zh-CN"/>
              </w:rPr>
            </w:pPr>
            <w:r>
              <w:rPr>
                <w:rFonts w:hint="eastAsia"/>
                <w:b w:val="0"/>
                <w:bCs w:val="0"/>
                <w:color w:val="auto"/>
                <w:sz w:val="24"/>
                <w:lang w:eastAsia="zh-CN"/>
              </w:rPr>
              <w:t>F一罩口面积， 单位m</w:t>
            </w:r>
            <w:r>
              <w:rPr>
                <w:rFonts w:hint="eastAsia"/>
                <w:b w:val="0"/>
                <w:bCs w:val="0"/>
                <w:color w:val="auto"/>
                <w:sz w:val="24"/>
                <w:vertAlign w:val="superscript"/>
                <w:lang w:eastAsia="zh-CN"/>
              </w:rPr>
              <w:t>2</w:t>
            </w:r>
            <w:r>
              <w:rPr>
                <w:rFonts w:hint="eastAsia"/>
                <w:b w:val="0"/>
                <w:bCs w:val="0"/>
                <w:color w:val="auto"/>
                <w:sz w:val="24"/>
                <w:lang w:eastAsia="zh-CN"/>
              </w:rPr>
              <w:t>；平均面积为（</w:t>
            </w:r>
            <w:r>
              <w:rPr>
                <w:rFonts w:hint="eastAsia"/>
                <w:b w:val="0"/>
                <w:bCs w:val="0"/>
                <w:color w:val="auto"/>
                <w:sz w:val="24"/>
                <w:lang w:val="en-US" w:eastAsia="zh-CN"/>
              </w:rPr>
              <w:t>25*3.2</w:t>
            </w:r>
            <w:r>
              <w:rPr>
                <w:rFonts w:hint="eastAsia"/>
                <w:b w:val="0"/>
                <w:bCs w:val="0"/>
                <w:color w:val="auto"/>
                <w:sz w:val="24"/>
                <w:lang w:eastAsia="zh-CN"/>
              </w:rPr>
              <w:t>）</w:t>
            </w:r>
            <w:r>
              <w:rPr>
                <w:rFonts w:hint="eastAsia"/>
                <w:b w:val="0"/>
                <w:bCs w:val="0"/>
                <w:color w:val="auto"/>
                <w:sz w:val="24"/>
                <w:lang w:val="en-US" w:eastAsia="zh-CN"/>
              </w:rPr>
              <w:t>80</w:t>
            </w:r>
            <w:r>
              <w:rPr>
                <w:rFonts w:hint="eastAsia"/>
                <w:b w:val="0"/>
                <w:bCs w:val="0"/>
                <w:color w:val="auto"/>
                <w:sz w:val="24"/>
                <w:lang w:eastAsia="zh-CN"/>
              </w:rPr>
              <w:t>m</w:t>
            </w:r>
            <w:r>
              <w:rPr>
                <w:rFonts w:hint="eastAsia"/>
                <w:b w:val="0"/>
                <w:bCs w:val="0"/>
                <w:color w:val="auto"/>
                <w:sz w:val="24"/>
                <w:vertAlign w:val="superscript"/>
                <w:lang w:eastAsia="zh-CN"/>
              </w:rPr>
              <w:t>2</w:t>
            </w:r>
            <w:r>
              <w:rPr>
                <w:rFonts w:hint="eastAsia"/>
                <w:b w:val="0"/>
                <w:bCs w:val="0"/>
                <w:color w:val="auto"/>
                <w:sz w:val="24"/>
                <w:vertAlign w:val="baseline"/>
                <w:lang w:eastAsia="zh-CN"/>
              </w:rPr>
              <w:t>，</w:t>
            </w:r>
          </w:p>
          <w:p>
            <w:pPr>
              <w:spacing w:line="360" w:lineRule="auto"/>
              <w:ind w:firstLine="480" w:firstLineChars="200"/>
              <w:rPr>
                <w:rFonts w:hint="eastAsia"/>
                <w:b w:val="0"/>
                <w:bCs w:val="0"/>
                <w:color w:val="auto"/>
                <w:sz w:val="24"/>
                <w:lang w:eastAsia="zh-CN"/>
              </w:rPr>
            </w:pPr>
            <w:r>
              <w:rPr>
                <w:rFonts w:hint="eastAsia"/>
                <w:b w:val="0"/>
                <w:bCs w:val="0"/>
                <w:color w:val="auto"/>
                <w:sz w:val="24"/>
                <w:lang w:eastAsia="zh-CN"/>
              </w:rPr>
              <w:t>V一罩口平均风速，单位m/s；本项目罩口平均风速取</w:t>
            </w:r>
            <w:r>
              <w:rPr>
                <w:rFonts w:hint="eastAsia"/>
                <w:b w:val="0"/>
                <w:bCs w:val="0"/>
                <w:color w:val="auto"/>
                <w:sz w:val="24"/>
                <w:lang w:val="en-US" w:eastAsia="zh-CN"/>
              </w:rPr>
              <w:t>0.3</w:t>
            </w:r>
            <w:r>
              <w:rPr>
                <w:rFonts w:hint="eastAsia"/>
                <w:b w:val="0"/>
                <w:bCs w:val="0"/>
                <w:color w:val="auto"/>
                <w:sz w:val="24"/>
                <w:lang w:eastAsia="zh-CN"/>
              </w:rPr>
              <w:t>m/s。</w:t>
            </w:r>
          </w:p>
          <w:p>
            <w:pPr>
              <w:spacing w:line="360" w:lineRule="auto"/>
              <w:ind w:firstLine="480" w:firstLineChars="200"/>
              <w:rPr>
                <w:rFonts w:hint="eastAsia"/>
                <w:b/>
                <w:sz w:val="24"/>
                <w:szCs w:val="24"/>
              </w:rPr>
            </w:pPr>
            <w:r>
              <w:rPr>
                <w:rFonts w:hint="eastAsia"/>
                <w:b w:val="0"/>
                <w:bCs w:val="0"/>
                <w:color w:val="auto"/>
                <w:sz w:val="24"/>
                <w:lang w:eastAsia="zh-CN"/>
              </w:rPr>
              <w:t>根据上式计算，Q=</w:t>
            </w:r>
            <w:r>
              <w:rPr>
                <w:rFonts w:hint="eastAsia"/>
                <w:b w:val="0"/>
                <w:bCs w:val="0"/>
                <w:color w:val="auto"/>
                <w:sz w:val="24"/>
                <w:lang w:val="en-US" w:eastAsia="zh-CN"/>
              </w:rPr>
              <w:t>80</w:t>
            </w:r>
            <w:r>
              <w:rPr>
                <w:rFonts w:hint="eastAsia"/>
                <w:b w:val="0"/>
                <w:bCs w:val="0"/>
                <w:color w:val="auto"/>
                <w:sz w:val="24"/>
                <w:lang w:eastAsia="zh-CN"/>
              </w:rPr>
              <w:t>*</w:t>
            </w:r>
            <w:r>
              <w:rPr>
                <w:rFonts w:hint="eastAsia"/>
                <w:b w:val="0"/>
                <w:bCs w:val="0"/>
                <w:color w:val="auto"/>
                <w:sz w:val="24"/>
                <w:lang w:val="en-US" w:eastAsia="zh-CN"/>
              </w:rPr>
              <w:t>0.3</w:t>
            </w:r>
            <w:r>
              <w:rPr>
                <w:rFonts w:hint="eastAsia"/>
                <w:b w:val="0"/>
                <w:bCs w:val="0"/>
                <w:color w:val="auto"/>
                <w:sz w:val="24"/>
                <w:lang w:eastAsia="zh-CN"/>
              </w:rPr>
              <w:t>*60*60=</w:t>
            </w:r>
            <w:r>
              <w:rPr>
                <w:rFonts w:hint="eastAsia"/>
                <w:b w:val="0"/>
                <w:bCs w:val="0"/>
                <w:color w:val="auto"/>
                <w:sz w:val="24"/>
                <w:lang w:val="en-US" w:eastAsia="zh-CN"/>
              </w:rPr>
              <w:t>86400</w:t>
            </w:r>
            <w:r>
              <w:rPr>
                <w:rFonts w:hint="eastAsia"/>
                <w:b w:val="0"/>
                <w:bCs w:val="0"/>
                <w:color w:val="auto"/>
                <w:sz w:val="24"/>
                <w:lang w:eastAsia="zh-CN"/>
              </w:rPr>
              <w:t>m</w:t>
            </w:r>
            <w:r>
              <w:rPr>
                <w:rFonts w:hint="eastAsia"/>
                <w:b w:val="0"/>
                <w:bCs w:val="0"/>
                <w:color w:val="auto"/>
                <w:sz w:val="24"/>
                <w:vertAlign w:val="superscript"/>
                <w:lang w:val="en-US" w:eastAsia="zh-CN"/>
              </w:rPr>
              <w:t>3</w:t>
            </w:r>
            <w:r>
              <w:rPr>
                <w:rFonts w:hint="eastAsia"/>
                <w:b w:val="0"/>
                <w:bCs w:val="0"/>
                <w:color w:val="auto"/>
                <w:sz w:val="24"/>
                <w:lang w:eastAsia="zh-CN"/>
              </w:rPr>
              <w:t>/h。 因此，项目</w:t>
            </w:r>
            <w:r>
              <w:rPr>
                <w:rFonts w:hint="eastAsia"/>
                <w:b w:val="0"/>
                <w:bCs w:val="0"/>
                <w:color w:val="auto"/>
                <w:sz w:val="24"/>
                <w:lang w:val="en-US" w:eastAsia="zh-CN"/>
              </w:rPr>
              <w:t>集气罩所需风量为86400</w:t>
            </w:r>
            <w:r>
              <w:rPr>
                <w:color w:val="auto"/>
                <w:sz w:val="24"/>
              </w:rPr>
              <w:t>m</w:t>
            </w:r>
            <w:r>
              <w:rPr>
                <w:rFonts w:hint="eastAsia"/>
                <w:color w:val="auto"/>
                <w:sz w:val="24"/>
                <w:vertAlign w:val="superscript"/>
              </w:rPr>
              <w:t>3</w:t>
            </w:r>
            <w:r>
              <w:rPr>
                <w:color w:val="auto"/>
                <w:sz w:val="24"/>
              </w:rPr>
              <w:t>/h</w:t>
            </w:r>
            <w:r>
              <w:rPr>
                <w:rFonts w:hint="eastAsia"/>
                <w:b w:val="0"/>
                <w:bCs w:val="0"/>
                <w:color w:val="auto"/>
                <w:sz w:val="24"/>
                <w:lang w:val="en-US" w:eastAsia="zh-CN"/>
              </w:rPr>
              <w:t>，取</w:t>
            </w:r>
            <w:r>
              <w:rPr>
                <w:rFonts w:hint="eastAsia"/>
                <w:color w:val="auto"/>
                <w:sz w:val="24"/>
                <w:lang w:val="en-US" w:eastAsia="zh-CN"/>
              </w:rPr>
              <w:t>88000</w:t>
            </w:r>
            <w:r>
              <w:rPr>
                <w:color w:val="auto"/>
                <w:sz w:val="24"/>
              </w:rPr>
              <w:t>m</w:t>
            </w:r>
            <w:r>
              <w:rPr>
                <w:rFonts w:hint="eastAsia"/>
                <w:color w:val="auto"/>
                <w:sz w:val="24"/>
                <w:vertAlign w:val="superscript"/>
              </w:rPr>
              <w:t>3</w:t>
            </w:r>
            <w:r>
              <w:rPr>
                <w:color w:val="auto"/>
                <w:sz w:val="24"/>
              </w:rPr>
              <w:t>/h</w:t>
            </w:r>
            <w:r>
              <w:rPr>
                <w:rFonts w:hint="eastAsia"/>
                <w:color w:val="auto"/>
                <w:sz w:val="24"/>
                <w:lang w:eastAsia="zh-CN"/>
              </w:rPr>
              <w:t>。</w:t>
            </w:r>
          </w:p>
          <w:p>
            <w:pPr>
              <w:spacing w:line="360" w:lineRule="auto"/>
              <w:ind w:firstLine="482" w:firstLineChars="200"/>
              <w:rPr>
                <w:b/>
                <w:sz w:val="24"/>
                <w:szCs w:val="24"/>
              </w:rPr>
            </w:pPr>
            <w:r>
              <w:rPr>
                <w:rFonts w:hint="eastAsia"/>
                <w:b/>
                <w:sz w:val="24"/>
                <w:szCs w:val="24"/>
              </w:rPr>
              <w:t>（</w:t>
            </w:r>
            <w:r>
              <w:rPr>
                <w:rFonts w:hint="eastAsia"/>
                <w:b/>
                <w:sz w:val="24"/>
                <w:szCs w:val="24"/>
                <w:lang w:val="en-US" w:eastAsia="zh-CN"/>
              </w:rPr>
              <w:t>2</w:t>
            </w:r>
            <w:r>
              <w:rPr>
                <w:rFonts w:hint="eastAsia"/>
                <w:b/>
                <w:sz w:val="24"/>
                <w:szCs w:val="24"/>
              </w:rPr>
              <w:t>）污染物排放信息</w:t>
            </w:r>
          </w:p>
          <w:p>
            <w:pPr>
              <w:spacing w:line="360" w:lineRule="auto"/>
              <w:ind w:firstLine="480" w:firstLineChars="200"/>
              <w:rPr>
                <w:sz w:val="24"/>
                <w:szCs w:val="24"/>
              </w:rPr>
            </w:pPr>
            <w:r>
              <w:rPr>
                <w:sz w:val="24"/>
                <w:szCs w:val="24"/>
              </w:rPr>
              <w:t>运营期</w:t>
            </w:r>
            <w:r>
              <w:rPr>
                <w:rFonts w:hint="eastAsia"/>
                <w:sz w:val="24"/>
                <w:szCs w:val="24"/>
              </w:rPr>
              <w:t>废气污染物排放信息见下表。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宋体"/>
                <w:b/>
                <w:bCs/>
                <w:i w:val="0"/>
                <w:kern w:val="2"/>
                <w:sz w:val="21"/>
                <w:szCs w:val="21"/>
                <w:vertAlign w:val="baseline"/>
                <w:lang w:val="en-US" w:eastAsia="zh-CN" w:bidi="ar-SA"/>
              </w:rPr>
            </w:pPr>
            <w:r>
              <w:rPr>
                <w:rFonts w:hint="default" w:ascii="Times New Roman" w:hAnsi="Times New Roman" w:eastAsia="宋体" w:cs="宋体"/>
                <w:b/>
                <w:bCs/>
                <w:i w:val="0"/>
                <w:kern w:val="2"/>
                <w:sz w:val="21"/>
                <w:szCs w:val="21"/>
                <w:vertAlign w:val="baseline"/>
                <w:lang w:val="en-US" w:eastAsia="zh-CN" w:bidi="ar-SA"/>
              </w:rPr>
              <w:t>表4-</w:t>
            </w:r>
            <w:r>
              <w:rPr>
                <w:rFonts w:hint="eastAsia" w:ascii="Times New Roman" w:hAnsi="Times New Roman" w:eastAsia="宋体" w:cs="宋体"/>
                <w:b/>
                <w:bCs/>
                <w:i w:val="0"/>
                <w:kern w:val="2"/>
                <w:sz w:val="21"/>
                <w:szCs w:val="21"/>
                <w:vertAlign w:val="baseline"/>
                <w:lang w:val="en-US" w:eastAsia="zh-CN" w:bidi="ar-SA"/>
              </w:rPr>
              <w:t>2</w:t>
            </w:r>
            <w:r>
              <w:rPr>
                <w:rFonts w:hint="default" w:ascii="Times New Roman" w:hAnsi="Times New Roman" w:eastAsia="宋体" w:cs="宋体"/>
                <w:b/>
                <w:bCs/>
                <w:i w:val="0"/>
                <w:kern w:val="2"/>
                <w:sz w:val="21"/>
                <w:szCs w:val="21"/>
                <w:vertAlign w:val="baseline"/>
                <w:lang w:val="en-US" w:eastAsia="zh-CN" w:bidi="ar-SA"/>
              </w:rPr>
              <w:t xml:space="preserve">     </w:t>
            </w:r>
            <w:r>
              <w:rPr>
                <w:rFonts w:hint="eastAsia" w:ascii="Times New Roman" w:hAnsi="Times New Roman" w:eastAsia="宋体" w:cs="宋体"/>
                <w:b/>
                <w:bCs/>
                <w:i w:val="0"/>
                <w:kern w:val="2"/>
                <w:sz w:val="21"/>
                <w:szCs w:val="21"/>
                <w:vertAlign w:val="baseline"/>
                <w:lang w:val="en-US" w:eastAsia="zh-CN" w:bidi="ar-SA"/>
              </w:rPr>
              <w:t>运营期废气污染物排放信息表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442"/>
              <w:gridCol w:w="638"/>
              <w:gridCol w:w="526"/>
              <w:gridCol w:w="646"/>
              <w:gridCol w:w="2382"/>
              <w:gridCol w:w="935"/>
              <w:gridCol w:w="778"/>
              <w:gridCol w:w="640"/>
              <w:gridCol w:w="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3" w:type="pct"/>
                  <w:vMerge w:val="restart"/>
                  <w:noWrap w:val="0"/>
                  <w:vAlign w:val="center"/>
                </w:tcPr>
                <w:p>
                  <w:pPr>
                    <w:pStyle w:val="13"/>
                    <w:adjustRightInd/>
                    <w:snapToGrid/>
                    <w:spacing w:line="240" w:lineRule="auto"/>
                    <w:ind w:left="0" w:right="0" w:firstLine="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位置</w:t>
                  </w:r>
                </w:p>
              </w:tc>
              <w:tc>
                <w:tcPr>
                  <w:tcW w:w="272" w:type="pct"/>
                  <w:vMerge w:val="restar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产污环节</w:t>
                  </w:r>
                </w:p>
              </w:tc>
              <w:tc>
                <w:tcPr>
                  <w:tcW w:w="393" w:type="pct"/>
                  <w:vMerge w:val="restar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污染物种类</w:t>
                  </w:r>
                </w:p>
              </w:tc>
              <w:tc>
                <w:tcPr>
                  <w:tcW w:w="722" w:type="pct"/>
                  <w:gridSpan w:val="2"/>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污染物产生情况</w:t>
                  </w:r>
                </w:p>
              </w:tc>
              <w:tc>
                <w:tcPr>
                  <w:tcW w:w="1467" w:type="pct"/>
                  <w:vMerge w:val="restar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治理措施</w:t>
                  </w:r>
                </w:p>
              </w:tc>
              <w:tc>
                <w:tcPr>
                  <w:tcW w:w="1881" w:type="pct"/>
                  <w:gridSpan w:val="4"/>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3"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p>
              </w:tc>
              <w:tc>
                <w:tcPr>
                  <w:tcW w:w="272"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p>
              </w:tc>
              <w:tc>
                <w:tcPr>
                  <w:tcW w:w="393"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p>
              </w:tc>
              <w:tc>
                <w:tcPr>
                  <w:tcW w:w="324" w:type="pc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398" w:type="pc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速率kg/h</w:t>
                  </w:r>
                </w:p>
              </w:tc>
              <w:tc>
                <w:tcPr>
                  <w:tcW w:w="1467"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p>
              </w:tc>
              <w:tc>
                <w:tcPr>
                  <w:tcW w:w="576" w:type="pc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排放形式</w:t>
                  </w:r>
                </w:p>
              </w:tc>
              <w:tc>
                <w:tcPr>
                  <w:tcW w:w="479" w:type="pc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394" w:type="pc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速率kg/h</w:t>
                  </w:r>
                </w:p>
              </w:tc>
              <w:tc>
                <w:tcPr>
                  <w:tcW w:w="431" w:type="pct"/>
                  <w:noWrap w:val="0"/>
                  <w:vAlign w:val="center"/>
                </w:tcPr>
                <w:p>
                  <w:pPr>
                    <w:pStyle w:val="13"/>
                    <w:adjustRightInd/>
                    <w:snapToGrid/>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263" w:type="pct"/>
                  <w:vMerge w:val="restart"/>
                  <w:noWrap w:val="0"/>
                  <w:vAlign w:val="center"/>
                </w:tcPr>
                <w:p>
                  <w:pPr>
                    <w:pStyle w:val="13"/>
                    <w:adjustRightInd/>
                    <w:snapToGrid/>
                    <w:spacing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镀膜车间</w:t>
                  </w:r>
                </w:p>
              </w:tc>
              <w:tc>
                <w:tcPr>
                  <w:tcW w:w="272" w:type="pct"/>
                  <w:vMerge w:val="restart"/>
                  <w:noWrap w:val="0"/>
                  <w:vAlign w:val="center"/>
                </w:tcPr>
                <w:p>
                  <w:pPr>
                    <w:pStyle w:val="13"/>
                    <w:adjustRightInd/>
                    <w:snapToGrid/>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有机废气</w:t>
                  </w:r>
                </w:p>
              </w:tc>
              <w:tc>
                <w:tcPr>
                  <w:tcW w:w="393" w:type="pct"/>
                  <w:vMerge w:val="restar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VOCs</w:t>
                  </w:r>
                </w:p>
              </w:tc>
              <w:tc>
                <w:tcPr>
                  <w:tcW w:w="324" w:type="pct"/>
                  <w:vMerge w:val="restart"/>
                  <w:noWrap w:val="0"/>
                  <w:vAlign w:val="center"/>
                </w:tcPr>
                <w:p>
                  <w:pPr>
                    <w:pStyle w:val="13"/>
                    <w:adjustRightInd/>
                    <w:snapToGrid/>
                    <w:spacing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398" w:type="pct"/>
                  <w:vMerge w:val="restar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1467" w:type="pct"/>
                  <w:vMerge w:val="restar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设置集气罩</w:t>
                  </w:r>
                  <w:r>
                    <w:rPr>
                      <w:rFonts w:hint="eastAsia" w:eastAsia="宋体"/>
                      <w:sz w:val="21"/>
                      <w:szCs w:val="20"/>
                      <w:lang w:val="en-US" w:eastAsia="zh-CN"/>
                    </w:rPr>
                    <w:t>+软帘</w:t>
                  </w:r>
                  <w:r>
                    <w:rPr>
                      <w:rFonts w:hint="eastAsia" w:cs="Times New Roman"/>
                      <w:color w:val="auto"/>
                      <w:sz w:val="21"/>
                      <w:szCs w:val="21"/>
                      <w:lang w:eastAsia="zh-CN"/>
                    </w:rPr>
                    <w:t>（收集效率</w:t>
                  </w:r>
                  <w:r>
                    <w:rPr>
                      <w:rFonts w:hint="eastAsia" w:cs="Times New Roman"/>
                      <w:color w:val="auto"/>
                      <w:sz w:val="21"/>
                      <w:szCs w:val="21"/>
                      <w:lang w:val="en-US" w:eastAsia="zh-CN"/>
                    </w:rPr>
                    <w:t>90%</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二级活性炭</w:t>
                  </w:r>
                  <w:r>
                    <w:rPr>
                      <w:rFonts w:hint="eastAsia" w:cs="Times New Roman"/>
                      <w:color w:val="auto"/>
                      <w:sz w:val="21"/>
                      <w:szCs w:val="21"/>
                      <w:lang w:eastAsia="zh-CN"/>
                    </w:rPr>
                    <w:t>（去除效率</w:t>
                  </w:r>
                  <w:r>
                    <w:rPr>
                      <w:rFonts w:hint="eastAsia" w:cs="Times New Roman"/>
                      <w:color w:val="auto"/>
                      <w:sz w:val="21"/>
                      <w:szCs w:val="21"/>
                      <w:lang w:val="en-US" w:eastAsia="zh-CN"/>
                    </w:rPr>
                    <w:t>90%</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+15m高排气筒（</w:t>
                  </w:r>
                  <w:r>
                    <w:rPr>
                      <w:rFonts w:hint="eastAsia" w:ascii="Times New Roman" w:hAnsi="Times New Roman" w:eastAsia="宋体" w:cs="Times New Roman"/>
                      <w:color w:val="auto"/>
                      <w:sz w:val="21"/>
                      <w:szCs w:val="21"/>
                      <w:lang w:eastAsia="zh-CN"/>
                    </w:rPr>
                    <w:t>DA001</w:t>
                  </w:r>
                  <w:r>
                    <w:rPr>
                      <w:rFonts w:hint="default" w:ascii="Times New Roman" w:hAnsi="Times New Roman" w:eastAsia="宋体" w:cs="Times New Roman"/>
                      <w:color w:val="auto"/>
                      <w:sz w:val="21"/>
                      <w:szCs w:val="21"/>
                      <w:lang w:eastAsia="zh-CN"/>
                    </w:rPr>
                    <w:t>）</w:t>
                  </w:r>
                </w:p>
              </w:tc>
              <w:tc>
                <w:tcPr>
                  <w:tcW w:w="576"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有组织</w:t>
                  </w:r>
                </w:p>
              </w:tc>
              <w:tc>
                <w:tcPr>
                  <w:tcW w:w="479"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0.54</w:t>
                  </w:r>
                </w:p>
              </w:tc>
              <w:tc>
                <w:tcPr>
                  <w:tcW w:w="394"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0.225</w:t>
                  </w:r>
                </w:p>
              </w:tc>
              <w:tc>
                <w:tcPr>
                  <w:tcW w:w="431"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3"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color w:val="auto"/>
                      <w:sz w:val="21"/>
                      <w:szCs w:val="21"/>
                    </w:rPr>
                  </w:pPr>
                </w:p>
              </w:tc>
              <w:tc>
                <w:tcPr>
                  <w:tcW w:w="272"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color w:val="auto"/>
                      <w:sz w:val="21"/>
                      <w:szCs w:val="21"/>
                    </w:rPr>
                  </w:pPr>
                </w:p>
              </w:tc>
              <w:tc>
                <w:tcPr>
                  <w:tcW w:w="393"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color w:val="auto"/>
                      <w:sz w:val="21"/>
                      <w:szCs w:val="21"/>
                    </w:rPr>
                  </w:pPr>
                </w:p>
              </w:tc>
              <w:tc>
                <w:tcPr>
                  <w:tcW w:w="324"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color w:val="auto"/>
                      <w:sz w:val="21"/>
                      <w:szCs w:val="21"/>
                    </w:rPr>
                  </w:pPr>
                </w:p>
              </w:tc>
              <w:tc>
                <w:tcPr>
                  <w:tcW w:w="398" w:type="pct"/>
                  <w:vMerge w:val="continue"/>
                  <w:noWrap w:val="0"/>
                  <w:vAlign w:val="center"/>
                </w:tcPr>
                <w:p>
                  <w:pPr>
                    <w:pStyle w:val="13"/>
                    <w:adjustRightInd/>
                    <w:snapToGrid/>
                    <w:spacing w:line="240" w:lineRule="auto"/>
                    <w:ind w:left="0" w:right="0" w:firstLine="0"/>
                    <w:jc w:val="center"/>
                    <w:rPr>
                      <w:rFonts w:hint="default" w:ascii="Times New Roman" w:hAnsi="Times New Roman" w:cs="Times New Roman"/>
                      <w:color w:val="auto"/>
                      <w:sz w:val="21"/>
                      <w:szCs w:val="21"/>
                    </w:rPr>
                  </w:pPr>
                </w:p>
              </w:tc>
              <w:tc>
                <w:tcPr>
                  <w:tcW w:w="1467" w:type="pct"/>
                  <w:vMerge w:val="continue"/>
                  <w:noWrap w:val="0"/>
                  <w:vAlign w:val="center"/>
                </w:tcPr>
                <w:p>
                  <w:pPr>
                    <w:pStyle w:val="13"/>
                    <w:adjustRightInd/>
                    <w:snapToGrid/>
                    <w:spacing w:line="240" w:lineRule="auto"/>
                    <w:ind w:left="0" w:right="0" w:firstLine="0"/>
                    <w:jc w:val="center"/>
                    <w:rPr>
                      <w:rFonts w:hint="default" w:ascii="Times New Roman" w:hAnsi="Times New Roman" w:eastAsia="宋体" w:cs="Times New Roman"/>
                      <w:color w:val="auto"/>
                      <w:sz w:val="21"/>
                      <w:szCs w:val="21"/>
                      <w:lang w:eastAsia="zh-CN"/>
                    </w:rPr>
                  </w:pPr>
                </w:p>
              </w:tc>
              <w:tc>
                <w:tcPr>
                  <w:tcW w:w="576"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无组织</w:t>
                  </w:r>
                </w:p>
              </w:tc>
              <w:tc>
                <w:tcPr>
                  <w:tcW w:w="479"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394"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0.25</w:t>
                  </w:r>
                </w:p>
              </w:tc>
              <w:tc>
                <w:tcPr>
                  <w:tcW w:w="431" w:type="pct"/>
                  <w:noWrap w:val="0"/>
                  <w:vAlign w:val="center"/>
                </w:tcPr>
                <w:p>
                  <w:pPr>
                    <w:pStyle w:val="13"/>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p>
              </w:tc>
            </w:tr>
          </w:tbl>
          <w:p>
            <w:pPr>
              <w:adjustRightInd w:val="0"/>
              <w:snapToGrid w:val="0"/>
              <w:spacing w:before="120" w:beforeLines="50" w:line="360" w:lineRule="auto"/>
              <w:ind w:firstLine="482" w:firstLineChars="200"/>
              <w:rPr>
                <w:rFonts w:ascii="Times New Roman" w:hAnsi="Times New Roman" w:eastAsia="宋体"/>
                <w:b/>
                <w:color w:val="auto"/>
                <w:sz w:val="24"/>
                <w:szCs w:val="22"/>
                <w:shd w:val="clear" w:color="auto" w:fill="auto"/>
              </w:rPr>
            </w:pPr>
            <w:r>
              <w:rPr>
                <w:rFonts w:hint="eastAsia" w:ascii="Times New Roman" w:hAnsi="Times New Roman" w:eastAsia="宋体"/>
                <w:b/>
                <w:color w:val="auto"/>
                <w:sz w:val="24"/>
                <w:szCs w:val="22"/>
                <w:shd w:val="clear" w:color="auto" w:fill="auto"/>
                <w:lang w:eastAsia="zh-CN"/>
              </w:rPr>
              <w:t>（</w:t>
            </w:r>
            <w:r>
              <w:rPr>
                <w:rFonts w:hint="eastAsia" w:ascii="Times New Roman" w:hAnsi="Times New Roman" w:eastAsia="宋体"/>
                <w:b/>
                <w:color w:val="auto"/>
                <w:sz w:val="24"/>
                <w:szCs w:val="22"/>
                <w:shd w:val="clear" w:color="auto" w:fill="auto"/>
                <w:lang w:val="en-US" w:eastAsia="zh-CN"/>
              </w:rPr>
              <w:t>3</w:t>
            </w:r>
            <w:r>
              <w:rPr>
                <w:rFonts w:hint="eastAsia" w:ascii="Times New Roman" w:hAnsi="Times New Roman" w:eastAsia="宋体"/>
                <w:b/>
                <w:color w:val="auto"/>
                <w:sz w:val="24"/>
                <w:szCs w:val="22"/>
                <w:shd w:val="clear" w:color="auto" w:fill="auto"/>
                <w:lang w:eastAsia="zh-CN"/>
              </w:rPr>
              <w:t>）</w:t>
            </w:r>
            <w:r>
              <w:rPr>
                <w:rFonts w:ascii="Times New Roman" w:hAnsi="Times New Roman" w:eastAsia="宋体"/>
                <w:b/>
                <w:color w:val="auto"/>
                <w:sz w:val="24"/>
                <w:szCs w:val="22"/>
                <w:shd w:val="clear" w:color="auto" w:fill="auto"/>
              </w:rPr>
              <w:t>污染防治技术可行性分析</w:t>
            </w:r>
          </w:p>
          <w:p>
            <w:pPr>
              <w:numPr>
                <w:ilvl w:val="0"/>
                <w:numId w:val="0"/>
              </w:numPr>
              <w:adjustRightInd w:val="0"/>
              <w:snapToGrid w:val="0"/>
              <w:spacing w:line="360" w:lineRule="auto"/>
              <w:ind w:firstLine="482" w:firstLineChars="200"/>
              <w:rPr>
                <w:rFonts w:hint="eastAsia" w:ascii="Times New Roman" w:hAnsi="Times New Roman" w:eastAsia="宋体"/>
                <w:b/>
                <w:bCs/>
                <w:color w:val="auto"/>
                <w:sz w:val="24"/>
                <w:szCs w:val="28"/>
                <w:shd w:val="clear" w:color="auto" w:fill="auto"/>
                <w:lang w:eastAsia="zh-CN"/>
              </w:rPr>
            </w:pPr>
            <w:r>
              <w:rPr>
                <w:rFonts w:hint="eastAsia" w:ascii="Times New Roman" w:hAnsi="Times New Roman" w:eastAsia="宋体"/>
                <w:b/>
                <w:bCs/>
                <w:color w:val="auto"/>
                <w:sz w:val="24"/>
                <w:szCs w:val="28"/>
                <w:shd w:val="clear" w:color="auto" w:fill="auto"/>
              </w:rPr>
              <w:t>活性炭吸附</w:t>
            </w:r>
            <w:r>
              <w:rPr>
                <w:rFonts w:hint="eastAsia" w:ascii="Times New Roman" w:hAnsi="Times New Roman" w:eastAsia="宋体"/>
                <w:b/>
                <w:bCs/>
                <w:color w:val="auto"/>
                <w:sz w:val="24"/>
                <w:szCs w:val="28"/>
                <w:shd w:val="clear" w:color="auto" w:fill="auto"/>
                <w:lang w:eastAsia="zh-CN"/>
              </w:rPr>
              <w:t>工作原理：</w:t>
            </w:r>
          </w:p>
          <w:p>
            <w:pPr>
              <w:numPr>
                <w:ilvl w:val="0"/>
                <w:numId w:val="0"/>
              </w:numPr>
              <w:adjustRightInd w:val="0"/>
              <w:snapToGrid w:val="0"/>
              <w:spacing w:line="360" w:lineRule="auto"/>
              <w:ind w:firstLine="480" w:firstLineChars="200"/>
              <w:rPr>
                <w:rFonts w:hint="eastAsia" w:ascii="Times New Roman" w:hAnsi="Times New Roman" w:eastAsia="宋体"/>
                <w:b w:val="0"/>
                <w:bCs w:val="0"/>
                <w:color w:val="auto"/>
                <w:sz w:val="24"/>
                <w:szCs w:val="28"/>
                <w:shd w:val="clear" w:color="auto" w:fill="auto"/>
              </w:rPr>
            </w:pPr>
            <w:r>
              <w:rPr>
                <w:rFonts w:hint="eastAsia" w:ascii="Times New Roman" w:hAnsi="Times New Roman" w:eastAsia="宋体"/>
                <w:b w:val="0"/>
                <w:bCs w:val="0"/>
                <w:color w:val="auto"/>
                <w:sz w:val="24"/>
                <w:szCs w:val="28"/>
                <w:shd w:val="clear" w:color="auto" w:fill="auto"/>
              </w:rPr>
              <w:t>由于活性炭固体表面上存在着未平衡和未饱和的分子引力或化学键力，因此当此固体表面与气体接触时，就能吸引气体分子，使其浓聚并保持在固体表面，利用固体表面的吸附能力，使废气与大表面的多孔性固体物质相接触，废气中的污染物被吸附在固体表面上，使其与气体混合物分离，达到净化目的。</w:t>
            </w:r>
          </w:p>
          <w:p>
            <w:pPr>
              <w:autoSpaceDE/>
              <w:autoSpaceDN/>
              <w:spacing w:line="360" w:lineRule="auto"/>
              <w:ind w:firstLine="480" w:firstLineChars="200"/>
              <w:rPr>
                <w:rFonts w:hint="eastAsia" w:ascii="Times New Roman" w:hAnsi="Times New Roman" w:cs="Times New Roman"/>
                <w:b/>
                <w:bCs/>
                <w:color w:val="FF0000"/>
                <w:kern w:val="2"/>
                <w:sz w:val="32"/>
                <w:szCs w:val="32"/>
                <w:lang w:eastAsia="zh-CN"/>
              </w:rPr>
            </w:pPr>
            <w:r>
              <w:rPr>
                <w:rFonts w:hint="eastAsia" w:ascii="Times New Roman" w:hAnsi="Times New Roman" w:eastAsia="宋体" w:cs="Times New Roman"/>
                <w:b w:val="0"/>
                <w:bCs w:val="0"/>
                <w:color w:val="auto"/>
                <w:sz w:val="24"/>
                <w:szCs w:val="28"/>
                <w:shd w:val="clear" w:color="auto" w:fill="auto"/>
              </w:rPr>
              <w:t>为保证活性炭吸附效率，收集的废气烟温应保证在40℃以下。本项目</w:t>
            </w:r>
            <w:r>
              <w:rPr>
                <w:rFonts w:hint="eastAsia" w:ascii="Times New Roman" w:hAnsi="Times New Roman" w:eastAsia="宋体" w:cs="Times New Roman"/>
                <w:b w:val="0"/>
                <w:bCs w:val="0"/>
                <w:color w:val="auto"/>
                <w:sz w:val="24"/>
                <w:szCs w:val="28"/>
                <w:shd w:val="clear" w:color="auto" w:fill="auto"/>
                <w:lang w:eastAsia="zh-CN"/>
              </w:rPr>
              <w:t>固化</w:t>
            </w:r>
            <w:r>
              <w:rPr>
                <w:rFonts w:hint="eastAsia" w:ascii="Times New Roman" w:hAnsi="Times New Roman" w:eastAsia="宋体" w:cs="Times New Roman"/>
                <w:b w:val="0"/>
                <w:bCs w:val="0"/>
                <w:color w:val="auto"/>
                <w:sz w:val="24"/>
                <w:szCs w:val="28"/>
                <w:shd w:val="clear" w:color="auto" w:fill="auto"/>
              </w:rPr>
              <w:t>过程温度为</w:t>
            </w:r>
            <w:r>
              <w:rPr>
                <w:rFonts w:hint="eastAsia" w:ascii="Times New Roman" w:hAnsi="Times New Roman" w:eastAsia="宋体" w:cs="Times New Roman"/>
                <w:b w:val="0"/>
                <w:bCs w:val="0"/>
                <w:color w:val="auto"/>
                <w:sz w:val="24"/>
                <w:szCs w:val="28"/>
                <w:shd w:val="clear" w:color="auto" w:fill="auto"/>
                <w:lang w:val="en-US" w:eastAsia="zh-CN"/>
              </w:rPr>
              <w:t>80</w:t>
            </w:r>
            <w:r>
              <w:rPr>
                <w:rFonts w:hint="eastAsia" w:ascii="Times New Roman" w:hAnsi="Times New Roman" w:eastAsia="宋体" w:cs="Times New Roman"/>
                <w:b w:val="0"/>
                <w:bCs w:val="0"/>
                <w:color w:val="auto"/>
                <w:sz w:val="24"/>
                <w:szCs w:val="28"/>
                <w:shd w:val="clear" w:color="auto" w:fill="auto"/>
              </w:rPr>
              <w:t>~</w:t>
            </w:r>
            <w:r>
              <w:rPr>
                <w:rFonts w:hint="eastAsia" w:ascii="Times New Roman" w:hAnsi="Times New Roman" w:eastAsia="宋体" w:cs="Times New Roman"/>
                <w:b w:val="0"/>
                <w:bCs w:val="0"/>
                <w:color w:val="auto"/>
                <w:sz w:val="24"/>
                <w:szCs w:val="28"/>
                <w:shd w:val="clear" w:color="auto" w:fill="auto"/>
                <w:lang w:val="en-US" w:eastAsia="zh-CN"/>
              </w:rPr>
              <w:t>150</w:t>
            </w:r>
            <w:r>
              <w:rPr>
                <w:rFonts w:hint="eastAsia" w:ascii="Times New Roman" w:hAnsi="Times New Roman" w:eastAsia="宋体" w:cs="Times New Roman"/>
                <w:b w:val="0"/>
                <w:bCs w:val="0"/>
                <w:color w:val="auto"/>
                <w:sz w:val="24"/>
                <w:szCs w:val="28"/>
                <w:shd w:val="clear" w:color="auto" w:fill="auto"/>
              </w:rPr>
              <w:t>℃，</w:t>
            </w:r>
            <w:r>
              <w:rPr>
                <w:rFonts w:hint="eastAsia" w:cs="Times New Roman"/>
                <w:b w:val="0"/>
                <w:bCs w:val="0"/>
                <w:color w:val="auto"/>
                <w:sz w:val="24"/>
                <w:szCs w:val="28"/>
                <w:shd w:val="clear" w:color="auto" w:fill="auto"/>
                <w:lang w:eastAsia="zh-CN"/>
              </w:rPr>
              <w:t>集气罩收集后与其他部分收集废气汇合，</w:t>
            </w:r>
            <w:r>
              <w:rPr>
                <w:rFonts w:hint="eastAsia" w:ascii="Times New Roman" w:hAnsi="Times New Roman" w:eastAsia="宋体" w:cs="Times New Roman"/>
                <w:b w:val="0"/>
                <w:bCs w:val="0"/>
                <w:color w:val="auto"/>
                <w:sz w:val="24"/>
                <w:szCs w:val="28"/>
                <w:shd w:val="clear" w:color="auto" w:fill="auto"/>
                <w:lang w:val="en-US" w:eastAsia="zh-CN"/>
              </w:rPr>
              <w:t>固化烘道出口处温度为</w:t>
            </w:r>
            <w:r>
              <w:rPr>
                <w:rFonts w:hint="eastAsia" w:cs="Times New Roman"/>
                <w:b w:val="0"/>
                <w:bCs w:val="0"/>
                <w:color w:val="auto"/>
                <w:sz w:val="24"/>
                <w:szCs w:val="28"/>
                <w:shd w:val="clear" w:color="auto" w:fill="auto"/>
                <w:lang w:val="en-US" w:eastAsia="zh-CN"/>
              </w:rPr>
              <w:t>5</w:t>
            </w:r>
            <w:r>
              <w:rPr>
                <w:rFonts w:hint="eastAsia" w:ascii="Times New Roman" w:hAnsi="Times New Roman" w:eastAsia="宋体" w:cs="Times New Roman"/>
                <w:b w:val="0"/>
                <w:bCs w:val="0"/>
                <w:color w:val="auto"/>
                <w:sz w:val="24"/>
                <w:szCs w:val="28"/>
                <w:shd w:val="clear" w:color="auto" w:fill="auto"/>
                <w:lang w:val="en-US" w:eastAsia="zh-CN"/>
              </w:rPr>
              <w:t>0℃</w:t>
            </w:r>
            <w:r>
              <w:rPr>
                <w:rFonts w:hint="eastAsia" w:ascii="Times New Roman" w:hAnsi="Times New Roman" w:eastAsia="宋体" w:cs="Times New Roman"/>
                <w:b w:val="0"/>
                <w:bCs w:val="0"/>
                <w:color w:val="auto"/>
                <w:sz w:val="24"/>
                <w:szCs w:val="28"/>
                <w:shd w:val="clear" w:color="auto" w:fill="auto"/>
                <w:lang w:eastAsia="zh-CN"/>
              </w:rPr>
              <w:t>，固化</w:t>
            </w:r>
            <w:r>
              <w:rPr>
                <w:rFonts w:hint="eastAsia" w:ascii="Times New Roman" w:hAnsi="Times New Roman" w:eastAsia="宋体" w:cs="Times New Roman"/>
                <w:b w:val="0"/>
                <w:bCs w:val="0"/>
                <w:color w:val="auto"/>
                <w:sz w:val="24"/>
                <w:szCs w:val="28"/>
                <w:shd w:val="clear" w:color="auto" w:fill="auto"/>
              </w:rPr>
              <w:t>后产生的废气经集气罩收集后</w:t>
            </w:r>
            <w:r>
              <w:rPr>
                <w:rFonts w:hint="eastAsia" w:ascii="Times New Roman" w:hAnsi="Times New Roman" w:eastAsia="宋体" w:cs="Times New Roman"/>
                <w:b w:val="0"/>
                <w:bCs w:val="0"/>
                <w:color w:val="auto"/>
                <w:sz w:val="24"/>
                <w:szCs w:val="28"/>
                <w:shd w:val="clear" w:color="auto" w:fill="auto"/>
                <w:lang w:eastAsia="zh-CN"/>
              </w:rPr>
              <w:t>通过</w:t>
            </w:r>
            <w:r>
              <w:rPr>
                <w:rFonts w:hint="eastAsia" w:cs="Times New Roman"/>
                <w:b w:val="0"/>
                <w:bCs w:val="0"/>
                <w:color w:val="auto"/>
                <w:sz w:val="24"/>
                <w:szCs w:val="28"/>
                <w:shd w:val="clear" w:color="auto" w:fill="auto"/>
                <w:lang w:val="en-US" w:eastAsia="zh-CN"/>
              </w:rPr>
              <w:t>15</w:t>
            </w:r>
            <w:r>
              <w:rPr>
                <w:rFonts w:hint="eastAsia" w:ascii="Times New Roman" w:hAnsi="Times New Roman" w:eastAsia="宋体" w:cs="Times New Roman"/>
                <w:b w:val="0"/>
                <w:bCs w:val="0"/>
                <w:color w:val="auto"/>
                <w:sz w:val="24"/>
                <w:szCs w:val="28"/>
                <w:shd w:val="clear" w:color="auto" w:fill="auto"/>
                <w:lang w:val="en-US" w:eastAsia="zh-CN"/>
              </w:rPr>
              <w:t>m长</w:t>
            </w:r>
            <w:r>
              <w:rPr>
                <w:rFonts w:hint="eastAsia" w:ascii="Times New Roman" w:hAnsi="Times New Roman" w:eastAsia="宋体" w:cs="Times New Roman"/>
                <w:b w:val="0"/>
                <w:bCs w:val="0"/>
                <w:color w:val="auto"/>
                <w:sz w:val="24"/>
                <w:szCs w:val="28"/>
                <w:shd w:val="clear" w:color="auto" w:fill="auto"/>
                <w:lang w:eastAsia="zh-CN"/>
              </w:rPr>
              <w:t>管道</w:t>
            </w:r>
            <w:r>
              <w:rPr>
                <w:rFonts w:hint="eastAsia" w:ascii="Times New Roman" w:hAnsi="Times New Roman" w:eastAsia="宋体" w:cs="Times New Roman"/>
                <w:b w:val="0"/>
                <w:bCs w:val="0"/>
                <w:color w:val="auto"/>
                <w:sz w:val="24"/>
                <w:szCs w:val="28"/>
                <w:shd w:val="clear" w:color="auto" w:fill="auto"/>
              </w:rPr>
              <w:t>，进入活性炭</w:t>
            </w:r>
            <w:r>
              <w:rPr>
                <w:rFonts w:hint="eastAsia" w:ascii="Times New Roman" w:hAnsi="Times New Roman" w:eastAsia="宋体" w:cs="Times New Roman"/>
                <w:b w:val="0"/>
                <w:bCs w:val="0"/>
                <w:color w:val="auto"/>
                <w:sz w:val="24"/>
                <w:szCs w:val="28"/>
                <w:shd w:val="clear" w:color="auto" w:fill="auto"/>
                <w:lang w:eastAsia="zh-CN"/>
              </w:rPr>
              <w:t>，此时</w:t>
            </w:r>
            <w:r>
              <w:rPr>
                <w:rFonts w:hint="eastAsia" w:ascii="Times New Roman" w:hAnsi="Times New Roman" w:eastAsia="宋体" w:cs="Times New Roman"/>
                <w:b w:val="0"/>
                <w:bCs w:val="0"/>
                <w:color w:val="auto"/>
                <w:sz w:val="24"/>
                <w:szCs w:val="28"/>
                <w:shd w:val="clear" w:color="auto" w:fill="auto"/>
              </w:rPr>
              <w:t>烟温已冷却为</w:t>
            </w:r>
            <w:r>
              <w:rPr>
                <w:rFonts w:hint="eastAsia" w:ascii="Times New Roman" w:hAnsi="Times New Roman" w:eastAsia="宋体" w:cs="Times New Roman"/>
                <w:b w:val="0"/>
                <w:bCs w:val="0"/>
                <w:color w:val="auto"/>
                <w:sz w:val="24"/>
                <w:szCs w:val="28"/>
                <w:shd w:val="clear" w:color="auto" w:fill="auto"/>
                <w:lang w:val="en-US" w:eastAsia="zh-CN"/>
              </w:rPr>
              <w:t>30</w:t>
            </w:r>
            <w:r>
              <w:rPr>
                <w:rFonts w:hint="eastAsia" w:ascii="Times New Roman" w:hAnsi="Times New Roman" w:eastAsia="宋体" w:cs="Times New Roman"/>
                <w:b w:val="0"/>
                <w:bCs w:val="0"/>
                <w:color w:val="auto"/>
                <w:sz w:val="24"/>
                <w:szCs w:val="28"/>
                <w:shd w:val="clear" w:color="auto" w:fill="auto"/>
              </w:rPr>
              <w:t>℃左右</w:t>
            </w:r>
            <w:r>
              <w:rPr>
                <w:rFonts w:hint="eastAsia"/>
                <w:color w:val="auto"/>
                <w:sz w:val="24"/>
                <w:szCs w:val="28"/>
                <w:lang w:eastAsia="zh-CN"/>
              </w:rPr>
              <w:t>，</w:t>
            </w:r>
            <w:r>
              <w:rPr>
                <w:rFonts w:hint="eastAsia" w:ascii="Times New Roman" w:hAnsi="Times New Roman" w:eastAsia="宋体" w:cs="Times New Roman"/>
                <w:b w:val="0"/>
                <w:bCs w:val="0"/>
                <w:color w:val="auto"/>
                <w:sz w:val="24"/>
                <w:szCs w:val="28"/>
                <w:shd w:val="clear" w:color="auto" w:fill="auto"/>
              </w:rPr>
              <w:t>能够满足活性炭烟温要求，保证活性最佳吸附效率。</w:t>
            </w:r>
            <w:r>
              <w:rPr>
                <w:rFonts w:hint="eastAsia" w:ascii="Times New Roman" w:hAnsi="Times New Roman" w:cs="Times New Roman"/>
                <w:color w:val="FF0000"/>
                <w:kern w:val="2"/>
                <w:sz w:val="32"/>
                <w:szCs w:val="32"/>
                <w:lang w:eastAsia="zh-CN"/>
              </w:rPr>
              <w:t xml:space="preserve"> </w:t>
            </w:r>
          </w:p>
          <w:p>
            <w:pPr>
              <w:autoSpaceDE/>
              <w:autoSpaceDN/>
              <w:spacing w:line="360" w:lineRule="auto"/>
              <w:ind w:firstLine="480" w:firstLineChars="200"/>
              <w:rPr>
                <w:rFonts w:hint="eastAsia" w:ascii="Times New Roman" w:hAnsi="Times New Roman" w:cs="Times New Roman"/>
                <w:color w:val="auto"/>
                <w:kern w:val="2"/>
                <w:sz w:val="24"/>
                <w:szCs w:val="24"/>
                <w:lang w:eastAsia="zh-CN"/>
              </w:rPr>
            </w:pPr>
            <w:r>
              <w:rPr>
                <w:rFonts w:hint="eastAsia" w:ascii="Times New Roman" w:hAnsi="Times New Roman" w:cs="Times New Roman"/>
                <w:color w:val="auto"/>
                <w:kern w:val="2"/>
                <w:sz w:val="24"/>
                <w:szCs w:val="24"/>
                <w:lang w:eastAsia="zh-CN"/>
              </w:rPr>
              <w:t>综上分析，项目有机废气处理后均能达标排放，“二级活性炭”是污染防治可行技术指南的可行技术，故废气处理措施技术经济可行。</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活性炭</w:t>
            </w:r>
            <w:r>
              <w:rPr>
                <w:rFonts w:hint="eastAsia" w:cs="Times New Roman"/>
                <w:b/>
                <w:bCs/>
                <w:color w:val="auto"/>
                <w:sz w:val="24"/>
                <w:szCs w:val="24"/>
                <w:lang w:eastAsia="zh-CN"/>
              </w:rPr>
              <w:t>吸附装置</w:t>
            </w:r>
            <w:r>
              <w:rPr>
                <w:rFonts w:hint="eastAsia" w:ascii="Times New Roman" w:hAnsi="Times New Roman" w:cs="Times New Roman"/>
                <w:b/>
                <w:bCs/>
                <w:color w:val="auto"/>
                <w:sz w:val="24"/>
                <w:szCs w:val="24"/>
                <w:lang w:eastAsia="zh-CN"/>
              </w:rPr>
              <w:t>运营管理要求如下：</w:t>
            </w:r>
          </w:p>
          <w:p>
            <w:pPr>
              <w:widowControl/>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a、日常管理应加强活性炭吸附箱体、活性炭的维护，确保活性炭箱体密封良好。</w:t>
            </w:r>
          </w:p>
          <w:p>
            <w:pPr>
              <w:widowControl/>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b、日常管理应加强废气收集管道、排气筒的管理和维护，及时修补漏风点，提高废气捕集率。</w:t>
            </w:r>
          </w:p>
          <w:p>
            <w:pPr>
              <w:widowControl/>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c、生产操作前将废气收集、处理系统先打开，操作结束后一段时间后再关闭废气收集、处理系统。</w:t>
            </w:r>
          </w:p>
          <w:p>
            <w:pPr>
              <w:wordWrap w:val="0"/>
              <w:spacing w:line="360" w:lineRule="auto"/>
              <w:ind w:firstLine="480" w:firstLineChars="200"/>
              <w:rPr>
                <w:rFonts w:hint="eastAsia" w:ascii="Times New Roman" w:hAnsi="Times New Roman" w:cs="Times New Roman"/>
                <w:color w:val="auto"/>
                <w:kern w:val="2"/>
                <w:sz w:val="24"/>
                <w:szCs w:val="24"/>
                <w:lang w:eastAsia="zh-CN"/>
              </w:rPr>
            </w:pPr>
            <w:r>
              <w:rPr>
                <w:rFonts w:hint="eastAsia" w:ascii="Times New Roman" w:hAnsi="Times New Roman" w:cs="Times New Roman"/>
                <w:color w:val="auto"/>
                <w:kern w:val="2"/>
                <w:sz w:val="24"/>
                <w:szCs w:val="24"/>
                <w:lang w:eastAsia="zh-CN"/>
              </w:rPr>
              <w:t>d、</w:t>
            </w:r>
            <w:r>
              <w:rPr>
                <w:rFonts w:hint="eastAsia"/>
                <w:color w:val="auto"/>
                <w:sz w:val="24"/>
                <w:szCs w:val="24"/>
                <w:lang w:eastAsia="zh-CN"/>
              </w:rPr>
              <w:t>活性炭大约每两月更换一次，</w:t>
            </w:r>
            <w:r>
              <w:rPr>
                <w:rFonts w:hint="eastAsia" w:ascii="Times New Roman" w:hAnsi="Times New Roman" w:cs="Times New Roman"/>
                <w:color w:val="auto"/>
                <w:kern w:val="2"/>
                <w:sz w:val="24"/>
                <w:szCs w:val="24"/>
                <w:lang w:eastAsia="zh-CN"/>
              </w:rPr>
              <w:t>活性炭更换时，做好活性炭更换的记录。</w:t>
            </w:r>
            <w:r>
              <w:rPr>
                <w:rFonts w:ascii="Times New Roman" w:hAnsi="Times New Roman" w:cs="Times New Roman"/>
                <w:snapToGrid w:val="0"/>
                <w:color w:val="auto"/>
                <w:kern w:val="2"/>
                <w:sz w:val="24"/>
                <w:szCs w:val="24"/>
                <w:lang w:eastAsia="zh-CN"/>
              </w:rPr>
              <w:t>企业应建立环境管理台账，明确</w:t>
            </w:r>
            <w:r>
              <w:rPr>
                <w:rFonts w:hint="eastAsia" w:ascii="Times New Roman" w:hAnsi="Times New Roman" w:cs="Times New Roman"/>
                <w:snapToGrid w:val="0"/>
                <w:color w:val="auto"/>
                <w:kern w:val="2"/>
                <w:sz w:val="24"/>
                <w:szCs w:val="24"/>
                <w:lang w:eastAsia="zh-CN"/>
              </w:rPr>
              <w:t>有机废气处理活性炭更换时间、更换量</w:t>
            </w:r>
            <w:r>
              <w:rPr>
                <w:rFonts w:ascii="Times New Roman" w:hAnsi="Times New Roman" w:cs="Times New Roman"/>
                <w:snapToGrid w:val="0"/>
                <w:color w:val="auto"/>
                <w:kern w:val="2"/>
                <w:sz w:val="24"/>
                <w:szCs w:val="24"/>
                <w:lang w:eastAsia="zh-CN"/>
              </w:rPr>
              <w:t>、</w:t>
            </w:r>
            <w:r>
              <w:rPr>
                <w:rFonts w:hint="eastAsia" w:ascii="Times New Roman" w:hAnsi="Times New Roman" w:cs="Times New Roman"/>
                <w:snapToGrid w:val="0"/>
                <w:color w:val="auto"/>
                <w:kern w:val="2"/>
                <w:sz w:val="24"/>
                <w:szCs w:val="24"/>
                <w:lang w:eastAsia="zh-CN"/>
              </w:rPr>
              <w:t>更换的废活性炭交有资质单位处置情况、活性炭装置</w:t>
            </w:r>
            <w:r>
              <w:rPr>
                <w:rFonts w:ascii="Times New Roman" w:hAnsi="Times New Roman" w:cs="Times New Roman"/>
                <w:snapToGrid w:val="0"/>
                <w:color w:val="auto"/>
                <w:kern w:val="2"/>
                <w:sz w:val="24"/>
                <w:szCs w:val="24"/>
                <w:lang w:eastAsia="zh-CN"/>
              </w:rPr>
              <w:t>运行及维护费用保障计划，填写并保存自行监测及记录信息表、环境管理台账信息表等。环境管理台账有效保存期不得低于3年，记录形式可分为电子化存储和纸质存储两种形式。</w:t>
            </w:r>
          </w:p>
          <w:p>
            <w:pPr>
              <w:widowControl/>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e、当废气收集系统阻力增大、废气收集效果不佳时，应对活性炭收集管道、活性炭更换情况进行检查，及时维护管道、更换活性炭。</w:t>
            </w:r>
          </w:p>
          <w:p>
            <w:pPr>
              <w:widowControl/>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f、活性炭更换应在停产时进行，不得一边更换活性炭一边进行生产操作。</w:t>
            </w:r>
          </w:p>
          <w:p>
            <w:pPr>
              <w:widowControl/>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g、更换下来的废活性炭应采用防渗漏的编织袋密封包装后，作为危险废物暂存在危险废物暂存间并委托有相应资质类别的单位处置。</w:t>
            </w:r>
          </w:p>
          <w:p>
            <w:pPr>
              <w:widowControl/>
              <w:snapToGrid w:val="0"/>
              <w:spacing w:line="360" w:lineRule="auto"/>
              <w:ind w:firstLine="480" w:firstLineChars="200"/>
              <w:rPr>
                <w:rFonts w:hint="eastAsia" w:ascii="Times New Roman" w:hAnsi="Times New Roman" w:eastAsia="宋体" w:cs="Times New Roman"/>
                <w:b w:val="0"/>
                <w:bCs w:val="0"/>
                <w:color w:val="auto"/>
                <w:sz w:val="24"/>
                <w:szCs w:val="22"/>
                <w:shd w:val="clear" w:color="auto" w:fill="auto"/>
              </w:rPr>
            </w:pPr>
            <w:r>
              <w:rPr>
                <w:rFonts w:hint="eastAsia" w:ascii="Times New Roman" w:hAnsi="Times New Roman" w:cs="Times New Roman"/>
                <w:color w:val="auto"/>
                <w:sz w:val="24"/>
                <w:szCs w:val="24"/>
                <w:lang w:eastAsia="zh-CN"/>
              </w:rPr>
              <w:t>h、建设单位应加强挥发性有机废气收集、处理系统管理，定期更换活性炭，确保废气收集处理达标排放。</w:t>
            </w:r>
          </w:p>
          <w:p>
            <w:pPr>
              <w:keepNext w:val="0"/>
              <w:keepLines w:val="0"/>
              <w:pageBreakBefore w:val="0"/>
              <w:widowControl w:val="0"/>
              <w:tabs>
                <w:tab w:val="left" w:pos="608"/>
              </w:tabs>
              <w:kinsoku/>
              <w:wordWrap/>
              <w:overflowPunct/>
              <w:topLinePunct w:val="0"/>
              <w:autoSpaceDE/>
              <w:autoSpaceDN/>
              <w:bidi w:val="0"/>
              <w:spacing w:line="360" w:lineRule="auto"/>
              <w:ind w:firstLine="482" w:firstLineChars="200"/>
              <w:textAlignment w:val="auto"/>
              <w:rPr>
                <w:rFonts w:hint="eastAsia" w:ascii="Times New Roman" w:hAnsi="Times New Roman" w:eastAsia="宋体"/>
                <w:b/>
                <w:bCs/>
                <w:color w:val="auto"/>
                <w:kern w:val="0"/>
                <w:sz w:val="24"/>
                <w:szCs w:val="22"/>
                <w:shd w:val="clear" w:color="auto" w:fill="auto"/>
                <w:lang w:eastAsia="zh-CN" w:bidi="ar"/>
              </w:rPr>
            </w:pPr>
            <w:r>
              <w:rPr>
                <w:rFonts w:hint="eastAsia" w:ascii="Times New Roman" w:hAnsi="Times New Roman" w:eastAsia="宋体"/>
                <w:b/>
                <w:bCs/>
                <w:color w:val="auto"/>
                <w:kern w:val="0"/>
                <w:sz w:val="24"/>
                <w:szCs w:val="22"/>
                <w:shd w:val="clear" w:color="auto" w:fill="auto"/>
                <w:lang w:eastAsia="zh-CN" w:bidi="ar"/>
              </w:rPr>
              <w:t>项目废气处理技术：</w:t>
            </w:r>
          </w:p>
          <w:p>
            <w:pPr>
              <w:keepNext w:val="0"/>
              <w:keepLines w:val="0"/>
              <w:pageBreakBefore w:val="0"/>
              <w:widowControl w:val="0"/>
              <w:tabs>
                <w:tab w:val="left" w:pos="608"/>
              </w:tabs>
              <w:kinsoku/>
              <w:wordWrap/>
              <w:overflowPunct/>
              <w:topLinePunct w:val="0"/>
              <w:autoSpaceDE/>
              <w:autoSpaceDN/>
              <w:bidi w:val="0"/>
              <w:spacing w:line="360" w:lineRule="auto"/>
              <w:ind w:firstLine="480" w:firstLineChars="200"/>
              <w:textAlignment w:val="auto"/>
              <w:rPr>
                <w:rFonts w:ascii="Times New Roman" w:hAnsi="Times New Roman" w:eastAsia="宋体"/>
                <w:color w:val="auto"/>
                <w:sz w:val="24"/>
                <w:szCs w:val="22"/>
                <w:shd w:val="clear" w:color="auto" w:fill="auto"/>
              </w:rPr>
            </w:pPr>
            <w:r>
              <w:rPr>
                <w:rFonts w:hint="eastAsia"/>
                <w:color w:val="auto"/>
                <w:kern w:val="0"/>
                <w:sz w:val="24"/>
                <w:szCs w:val="22"/>
                <w:shd w:val="clear" w:color="auto" w:fill="auto"/>
                <w:lang w:eastAsia="zh-CN" w:bidi="ar"/>
              </w:rPr>
              <w:t>参照《排污许可证申请与核发技术规范</w:t>
            </w:r>
            <w:r>
              <w:rPr>
                <w:rFonts w:hint="eastAsia"/>
                <w:color w:val="auto"/>
                <w:kern w:val="0"/>
                <w:sz w:val="24"/>
                <w:szCs w:val="22"/>
                <w:shd w:val="clear" w:color="auto" w:fill="auto"/>
                <w:lang w:val="en-US" w:eastAsia="zh-CN" w:bidi="ar"/>
              </w:rPr>
              <w:t xml:space="preserve"> </w:t>
            </w:r>
            <w:r>
              <w:rPr>
                <w:rFonts w:hint="eastAsia"/>
                <w:color w:val="auto"/>
                <w:kern w:val="0"/>
                <w:sz w:val="24"/>
                <w:szCs w:val="22"/>
                <w:shd w:val="clear" w:color="auto" w:fill="auto"/>
                <w:lang w:eastAsia="zh-CN" w:bidi="ar"/>
              </w:rPr>
              <w:t>家具制造工业》HJ 1027—2019中的涂装废气通过集气设施</w:t>
            </w:r>
            <w:r>
              <w:rPr>
                <w:rFonts w:hint="eastAsia"/>
                <w:color w:val="auto"/>
                <w:kern w:val="0"/>
                <w:sz w:val="24"/>
                <w:szCs w:val="22"/>
                <w:shd w:val="clear" w:color="auto" w:fill="auto"/>
                <w:lang w:val="en-US" w:eastAsia="zh-CN" w:bidi="ar"/>
              </w:rPr>
              <w:t>+活性炭吸附可行</w:t>
            </w:r>
            <w:r>
              <w:rPr>
                <w:rFonts w:hint="eastAsia"/>
                <w:color w:val="auto"/>
                <w:kern w:val="0"/>
                <w:sz w:val="24"/>
                <w:szCs w:val="22"/>
                <w:shd w:val="clear" w:color="auto" w:fill="auto"/>
                <w:lang w:eastAsia="zh-CN" w:bidi="ar"/>
              </w:rPr>
              <w:t>，本</w:t>
            </w:r>
            <w:r>
              <w:rPr>
                <w:rFonts w:hint="eastAsia" w:ascii="Times New Roman" w:hAnsi="Times New Roman" w:eastAsia="宋体"/>
                <w:color w:val="auto"/>
                <w:kern w:val="0"/>
                <w:sz w:val="24"/>
                <w:szCs w:val="22"/>
                <w:shd w:val="clear" w:color="auto" w:fill="auto"/>
                <w:lang w:eastAsia="zh-CN" w:bidi="ar"/>
              </w:rPr>
              <w:t>项目有机</w:t>
            </w:r>
            <w:r>
              <w:rPr>
                <w:rFonts w:hint="eastAsia" w:ascii="Times New Roman" w:hAnsi="Times New Roman" w:eastAsia="宋体"/>
                <w:color w:val="auto"/>
                <w:kern w:val="0"/>
                <w:sz w:val="24"/>
                <w:szCs w:val="22"/>
                <w:shd w:val="clear" w:color="auto" w:fill="auto"/>
                <w:lang w:bidi="ar"/>
              </w:rPr>
              <w:t>废气</w:t>
            </w:r>
            <w:r>
              <w:rPr>
                <w:rFonts w:hint="eastAsia" w:ascii="Times New Roman" w:hAnsi="Times New Roman" w:eastAsia="宋体"/>
                <w:color w:val="auto"/>
                <w:kern w:val="0"/>
                <w:sz w:val="24"/>
                <w:szCs w:val="22"/>
                <w:shd w:val="clear" w:color="auto" w:fill="auto"/>
                <w:lang w:eastAsia="zh-CN" w:bidi="ar"/>
              </w:rPr>
              <w:t>经集气罩</w:t>
            </w:r>
            <w:r>
              <w:rPr>
                <w:rFonts w:hint="eastAsia"/>
                <w:color w:val="auto"/>
                <w:kern w:val="0"/>
                <w:sz w:val="24"/>
                <w:szCs w:val="22"/>
                <w:shd w:val="clear" w:color="auto" w:fill="auto"/>
                <w:lang w:val="en-US" w:eastAsia="zh-CN" w:bidi="ar"/>
              </w:rPr>
              <w:t>+软帘</w:t>
            </w:r>
            <w:r>
              <w:rPr>
                <w:rFonts w:hint="eastAsia" w:ascii="Times New Roman" w:hAnsi="Times New Roman" w:eastAsia="宋体"/>
                <w:color w:val="auto"/>
                <w:kern w:val="0"/>
                <w:sz w:val="24"/>
                <w:szCs w:val="22"/>
                <w:shd w:val="clear" w:color="auto" w:fill="auto"/>
                <w:lang w:eastAsia="zh-CN" w:bidi="ar"/>
              </w:rPr>
              <w:t>+1套二级活性炭吸附装置+1根15m高排气筒（DA001）</w:t>
            </w:r>
            <w:r>
              <w:rPr>
                <w:rFonts w:hint="eastAsia" w:ascii="Times New Roman" w:hAnsi="Times New Roman" w:eastAsia="宋体"/>
                <w:color w:val="auto"/>
                <w:kern w:val="0"/>
                <w:sz w:val="24"/>
                <w:szCs w:val="22"/>
                <w:shd w:val="clear" w:color="auto" w:fill="auto"/>
                <w:lang w:bidi="ar"/>
              </w:rPr>
              <w:t>排放</w:t>
            </w:r>
            <w:r>
              <w:rPr>
                <w:rFonts w:hint="eastAsia"/>
                <w:color w:val="auto"/>
                <w:kern w:val="0"/>
                <w:sz w:val="24"/>
                <w:szCs w:val="22"/>
                <w:shd w:val="clear" w:color="auto" w:fill="auto"/>
                <w:lang w:eastAsia="zh-CN" w:bidi="ar"/>
              </w:rPr>
              <w:t>，现有项目以新带老措施：</w:t>
            </w:r>
            <w:r>
              <w:rPr>
                <w:rFonts w:hint="eastAsia" w:ascii="Times New Roman" w:hAnsi="Times New Roman" w:eastAsia="宋体"/>
                <w:color w:val="auto"/>
                <w:kern w:val="0"/>
                <w:sz w:val="24"/>
                <w:szCs w:val="22"/>
                <w:shd w:val="clear" w:color="auto" w:fill="auto"/>
                <w:lang w:eastAsia="zh-CN" w:bidi="ar"/>
              </w:rPr>
              <w:t>集气罩</w:t>
            </w:r>
            <w:r>
              <w:rPr>
                <w:rFonts w:hint="eastAsia"/>
                <w:color w:val="auto"/>
                <w:kern w:val="0"/>
                <w:sz w:val="24"/>
                <w:szCs w:val="22"/>
                <w:shd w:val="clear" w:color="auto" w:fill="auto"/>
                <w:lang w:val="en-US" w:eastAsia="zh-CN" w:bidi="ar"/>
              </w:rPr>
              <w:t>+软帘</w:t>
            </w:r>
            <w:r>
              <w:rPr>
                <w:rFonts w:hint="eastAsia" w:ascii="Times New Roman" w:hAnsi="Times New Roman" w:eastAsia="宋体"/>
                <w:color w:val="auto"/>
                <w:kern w:val="0"/>
                <w:sz w:val="24"/>
                <w:szCs w:val="22"/>
                <w:shd w:val="clear" w:color="auto" w:fill="auto"/>
                <w:lang w:eastAsia="zh-CN" w:bidi="ar"/>
              </w:rPr>
              <w:t>+1套二级活性炭吸附装置+1根15m高排气筒（DA00</w:t>
            </w:r>
            <w:r>
              <w:rPr>
                <w:rFonts w:hint="eastAsia"/>
                <w:color w:val="auto"/>
                <w:kern w:val="0"/>
                <w:sz w:val="24"/>
                <w:szCs w:val="22"/>
                <w:shd w:val="clear" w:color="auto" w:fill="auto"/>
                <w:lang w:val="en-US" w:eastAsia="zh-CN" w:bidi="ar"/>
              </w:rPr>
              <w:t>2</w:t>
            </w:r>
            <w:r>
              <w:rPr>
                <w:rFonts w:hint="eastAsia" w:ascii="Times New Roman" w:hAnsi="Times New Roman" w:eastAsia="宋体"/>
                <w:color w:val="auto"/>
                <w:kern w:val="0"/>
                <w:sz w:val="24"/>
                <w:szCs w:val="22"/>
                <w:shd w:val="clear" w:color="auto" w:fill="auto"/>
                <w:lang w:eastAsia="zh-CN" w:bidi="ar"/>
              </w:rPr>
              <w:t>）</w:t>
            </w:r>
            <w:r>
              <w:rPr>
                <w:rFonts w:hint="eastAsia" w:ascii="Times New Roman" w:hAnsi="Times New Roman" w:eastAsia="宋体"/>
                <w:color w:val="auto"/>
                <w:kern w:val="0"/>
                <w:sz w:val="24"/>
                <w:szCs w:val="22"/>
                <w:shd w:val="clear" w:color="auto" w:fill="auto"/>
                <w:lang w:bidi="ar"/>
              </w:rPr>
              <w:t>排放</w:t>
            </w:r>
            <w:r>
              <w:rPr>
                <w:rFonts w:hint="eastAsia" w:ascii="Times New Roman" w:hAnsi="Times New Roman" w:eastAsia="宋体"/>
                <w:color w:val="auto"/>
                <w:sz w:val="24"/>
                <w:szCs w:val="22"/>
                <w:shd w:val="clear" w:color="auto" w:fill="auto"/>
              </w:rPr>
              <w:t>。</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
                <w:sz w:val="21"/>
                <w:lang w:eastAsia="zh-CN"/>
              </w:rPr>
            </w:pPr>
            <w:r>
              <w:rPr>
                <w:rFonts w:hint="default" w:ascii="Times New Roman" w:hAnsi="Times New Roman" w:eastAsia="宋体" w:cs="宋体"/>
                <w:b/>
                <w:bCs/>
                <w:i w:val="0"/>
                <w:kern w:val="2"/>
                <w:sz w:val="21"/>
                <w:szCs w:val="21"/>
                <w:vertAlign w:val="baseline"/>
                <w:lang w:val="en-US" w:eastAsia="zh-CN" w:bidi="ar-SA"/>
              </w:rPr>
              <w:t>表4-</w:t>
            </w:r>
            <w:r>
              <w:rPr>
                <w:rFonts w:hint="eastAsia" w:ascii="Times New Roman" w:hAnsi="Times New Roman" w:eastAsia="宋体" w:cs="宋体"/>
                <w:b/>
                <w:bCs/>
                <w:i w:val="0"/>
                <w:kern w:val="2"/>
                <w:sz w:val="21"/>
                <w:szCs w:val="21"/>
                <w:vertAlign w:val="baseline"/>
                <w:lang w:val="en-US" w:eastAsia="zh-CN" w:bidi="ar-SA"/>
              </w:rPr>
              <w:t>3</w:t>
            </w:r>
            <w:r>
              <w:rPr>
                <w:rFonts w:hint="default" w:ascii="Times New Roman" w:hAnsi="Times New Roman" w:eastAsia="宋体" w:cs="宋体"/>
                <w:b/>
                <w:bCs/>
                <w:i w:val="0"/>
                <w:kern w:val="2"/>
                <w:sz w:val="21"/>
                <w:szCs w:val="21"/>
                <w:vertAlign w:val="baseline"/>
                <w:lang w:val="en-US" w:eastAsia="zh-CN" w:bidi="ar-SA"/>
              </w:rPr>
              <w:t xml:space="preserve">   </w:t>
            </w:r>
            <w:r>
              <w:rPr>
                <w:rFonts w:hint="eastAsia" w:ascii="Times New Roman" w:hAnsi="Times New Roman" w:eastAsia="宋体" w:cs="Times New Roman"/>
                <w:b/>
                <w:sz w:val="21"/>
                <w:lang w:eastAsia="zh-CN"/>
              </w:rPr>
              <w:t>废气治理设施一览表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8"/>
              <w:gridCol w:w="926"/>
              <w:gridCol w:w="929"/>
              <w:gridCol w:w="1377"/>
              <w:gridCol w:w="1075"/>
              <w:gridCol w:w="1166"/>
              <w:gridCol w:w="18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7" w:type="pct"/>
                  <w:vMerge w:val="restart"/>
                  <w:tcBorders>
                    <w:tl2br w:val="nil"/>
                    <w:tr2bl w:val="nil"/>
                  </w:tcBorders>
                  <w:vAlign w:val="center"/>
                </w:tcPr>
                <w:p>
                  <w:pPr>
                    <w:jc w:val="center"/>
                    <w:rPr>
                      <w:b/>
                      <w:bCs/>
                      <w:szCs w:val="21"/>
                    </w:rPr>
                  </w:pPr>
                  <w:r>
                    <w:rPr>
                      <w:b/>
                      <w:bCs/>
                      <w:szCs w:val="21"/>
                    </w:rPr>
                    <w:t>废气</w:t>
                  </w:r>
                  <w:r>
                    <w:rPr>
                      <w:rFonts w:hint="eastAsia"/>
                      <w:b/>
                      <w:bCs/>
                      <w:szCs w:val="21"/>
                    </w:rPr>
                    <w:t>类型</w:t>
                  </w:r>
                </w:p>
              </w:tc>
              <w:tc>
                <w:tcPr>
                  <w:tcW w:w="570" w:type="pct"/>
                  <w:vMerge w:val="restart"/>
                  <w:tcBorders>
                    <w:tl2br w:val="nil"/>
                    <w:tr2bl w:val="nil"/>
                  </w:tcBorders>
                  <w:vAlign w:val="center"/>
                </w:tcPr>
                <w:p>
                  <w:pPr>
                    <w:jc w:val="center"/>
                    <w:rPr>
                      <w:b/>
                      <w:bCs/>
                      <w:szCs w:val="21"/>
                    </w:rPr>
                  </w:pPr>
                  <w:r>
                    <w:rPr>
                      <w:b/>
                      <w:bCs/>
                      <w:szCs w:val="21"/>
                    </w:rPr>
                    <w:t>污染</w:t>
                  </w:r>
                  <w:r>
                    <w:rPr>
                      <w:rFonts w:hint="eastAsia"/>
                      <w:b/>
                      <w:bCs/>
                      <w:szCs w:val="21"/>
                    </w:rPr>
                    <w:t>因子</w:t>
                  </w:r>
                </w:p>
              </w:tc>
              <w:tc>
                <w:tcPr>
                  <w:tcW w:w="572" w:type="pct"/>
                  <w:vMerge w:val="restart"/>
                  <w:tcBorders>
                    <w:tl2br w:val="nil"/>
                    <w:tr2bl w:val="nil"/>
                  </w:tcBorders>
                  <w:vAlign w:val="center"/>
                </w:tcPr>
                <w:p>
                  <w:pPr>
                    <w:jc w:val="center"/>
                    <w:rPr>
                      <w:b/>
                      <w:bCs/>
                      <w:szCs w:val="21"/>
                    </w:rPr>
                  </w:pPr>
                  <w:r>
                    <w:rPr>
                      <w:b/>
                      <w:bCs/>
                      <w:szCs w:val="21"/>
                    </w:rPr>
                    <w:t>排放形式</w:t>
                  </w:r>
                </w:p>
              </w:tc>
              <w:tc>
                <w:tcPr>
                  <w:tcW w:w="3389" w:type="pct"/>
                  <w:gridSpan w:val="4"/>
                  <w:tcBorders>
                    <w:tl2br w:val="nil"/>
                    <w:tr2bl w:val="nil"/>
                  </w:tcBorders>
                  <w:vAlign w:val="center"/>
                </w:tcPr>
                <w:p>
                  <w:pPr>
                    <w:jc w:val="center"/>
                    <w:rPr>
                      <w:b/>
                      <w:bCs/>
                      <w:szCs w:val="21"/>
                    </w:rPr>
                  </w:pPr>
                  <w:r>
                    <w:rPr>
                      <w:b/>
                      <w:bCs/>
                      <w:szCs w:val="21"/>
                    </w:rPr>
                    <w:t>污染物治理设施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7" w:type="pct"/>
                  <w:vMerge w:val="continue"/>
                  <w:tcBorders>
                    <w:tl2br w:val="nil"/>
                    <w:tr2bl w:val="nil"/>
                  </w:tcBorders>
                  <w:vAlign w:val="center"/>
                </w:tcPr>
                <w:p>
                  <w:pPr>
                    <w:jc w:val="center"/>
                    <w:rPr>
                      <w:b/>
                      <w:bCs/>
                      <w:szCs w:val="21"/>
                    </w:rPr>
                  </w:pPr>
                </w:p>
              </w:tc>
              <w:tc>
                <w:tcPr>
                  <w:tcW w:w="570" w:type="pct"/>
                  <w:vMerge w:val="continue"/>
                  <w:tcBorders>
                    <w:tl2br w:val="nil"/>
                    <w:tr2bl w:val="nil"/>
                  </w:tcBorders>
                  <w:vAlign w:val="center"/>
                </w:tcPr>
                <w:p>
                  <w:pPr>
                    <w:jc w:val="center"/>
                    <w:rPr>
                      <w:b/>
                      <w:bCs/>
                      <w:szCs w:val="21"/>
                    </w:rPr>
                  </w:pPr>
                </w:p>
              </w:tc>
              <w:tc>
                <w:tcPr>
                  <w:tcW w:w="572" w:type="pct"/>
                  <w:vMerge w:val="continue"/>
                  <w:tcBorders>
                    <w:tl2br w:val="nil"/>
                    <w:tr2bl w:val="nil"/>
                  </w:tcBorders>
                  <w:vAlign w:val="center"/>
                </w:tcPr>
                <w:p>
                  <w:pPr>
                    <w:jc w:val="center"/>
                    <w:rPr>
                      <w:b/>
                      <w:bCs/>
                      <w:szCs w:val="21"/>
                    </w:rPr>
                  </w:pPr>
                </w:p>
              </w:tc>
              <w:tc>
                <w:tcPr>
                  <w:tcW w:w="848" w:type="pct"/>
                  <w:tcBorders>
                    <w:tl2br w:val="nil"/>
                    <w:tr2bl w:val="nil"/>
                  </w:tcBorders>
                  <w:vAlign w:val="center"/>
                </w:tcPr>
                <w:p>
                  <w:pPr>
                    <w:jc w:val="center"/>
                    <w:rPr>
                      <w:b/>
                      <w:bCs/>
                      <w:szCs w:val="21"/>
                    </w:rPr>
                  </w:pPr>
                  <w:r>
                    <w:rPr>
                      <w:rFonts w:hint="eastAsia"/>
                      <w:b/>
                      <w:bCs/>
                      <w:szCs w:val="21"/>
                    </w:rPr>
                    <w:t>治理</w:t>
                  </w:r>
                  <w:r>
                    <w:rPr>
                      <w:b/>
                      <w:bCs/>
                      <w:szCs w:val="21"/>
                    </w:rPr>
                    <w:t>设施名称及工艺</w:t>
                  </w:r>
                </w:p>
              </w:tc>
              <w:tc>
                <w:tcPr>
                  <w:tcW w:w="662" w:type="pct"/>
                  <w:tcBorders>
                    <w:tl2br w:val="nil"/>
                    <w:tr2bl w:val="nil"/>
                  </w:tcBorders>
                  <w:vAlign w:val="center"/>
                </w:tcPr>
                <w:p>
                  <w:pPr>
                    <w:jc w:val="center"/>
                    <w:rPr>
                      <w:b/>
                      <w:bCs/>
                      <w:szCs w:val="21"/>
                    </w:rPr>
                  </w:pPr>
                  <w:r>
                    <w:rPr>
                      <w:rFonts w:hint="eastAsia"/>
                      <w:b/>
                      <w:bCs/>
                      <w:szCs w:val="21"/>
                    </w:rPr>
                    <w:t>收集效率(%)</w:t>
                  </w:r>
                </w:p>
              </w:tc>
              <w:tc>
                <w:tcPr>
                  <w:tcW w:w="718" w:type="pct"/>
                  <w:tcBorders>
                    <w:tl2br w:val="nil"/>
                    <w:tr2bl w:val="nil"/>
                  </w:tcBorders>
                  <w:vAlign w:val="center"/>
                </w:tcPr>
                <w:p>
                  <w:pPr>
                    <w:jc w:val="center"/>
                    <w:rPr>
                      <w:b/>
                      <w:bCs/>
                      <w:szCs w:val="21"/>
                    </w:rPr>
                  </w:pPr>
                  <w:r>
                    <w:rPr>
                      <w:b/>
                      <w:bCs/>
                      <w:szCs w:val="21"/>
                    </w:rPr>
                    <w:t>去除率</w:t>
                  </w:r>
                  <w:r>
                    <w:rPr>
                      <w:rFonts w:hint="eastAsia"/>
                      <w:b/>
                      <w:bCs/>
                      <w:szCs w:val="21"/>
                    </w:rPr>
                    <w:t>(%)</w:t>
                  </w:r>
                </w:p>
              </w:tc>
              <w:tc>
                <w:tcPr>
                  <w:tcW w:w="1161" w:type="pct"/>
                  <w:tcBorders>
                    <w:tl2br w:val="nil"/>
                    <w:tr2bl w:val="nil"/>
                  </w:tcBorders>
                  <w:vAlign w:val="center"/>
                </w:tcPr>
                <w:p>
                  <w:pPr>
                    <w:jc w:val="center"/>
                    <w:rPr>
                      <w:b/>
                      <w:bCs/>
                      <w:szCs w:val="21"/>
                    </w:rPr>
                  </w:pPr>
                  <w:r>
                    <w:rPr>
                      <w:b/>
                      <w:bCs/>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7" w:type="pct"/>
                  <w:tcBorders>
                    <w:tl2br w:val="nil"/>
                    <w:tr2bl w:val="nil"/>
                  </w:tcBorders>
                  <w:vAlign w:val="center"/>
                </w:tcPr>
                <w:p>
                  <w:pPr>
                    <w:jc w:val="center"/>
                    <w:rPr>
                      <w:szCs w:val="21"/>
                    </w:rPr>
                  </w:pPr>
                  <w:r>
                    <w:rPr>
                      <w:rFonts w:hint="eastAsia"/>
                      <w:szCs w:val="21"/>
                    </w:rPr>
                    <w:t>工艺废气</w:t>
                  </w:r>
                </w:p>
              </w:tc>
              <w:tc>
                <w:tcPr>
                  <w:tcW w:w="570" w:type="pct"/>
                  <w:tcBorders>
                    <w:tl2br w:val="nil"/>
                    <w:tr2bl w:val="nil"/>
                  </w:tcBorders>
                  <w:vAlign w:val="center"/>
                </w:tcPr>
                <w:p>
                  <w:pPr>
                    <w:jc w:val="center"/>
                    <w:rPr>
                      <w:szCs w:val="21"/>
                    </w:rPr>
                  </w:pPr>
                  <w:r>
                    <w:rPr>
                      <w:rFonts w:hint="eastAsia"/>
                      <w:szCs w:val="21"/>
                    </w:rPr>
                    <w:t>VOCs</w:t>
                  </w:r>
                </w:p>
              </w:tc>
              <w:tc>
                <w:tcPr>
                  <w:tcW w:w="572" w:type="pct"/>
                  <w:tcBorders>
                    <w:tl2br w:val="nil"/>
                    <w:tr2bl w:val="nil"/>
                  </w:tcBorders>
                  <w:vAlign w:val="center"/>
                </w:tcPr>
                <w:p>
                  <w:pPr>
                    <w:jc w:val="center"/>
                    <w:rPr>
                      <w:szCs w:val="21"/>
                    </w:rPr>
                  </w:pPr>
                  <w:r>
                    <w:rPr>
                      <w:rFonts w:hint="eastAsia"/>
                      <w:szCs w:val="21"/>
                      <w:lang w:eastAsia="zh-CN"/>
                    </w:rPr>
                    <w:t>有</w:t>
                  </w:r>
                  <w:r>
                    <w:rPr>
                      <w:rFonts w:hint="eastAsia"/>
                      <w:szCs w:val="21"/>
                    </w:rPr>
                    <w:t>组织</w:t>
                  </w:r>
                </w:p>
              </w:tc>
              <w:tc>
                <w:tcPr>
                  <w:tcW w:w="848" w:type="pct"/>
                  <w:tcBorders>
                    <w:tl2br w:val="nil"/>
                    <w:tr2bl w:val="nil"/>
                  </w:tcBorders>
                  <w:vAlign w:val="center"/>
                </w:tcPr>
                <w:p>
                  <w:pPr>
                    <w:jc w:val="center"/>
                    <w:rPr>
                      <w:rFonts w:hint="eastAsia" w:eastAsia="宋体"/>
                      <w:szCs w:val="21"/>
                      <w:lang w:eastAsia="zh-CN"/>
                    </w:rPr>
                  </w:pPr>
                  <w:r>
                    <w:rPr>
                      <w:rFonts w:hint="eastAsia"/>
                      <w:szCs w:val="21"/>
                      <w:lang w:eastAsia="zh-CN"/>
                    </w:rPr>
                    <w:t>二级活性炭</w:t>
                  </w:r>
                </w:p>
              </w:tc>
              <w:tc>
                <w:tcPr>
                  <w:tcW w:w="662"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90</w:t>
                  </w:r>
                </w:p>
              </w:tc>
              <w:tc>
                <w:tcPr>
                  <w:tcW w:w="718"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90</w:t>
                  </w:r>
                </w:p>
              </w:tc>
              <w:tc>
                <w:tcPr>
                  <w:tcW w:w="1161" w:type="pct"/>
                  <w:tcBorders>
                    <w:tl2br w:val="nil"/>
                    <w:tr2bl w:val="nil"/>
                  </w:tcBorders>
                  <w:vAlign w:val="center"/>
                </w:tcPr>
                <w:p>
                  <w:pPr>
                    <w:jc w:val="center"/>
                    <w:rPr>
                      <w:szCs w:val="21"/>
                    </w:rPr>
                  </w:pPr>
                  <w:r>
                    <w:rPr>
                      <w:rFonts w:hint="eastAsia"/>
                      <w:szCs w:val="21"/>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b/>
                <w:color w:val="auto"/>
                <w:sz w:val="24"/>
                <w:szCs w:val="22"/>
                <w:shd w:val="clear" w:color="auto" w:fill="auto"/>
                <w:lang w:val="en-US" w:eastAsia="zh-CN"/>
              </w:rPr>
            </w:pPr>
            <w:r>
              <w:rPr>
                <w:rFonts w:hint="eastAsia" w:ascii="Times New Roman" w:hAnsi="Times New Roman" w:eastAsia="宋体"/>
                <w:b/>
                <w:color w:val="auto"/>
                <w:sz w:val="24"/>
                <w:szCs w:val="22"/>
                <w:shd w:val="clear" w:color="auto" w:fill="auto"/>
                <w:lang w:val="en-US" w:eastAsia="zh-CN"/>
              </w:rPr>
              <w:t>因此，项目废气处理工艺可行。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b/>
                <w:color w:val="auto"/>
                <w:sz w:val="24"/>
                <w:szCs w:val="28"/>
                <w:shd w:val="clear" w:color="auto" w:fill="auto"/>
              </w:rPr>
            </w:pPr>
            <w:r>
              <w:rPr>
                <w:rFonts w:hint="eastAsia" w:ascii="Times New Roman" w:hAnsi="Times New Roman" w:eastAsia="宋体"/>
                <w:b/>
                <w:color w:val="auto"/>
                <w:sz w:val="24"/>
                <w:szCs w:val="28"/>
                <w:shd w:val="clear" w:color="auto" w:fill="auto"/>
                <w:lang w:eastAsia="zh-CN"/>
              </w:rPr>
              <w:t>（</w:t>
            </w:r>
            <w:r>
              <w:rPr>
                <w:rFonts w:hint="eastAsia" w:ascii="Times New Roman" w:hAnsi="Times New Roman" w:eastAsia="宋体"/>
                <w:b/>
                <w:color w:val="auto"/>
                <w:sz w:val="24"/>
                <w:szCs w:val="28"/>
                <w:shd w:val="clear" w:color="auto" w:fill="auto"/>
                <w:lang w:val="en-US" w:eastAsia="zh-CN"/>
              </w:rPr>
              <w:t>4</w:t>
            </w:r>
            <w:r>
              <w:rPr>
                <w:rFonts w:hint="eastAsia" w:ascii="Times New Roman" w:hAnsi="Times New Roman" w:eastAsia="宋体"/>
                <w:b/>
                <w:color w:val="auto"/>
                <w:sz w:val="24"/>
                <w:szCs w:val="28"/>
                <w:shd w:val="clear" w:color="auto" w:fill="auto"/>
                <w:lang w:eastAsia="zh-CN"/>
              </w:rPr>
              <w:t>）</w:t>
            </w:r>
            <w:r>
              <w:rPr>
                <w:rFonts w:ascii="Times New Roman" w:hAnsi="Times New Roman" w:eastAsia="宋体"/>
                <w:b/>
                <w:color w:val="auto"/>
                <w:sz w:val="24"/>
                <w:szCs w:val="28"/>
                <w:shd w:val="clear" w:color="auto" w:fill="auto"/>
              </w:rPr>
              <w:t>排放口情况</w:t>
            </w:r>
          </w:p>
          <w:p>
            <w:pPr>
              <w:adjustRightInd w:val="0"/>
              <w:snapToGrid w:val="0"/>
              <w:spacing w:line="360" w:lineRule="auto"/>
              <w:ind w:firstLine="480" w:firstLineChars="200"/>
              <w:rPr>
                <w:rFonts w:ascii="Times New Roman" w:hAnsi="Times New Roman" w:eastAsia="宋体"/>
                <w:bCs/>
                <w:color w:val="auto"/>
                <w:sz w:val="24"/>
                <w:szCs w:val="28"/>
                <w:shd w:val="clear" w:color="auto" w:fill="auto"/>
              </w:rPr>
            </w:pPr>
            <w:r>
              <w:rPr>
                <w:rFonts w:ascii="Times New Roman" w:hAnsi="Times New Roman" w:eastAsia="宋体"/>
                <w:bCs/>
                <w:color w:val="auto"/>
                <w:sz w:val="24"/>
                <w:szCs w:val="28"/>
                <w:shd w:val="clear" w:color="auto" w:fill="auto"/>
              </w:rPr>
              <w:t>项目废气排放口基本信息如下所示：</w:t>
            </w:r>
          </w:p>
          <w:p>
            <w:pPr>
              <w:adjustRightInd w:val="0"/>
              <w:snapToGrid w:val="0"/>
              <w:spacing w:line="240" w:lineRule="auto"/>
              <w:ind w:firstLine="422" w:firstLineChars="200"/>
              <w:jc w:val="center"/>
              <w:rPr>
                <w:rFonts w:ascii="Times New Roman" w:hAnsi="Times New Roman" w:eastAsia="宋体"/>
                <w:b/>
                <w:color w:val="auto"/>
                <w:sz w:val="21"/>
                <w:szCs w:val="21"/>
                <w:shd w:val="clear" w:color="auto" w:fill="auto"/>
              </w:rPr>
            </w:pPr>
            <w:r>
              <w:rPr>
                <w:rFonts w:ascii="Times New Roman" w:hAnsi="Times New Roman" w:eastAsia="宋体"/>
                <w:b/>
                <w:color w:val="auto"/>
                <w:sz w:val="21"/>
                <w:szCs w:val="21"/>
                <w:shd w:val="clear" w:color="auto" w:fill="auto"/>
              </w:rPr>
              <w:t>表4-</w:t>
            </w:r>
            <w:r>
              <w:rPr>
                <w:rFonts w:hint="eastAsia" w:ascii="Times New Roman" w:hAnsi="Times New Roman" w:eastAsia="宋体"/>
                <w:b/>
                <w:color w:val="auto"/>
                <w:sz w:val="21"/>
                <w:szCs w:val="21"/>
                <w:shd w:val="clear" w:color="auto" w:fill="auto"/>
                <w:lang w:val="en-US" w:eastAsia="zh-CN"/>
              </w:rPr>
              <w:t>4</w:t>
            </w:r>
            <w:r>
              <w:rPr>
                <w:rFonts w:ascii="Times New Roman" w:hAnsi="Times New Roman" w:eastAsia="宋体"/>
                <w:b/>
                <w:color w:val="auto"/>
                <w:sz w:val="21"/>
                <w:szCs w:val="21"/>
                <w:shd w:val="clear" w:color="auto" w:fill="auto"/>
              </w:rPr>
              <w:t xml:space="preserve">   项目废气排放口基本信息一览表</w:t>
            </w:r>
          </w:p>
          <w:tbl>
            <w:tblPr>
              <w:tblStyle w:val="106"/>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550"/>
              <w:gridCol w:w="876"/>
              <w:gridCol w:w="1555"/>
              <w:gridCol w:w="1446"/>
              <w:gridCol w:w="890"/>
              <w:gridCol w:w="770"/>
              <w:gridCol w:w="589"/>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34" w:type="pct"/>
                  <w:vMerge w:val="restart"/>
                  <w:tcBorders>
                    <w:top w:val="single" w:color="000000" w:sz="12" w:space="0"/>
                    <w:left w:val="nil"/>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排放口 编号</w:t>
                  </w:r>
                </w:p>
              </w:tc>
              <w:tc>
                <w:tcPr>
                  <w:tcW w:w="339" w:type="pct"/>
                  <w:vMerge w:val="restart"/>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名称</w:t>
                  </w:r>
                </w:p>
              </w:tc>
              <w:tc>
                <w:tcPr>
                  <w:tcW w:w="540" w:type="pct"/>
                  <w:vMerge w:val="restart"/>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污染物 种类</w:t>
                  </w:r>
                </w:p>
              </w:tc>
              <w:tc>
                <w:tcPr>
                  <w:tcW w:w="1851" w:type="pct"/>
                  <w:gridSpan w:val="2"/>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排放口地理坐标</w:t>
                  </w:r>
                </w:p>
              </w:tc>
              <w:tc>
                <w:tcPr>
                  <w:tcW w:w="549" w:type="pct"/>
                  <w:vMerge w:val="restart"/>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排气筒高</w:t>
                  </w:r>
                </w:p>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度m</w:t>
                  </w:r>
                </w:p>
              </w:tc>
              <w:tc>
                <w:tcPr>
                  <w:tcW w:w="475" w:type="pct"/>
                  <w:vMerge w:val="restart"/>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排气筒内径m</w:t>
                  </w:r>
                </w:p>
              </w:tc>
              <w:tc>
                <w:tcPr>
                  <w:tcW w:w="363" w:type="pct"/>
                  <w:vMerge w:val="restart"/>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排放 温度</w:t>
                  </w:r>
                </w:p>
              </w:tc>
              <w:tc>
                <w:tcPr>
                  <w:tcW w:w="445" w:type="pct"/>
                  <w:vMerge w:val="restart"/>
                  <w:tcBorders>
                    <w:top w:val="single" w:color="000000" w:sz="12" w:space="0"/>
                    <w:left w:val="single" w:color="000000" w:sz="6" w:space="0"/>
                    <w:bottom w:val="single" w:color="000000" w:sz="6" w:space="0"/>
                    <w:right w:val="nil"/>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排放口类型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34" w:type="pct"/>
                  <w:vMerge w:val="continue"/>
                  <w:tcBorders>
                    <w:top w:val="single" w:color="000000" w:sz="6" w:space="0"/>
                    <w:left w:val="nil"/>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c>
                <w:tcPr>
                  <w:tcW w:w="339" w:type="pct"/>
                  <w:vMerge w:val="continue"/>
                  <w:tcBorders>
                    <w:top w:val="single" w:color="000000" w:sz="6" w:space="0"/>
                    <w:left w:val="single" w:color="000000" w:sz="6" w:space="0"/>
                    <w:bottom w:val="single" w:color="000000" w:sz="6" w:space="0"/>
                    <w:right w:val="single" w:color="000000" w:sz="6" w:space="0"/>
                  </w:tcBorders>
                  <w:noWrap w:val="0"/>
                  <w:textDirection w:val="tbRlV"/>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c>
                <w:tcPr>
                  <w:tcW w:w="540" w:type="pct"/>
                  <w:vMerge w:val="continue"/>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c>
                <w:tcPr>
                  <w:tcW w:w="959"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经度</w:t>
                  </w:r>
                </w:p>
              </w:tc>
              <w:tc>
                <w:tcPr>
                  <w:tcW w:w="891"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纬度</w:t>
                  </w:r>
                </w:p>
              </w:tc>
              <w:tc>
                <w:tcPr>
                  <w:tcW w:w="549" w:type="pct"/>
                  <w:vMerge w:val="continue"/>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c>
                <w:tcPr>
                  <w:tcW w:w="475" w:type="pct"/>
                  <w:vMerge w:val="continue"/>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c>
                <w:tcPr>
                  <w:tcW w:w="363" w:type="pct"/>
                  <w:vMerge w:val="continue"/>
                  <w:tcBorders>
                    <w:top w:val="single" w:color="000000" w:sz="6" w:space="0"/>
                    <w:left w:val="single" w:color="000000" w:sz="6" w:space="0"/>
                    <w:bottom w:val="single" w:color="000000" w:sz="6" w:space="0"/>
                    <w:right w:val="single" w:color="000000" w:sz="6" w:space="0"/>
                  </w:tcBorders>
                  <w:noWrap w:val="0"/>
                  <w:textDirection w:val="tbRlV"/>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c>
                <w:tcPr>
                  <w:tcW w:w="445" w:type="pct"/>
                  <w:vMerge w:val="continue"/>
                  <w:tcBorders>
                    <w:top w:val="single" w:color="000000" w:sz="6" w:space="0"/>
                    <w:left w:val="single" w:color="000000" w:sz="6" w:space="0"/>
                    <w:bottom w:val="single" w:color="000000" w:sz="6" w:space="0"/>
                    <w:right w:val="nil"/>
                  </w:tcBorders>
                  <w:noWrap w:val="0"/>
                  <w:vAlign w:val="center"/>
                </w:tcPr>
                <w:p>
                  <w:pPr>
                    <w:spacing w:line="240" w:lineRule="auto"/>
                    <w:jc w:val="center"/>
                    <w:rPr>
                      <w:rFonts w:hint="eastAsia" w:ascii="Times New Roman" w:hAnsi="Times New Roman" w:eastAsia="宋体" w:cs="Times New Roman"/>
                      <w:color w:val="auto"/>
                      <w:sz w:val="21"/>
                      <w:szCs w:val="21"/>
                      <w:shd w:val="clear" w:color="auto" w:fill="auto"/>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34" w:type="pct"/>
                  <w:tcBorders>
                    <w:top w:val="single" w:color="000000" w:sz="6" w:space="0"/>
                    <w:left w:val="nil"/>
                    <w:bottom w:val="single" w:color="000000" w:sz="6" w:space="0"/>
                    <w:right w:val="single" w:color="000000" w:sz="6" w:space="0"/>
                  </w:tcBorders>
                  <w:noWrap w:val="0"/>
                  <w:vAlign w:val="center"/>
                </w:tcPr>
                <w:p>
                  <w:pPr>
                    <w:spacing w:line="240" w:lineRule="auto"/>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DA001</w:t>
                  </w:r>
                </w:p>
              </w:tc>
              <w:tc>
                <w:tcPr>
                  <w:tcW w:w="339"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eastAsia="宋体"/>
                      <w:color w:val="auto"/>
                      <w:sz w:val="21"/>
                      <w:szCs w:val="21"/>
                      <w:lang w:eastAsia="zh-CN"/>
                    </w:rPr>
                    <w:t>排气筒</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VOCs</w:t>
                  </w:r>
                </w:p>
              </w:tc>
              <w:tc>
                <w:tcPr>
                  <w:tcW w:w="959"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106.887148196</w:t>
                  </w:r>
                </w:p>
              </w:tc>
              <w:tc>
                <w:tcPr>
                  <w:tcW w:w="891"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31.860193834</w:t>
                  </w:r>
                </w:p>
              </w:tc>
              <w:tc>
                <w:tcPr>
                  <w:tcW w:w="549"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15</w:t>
                  </w:r>
                </w:p>
              </w:tc>
              <w:tc>
                <w:tcPr>
                  <w:tcW w:w="475"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0.4</w:t>
                  </w:r>
                </w:p>
              </w:tc>
              <w:tc>
                <w:tcPr>
                  <w:tcW w:w="36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常温</w:t>
                  </w:r>
                </w:p>
              </w:tc>
              <w:tc>
                <w:tcPr>
                  <w:tcW w:w="445" w:type="pct"/>
                  <w:tcBorders>
                    <w:top w:val="single" w:color="000000" w:sz="6" w:space="0"/>
                    <w:left w:val="single" w:color="000000" w:sz="6" w:space="0"/>
                    <w:bottom w:val="single" w:color="000000" w:sz="6" w:space="0"/>
                    <w:right w:val="nil"/>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一般排放口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34" w:type="pct"/>
                  <w:tcBorders>
                    <w:top w:val="single" w:color="000000" w:sz="6" w:space="0"/>
                    <w:left w:val="nil"/>
                    <w:bottom w:val="single" w:color="000000" w:sz="12" w:space="0"/>
                    <w:right w:val="single" w:color="000000" w:sz="6" w:space="0"/>
                  </w:tcBorders>
                  <w:noWrap w:val="0"/>
                  <w:vAlign w:val="center"/>
                </w:tcPr>
                <w:p>
                  <w:pPr>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DA002</w:t>
                  </w:r>
                </w:p>
              </w:tc>
              <w:tc>
                <w:tcPr>
                  <w:tcW w:w="339"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排气筒</w:t>
                  </w:r>
                </w:p>
              </w:tc>
              <w:tc>
                <w:tcPr>
                  <w:tcW w:w="540"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VOCs</w:t>
                  </w:r>
                </w:p>
              </w:tc>
              <w:tc>
                <w:tcPr>
                  <w:tcW w:w="959"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106.887244755</w:t>
                  </w:r>
                </w:p>
              </w:tc>
              <w:tc>
                <w:tcPr>
                  <w:tcW w:w="891"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31.860652492</w:t>
                  </w:r>
                </w:p>
              </w:tc>
              <w:tc>
                <w:tcPr>
                  <w:tcW w:w="549"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15</w:t>
                  </w:r>
                </w:p>
              </w:tc>
              <w:tc>
                <w:tcPr>
                  <w:tcW w:w="475"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0.4</w:t>
                  </w:r>
                </w:p>
              </w:tc>
              <w:tc>
                <w:tcPr>
                  <w:tcW w:w="363" w:type="pct"/>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常温</w:t>
                  </w:r>
                </w:p>
              </w:tc>
              <w:tc>
                <w:tcPr>
                  <w:tcW w:w="445" w:type="pct"/>
                  <w:tcBorders>
                    <w:top w:val="single" w:color="000000" w:sz="6" w:space="0"/>
                    <w:left w:val="single" w:color="000000" w:sz="6" w:space="0"/>
                    <w:bottom w:val="single" w:color="000000" w:sz="12" w:space="0"/>
                    <w:right w:val="nil"/>
                  </w:tcBorders>
                  <w:noWrap w:val="0"/>
                  <w:vAlign w:val="center"/>
                </w:tcPr>
                <w:p>
                  <w:pPr>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一般排放口</w:t>
                  </w:r>
                </w:p>
              </w:tc>
            </w:tr>
          </w:tbl>
          <w:p>
            <w:pPr>
              <w:adjustRightInd w:val="0"/>
              <w:snapToGrid w:val="0"/>
              <w:spacing w:line="360" w:lineRule="auto"/>
              <w:ind w:firstLine="420" w:firstLineChars="200"/>
              <w:rPr>
                <w:rFonts w:hint="eastAsia" w:ascii="Times New Roman" w:hAnsi="Times New Roman" w:eastAsia="宋体"/>
                <w:b w:val="0"/>
                <w:bCs/>
                <w:color w:val="auto"/>
                <w:sz w:val="21"/>
                <w:szCs w:val="22"/>
                <w:shd w:val="clear" w:color="auto" w:fill="auto"/>
                <w:lang w:eastAsia="zh-CN"/>
              </w:rPr>
            </w:pPr>
            <w:r>
              <w:rPr>
                <w:rFonts w:hint="eastAsia"/>
                <w:b w:val="0"/>
                <w:bCs/>
                <w:color w:val="auto"/>
                <w:sz w:val="21"/>
                <w:szCs w:val="22"/>
                <w:shd w:val="clear" w:color="auto" w:fill="auto"/>
                <w:lang w:val="en-US" w:eastAsia="zh-CN"/>
              </w:rPr>
              <w:t>注：DA002排气筒为现有项目中空玻璃生产线以新带老整改措施</w:t>
            </w:r>
          </w:p>
          <w:p>
            <w:pPr>
              <w:adjustRightInd w:val="0"/>
              <w:snapToGrid w:val="0"/>
              <w:spacing w:line="360" w:lineRule="auto"/>
              <w:ind w:firstLine="482" w:firstLineChars="200"/>
              <w:rPr>
                <w:rFonts w:ascii="Times New Roman" w:hAnsi="Times New Roman" w:eastAsia="宋体"/>
                <w:b/>
                <w:color w:val="auto"/>
                <w:sz w:val="24"/>
                <w:szCs w:val="28"/>
                <w:shd w:val="clear" w:color="auto" w:fill="auto"/>
              </w:rPr>
            </w:pPr>
            <w:r>
              <w:rPr>
                <w:rFonts w:hint="eastAsia" w:ascii="Times New Roman" w:hAnsi="Times New Roman" w:eastAsia="宋体"/>
                <w:b/>
                <w:color w:val="auto"/>
                <w:sz w:val="24"/>
                <w:szCs w:val="28"/>
                <w:shd w:val="clear" w:color="auto" w:fill="auto"/>
                <w:lang w:eastAsia="zh-CN"/>
              </w:rPr>
              <w:t>（</w:t>
            </w:r>
            <w:r>
              <w:rPr>
                <w:rFonts w:hint="eastAsia" w:ascii="Times New Roman" w:hAnsi="Times New Roman" w:eastAsia="宋体"/>
                <w:b/>
                <w:color w:val="auto"/>
                <w:sz w:val="24"/>
                <w:szCs w:val="28"/>
                <w:shd w:val="clear" w:color="auto" w:fill="auto"/>
                <w:lang w:val="en-US" w:eastAsia="zh-CN"/>
              </w:rPr>
              <w:t>5</w:t>
            </w:r>
            <w:r>
              <w:rPr>
                <w:rFonts w:hint="eastAsia" w:ascii="Times New Roman" w:hAnsi="Times New Roman" w:eastAsia="宋体"/>
                <w:b/>
                <w:color w:val="auto"/>
                <w:sz w:val="24"/>
                <w:szCs w:val="28"/>
                <w:shd w:val="clear" w:color="auto" w:fill="auto"/>
                <w:lang w:eastAsia="zh-CN"/>
              </w:rPr>
              <w:t>）</w:t>
            </w:r>
            <w:r>
              <w:rPr>
                <w:rFonts w:ascii="Times New Roman" w:hAnsi="Times New Roman" w:eastAsia="宋体"/>
                <w:b/>
                <w:color w:val="auto"/>
                <w:sz w:val="24"/>
                <w:szCs w:val="28"/>
                <w:shd w:val="clear" w:color="auto" w:fill="auto"/>
              </w:rPr>
              <w:t>监测计划</w:t>
            </w:r>
          </w:p>
          <w:p>
            <w:pPr>
              <w:adjustRightInd w:val="0"/>
              <w:snapToGrid w:val="0"/>
              <w:spacing w:line="360" w:lineRule="auto"/>
              <w:ind w:firstLine="480" w:firstLineChars="200"/>
              <w:rPr>
                <w:rFonts w:hint="eastAsia" w:ascii="Times New Roman" w:hAnsi="Times New Roman" w:eastAsia="宋体"/>
                <w:b w:val="0"/>
                <w:bCs/>
                <w:color w:val="auto"/>
                <w:sz w:val="24"/>
                <w:szCs w:val="28"/>
                <w:shd w:val="clear" w:color="auto" w:fill="auto"/>
                <w:lang w:val="en-US" w:eastAsia="zh-CN"/>
              </w:rPr>
            </w:pPr>
            <w:r>
              <w:rPr>
                <w:rFonts w:hint="eastAsia" w:ascii="Times New Roman" w:hAnsi="Times New Roman" w:eastAsia="宋体"/>
                <w:b w:val="0"/>
                <w:bCs/>
                <w:color w:val="auto"/>
                <w:sz w:val="24"/>
                <w:szCs w:val="28"/>
                <w:shd w:val="clear" w:color="auto" w:fill="auto"/>
                <w:lang w:eastAsia="zh-CN"/>
              </w:rPr>
              <w:t>根据《排污单位自行监测技术指南</w:t>
            </w:r>
            <w:r>
              <w:rPr>
                <w:rFonts w:hint="eastAsia" w:ascii="Times New Roman" w:hAnsi="Times New Roman" w:eastAsia="宋体"/>
                <w:b w:val="0"/>
                <w:bCs/>
                <w:color w:val="auto"/>
                <w:sz w:val="24"/>
                <w:szCs w:val="28"/>
                <w:shd w:val="clear" w:color="auto" w:fill="auto"/>
                <w:lang w:val="en-US" w:eastAsia="zh-CN"/>
              </w:rPr>
              <w:t xml:space="preserve"> </w:t>
            </w:r>
            <w:r>
              <w:rPr>
                <w:rFonts w:hint="eastAsia" w:ascii="Times New Roman" w:hAnsi="Times New Roman" w:eastAsia="宋体"/>
                <w:b w:val="0"/>
                <w:bCs/>
                <w:color w:val="auto"/>
                <w:sz w:val="24"/>
                <w:szCs w:val="28"/>
                <w:shd w:val="clear" w:color="auto" w:fill="auto"/>
                <w:lang w:eastAsia="zh-CN"/>
              </w:rPr>
              <w:t>总则》（</w:t>
            </w:r>
            <w:r>
              <w:rPr>
                <w:rFonts w:hint="eastAsia" w:ascii="Times New Roman" w:hAnsi="Times New Roman" w:eastAsia="宋体"/>
                <w:b w:val="0"/>
                <w:bCs/>
                <w:color w:val="auto"/>
                <w:sz w:val="24"/>
                <w:szCs w:val="28"/>
                <w:shd w:val="clear" w:color="auto" w:fill="auto"/>
                <w:lang w:val="en-US" w:eastAsia="zh-CN"/>
              </w:rPr>
              <w:t>HJ819-2017</w:t>
            </w:r>
            <w:r>
              <w:rPr>
                <w:rFonts w:hint="eastAsia" w:ascii="Times New Roman" w:hAnsi="Times New Roman" w:eastAsia="宋体"/>
                <w:b w:val="0"/>
                <w:bCs/>
                <w:color w:val="auto"/>
                <w:sz w:val="24"/>
                <w:szCs w:val="28"/>
                <w:shd w:val="clear" w:color="auto" w:fill="auto"/>
                <w:lang w:eastAsia="zh-CN"/>
              </w:rPr>
              <w:t>），</w:t>
            </w:r>
            <w:r>
              <w:rPr>
                <w:rFonts w:ascii="Times New Roman" w:hAnsi="Times New Roman" w:eastAsia="宋体"/>
                <w:b w:val="0"/>
                <w:bCs/>
                <w:color w:val="auto"/>
                <w:sz w:val="24"/>
                <w:szCs w:val="28"/>
                <w:shd w:val="clear" w:color="auto" w:fill="auto"/>
              </w:rPr>
              <w:t>本项目大气环境监测计划一览表：</w:t>
            </w:r>
          </w:p>
          <w:p>
            <w:pPr>
              <w:spacing w:line="240" w:lineRule="auto"/>
              <w:jc w:val="center"/>
              <w:rPr>
                <w:rFonts w:ascii="Times New Roman" w:hAnsi="Times New Roman" w:eastAsia="宋体"/>
                <w:b/>
                <w:bCs/>
                <w:color w:val="auto"/>
                <w:sz w:val="21"/>
                <w:szCs w:val="21"/>
                <w:shd w:val="clear" w:color="auto" w:fill="auto"/>
              </w:rPr>
            </w:pPr>
            <w:r>
              <w:rPr>
                <w:rFonts w:ascii="Times New Roman" w:hAnsi="Times New Roman" w:eastAsia="宋体"/>
                <w:b/>
                <w:bCs/>
                <w:color w:val="auto"/>
                <w:sz w:val="21"/>
                <w:shd w:val="clear" w:color="auto" w:fill="auto"/>
              </w:rPr>
              <w:t>表4-</w:t>
            </w:r>
            <w:r>
              <w:rPr>
                <w:rFonts w:hint="eastAsia" w:ascii="Times New Roman" w:hAnsi="Times New Roman" w:eastAsia="宋体"/>
                <w:b/>
                <w:bCs/>
                <w:color w:val="auto"/>
                <w:sz w:val="21"/>
                <w:shd w:val="clear" w:color="auto" w:fill="auto"/>
                <w:lang w:val="en-US" w:eastAsia="zh-CN"/>
              </w:rPr>
              <w:t>5</w:t>
            </w:r>
            <w:r>
              <w:rPr>
                <w:rFonts w:ascii="Times New Roman" w:hAnsi="Times New Roman" w:eastAsia="宋体"/>
                <w:b/>
                <w:bCs/>
                <w:color w:val="auto"/>
                <w:sz w:val="21"/>
                <w:shd w:val="clear" w:color="auto" w:fill="auto"/>
              </w:rPr>
              <w:t xml:space="preserve">   大气环境监测计划表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181"/>
              <w:gridCol w:w="1689"/>
              <w:gridCol w:w="1689"/>
              <w:gridCol w:w="1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pct"/>
                  <w:noWrap w:val="0"/>
                  <w:vAlign w:val="center"/>
                </w:tcPr>
                <w:p>
                  <w:pPr>
                    <w:adjustRightInd w:val="0"/>
                    <w:snapToGrid w:val="0"/>
                    <w:spacing w:line="240" w:lineRule="auto"/>
                    <w:jc w:val="center"/>
                    <w:rPr>
                      <w:rFonts w:ascii="Times New Roman" w:hAnsi="Times New Roman" w:eastAsia="宋体"/>
                      <w:color w:val="auto"/>
                      <w:sz w:val="21"/>
                      <w:szCs w:val="32"/>
                      <w:shd w:val="clear" w:color="auto" w:fill="auto"/>
                    </w:rPr>
                  </w:pPr>
                  <w:r>
                    <w:rPr>
                      <w:rFonts w:ascii="Times New Roman" w:hAnsi="Times New Roman" w:eastAsia="宋体"/>
                      <w:b/>
                      <w:bCs/>
                      <w:color w:val="auto"/>
                      <w:sz w:val="21"/>
                      <w:szCs w:val="21"/>
                      <w:shd w:val="clear" w:color="auto" w:fill="auto"/>
                    </w:rPr>
                    <w:t>序号</w:t>
                  </w:r>
                </w:p>
              </w:tc>
              <w:tc>
                <w:tcPr>
                  <w:tcW w:w="1343" w:type="pct"/>
                  <w:noWrap w:val="0"/>
                  <w:vAlign w:val="center"/>
                </w:tcPr>
                <w:p>
                  <w:pPr>
                    <w:adjustRightInd w:val="0"/>
                    <w:snapToGrid w:val="0"/>
                    <w:spacing w:line="240" w:lineRule="auto"/>
                    <w:jc w:val="center"/>
                    <w:rPr>
                      <w:rFonts w:ascii="Times New Roman" w:hAnsi="Times New Roman" w:eastAsia="宋体"/>
                      <w:color w:val="auto"/>
                      <w:sz w:val="21"/>
                      <w:szCs w:val="32"/>
                      <w:shd w:val="clear" w:color="auto" w:fill="auto"/>
                    </w:rPr>
                  </w:pPr>
                  <w:r>
                    <w:rPr>
                      <w:rFonts w:ascii="Times New Roman" w:hAnsi="Times New Roman" w:eastAsia="宋体"/>
                      <w:b/>
                      <w:bCs/>
                      <w:color w:val="auto"/>
                      <w:sz w:val="21"/>
                      <w:szCs w:val="21"/>
                      <w:shd w:val="clear" w:color="auto" w:fill="auto"/>
                    </w:rPr>
                    <w:t>监测点位</w:t>
                  </w:r>
                </w:p>
              </w:tc>
              <w:tc>
                <w:tcPr>
                  <w:tcW w:w="1040" w:type="pct"/>
                  <w:noWrap w:val="0"/>
                  <w:vAlign w:val="center"/>
                </w:tcPr>
                <w:p>
                  <w:pPr>
                    <w:adjustRightInd w:val="0"/>
                    <w:snapToGrid w:val="0"/>
                    <w:spacing w:line="240" w:lineRule="auto"/>
                    <w:jc w:val="center"/>
                    <w:rPr>
                      <w:rFonts w:hint="eastAsia" w:ascii="Times New Roman" w:hAnsi="Times New Roman" w:eastAsia="宋体"/>
                      <w:b/>
                      <w:bCs/>
                      <w:color w:val="auto"/>
                      <w:sz w:val="21"/>
                      <w:szCs w:val="21"/>
                      <w:shd w:val="clear" w:color="auto" w:fill="auto"/>
                      <w:lang w:eastAsia="zh-CN"/>
                    </w:rPr>
                  </w:pPr>
                  <w:r>
                    <w:rPr>
                      <w:rFonts w:hint="eastAsia"/>
                      <w:b/>
                      <w:bCs/>
                      <w:color w:val="auto"/>
                      <w:sz w:val="21"/>
                      <w:szCs w:val="21"/>
                      <w:shd w:val="clear" w:color="auto" w:fill="auto"/>
                      <w:lang w:eastAsia="zh-CN"/>
                    </w:rPr>
                    <w:t>监测点位</w:t>
                  </w:r>
                </w:p>
              </w:tc>
              <w:tc>
                <w:tcPr>
                  <w:tcW w:w="1040" w:type="pct"/>
                  <w:noWrap w:val="0"/>
                  <w:vAlign w:val="center"/>
                </w:tcPr>
                <w:p>
                  <w:pPr>
                    <w:adjustRightInd w:val="0"/>
                    <w:snapToGrid w:val="0"/>
                    <w:spacing w:line="240" w:lineRule="auto"/>
                    <w:jc w:val="center"/>
                    <w:rPr>
                      <w:rFonts w:ascii="Times New Roman" w:hAnsi="Times New Roman" w:eastAsia="宋体"/>
                      <w:color w:val="auto"/>
                      <w:sz w:val="21"/>
                      <w:szCs w:val="32"/>
                      <w:shd w:val="clear" w:color="auto" w:fill="auto"/>
                    </w:rPr>
                  </w:pPr>
                  <w:r>
                    <w:rPr>
                      <w:rFonts w:ascii="Times New Roman" w:hAnsi="Times New Roman" w:eastAsia="宋体"/>
                      <w:b/>
                      <w:bCs/>
                      <w:color w:val="auto"/>
                      <w:sz w:val="21"/>
                      <w:szCs w:val="21"/>
                      <w:shd w:val="clear" w:color="auto" w:fill="auto"/>
                    </w:rPr>
                    <w:t>监测频次</w:t>
                  </w:r>
                </w:p>
              </w:tc>
              <w:tc>
                <w:tcPr>
                  <w:tcW w:w="973" w:type="pct"/>
                  <w:noWrap w:val="0"/>
                  <w:vAlign w:val="center"/>
                </w:tcPr>
                <w:p>
                  <w:pPr>
                    <w:adjustRightInd w:val="0"/>
                    <w:snapToGrid w:val="0"/>
                    <w:spacing w:line="240" w:lineRule="auto"/>
                    <w:jc w:val="center"/>
                    <w:rPr>
                      <w:rFonts w:ascii="Times New Roman" w:hAnsi="Times New Roman" w:eastAsia="宋体"/>
                      <w:color w:val="auto"/>
                      <w:sz w:val="21"/>
                      <w:szCs w:val="32"/>
                      <w:shd w:val="clear" w:color="auto" w:fill="auto"/>
                    </w:rPr>
                  </w:pPr>
                  <w:r>
                    <w:rPr>
                      <w:rFonts w:ascii="Times New Roman" w:hAnsi="Times New Roman" w:eastAsia="宋体"/>
                      <w:b/>
                      <w:bCs/>
                      <w:color w:val="auto"/>
                      <w:sz w:val="21"/>
                      <w:szCs w:val="21"/>
                      <w:shd w:val="clear" w:color="auto" w:fill="auto"/>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134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DA001排气筒</w:t>
                  </w:r>
                </w:p>
              </w:tc>
              <w:tc>
                <w:tcPr>
                  <w:tcW w:w="1040"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w:t>
                  </w:r>
                </w:p>
              </w:tc>
              <w:tc>
                <w:tcPr>
                  <w:tcW w:w="1040" w:type="pct"/>
                  <w:noWrap w:val="0"/>
                  <w:vAlign w:val="center"/>
                </w:tcPr>
                <w:p>
                  <w:pPr>
                    <w:adjustRightInd w:val="0"/>
                    <w:snapToGrid w:val="0"/>
                    <w:spacing w:line="240" w:lineRule="auto"/>
                    <w:jc w:val="center"/>
                    <w:rPr>
                      <w:rFonts w:ascii="Times New Roman" w:hAnsi="Times New Roman" w:eastAsia="宋体" w:cs="Times New Roman"/>
                      <w:color w:val="auto"/>
                      <w:sz w:val="21"/>
                      <w:szCs w:val="21"/>
                      <w:shd w:val="clear" w:color="auto" w:fill="auto"/>
                    </w:rPr>
                  </w:pPr>
                  <w:r>
                    <w:rPr>
                      <w:rFonts w:ascii="Times New Roman" w:hAnsi="Times New Roman" w:eastAsia="宋体" w:cs="Times New Roman"/>
                      <w:color w:val="auto"/>
                      <w:sz w:val="21"/>
                      <w:szCs w:val="21"/>
                      <w:shd w:val="clear" w:color="auto" w:fill="auto"/>
                    </w:rPr>
                    <w:t>1 次/年</w:t>
                  </w:r>
                </w:p>
              </w:tc>
              <w:tc>
                <w:tcPr>
                  <w:tcW w:w="9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2</w:t>
                  </w:r>
                </w:p>
              </w:tc>
              <w:tc>
                <w:tcPr>
                  <w:tcW w:w="1343"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DA002排气筒</w:t>
                  </w:r>
                </w:p>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（现有项目）</w:t>
                  </w:r>
                </w:p>
              </w:tc>
              <w:tc>
                <w:tcPr>
                  <w:tcW w:w="1040"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w:t>
                  </w:r>
                </w:p>
              </w:tc>
              <w:tc>
                <w:tcPr>
                  <w:tcW w:w="1040" w:type="pct"/>
                  <w:noWrap w:val="0"/>
                  <w:vAlign w:val="center"/>
                </w:tcPr>
                <w:p>
                  <w:pPr>
                    <w:adjustRightInd w:val="0"/>
                    <w:snapToGrid w:val="0"/>
                    <w:spacing w:line="240" w:lineRule="auto"/>
                    <w:jc w:val="center"/>
                    <w:rPr>
                      <w:rFonts w:ascii="Times New Roman" w:hAnsi="Times New Roman" w:eastAsia="宋体" w:cs="Times New Roman"/>
                      <w:color w:val="auto"/>
                      <w:kern w:val="2"/>
                      <w:sz w:val="21"/>
                      <w:szCs w:val="21"/>
                      <w:shd w:val="clear" w:color="auto" w:fill="auto"/>
                      <w:lang w:val="en-US" w:eastAsia="zh-CN" w:bidi="ar-SA"/>
                    </w:rPr>
                  </w:pPr>
                  <w:r>
                    <w:rPr>
                      <w:rFonts w:ascii="Times New Roman" w:hAnsi="Times New Roman" w:eastAsia="宋体" w:cs="Times New Roman"/>
                      <w:color w:val="auto"/>
                      <w:sz w:val="21"/>
                      <w:szCs w:val="21"/>
                      <w:shd w:val="clear" w:color="auto" w:fill="auto"/>
                    </w:rPr>
                    <w:t>1 次/年</w:t>
                  </w:r>
                </w:p>
              </w:tc>
              <w:tc>
                <w:tcPr>
                  <w:tcW w:w="973"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pct"/>
                  <w:noWrap w:val="0"/>
                  <w:vAlign w:val="center"/>
                </w:tcPr>
                <w:p>
                  <w:pPr>
                    <w:adjustRightInd w:val="0"/>
                    <w:snapToGrid w:val="0"/>
                    <w:spacing w:line="240" w:lineRule="auto"/>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3</w:t>
                  </w:r>
                </w:p>
              </w:tc>
              <w:tc>
                <w:tcPr>
                  <w:tcW w:w="1343"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rPr>
                    <w:t>厂界浓度最高点</w:t>
                  </w:r>
                </w:p>
              </w:tc>
              <w:tc>
                <w:tcPr>
                  <w:tcW w:w="1040" w:type="pct"/>
                  <w:noWrap w:val="0"/>
                  <w:vAlign w:val="center"/>
                </w:tcPr>
                <w:p>
                  <w:pPr>
                    <w:adjustRightInd w:val="0"/>
                    <w:snapToGrid w:val="0"/>
                    <w:spacing w:line="240" w:lineRule="auto"/>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4</w:t>
                  </w:r>
                </w:p>
              </w:tc>
              <w:tc>
                <w:tcPr>
                  <w:tcW w:w="1040"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ascii="Times New Roman" w:hAnsi="Times New Roman" w:eastAsia="宋体" w:cs="Times New Roman"/>
                      <w:color w:val="auto"/>
                      <w:sz w:val="21"/>
                      <w:szCs w:val="21"/>
                      <w:shd w:val="clear" w:color="auto" w:fill="auto"/>
                    </w:rPr>
                    <w:t>1 次/年</w:t>
                  </w:r>
                </w:p>
              </w:tc>
              <w:tc>
                <w:tcPr>
                  <w:tcW w:w="973"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sz w:val="21"/>
                      <w:szCs w:val="21"/>
                      <w:shd w:val="clear" w:color="auto" w:fill="auto"/>
                      <w:lang w:val="en-US" w:eastAsia="zh-CN"/>
                    </w:rPr>
                    <w:t>颗粒物、</w:t>
                  </w:r>
                  <w:r>
                    <w:rPr>
                      <w:rFonts w:hint="eastAsia" w:ascii="Times New Roman" w:hAnsi="Times New Roman" w:eastAsia="宋体" w:cs="Times New Roman"/>
                      <w:color w:val="auto"/>
                      <w:sz w:val="21"/>
                      <w:szCs w:val="21"/>
                      <w:shd w:val="clear" w:color="auto" w:fill="auto"/>
                      <w:lang w:val="en-US" w:eastAsia="zh-CN"/>
                    </w:rPr>
                    <w:t>VOCs</w:t>
                  </w:r>
                </w:p>
              </w:tc>
            </w:tr>
          </w:tbl>
          <w:p>
            <w:pPr>
              <w:spacing w:line="360" w:lineRule="auto"/>
              <w:ind w:firstLine="482" w:firstLineChars="200"/>
              <w:rPr>
                <w:b/>
                <w:sz w:val="24"/>
                <w:szCs w:val="24"/>
              </w:rPr>
            </w:pPr>
            <w:r>
              <w:rPr>
                <w:rFonts w:hint="eastAsia"/>
                <w:b/>
                <w:sz w:val="24"/>
                <w:szCs w:val="24"/>
              </w:rPr>
              <w:t>（</w:t>
            </w:r>
            <w:r>
              <w:rPr>
                <w:rFonts w:hint="eastAsia"/>
                <w:b/>
                <w:sz w:val="24"/>
                <w:szCs w:val="24"/>
                <w:lang w:val="en-US" w:eastAsia="zh-CN"/>
              </w:rPr>
              <w:t>6</w:t>
            </w:r>
            <w:r>
              <w:rPr>
                <w:rFonts w:hint="eastAsia"/>
                <w:b/>
                <w:sz w:val="24"/>
                <w:szCs w:val="24"/>
              </w:rPr>
              <w:t>）非正常排放源分析</w:t>
            </w:r>
          </w:p>
          <w:p>
            <w:pPr>
              <w:spacing w:line="360" w:lineRule="auto"/>
              <w:ind w:firstLine="482" w:firstLineChars="200"/>
              <w:rPr>
                <w:rFonts w:cs="Times New Roman"/>
                <w:b/>
                <w:bCs/>
                <w:sz w:val="24"/>
                <w:szCs w:val="24"/>
              </w:rPr>
            </w:pPr>
            <w:r>
              <w:rPr>
                <w:rFonts w:hint="eastAsia" w:cs="Times New Roman"/>
                <w:b/>
                <w:bCs/>
                <w:sz w:val="24"/>
                <w:szCs w:val="24"/>
              </w:rPr>
              <w:t>1）非正常排放情形</w:t>
            </w:r>
          </w:p>
          <w:p>
            <w:pPr>
              <w:spacing w:line="360" w:lineRule="auto"/>
              <w:ind w:firstLine="480" w:firstLineChars="200"/>
              <w:rPr>
                <w:sz w:val="24"/>
                <w:szCs w:val="24"/>
              </w:rPr>
            </w:pPr>
            <w:r>
              <w:rPr>
                <w:rFonts w:hint="eastAsia"/>
                <w:sz w:val="24"/>
                <w:szCs w:val="24"/>
              </w:rPr>
              <w:t>非正常排放是指生产过程中开停工、设备检修、工艺设备运转异常等非正常工况下的污染物排放，以及污染物排放控制措施达不到应有效率等情况下的排放。根据工艺设备运行分析，项目可能发生的非正常排放主要为</w:t>
            </w:r>
            <w:r>
              <w:rPr>
                <w:rFonts w:hint="eastAsia"/>
                <w:sz w:val="24"/>
                <w:szCs w:val="24"/>
                <w:lang w:eastAsia="zh-CN"/>
              </w:rPr>
              <w:t>“二级活性炭”处理设施</w:t>
            </w:r>
            <w:r>
              <w:rPr>
                <w:rFonts w:hint="eastAsia"/>
                <w:sz w:val="24"/>
                <w:szCs w:val="24"/>
              </w:rPr>
              <w:t>故障，导致挥发性有机物未经收集直接排放，平均每次持续时间</w:t>
            </w:r>
            <w:r>
              <w:rPr>
                <w:rFonts w:hint="eastAsia"/>
                <w:sz w:val="24"/>
                <w:szCs w:val="24"/>
                <w:lang w:val="en-US" w:eastAsia="zh-CN"/>
              </w:rPr>
              <w:t>2</w:t>
            </w:r>
            <w:r>
              <w:rPr>
                <w:rFonts w:hint="eastAsia"/>
                <w:sz w:val="24"/>
                <w:szCs w:val="24"/>
              </w:rPr>
              <w:t>h，每年不超过1</w:t>
            </w:r>
            <w:r>
              <w:rPr>
                <w:sz w:val="24"/>
                <w:szCs w:val="24"/>
              </w:rPr>
              <w:t>~</w:t>
            </w:r>
            <w:r>
              <w:rPr>
                <w:rFonts w:hint="eastAsia"/>
                <w:sz w:val="24"/>
                <w:szCs w:val="24"/>
              </w:rPr>
              <w:t>2次。</w:t>
            </w:r>
          </w:p>
          <w:p>
            <w:pPr>
              <w:spacing w:line="360" w:lineRule="auto"/>
              <w:ind w:firstLine="482" w:firstLineChars="200"/>
              <w:rPr>
                <w:b/>
                <w:sz w:val="24"/>
                <w:szCs w:val="24"/>
              </w:rPr>
            </w:pPr>
            <w:r>
              <w:rPr>
                <w:rFonts w:hint="eastAsia"/>
                <w:b/>
                <w:sz w:val="24"/>
                <w:szCs w:val="24"/>
              </w:rPr>
              <w:t>2）非正常排放源核算</w:t>
            </w:r>
          </w:p>
          <w:p>
            <w:pPr>
              <w:spacing w:line="360" w:lineRule="auto"/>
              <w:ind w:firstLine="480" w:firstLineChars="200"/>
              <w:rPr>
                <w:sz w:val="24"/>
                <w:szCs w:val="24"/>
              </w:rPr>
            </w:pPr>
            <w:r>
              <w:rPr>
                <w:rFonts w:hint="eastAsia"/>
                <w:sz w:val="24"/>
                <w:szCs w:val="24"/>
              </w:rPr>
              <w:t>根据分析，项目非正常排放源核算结果见下表。</w:t>
            </w:r>
          </w:p>
          <w:p>
            <w:pPr>
              <w:spacing w:line="240" w:lineRule="auto"/>
              <w:jc w:val="center"/>
              <w:rPr>
                <w:rFonts w:hint="eastAsia" w:ascii="Times New Roman" w:hAnsi="Times New Roman" w:eastAsia="宋体"/>
                <w:b/>
                <w:bCs/>
                <w:color w:val="auto"/>
                <w:sz w:val="21"/>
                <w:shd w:val="clear" w:color="auto" w:fill="auto"/>
                <w:lang w:eastAsia="zh-CN"/>
              </w:rPr>
            </w:pPr>
            <w:r>
              <w:rPr>
                <w:rFonts w:hint="default" w:ascii="Times New Roman" w:hAnsi="Times New Roman" w:eastAsia="宋体"/>
                <w:b/>
                <w:bCs/>
                <w:color w:val="auto"/>
                <w:sz w:val="21"/>
                <w:shd w:val="clear" w:color="auto" w:fill="auto"/>
                <w:lang w:val="en-US" w:eastAsia="zh-CN"/>
              </w:rPr>
              <w:t>表4</w:t>
            </w:r>
            <w:r>
              <w:rPr>
                <w:rFonts w:hint="eastAsia" w:ascii="Times New Roman" w:hAnsi="Times New Roman" w:eastAsia="宋体"/>
                <w:b/>
                <w:bCs/>
                <w:color w:val="auto"/>
                <w:sz w:val="21"/>
                <w:shd w:val="clear" w:color="auto" w:fill="auto"/>
                <w:lang w:val="en-US" w:eastAsia="zh-CN"/>
              </w:rPr>
              <w:t>-6</w:t>
            </w:r>
            <w:r>
              <w:rPr>
                <w:rFonts w:hint="default" w:ascii="Times New Roman" w:hAnsi="Times New Roman" w:eastAsia="宋体"/>
                <w:b/>
                <w:bCs/>
                <w:color w:val="auto"/>
                <w:sz w:val="21"/>
                <w:shd w:val="clear" w:color="auto" w:fill="auto"/>
                <w:lang w:val="en-US" w:eastAsia="zh-CN"/>
              </w:rPr>
              <w:t xml:space="preserve">   </w:t>
            </w:r>
            <w:r>
              <w:rPr>
                <w:rFonts w:hint="eastAsia" w:ascii="Times New Roman" w:hAnsi="Times New Roman" w:eastAsia="宋体"/>
                <w:b/>
                <w:bCs/>
                <w:color w:val="auto"/>
                <w:sz w:val="21"/>
                <w:shd w:val="clear" w:color="auto" w:fill="auto"/>
                <w:lang w:eastAsia="zh-CN"/>
              </w:rPr>
              <w:t>非正常排放源强核算表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2"/>
              <w:gridCol w:w="942"/>
              <w:gridCol w:w="1413"/>
              <w:gridCol w:w="1517"/>
              <w:gridCol w:w="965"/>
              <w:gridCol w:w="1128"/>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09"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排气筒编号</w:t>
                  </w:r>
                </w:p>
              </w:tc>
              <w:tc>
                <w:tcPr>
                  <w:tcW w:w="580"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污染物</w:t>
                  </w:r>
                </w:p>
              </w:tc>
              <w:tc>
                <w:tcPr>
                  <w:tcW w:w="870"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排放浓度/(mg/m</w:t>
                  </w:r>
                  <w:r>
                    <w:rPr>
                      <w:rFonts w:hint="eastAsia" w:ascii="Times New Roman" w:hAnsi="Times New Roman" w:eastAsia="宋体" w:cs="Times New Roman"/>
                      <w:b/>
                      <w:bCs/>
                      <w:color w:val="auto"/>
                      <w:sz w:val="21"/>
                      <w:szCs w:val="21"/>
                      <w:shd w:val="clear" w:color="auto" w:fill="auto"/>
                      <w:vertAlign w:val="superscript"/>
                      <w:lang w:val="en-US" w:eastAsia="zh-CN"/>
                    </w:rPr>
                    <w:t>3</w:t>
                  </w:r>
                  <w:r>
                    <w:rPr>
                      <w:rFonts w:hint="eastAsia" w:ascii="Times New Roman" w:hAnsi="Times New Roman" w:eastAsia="宋体" w:cs="Times New Roman"/>
                      <w:b/>
                      <w:bCs/>
                      <w:color w:val="auto"/>
                      <w:sz w:val="21"/>
                      <w:szCs w:val="21"/>
                      <w:shd w:val="clear" w:color="auto" w:fill="auto"/>
                      <w:lang w:val="en-US" w:eastAsia="zh-CN"/>
                    </w:rPr>
                    <w:t>)</w:t>
                  </w:r>
                </w:p>
              </w:tc>
              <w:tc>
                <w:tcPr>
                  <w:tcW w:w="934"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排放速率/(kg/h)</w:t>
                  </w:r>
                </w:p>
              </w:tc>
              <w:tc>
                <w:tcPr>
                  <w:tcW w:w="594"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单次持续时间/(h)</w:t>
                  </w:r>
                </w:p>
              </w:tc>
              <w:tc>
                <w:tcPr>
                  <w:tcW w:w="694"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年发生频次/(次)</w:t>
                  </w:r>
                </w:p>
              </w:tc>
              <w:tc>
                <w:tcPr>
                  <w:tcW w:w="615" w:type="pct"/>
                  <w:noWrap w:val="0"/>
                  <w:vAlign w:val="center"/>
                </w:tcPr>
                <w:p>
                  <w:pPr>
                    <w:adjustRightInd w:val="0"/>
                    <w:snapToGrid w:val="0"/>
                    <w:spacing w:line="240" w:lineRule="auto"/>
                    <w:jc w:val="center"/>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09"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DA001</w:t>
                  </w:r>
                </w:p>
              </w:tc>
              <w:tc>
                <w:tcPr>
                  <w:tcW w:w="580"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VOCs</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26.47</w:t>
                  </w:r>
                </w:p>
              </w:tc>
              <w:tc>
                <w:tcPr>
                  <w:tcW w:w="9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2.25</w:t>
                  </w:r>
                </w:p>
              </w:tc>
              <w:tc>
                <w:tcPr>
                  <w:tcW w:w="594"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2h</w:t>
                  </w:r>
                </w:p>
              </w:tc>
              <w:tc>
                <w:tcPr>
                  <w:tcW w:w="694"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2</w:t>
                  </w:r>
                </w:p>
              </w:tc>
              <w:tc>
                <w:tcPr>
                  <w:tcW w:w="615"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停产检修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09"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DA00</w:t>
                  </w:r>
                  <w:r>
                    <w:rPr>
                      <w:rFonts w:hint="eastAsia" w:cs="Times New Roman"/>
                      <w:color w:val="auto"/>
                      <w:sz w:val="21"/>
                      <w:szCs w:val="21"/>
                      <w:shd w:val="clear" w:color="auto" w:fill="auto"/>
                      <w:lang w:val="en-US" w:eastAsia="zh-CN"/>
                    </w:rPr>
                    <w:t>2</w:t>
                  </w:r>
                </w:p>
              </w:tc>
              <w:tc>
                <w:tcPr>
                  <w:tcW w:w="580"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VOCs</w:t>
                  </w:r>
                </w:p>
              </w:tc>
              <w:tc>
                <w:tcPr>
                  <w:tcW w:w="870"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96.13</w:t>
                  </w:r>
                </w:p>
              </w:tc>
              <w:tc>
                <w:tcPr>
                  <w:tcW w:w="934"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1.73</w:t>
                  </w:r>
                </w:p>
              </w:tc>
              <w:tc>
                <w:tcPr>
                  <w:tcW w:w="594"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2h</w:t>
                  </w:r>
                </w:p>
              </w:tc>
              <w:tc>
                <w:tcPr>
                  <w:tcW w:w="694"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2</w:t>
                  </w:r>
                </w:p>
              </w:tc>
              <w:tc>
                <w:tcPr>
                  <w:tcW w:w="615"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停产检修</w:t>
                  </w:r>
                </w:p>
              </w:tc>
            </w:tr>
          </w:tbl>
          <w:p>
            <w:pPr>
              <w:spacing w:line="360" w:lineRule="auto"/>
              <w:ind w:firstLine="482" w:firstLineChars="200"/>
              <w:rPr>
                <w:b/>
                <w:sz w:val="24"/>
                <w:szCs w:val="24"/>
              </w:rPr>
            </w:pPr>
            <w:r>
              <w:rPr>
                <w:rFonts w:hint="eastAsia"/>
                <w:b/>
                <w:sz w:val="24"/>
                <w:szCs w:val="24"/>
              </w:rPr>
              <w:t>3）非正常排放控制措施</w:t>
            </w:r>
          </w:p>
          <w:p>
            <w:pPr>
              <w:spacing w:line="360" w:lineRule="auto"/>
              <w:ind w:firstLine="480" w:firstLineChars="200"/>
              <w:rPr>
                <w:sz w:val="24"/>
                <w:szCs w:val="24"/>
              </w:rPr>
            </w:pPr>
            <w:r>
              <w:rPr>
                <w:rFonts w:hint="eastAsia"/>
                <w:sz w:val="24"/>
                <w:szCs w:val="24"/>
              </w:rPr>
              <w:t>为防范非正常排放下对环境的影响，环评要求：</w:t>
            </w:r>
            <w:r>
              <w:rPr>
                <w:rFonts w:hint="eastAsia"/>
                <w:sz w:val="24"/>
                <w:szCs w:val="24"/>
                <w:lang w:eastAsia="zh-CN"/>
              </w:rPr>
              <w:t>加强有机废气处理设施的管理，定期对设备进行检修，定期更换活性炭；</w:t>
            </w:r>
            <w:r>
              <w:rPr>
                <w:rFonts w:hint="eastAsia"/>
                <w:sz w:val="24"/>
                <w:szCs w:val="24"/>
              </w:rPr>
              <w:t>一旦发生故障，应当及时停止作业，加强车间通风换气，立刻进行检修，待其正常运行后方可恢复生产。根据国家环保政策、标准及环境监测要求，制定该项目运行期环境管理规章制度、废气排放指标；在厂区的废气排放口设置环境保护图形标志；加强废气处理设施维护管理，使设备正常运行，及时对废活性炭进行更换，保证废气处理设施的正常有效的运行。</w:t>
            </w:r>
          </w:p>
          <w:p>
            <w:pPr>
              <w:spacing w:line="360" w:lineRule="auto"/>
              <w:ind w:firstLine="482" w:firstLineChars="200"/>
              <w:rPr>
                <w:b/>
                <w:sz w:val="24"/>
                <w:szCs w:val="24"/>
              </w:rPr>
            </w:pPr>
            <w:r>
              <w:rPr>
                <w:rFonts w:hint="eastAsia"/>
                <w:b/>
                <w:sz w:val="24"/>
                <w:szCs w:val="24"/>
              </w:rPr>
              <w:t>（</w:t>
            </w:r>
            <w:r>
              <w:rPr>
                <w:b/>
                <w:sz w:val="24"/>
                <w:szCs w:val="24"/>
              </w:rPr>
              <w:t>7</w:t>
            </w:r>
            <w:r>
              <w:rPr>
                <w:rFonts w:hint="eastAsia"/>
                <w:b/>
                <w:sz w:val="24"/>
                <w:szCs w:val="24"/>
              </w:rPr>
              <w:t>）环境影响结论</w:t>
            </w:r>
          </w:p>
          <w:p>
            <w:pPr>
              <w:spacing w:line="360" w:lineRule="auto"/>
              <w:ind w:firstLine="480" w:firstLineChars="200"/>
              <w:rPr>
                <w:sz w:val="24"/>
                <w:szCs w:val="24"/>
              </w:rPr>
            </w:pPr>
            <w:r>
              <w:rPr>
                <w:sz w:val="24"/>
                <w:szCs w:val="24"/>
              </w:rPr>
              <w:t>本项目区域为环境空气质量达标区</w:t>
            </w:r>
            <w:r>
              <w:rPr>
                <w:rFonts w:hint="eastAsia"/>
                <w:sz w:val="24"/>
                <w:szCs w:val="24"/>
              </w:rPr>
              <w:t>，项目周边500m范围内</w:t>
            </w:r>
            <w:r>
              <w:rPr>
                <w:rFonts w:hint="eastAsia" w:cstheme="minorHAnsi"/>
                <w:sz w:val="24"/>
                <w:szCs w:val="24"/>
              </w:rPr>
              <w:t>以建材、</w:t>
            </w:r>
            <w:r>
              <w:rPr>
                <w:rFonts w:hint="eastAsia" w:cstheme="minorHAnsi"/>
                <w:sz w:val="24"/>
                <w:szCs w:val="24"/>
                <w:lang w:eastAsia="zh-CN"/>
              </w:rPr>
              <w:t>家具</w:t>
            </w:r>
            <w:r>
              <w:rPr>
                <w:rFonts w:hint="eastAsia" w:cstheme="minorHAnsi"/>
                <w:sz w:val="24"/>
                <w:szCs w:val="24"/>
              </w:rPr>
              <w:t>生产企业为主，</w:t>
            </w:r>
            <w:r>
              <w:rPr>
                <w:rFonts w:hint="eastAsia" w:cstheme="minorHAnsi"/>
                <w:sz w:val="24"/>
                <w:szCs w:val="24"/>
                <w:lang w:eastAsia="zh-CN"/>
              </w:rPr>
              <w:t>无敏感保护目标</w:t>
            </w:r>
            <w:r>
              <w:rPr>
                <w:rFonts w:hint="eastAsia" w:ascii="Times New Roman" w:hAnsi="Times New Roman" w:eastAsia="宋体"/>
                <w:sz w:val="24"/>
                <w:szCs w:val="24"/>
              </w:rPr>
              <w:t>。</w:t>
            </w:r>
            <w:r>
              <w:rPr>
                <w:rFonts w:hint="eastAsia"/>
                <w:sz w:val="24"/>
                <w:szCs w:val="24"/>
              </w:rPr>
              <w:t>运营期针对各废气在采取环评提出的污染防治措施后，各污染物均可实现达标排放，拟采取的治理技术可行，不会对区域大气环境造成不利影响。</w:t>
            </w:r>
          </w:p>
          <w:p>
            <w:pPr>
              <w:spacing w:line="360" w:lineRule="auto"/>
              <w:ind w:firstLine="482" w:firstLineChars="200"/>
              <w:rPr>
                <w:b/>
                <w:sz w:val="24"/>
                <w:szCs w:val="24"/>
              </w:rPr>
            </w:pPr>
            <w:r>
              <w:rPr>
                <w:b/>
                <w:sz w:val="24"/>
                <w:szCs w:val="24"/>
              </w:rPr>
              <w:t>2</w:t>
            </w:r>
            <w:r>
              <w:rPr>
                <w:rFonts w:hint="eastAsia"/>
                <w:b/>
                <w:sz w:val="24"/>
                <w:szCs w:val="24"/>
              </w:rPr>
              <w:t>、废水</w:t>
            </w:r>
          </w:p>
          <w:p>
            <w:pPr>
              <w:spacing w:line="360" w:lineRule="auto"/>
              <w:ind w:firstLine="482" w:firstLineChars="200"/>
              <w:rPr>
                <w:b/>
                <w:sz w:val="24"/>
                <w:szCs w:val="24"/>
              </w:rPr>
            </w:pPr>
            <w:r>
              <w:rPr>
                <w:rFonts w:hint="eastAsia"/>
                <w:b/>
                <w:sz w:val="24"/>
                <w:szCs w:val="24"/>
              </w:rPr>
              <w:t>（1）产生情况及治理措施</w:t>
            </w:r>
          </w:p>
          <w:p>
            <w:pPr>
              <w:spacing w:line="360" w:lineRule="auto"/>
              <w:ind w:firstLine="482" w:firstLineChars="200"/>
              <w:rPr>
                <w:b/>
                <w:sz w:val="24"/>
                <w:szCs w:val="24"/>
              </w:rPr>
            </w:pPr>
            <w:r>
              <w:rPr>
                <w:rFonts w:hint="eastAsia"/>
                <w:b/>
                <w:sz w:val="24"/>
                <w:szCs w:val="24"/>
              </w:rPr>
              <w:t>①产生情况</w:t>
            </w:r>
          </w:p>
          <w:p>
            <w:pPr>
              <w:spacing w:line="360" w:lineRule="auto"/>
              <w:ind w:firstLine="480"/>
              <w:rPr>
                <w:rFonts w:hint="eastAsia"/>
                <w:kern w:val="24"/>
                <w:sz w:val="24"/>
                <w:szCs w:val="24"/>
              </w:rPr>
            </w:pPr>
            <w:r>
              <w:rPr>
                <w:sz w:val="24"/>
                <w:szCs w:val="24"/>
              </w:rPr>
              <w:t>本</w:t>
            </w:r>
            <w:r>
              <w:rPr>
                <w:rFonts w:hint="eastAsia"/>
                <w:sz w:val="24"/>
                <w:szCs w:val="24"/>
              </w:rPr>
              <w:t>项目废水主要为玻璃</w:t>
            </w:r>
            <w:r>
              <w:rPr>
                <w:rFonts w:hint="eastAsia"/>
                <w:sz w:val="24"/>
                <w:szCs w:val="24"/>
                <w:lang w:eastAsia="zh-CN"/>
              </w:rPr>
              <w:t>原片</w:t>
            </w:r>
            <w:r>
              <w:rPr>
                <w:rFonts w:hint="eastAsia"/>
                <w:sz w:val="24"/>
                <w:szCs w:val="24"/>
              </w:rPr>
              <w:t>清洗废水、</w:t>
            </w:r>
            <w:r>
              <w:rPr>
                <w:rFonts w:hint="eastAsia"/>
                <w:sz w:val="24"/>
                <w:szCs w:val="24"/>
                <w:lang w:eastAsia="zh-CN"/>
              </w:rPr>
              <w:t>纯水机制备废水、</w:t>
            </w:r>
            <w:r>
              <w:rPr>
                <w:rFonts w:hint="eastAsia"/>
                <w:kern w:val="24"/>
                <w:sz w:val="24"/>
                <w:szCs w:val="24"/>
              </w:rPr>
              <w:t>生活污水。</w:t>
            </w:r>
          </w:p>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w:t>
            </w:r>
            <w:r>
              <w:rPr>
                <w:rFonts w:ascii="Times New Roman" w:hAnsi="Times New Roman" w:cs="Times New Roman"/>
                <w:color w:val="auto"/>
                <w:sz w:val="24"/>
                <w:szCs w:val="24"/>
                <w:lang w:eastAsia="zh-CN"/>
              </w:rPr>
              <w:t>生活</w:t>
            </w:r>
            <w:r>
              <w:rPr>
                <w:rFonts w:hint="eastAsia" w:ascii="Times New Roman" w:hAnsi="Times New Roman" w:cs="Times New Roman"/>
                <w:color w:val="auto"/>
                <w:sz w:val="24"/>
                <w:szCs w:val="24"/>
                <w:lang w:eastAsia="zh-CN"/>
              </w:rPr>
              <w:t>废水</w:t>
            </w:r>
          </w:p>
          <w:p>
            <w:pPr>
              <w:spacing w:line="360" w:lineRule="auto"/>
              <w:ind w:firstLine="480" w:firstLineChars="200"/>
              <w:rPr>
                <w:rFonts w:ascii="Times New Roman" w:hAnsi="Times New Roman" w:cs="Times New Roman"/>
                <w:color w:val="auto"/>
                <w:sz w:val="24"/>
                <w:szCs w:val="24"/>
                <w:highlight w:val="cyan"/>
                <w:lang w:eastAsia="zh-CN"/>
              </w:rPr>
            </w:pPr>
            <w:r>
              <w:rPr>
                <w:rFonts w:hint="eastAsia" w:ascii="Times New Roman" w:hAnsi="Times New Roman"/>
                <w:color w:val="auto"/>
                <w:sz w:val="24"/>
                <w:szCs w:val="24"/>
                <w:lang w:eastAsia="zh-CN"/>
              </w:rPr>
              <w:t>本项目新增员工人数为</w:t>
            </w:r>
            <w:r>
              <w:rPr>
                <w:rFonts w:hint="eastAsia" w:ascii="Times New Roman" w:hAnsi="Times New Roman"/>
                <w:color w:val="auto"/>
                <w:sz w:val="24"/>
                <w:szCs w:val="24"/>
                <w:lang w:val="en-US" w:eastAsia="zh-CN"/>
              </w:rPr>
              <w:t>4</w:t>
            </w:r>
            <w:r>
              <w:rPr>
                <w:rFonts w:hint="eastAsia" w:ascii="Times New Roman" w:hAnsi="Times New Roman"/>
                <w:color w:val="auto"/>
                <w:sz w:val="24"/>
                <w:szCs w:val="24"/>
                <w:lang w:eastAsia="zh-CN"/>
              </w:rPr>
              <w:t>人，由于员工仅在项目内办公，不提供食宿，根据《四川省地方标准用水定额》（DB51/T2138-2021）及实际调查情况，办公人员的办公及生活用水按0.05</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/人天计，则本项目新增办公及生活用水量约为</w:t>
            </w:r>
            <w:r>
              <w:rPr>
                <w:rFonts w:hint="eastAsia" w:ascii="Times New Roman" w:hAnsi="Times New Roman"/>
                <w:color w:val="auto"/>
                <w:sz w:val="24"/>
                <w:szCs w:val="24"/>
                <w:lang w:val="en-US" w:eastAsia="zh-CN"/>
              </w:rPr>
              <w:t>0.2</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/d，</w:t>
            </w:r>
            <w:r>
              <w:rPr>
                <w:rFonts w:hint="eastAsia" w:ascii="Times New Roman" w:hAnsi="Times New Roman"/>
                <w:color w:val="auto"/>
                <w:sz w:val="24"/>
                <w:szCs w:val="24"/>
                <w:lang w:val="en-US" w:eastAsia="zh-CN"/>
              </w:rPr>
              <w:t>60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/a；项目生活污水排放系数按</w:t>
            </w:r>
            <w:r>
              <w:rPr>
                <w:rFonts w:hint="eastAsia" w:ascii="Times New Roman" w:hAnsi="Times New Roman"/>
                <w:color w:val="auto"/>
                <w:sz w:val="24"/>
                <w:szCs w:val="24"/>
                <w:lang w:val="en-US" w:eastAsia="zh-CN"/>
              </w:rPr>
              <w:t>0.85计，则项目新增生活废水量为0.17</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/d，</w:t>
            </w:r>
            <w:r>
              <w:rPr>
                <w:rFonts w:hint="eastAsia" w:ascii="Times New Roman" w:hAnsi="Times New Roman"/>
                <w:color w:val="auto"/>
                <w:sz w:val="24"/>
                <w:szCs w:val="24"/>
                <w:lang w:val="en-US" w:eastAsia="zh-CN"/>
              </w:rPr>
              <w:t>5</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/a。</w:t>
            </w:r>
          </w:p>
          <w:p>
            <w:pPr>
              <w:spacing w:line="360" w:lineRule="auto"/>
              <w:ind w:firstLine="480" w:firstLineChars="200"/>
              <w:rPr>
                <w:rFonts w:hint="eastAsia" w:ascii="Times New Roman" w:hAnsi="Times New Roman" w:cs="Times New Roman"/>
                <w:color w:val="auto"/>
                <w:sz w:val="24"/>
                <w:szCs w:val="24"/>
                <w:lang w:eastAsia="zh-CN"/>
              </w:rPr>
            </w:pP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）玻璃原片</w:t>
            </w:r>
            <w:r>
              <w:rPr>
                <w:rFonts w:hint="eastAsia" w:ascii="Times New Roman" w:hAnsi="Times New Roman" w:cs="Times New Roman"/>
                <w:color w:val="auto"/>
                <w:sz w:val="24"/>
                <w:szCs w:val="24"/>
                <w:lang w:eastAsia="zh-CN"/>
              </w:rPr>
              <w:t xml:space="preserve">清洗用水 </w:t>
            </w:r>
          </w:p>
          <w:p>
            <w:pPr>
              <w:pStyle w:val="11"/>
              <w:spacing w:before="0" w:after="0" w:line="360" w:lineRule="auto"/>
              <w:ind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项目玻璃原片需要达到一定洁净度后才能进行涂膜，故项目玻璃原片使用纯水进行清洗，</w:t>
            </w:r>
            <w:r>
              <w:rPr>
                <w:rFonts w:hint="eastAsia" w:ascii="Times New Roman" w:hAnsi="Times New Roman" w:cs="Times New Roman"/>
                <w:color w:val="auto"/>
                <w:sz w:val="24"/>
                <w:szCs w:val="24"/>
                <w:lang w:val="en-US" w:eastAsia="zh-CN"/>
              </w:rPr>
              <w:t>1</w:t>
            </w:r>
            <w:r>
              <w:rPr>
                <w:rFonts w:ascii="Times New Roman" w:hAnsi="Times New Roman"/>
                <w:color w:val="auto"/>
                <w:sz w:val="24"/>
                <w:szCs w:val="24"/>
                <w:lang w:eastAsia="zh-CN"/>
              </w:rPr>
              <w:t>m</w:t>
            </w:r>
            <w:r>
              <w:rPr>
                <w:rFonts w:hint="eastAsia"/>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玻璃原片需要</w:t>
            </w:r>
            <w:r>
              <w:rPr>
                <w:rFonts w:hint="eastAsia" w:cs="Times New Roman"/>
                <w:color w:val="auto"/>
                <w:sz w:val="24"/>
                <w:szCs w:val="24"/>
                <w:lang w:val="en-US" w:eastAsia="zh-CN"/>
              </w:rPr>
              <w:t>0.005</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val="en-US" w:eastAsia="zh-CN"/>
              </w:rPr>
              <w:t>纯水，</w:t>
            </w:r>
            <w:r>
              <w:rPr>
                <w:rFonts w:hint="eastAsia" w:ascii="Times New Roman" w:hAnsi="Times New Roman" w:cs="Times New Roman"/>
                <w:color w:val="auto"/>
                <w:sz w:val="24"/>
                <w:szCs w:val="24"/>
                <w:lang w:eastAsia="zh-CN"/>
              </w:rPr>
              <w:t>本项目纳米镀膜玻璃产量为</w:t>
            </w:r>
            <w:r>
              <w:rPr>
                <w:rFonts w:hint="eastAsia" w:ascii="Times New Roman" w:hAnsi="Times New Roman" w:cs="Times New Roman"/>
                <w:color w:val="auto"/>
                <w:sz w:val="24"/>
                <w:szCs w:val="24"/>
                <w:lang w:val="en-US" w:eastAsia="zh-CN"/>
              </w:rPr>
              <w:t>60万</w:t>
            </w:r>
            <w:r>
              <w:rPr>
                <w:rFonts w:ascii="Times New Roman" w:hAnsi="Times New Roman"/>
                <w:color w:val="auto"/>
                <w:sz w:val="24"/>
                <w:szCs w:val="24"/>
                <w:lang w:eastAsia="zh-CN"/>
              </w:rPr>
              <w:t>m</w:t>
            </w:r>
            <w:r>
              <w:rPr>
                <w:rFonts w:hint="eastAsia"/>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则玻璃清洗用水为3000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eastAsia="zh-CN"/>
              </w:rPr>
              <w:t>/a</w:t>
            </w:r>
            <w:r>
              <w:rPr>
                <w:rFonts w:hint="eastAsia" w:cs="Times New Roman"/>
                <w:color w:val="auto"/>
                <w:sz w:val="24"/>
                <w:szCs w:val="24"/>
                <w:lang w:eastAsia="zh-CN"/>
              </w:rPr>
              <w:t>，本项目建设</w:t>
            </w:r>
            <w:r>
              <w:rPr>
                <w:rFonts w:hint="eastAsia" w:cs="Times New Roman"/>
                <w:color w:val="auto"/>
                <w:sz w:val="24"/>
                <w:szCs w:val="24"/>
                <w:lang w:val="en-US" w:eastAsia="zh-CN"/>
              </w:rPr>
              <w:t>1座10m</w:t>
            </w:r>
            <w:r>
              <w:rPr>
                <w:rFonts w:hint="eastAsia" w:cs="Times New Roman"/>
                <w:color w:val="auto"/>
                <w:sz w:val="24"/>
                <w:szCs w:val="24"/>
                <w:vertAlign w:val="superscript"/>
                <w:lang w:val="en-US" w:eastAsia="zh-CN"/>
              </w:rPr>
              <w:t>3</w:t>
            </w:r>
            <w:r>
              <w:rPr>
                <w:rFonts w:hint="eastAsia" w:cs="Times New Roman"/>
                <w:color w:val="auto"/>
                <w:sz w:val="24"/>
                <w:szCs w:val="24"/>
                <w:lang w:eastAsia="zh-CN"/>
              </w:rPr>
              <w:t>沉淀池处理玻璃清洗废水，处理后的废水回用于清洗工序，玻璃废水产污按</w:t>
            </w:r>
            <w:r>
              <w:rPr>
                <w:rFonts w:hint="eastAsia" w:cs="Times New Roman"/>
                <w:color w:val="auto"/>
                <w:sz w:val="24"/>
                <w:szCs w:val="24"/>
                <w:lang w:val="en-US" w:eastAsia="zh-CN"/>
              </w:rPr>
              <w:t>80%计，废水产生量为2400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eastAsia="zh-CN"/>
              </w:rPr>
              <w:t>/a</w:t>
            </w:r>
            <w:r>
              <w:rPr>
                <w:rFonts w:hint="eastAsia" w:cs="Times New Roman"/>
                <w:color w:val="auto"/>
                <w:sz w:val="24"/>
                <w:szCs w:val="24"/>
                <w:lang w:eastAsia="zh-CN"/>
              </w:rPr>
              <w:t>，则项目新鲜纯水补充量为</w:t>
            </w:r>
            <w:r>
              <w:rPr>
                <w:rFonts w:hint="eastAsia" w:cs="Times New Roman"/>
                <w:color w:val="auto"/>
                <w:sz w:val="24"/>
                <w:szCs w:val="24"/>
                <w:lang w:val="en-US" w:eastAsia="zh-CN"/>
              </w:rPr>
              <w:t>600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s="Times New Roman"/>
                <w:color w:val="auto"/>
                <w:sz w:val="24"/>
                <w:szCs w:val="24"/>
                <w:lang w:eastAsia="zh-CN"/>
              </w:rPr>
              <w:t>/a</w:t>
            </w:r>
            <w:r>
              <w:rPr>
                <w:rFonts w:hint="eastAsia" w:cs="Times New Roman"/>
                <w:color w:val="auto"/>
                <w:sz w:val="24"/>
                <w:szCs w:val="24"/>
                <w:lang w:eastAsia="zh-CN"/>
              </w:rPr>
              <w:t>。</w:t>
            </w:r>
          </w:p>
          <w:p>
            <w:pPr>
              <w:pStyle w:val="11"/>
              <w:spacing w:before="0" w:after="0" w:line="360" w:lineRule="auto"/>
              <w:ind w:right="0" w:firstLine="480" w:firstLineChars="200"/>
              <w:rPr>
                <w:rFonts w:ascii="Times New Roman" w:hAnsi="Times New Roman"/>
                <w:color w:val="auto"/>
                <w:sz w:val="24"/>
                <w:szCs w:val="24"/>
                <w:lang w:eastAsia="zh-CN"/>
              </w:rPr>
            </w:pP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w:t>
            </w:r>
            <w:r>
              <w:rPr>
                <w:rFonts w:hint="eastAsia"/>
                <w:color w:val="auto"/>
                <w:sz w:val="24"/>
                <w:szCs w:val="24"/>
                <w:lang w:eastAsia="zh-CN"/>
              </w:rPr>
              <w:t>纯水制备用水</w:t>
            </w:r>
          </w:p>
          <w:p>
            <w:pPr>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本项目使用的纯水是将自来水直接接入超纯水机中，利用超纯水机制备出纯水。本项目使用的纯水机每制备1m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的纯水需消耗自来水约</w:t>
            </w:r>
            <w:r>
              <w:rPr>
                <w:rFonts w:hint="eastAsia"/>
                <w:color w:val="auto"/>
                <w:sz w:val="24"/>
                <w:szCs w:val="24"/>
                <w:lang w:val="en-US" w:eastAsia="zh-CN"/>
              </w:rPr>
              <w:t>1.4</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，产生的</w:t>
            </w:r>
            <w:r>
              <w:rPr>
                <w:rFonts w:hint="eastAsia"/>
                <w:color w:val="auto"/>
                <w:sz w:val="24"/>
                <w:szCs w:val="24"/>
                <w:lang w:eastAsia="zh-CN"/>
              </w:rPr>
              <w:t>排污水</w:t>
            </w:r>
            <w:r>
              <w:rPr>
                <w:rFonts w:ascii="Times New Roman" w:hAnsi="Times New Roman"/>
                <w:color w:val="auto"/>
                <w:sz w:val="24"/>
                <w:szCs w:val="24"/>
                <w:lang w:eastAsia="zh-CN"/>
              </w:rPr>
              <w:t>约</w:t>
            </w:r>
            <w:r>
              <w:rPr>
                <w:rFonts w:hint="eastAsia"/>
                <w:color w:val="auto"/>
                <w:sz w:val="24"/>
                <w:szCs w:val="24"/>
                <w:lang w:val="en-US" w:eastAsia="zh-CN"/>
              </w:rPr>
              <w:t>0.4</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本项目所需的纯水量约</w:t>
            </w:r>
            <w:r>
              <w:rPr>
                <w:rFonts w:hint="eastAsia"/>
                <w:color w:val="auto"/>
                <w:sz w:val="24"/>
                <w:szCs w:val="24"/>
                <w:lang w:val="en-US" w:eastAsia="zh-CN"/>
              </w:rPr>
              <w:t>600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w:t>
            </w:r>
            <w:r>
              <w:rPr>
                <w:rFonts w:hint="eastAsia"/>
                <w:color w:val="auto"/>
                <w:sz w:val="24"/>
                <w:szCs w:val="24"/>
                <w:lang w:val="en-US" w:eastAsia="zh-CN"/>
              </w:rPr>
              <w:t>a</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故纯水机制备纯水时所需的自来水量约为</w:t>
            </w:r>
            <w:r>
              <w:rPr>
                <w:rFonts w:hint="eastAsia"/>
                <w:color w:val="auto"/>
                <w:sz w:val="24"/>
                <w:szCs w:val="24"/>
                <w:lang w:val="en-US" w:eastAsia="zh-CN"/>
              </w:rPr>
              <w:t>840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w:t>
            </w:r>
            <w:r>
              <w:rPr>
                <w:rFonts w:hint="eastAsia"/>
                <w:color w:val="auto"/>
                <w:sz w:val="24"/>
                <w:szCs w:val="24"/>
                <w:lang w:val="en-US" w:eastAsia="zh-CN"/>
              </w:rPr>
              <w:t>a</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产生的</w:t>
            </w:r>
            <w:r>
              <w:rPr>
                <w:rFonts w:hint="eastAsia"/>
                <w:color w:val="auto"/>
                <w:sz w:val="24"/>
                <w:szCs w:val="24"/>
                <w:lang w:eastAsia="zh-CN"/>
              </w:rPr>
              <w:t>排污水</w:t>
            </w:r>
            <w:r>
              <w:rPr>
                <w:rFonts w:ascii="Times New Roman" w:hAnsi="Times New Roman"/>
                <w:color w:val="auto"/>
                <w:sz w:val="24"/>
                <w:szCs w:val="24"/>
                <w:lang w:eastAsia="zh-CN"/>
              </w:rPr>
              <w:t>为</w:t>
            </w:r>
            <w:r>
              <w:rPr>
                <w:rFonts w:hint="eastAsia"/>
                <w:color w:val="auto"/>
                <w:sz w:val="24"/>
                <w:szCs w:val="24"/>
                <w:lang w:val="en-US" w:eastAsia="zh-CN"/>
              </w:rPr>
              <w:t>240</w:t>
            </w:r>
            <w:r>
              <w:rPr>
                <w:rFonts w:ascii="Times New Roman" w:hAnsi="Times New Roman"/>
                <w:color w:val="auto"/>
                <w:sz w:val="24"/>
                <w:szCs w:val="24"/>
                <w:lang w:eastAsia="zh-CN"/>
              </w:rPr>
              <w:t>m</w:t>
            </w:r>
            <w:r>
              <w:rPr>
                <w:rFonts w:ascii="Times New Roman" w:hAnsi="Times New Roman"/>
                <w:color w:val="auto"/>
                <w:sz w:val="24"/>
                <w:szCs w:val="24"/>
                <w:vertAlign w:val="superscript"/>
                <w:lang w:eastAsia="zh-CN"/>
              </w:rPr>
              <w:t>3</w:t>
            </w:r>
            <w:r>
              <w:rPr>
                <w:rFonts w:ascii="Times New Roman" w:hAnsi="Times New Roman"/>
                <w:color w:val="auto"/>
                <w:sz w:val="24"/>
                <w:szCs w:val="24"/>
                <w:lang w:eastAsia="zh-CN"/>
              </w:rPr>
              <w:t>/a</w:t>
            </w:r>
            <w:r>
              <w:rPr>
                <w:rFonts w:hint="eastAsia"/>
                <w:color w:val="auto"/>
                <w:sz w:val="24"/>
                <w:szCs w:val="24"/>
                <w:lang w:eastAsia="zh-CN"/>
              </w:rPr>
              <w:t>，纯水机排污水通过预处理池处理后与生活污水一起排入园区污水管网</w:t>
            </w:r>
            <w:r>
              <w:rPr>
                <w:rFonts w:ascii="Times New Roman" w:hAnsi="Times New Roman"/>
                <w:color w:val="auto"/>
                <w:sz w:val="24"/>
                <w:szCs w:val="24"/>
                <w:lang w:eastAsia="zh-CN"/>
              </w:rPr>
              <w:t>。</w:t>
            </w:r>
          </w:p>
          <w:p>
            <w:pPr>
              <w:spacing w:line="360" w:lineRule="auto"/>
              <w:ind w:firstLine="482" w:firstLineChars="200"/>
              <w:rPr>
                <w:b/>
                <w:sz w:val="24"/>
                <w:szCs w:val="24"/>
              </w:rPr>
            </w:pPr>
            <w:r>
              <w:rPr>
                <w:rFonts w:hint="eastAsia"/>
                <w:b/>
                <w:sz w:val="24"/>
                <w:szCs w:val="24"/>
              </w:rPr>
              <w:t>②治理措施</w:t>
            </w:r>
          </w:p>
          <w:p>
            <w:pPr>
              <w:spacing w:line="360" w:lineRule="auto"/>
              <w:ind w:firstLine="480"/>
              <w:rPr>
                <w:sz w:val="24"/>
                <w:szCs w:val="24"/>
              </w:rPr>
            </w:pPr>
            <w:r>
              <w:rPr>
                <w:rFonts w:hint="eastAsia"/>
                <w:color w:val="auto"/>
                <w:kern w:val="24"/>
                <w:sz w:val="24"/>
                <w:szCs w:val="24"/>
              </w:rPr>
              <w:t>项目排水</w:t>
            </w:r>
            <w:r>
              <w:rPr>
                <w:color w:val="auto"/>
                <w:kern w:val="24"/>
                <w:sz w:val="24"/>
                <w:szCs w:val="24"/>
              </w:rPr>
              <w:t>采用雨、污分流制</w:t>
            </w:r>
            <w:r>
              <w:rPr>
                <w:rFonts w:hint="eastAsia"/>
                <w:color w:val="auto"/>
                <w:kern w:val="24"/>
                <w:sz w:val="24"/>
                <w:szCs w:val="24"/>
              </w:rPr>
              <w:t>，雨水经厂区雨水管道排入园区雨水管网；运营期</w:t>
            </w:r>
            <w:r>
              <w:rPr>
                <w:rFonts w:hint="eastAsia"/>
                <w:color w:val="auto"/>
                <w:kern w:val="24"/>
                <w:sz w:val="24"/>
                <w:szCs w:val="24"/>
                <w:lang w:eastAsia="zh-CN"/>
              </w:rPr>
              <w:t>玻璃原片清洗废水经沉淀池处理后回用，不外排；纯水制备废水与生活污水一起</w:t>
            </w:r>
            <w:r>
              <w:rPr>
                <w:rFonts w:hint="eastAsia"/>
                <w:color w:val="auto"/>
                <w:kern w:val="24"/>
                <w:sz w:val="24"/>
                <w:szCs w:val="24"/>
              </w:rPr>
              <w:t>经预处理池处理达到《污水综合排放标准》（GB8978-1996）三级标准后排入园区污水管网，经巴中经开区污水处理厂处理达到《城镇污水处理厂污染物排放标准》（GB18918-2002）一级A标准后排入巴河。</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）废水源强核算结果</w:t>
            </w:r>
          </w:p>
          <w:p>
            <w:pPr>
              <w:spacing w:line="360" w:lineRule="auto"/>
              <w:ind w:firstLine="480" w:firstLineChars="200"/>
              <w:rPr>
                <w:kern w:val="24"/>
                <w:sz w:val="24"/>
                <w:szCs w:val="24"/>
              </w:rPr>
            </w:pPr>
            <w:r>
              <w:rPr>
                <w:rFonts w:hint="eastAsia"/>
                <w:kern w:val="24"/>
                <w:sz w:val="24"/>
                <w:szCs w:val="24"/>
              </w:rPr>
              <w:t>运营期废水污染源源强核算结果及相关参数见下表：</w:t>
            </w:r>
          </w:p>
          <w:p>
            <w:pPr>
              <w:spacing w:line="240" w:lineRule="auto"/>
              <w:jc w:val="center"/>
              <w:rPr>
                <w:rFonts w:hint="eastAsia"/>
                <w:b/>
                <w:sz w:val="24"/>
                <w:szCs w:val="24"/>
              </w:rPr>
            </w:pPr>
            <w:r>
              <w:rPr>
                <w:rFonts w:hint="default" w:ascii="Times New Roman" w:hAnsi="Times New Roman" w:eastAsia="宋体"/>
                <w:b/>
                <w:bCs/>
                <w:color w:val="auto"/>
                <w:sz w:val="21"/>
                <w:shd w:val="clear" w:color="auto" w:fill="auto"/>
                <w:lang w:val="en-US" w:eastAsia="zh-CN"/>
              </w:rPr>
              <w:t xml:space="preserve">表4-7   </w:t>
            </w:r>
            <w:r>
              <w:rPr>
                <w:rFonts w:hint="eastAsia" w:ascii="Times New Roman" w:hAnsi="Times New Roman" w:eastAsia="宋体"/>
                <w:b/>
                <w:bCs/>
                <w:color w:val="auto"/>
                <w:sz w:val="21"/>
                <w:shd w:val="clear" w:color="auto" w:fill="auto"/>
                <w:lang w:val="en-US" w:eastAsia="zh-CN"/>
              </w:rPr>
              <w:t>废水污染源源强核算结果及相关参数表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3"/>
              <w:gridCol w:w="928"/>
              <w:gridCol w:w="1141"/>
              <w:gridCol w:w="1096"/>
              <w:gridCol w:w="873"/>
              <w:gridCol w:w="1079"/>
              <w:gridCol w:w="945"/>
              <w:gridCol w:w="810"/>
              <w:gridCol w:w="8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572"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排放量</w:t>
                  </w:r>
                </w:p>
              </w:tc>
              <w:tc>
                <w:tcPr>
                  <w:tcW w:w="1377" w:type="pct"/>
                  <w:gridSpan w:val="2"/>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主要污染物处理情况</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COD</w:t>
                  </w:r>
                </w:p>
              </w:tc>
              <w:tc>
                <w:tcPr>
                  <w:tcW w:w="665"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BOD</w:t>
                  </w:r>
                  <w:r>
                    <w:rPr>
                      <w:rFonts w:hint="default" w:ascii="Times New Roman" w:hAnsi="Times New Roman" w:cs="Times New Roman"/>
                      <w:b/>
                      <w:bCs/>
                      <w:color w:val="auto"/>
                      <w:vertAlign w:val="subscript"/>
                    </w:rPr>
                    <w:t>5</w:t>
                  </w:r>
                </w:p>
              </w:tc>
              <w:tc>
                <w:tcPr>
                  <w:tcW w:w="582"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SS</w:t>
                  </w:r>
                </w:p>
              </w:tc>
              <w:tc>
                <w:tcPr>
                  <w:tcW w:w="499"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NH</w:t>
                  </w:r>
                  <w:r>
                    <w:rPr>
                      <w:rFonts w:hint="default" w:ascii="Times New Roman" w:hAnsi="Times New Roman" w:cs="Times New Roman"/>
                      <w:b/>
                      <w:bCs/>
                      <w:color w:val="auto"/>
                      <w:vertAlign w:val="subscript"/>
                    </w:rPr>
                    <w:t>3</w:t>
                  </w:r>
                  <w:r>
                    <w:rPr>
                      <w:rFonts w:hint="default" w:ascii="Times New Roman" w:hAnsi="Times New Roman" w:cs="Times New Roman"/>
                      <w:b/>
                      <w:bCs/>
                      <w:color w:val="auto"/>
                    </w:rPr>
                    <w:t>-N</w:t>
                  </w:r>
                </w:p>
              </w:tc>
              <w:tc>
                <w:tcPr>
                  <w:tcW w:w="496" w:type="pct"/>
                  <w:tcBorders>
                    <w:tl2br w:val="nil"/>
                    <w:tr2bl w:val="nil"/>
                  </w:tcBorders>
                  <w:noWrap w:val="0"/>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eastAsia="zh-CN"/>
                    </w:rPr>
                    <w:t>纯水制备排污水</w:t>
                  </w:r>
                  <w:r>
                    <w:rPr>
                      <w:rFonts w:hint="eastAsia" w:cs="Times New Roman"/>
                      <w:color w:val="auto"/>
                      <w:lang w:val="en-US" w:eastAsia="zh-CN"/>
                    </w:rPr>
                    <w:t>+生活污水</w:t>
                  </w:r>
                </w:p>
              </w:tc>
              <w:tc>
                <w:tcPr>
                  <w:tcW w:w="57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eastAsia="zh-CN"/>
                    </w:rPr>
                  </w:pPr>
                  <w:r>
                    <w:rPr>
                      <w:rFonts w:hint="eastAsia" w:cs="Times New Roman"/>
                      <w:color w:val="auto"/>
                      <w:sz w:val="21"/>
                      <w:szCs w:val="21"/>
                      <w:lang w:val="en-US" w:eastAsia="zh-CN"/>
                    </w:rPr>
                    <w:t>291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03"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预处理池处理前</w:t>
                  </w:r>
                </w:p>
              </w:tc>
              <w:tc>
                <w:tcPr>
                  <w:tcW w:w="6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浓度（mg/L）</w:t>
                  </w:r>
                </w:p>
              </w:tc>
              <w:tc>
                <w:tcPr>
                  <w:tcW w:w="5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550</w:t>
                  </w:r>
                </w:p>
              </w:tc>
              <w:tc>
                <w:tcPr>
                  <w:tcW w:w="6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300</w:t>
                  </w:r>
                </w:p>
              </w:tc>
              <w:tc>
                <w:tcPr>
                  <w:tcW w:w="5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200</w:t>
                  </w:r>
                </w:p>
              </w:tc>
              <w:tc>
                <w:tcPr>
                  <w:tcW w:w="4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45</w:t>
                  </w:r>
                </w:p>
              </w:tc>
              <w:tc>
                <w:tcPr>
                  <w:tcW w:w="496"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57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703"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674"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排放量（t/a）</w:t>
                  </w:r>
                </w:p>
              </w:tc>
              <w:tc>
                <w:tcPr>
                  <w:tcW w:w="5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cs="Times New Roman"/>
                      <w:i w:val="0"/>
                      <w:iCs w:val="0"/>
                      <w:color w:val="000000"/>
                      <w:kern w:val="0"/>
                      <w:sz w:val="21"/>
                      <w:szCs w:val="21"/>
                      <w:u w:val="none"/>
                      <w:lang w:val="en-US" w:eastAsia="zh-CN" w:bidi="ar"/>
                    </w:rPr>
                    <w:t>0.1601</w:t>
                  </w:r>
                </w:p>
              </w:tc>
              <w:tc>
                <w:tcPr>
                  <w:tcW w:w="6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cs="Times New Roman"/>
                      <w:i w:val="0"/>
                      <w:iCs w:val="0"/>
                      <w:color w:val="000000"/>
                      <w:kern w:val="0"/>
                      <w:sz w:val="21"/>
                      <w:szCs w:val="21"/>
                      <w:u w:val="none"/>
                      <w:lang w:val="en-US" w:eastAsia="zh-CN" w:bidi="ar"/>
                    </w:rPr>
                    <w:t>0.0873</w:t>
                  </w:r>
                </w:p>
              </w:tc>
              <w:tc>
                <w:tcPr>
                  <w:tcW w:w="5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0582</w:t>
                  </w:r>
                </w:p>
              </w:tc>
              <w:tc>
                <w:tcPr>
                  <w:tcW w:w="4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131</w:t>
                  </w:r>
                </w:p>
              </w:tc>
              <w:tc>
                <w:tcPr>
                  <w:tcW w:w="4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23</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57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703"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污水处理厂处理前</w:t>
                  </w:r>
                </w:p>
              </w:tc>
              <w:tc>
                <w:tcPr>
                  <w:tcW w:w="6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浓度（mg/L）</w:t>
                  </w:r>
                </w:p>
              </w:tc>
              <w:tc>
                <w:tcPr>
                  <w:tcW w:w="5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500</w:t>
                  </w:r>
                </w:p>
              </w:tc>
              <w:tc>
                <w:tcPr>
                  <w:tcW w:w="6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200</w:t>
                  </w:r>
                </w:p>
              </w:tc>
              <w:tc>
                <w:tcPr>
                  <w:tcW w:w="5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150</w:t>
                  </w:r>
                </w:p>
              </w:tc>
              <w:tc>
                <w:tcPr>
                  <w:tcW w:w="4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eastAsia="宋体" w:cs="Times New Roman"/>
                      <w:i w:val="0"/>
                      <w:color w:val="auto"/>
                      <w:kern w:val="0"/>
                      <w:sz w:val="21"/>
                      <w:szCs w:val="21"/>
                      <w:u w:val="none"/>
                      <w:lang w:val="en-US" w:eastAsia="zh-CN" w:bidi="ar"/>
                    </w:rPr>
                    <w:t>45</w:t>
                  </w:r>
                </w:p>
              </w:tc>
              <w:tc>
                <w:tcPr>
                  <w:tcW w:w="4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57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703"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674"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排放量（t/a）</w:t>
                  </w:r>
                </w:p>
              </w:tc>
              <w:tc>
                <w:tcPr>
                  <w:tcW w:w="5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1455</w:t>
                  </w:r>
                </w:p>
              </w:tc>
              <w:tc>
                <w:tcPr>
                  <w:tcW w:w="6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cs="Times New Roman"/>
                      <w:i w:val="0"/>
                      <w:color w:val="auto"/>
                      <w:kern w:val="0"/>
                      <w:sz w:val="21"/>
                      <w:szCs w:val="21"/>
                      <w:u w:val="none"/>
                      <w:lang w:val="en-US" w:eastAsia="zh-CN" w:bidi="ar"/>
                    </w:rPr>
                    <w:t>0.0582</w:t>
                  </w:r>
                </w:p>
              </w:tc>
              <w:tc>
                <w:tcPr>
                  <w:tcW w:w="5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cs="Times New Roman"/>
                      <w:i w:val="0"/>
                      <w:iCs w:val="0"/>
                      <w:color w:val="000000"/>
                      <w:kern w:val="0"/>
                      <w:sz w:val="21"/>
                      <w:szCs w:val="21"/>
                      <w:u w:val="none"/>
                      <w:lang w:val="en-US" w:eastAsia="zh-CN" w:bidi="ar"/>
                    </w:rPr>
                    <w:t>0.0437</w:t>
                  </w:r>
                </w:p>
              </w:tc>
              <w:tc>
                <w:tcPr>
                  <w:tcW w:w="4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cs="Times New Roman"/>
                      <w:i w:val="0"/>
                      <w:iCs w:val="0"/>
                      <w:color w:val="000000"/>
                      <w:kern w:val="0"/>
                      <w:sz w:val="21"/>
                      <w:szCs w:val="21"/>
                      <w:u w:val="none"/>
                      <w:lang w:val="en-US" w:eastAsia="zh-CN" w:bidi="ar"/>
                    </w:rPr>
                    <w:t>0.0131</w:t>
                  </w:r>
                </w:p>
              </w:tc>
              <w:tc>
                <w:tcPr>
                  <w:tcW w:w="4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23</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57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703"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污水处理厂处理后</w:t>
                  </w:r>
                </w:p>
              </w:tc>
              <w:tc>
                <w:tcPr>
                  <w:tcW w:w="6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浓度（mg/L）</w:t>
                  </w:r>
                </w:p>
              </w:tc>
              <w:tc>
                <w:tcPr>
                  <w:tcW w:w="5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50</w:t>
                  </w:r>
                </w:p>
              </w:tc>
              <w:tc>
                <w:tcPr>
                  <w:tcW w:w="6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10</w:t>
                  </w:r>
                </w:p>
              </w:tc>
              <w:tc>
                <w:tcPr>
                  <w:tcW w:w="5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10</w:t>
                  </w:r>
                </w:p>
              </w:tc>
              <w:tc>
                <w:tcPr>
                  <w:tcW w:w="4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5</w:t>
                  </w:r>
                </w:p>
              </w:tc>
              <w:tc>
                <w:tcPr>
                  <w:tcW w:w="4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57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703"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rPr>
                  </w:pPr>
                </w:p>
              </w:tc>
              <w:tc>
                <w:tcPr>
                  <w:tcW w:w="674"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排放量（t/a）</w:t>
                  </w:r>
                </w:p>
              </w:tc>
              <w:tc>
                <w:tcPr>
                  <w:tcW w:w="5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0.0146</w:t>
                  </w:r>
                </w:p>
              </w:tc>
              <w:tc>
                <w:tcPr>
                  <w:tcW w:w="66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0.0029</w:t>
                  </w:r>
                </w:p>
              </w:tc>
              <w:tc>
                <w:tcPr>
                  <w:tcW w:w="5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0.0029</w:t>
                  </w:r>
                </w:p>
              </w:tc>
              <w:tc>
                <w:tcPr>
                  <w:tcW w:w="4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0.0015</w:t>
                  </w:r>
                </w:p>
              </w:tc>
              <w:tc>
                <w:tcPr>
                  <w:tcW w:w="4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7" w:type="pct"/>
                  <w:gridSpan w:val="4"/>
                  <w:tcBorders>
                    <w:tl2br w:val="nil"/>
                    <w:tr2bl w:val="nil"/>
                  </w:tcBorders>
                  <w:noWrap w:val="0"/>
                  <w:vAlign w:val="top"/>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《污水综合排放标准》（GB8978-1996）三级排放标准</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500</w:t>
                  </w:r>
                </w:p>
              </w:tc>
              <w:tc>
                <w:tcPr>
                  <w:tcW w:w="665"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400</w:t>
                  </w:r>
                </w:p>
              </w:tc>
              <w:tc>
                <w:tcPr>
                  <w:tcW w:w="582"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500</w:t>
                  </w:r>
                </w:p>
              </w:tc>
              <w:tc>
                <w:tcPr>
                  <w:tcW w:w="499"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45</w:t>
                  </w:r>
                </w:p>
              </w:tc>
              <w:tc>
                <w:tcPr>
                  <w:tcW w:w="496"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7" w:type="pct"/>
                  <w:gridSpan w:val="4"/>
                  <w:tcBorders>
                    <w:tl2br w:val="nil"/>
                    <w:tr2bl w:val="nil"/>
                  </w:tcBorders>
                  <w:noWrap w:val="0"/>
                  <w:vAlign w:val="top"/>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《城镇污水处理厂污染物排放标准》（GB18918-2002）一级A标</w:t>
                  </w:r>
                  <w:r>
                    <w:rPr>
                      <w:rFonts w:hint="default" w:ascii="Times New Roman" w:hAnsi="Times New Roman" w:cs="Times New Roman"/>
                      <w:color w:val="auto"/>
                      <w:sz w:val="21"/>
                      <w:szCs w:val="21"/>
                      <w:lang w:val="en-US" w:eastAsia="zh-CN"/>
                    </w:rPr>
                    <w:t>（mg/L）</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50</w:t>
                  </w:r>
                </w:p>
              </w:tc>
              <w:tc>
                <w:tcPr>
                  <w:tcW w:w="665"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2"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w:t>
                  </w:r>
                </w:p>
              </w:tc>
              <w:tc>
                <w:tcPr>
                  <w:tcW w:w="499" w:type="pct"/>
                  <w:tcBorders>
                    <w:tl2br w:val="nil"/>
                    <w:tr2bl w:val="nil"/>
                  </w:tcBorders>
                  <w:noWrap w:val="0"/>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496" w:type="pct"/>
                  <w:tcBorders>
                    <w:tl2br w:val="nil"/>
                    <w:tr2bl w:val="nil"/>
                  </w:tcBorders>
                  <w:noWrap w:val="0"/>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0.5</w:t>
                  </w:r>
                </w:p>
              </w:tc>
            </w:tr>
          </w:tbl>
          <w:p>
            <w:pPr>
              <w:spacing w:line="360" w:lineRule="auto"/>
              <w:ind w:firstLine="482" w:firstLineChars="200"/>
              <w:rPr>
                <w:rFonts w:hint="eastAsia" w:eastAsia="宋体"/>
                <w:b/>
                <w:sz w:val="24"/>
                <w:szCs w:val="24"/>
                <w:lang w:eastAsia="zh-CN"/>
              </w:rPr>
            </w:pPr>
            <w:r>
              <w:rPr>
                <w:rFonts w:hint="eastAsia"/>
                <w:b/>
                <w:sz w:val="24"/>
                <w:szCs w:val="24"/>
              </w:rPr>
              <w:t>（</w:t>
            </w:r>
            <w:r>
              <w:rPr>
                <w:rFonts w:hint="eastAsia"/>
                <w:b/>
                <w:sz w:val="24"/>
                <w:szCs w:val="24"/>
                <w:lang w:val="en-US" w:eastAsia="zh-CN"/>
              </w:rPr>
              <w:t>3</w:t>
            </w:r>
            <w:r>
              <w:rPr>
                <w:rFonts w:hint="eastAsia"/>
                <w:b/>
                <w:sz w:val="24"/>
                <w:szCs w:val="24"/>
              </w:rPr>
              <w:t>）</w:t>
            </w:r>
            <w:r>
              <w:rPr>
                <w:rFonts w:hint="eastAsia"/>
                <w:b/>
                <w:sz w:val="24"/>
                <w:szCs w:val="24"/>
                <w:lang w:eastAsia="zh-CN"/>
              </w:rPr>
              <w:t>废水处理措施可行性分析</w:t>
            </w:r>
          </w:p>
          <w:p>
            <w:pPr>
              <w:spacing w:line="360" w:lineRule="auto"/>
              <w:ind w:firstLine="482" w:firstLineChars="200"/>
              <w:rPr>
                <w:rFonts w:hint="eastAsia" w:eastAsia="宋体"/>
                <w:b/>
                <w:bCs/>
                <w:sz w:val="24"/>
                <w:szCs w:val="24"/>
                <w:highlight w:val="none"/>
                <w:lang w:eastAsia="zh-CN"/>
              </w:rPr>
            </w:pPr>
            <w:r>
              <w:rPr>
                <w:rFonts w:hint="eastAsia"/>
                <w:b/>
                <w:bCs/>
                <w:sz w:val="24"/>
                <w:szCs w:val="24"/>
                <w:highlight w:val="none"/>
                <w:lang w:eastAsia="zh-CN"/>
              </w:rPr>
              <w:t>①生活污水依托可行性分析</w:t>
            </w:r>
          </w:p>
          <w:p>
            <w:pPr>
              <w:spacing w:line="360" w:lineRule="auto"/>
              <w:ind w:firstLine="480" w:firstLineChars="200"/>
              <w:rPr>
                <w:rFonts w:hint="eastAsia"/>
                <w:sz w:val="24"/>
                <w:szCs w:val="24"/>
              </w:rPr>
            </w:pPr>
            <w:r>
              <w:rPr>
                <w:rFonts w:hint="eastAsia"/>
                <w:sz w:val="24"/>
                <w:szCs w:val="24"/>
                <w:highlight w:val="none"/>
              </w:rPr>
              <w:t>一期</w:t>
            </w:r>
            <w:r>
              <w:rPr>
                <w:rFonts w:hint="eastAsia"/>
                <w:sz w:val="24"/>
                <w:szCs w:val="24"/>
                <w:highlight w:val="none"/>
                <w:lang w:eastAsia="zh-CN"/>
              </w:rPr>
              <w:t>项目</w:t>
            </w:r>
            <w:r>
              <w:rPr>
                <w:rFonts w:hint="eastAsia"/>
                <w:sz w:val="24"/>
                <w:szCs w:val="24"/>
                <w:highlight w:val="none"/>
              </w:rPr>
              <w:t>废水总量为</w:t>
            </w:r>
            <w:r>
              <w:rPr>
                <w:rFonts w:hint="eastAsia"/>
                <w:sz w:val="24"/>
                <w:szCs w:val="24"/>
                <w:highlight w:val="none"/>
                <w:lang w:val="en-US" w:eastAsia="zh-CN"/>
              </w:rPr>
              <w:t>3.23</w:t>
            </w:r>
            <w:r>
              <w:rPr>
                <w:rFonts w:hint="eastAsia"/>
                <w:sz w:val="24"/>
                <w:szCs w:val="24"/>
                <w:highlight w:val="none"/>
              </w:rPr>
              <w:t>m</w:t>
            </w:r>
            <w:r>
              <w:rPr>
                <w:rFonts w:hint="eastAsia"/>
                <w:sz w:val="24"/>
                <w:szCs w:val="24"/>
                <w:highlight w:val="none"/>
                <w:vertAlign w:val="superscript"/>
                <w:lang w:val="en-US" w:eastAsia="zh-CN"/>
              </w:rPr>
              <w:t>3</w:t>
            </w:r>
            <w:r>
              <w:rPr>
                <w:rFonts w:hint="eastAsia"/>
                <w:sz w:val="24"/>
                <w:szCs w:val="24"/>
                <w:highlight w:val="none"/>
              </w:rPr>
              <w:t>/d，剩余处理能力</w:t>
            </w:r>
            <w:r>
              <w:rPr>
                <w:rFonts w:hint="eastAsia"/>
                <w:sz w:val="24"/>
                <w:szCs w:val="24"/>
                <w:highlight w:val="none"/>
                <w:lang w:val="en-US" w:eastAsia="zh-CN"/>
              </w:rPr>
              <w:t>12.77</w:t>
            </w:r>
            <w:r>
              <w:rPr>
                <w:rFonts w:hint="eastAsia"/>
                <w:sz w:val="24"/>
                <w:szCs w:val="24"/>
                <w:highlight w:val="none"/>
              </w:rPr>
              <w:t>m</w:t>
            </w:r>
            <w:r>
              <w:rPr>
                <w:rFonts w:hint="eastAsia"/>
                <w:sz w:val="24"/>
                <w:szCs w:val="24"/>
                <w:highlight w:val="none"/>
                <w:vertAlign w:val="superscript"/>
                <w:lang w:val="en-US" w:eastAsia="zh-CN"/>
              </w:rPr>
              <w:t>3</w:t>
            </w:r>
            <w:r>
              <w:rPr>
                <w:rFonts w:hint="eastAsia"/>
                <w:sz w:val="24"/>
                <w:szCs w:val="24"/>
                <w:highlight w:val="none"/>
              </w:rPr>
              <w:t>/d，</w:t>
            </w:r>
            <w:r>
              <w:rPr>
                <w:rFonts w:hint="eastAsia"/>
                <w:sz w:val="24"/>
                <w:szCs w:val="24"/>
              </w:rPr>
              <w:t>本项目废水总量为</w:t>
            </w:r>
            <w:r>
              <w:rPr>
                <w:rFonts w:hint="eastAsia"/>
                <w:sz w:val="24"/>
                <w:szCs w:val="24"/>
                <w:lang w:val="en-US" w:eastAsia="zh-CN"/>
              </w:rPr>
              <w:t>0.97</w:t>
            </w:r>
            <w:r>
              <w:rPr>
                <w:rFonts w:hint="eastAsia"/>
                <w:sz w:val="24"/>
                <w:szCs w:val="24"/>
                <w:highlight w:val="none"/>
              </w:rPr>
              <w:t>m</w:t>
            </w:r>
            <w:r>
              <w:rPr>
                <w:rFonts w:hint="eastAsia"/>
                <w:sz w:val="24"/>
                <w:szCs w:val="24"/>
                <w:highlight w:val="none"/>
                <w:vertAlign w:val="superscript"/>
                <w:lang w:val="en-US" w:eastAsia="zh-CN"/>
              </w:rPr>
              <w:t>3</w:t>
            </w:r>
            <w:r>
              <w:rPr>
                <w:rFonts w:hint="eastAsia"/>
                <w:sz w:val="24"/>
                <w:szCs w:val="24"/>
              </w:rPr>
              <w:t>/d，故本项目依托已建预处理池可行。</w:t>
            </w:r>
          </w:p>
          <w:p>
            <w:pPr>
              <w:spacing w:line="360" w:lineRule="auto"/>
              <w:ind w:firstLine="482" w:firstLineChars="200"/>
              <w:rPr>
                <w:rFonts w:hint="eastAsia" w:eastAsia="宋体"/>
                <w:b/>
                <w:bCs/>
                <w:sz w:val="24"/>
                <w:szCs w:val="24"/>
                <w:lang w:eastAsia="zh-CN"/>
              </w:rPr>
            </w:pPr>
            <w:r>
              <w:rPr>
                <w:rFonts w:hint="eastAsia"/>
                <w:b/>
                <w:bCs/>
                <w:sz w:val="24"/>
                <w:szCs w:val="24"/>
                <w:lang w:eastAsia="zh-CN"/>
              </w:rPr>
              <w:t>②巴中经开区污水处理厂依托可行性分析</w:t>
            </w:r>
          </w:p>
          <w:p>
            <w:pPr>
              <w:spacing w:line="360" w:lineRule="auto"/>
              <w:ind w:firstLine="480" w:firstLineChars="200"/>
              <w:rPr>
                <w:sz w:val="24"/>
                <w:szCs w:val="24"/>
              </w:rPr>
            </w:pPr>
            <w:r>
              <w:rPr>
                <w:rFonts w:hint="eastAsia"/>
                <w:sz w:val="24"/>
                <w:szCs w:val="24"/>
              </w:rPr>
              <w:t>巴中经开区污水处理厂位于巴中经济开发区时新街道沙溪村五组99号，占地面积约48亩，主要园区内生产生活废水，目前已建成处理规模1.99万t/d，出水执行</w:t>
            </w:r>
            <w:r>
              <w:rPr>
                <w:rFonts w:hint="eastAsia"/>
                <w:kern w:val="24"/>
                <w:sz w:val="24"/>
                <w:szCs w:val="24"/>
              </w:rPr>
              <w:t>《城镇污水处理厂污染物排放标准》（GB18918-2002）一级A标准后排入巴河</w:t>
            </w:r>
            <w:r>
              <w:rPr>
                <w:rFonts w:hint="eastAsia"/>
                <w:sz w:val="24"/>
                <w:szCs w:val="24"/>
              </w:rPr>
              <w:t>。</w:t>
            </w:r>
          </w:p>
          <w:p>
            <w:pPr>
              <w:spacing w:line="360" w:lineRule="auto"/>
              <w:ind w:firstLine="480" w:firstLineChars="200"/>
              <w:rPr>
                <w:sz w:val="24"/>
                <w:szCs w:val="24"/>
              </w:rPr>
            </w:pPr>
            <w:r>
              <w:rPr>
                <w:rFonts w:hint="eastAsia"/>
                <w:sz w:val="24"/>
                <w:szCs w:val="24"/>
              </w:rPr>
              <w:t>根据调查，本项目区域属于巴中经开区污水处理厂服务范围，项目外排废水为</w:t>
            </w:r>
            <w:r>
              <w:rPr>
                <w:rFonts w:hint="eastAsia"/>
                <w:sz w:val="24"/>
                <w:szCs w:val="24"/>
                <w:lang w:eastAsia="zh-CN"/>
              </w:rPr>
              <w:t>纯水制备废水及</w:t>
            </w:r>
            <w:r>
              <w:rPr>
                <w:rFonts w:hint="eastAsia"/>
                <w:sz w:val="24"/>
                <w:szCs w:val="24"/>
              </w:rPr>
              <w:t>生活污水（含食堂废水），废水水质简单，通过预处理池处理后可满足《污水综合排放标准》（GB8978-1996）三级标准。经调查，巴中经开区污水处理厂目前尚有剩余处理能力约1</w:t>
            </w:r>
            <w:r>
              <w:rPr>
                <w:sz w:val="24"/>
                <w:szCs w:val="24"/>
              </w:rPr>
              <w:t>.5</w:t>
            </w:r>
            <w:r>
              <w:rPr>
                <w:rFonts w:hint="eastAsia"/>
                <w:sz w:val="24"/>
                <w:szCs w:val="24"/>
              </w:rPr>
              <w:t>万m</w:t>
            </w:r>
            <w:r>
              <w:rPr>
                <w:sz w:val="24"/>
                <w:szCs w:val="24"/>
                <w:vertAlign w:val="superscript"/>
              </w:rPr>
              <w:t>3</w:t>
            </w:r>
            <w:r>
              <w:rPr>
                <w:sz w:val="24"/>
                <w:szCs w:val="24"/>
              </w:rPr>
              <w:t>/d</w:t>
            </w:r>
            <w:r>
              <w:rPr>
                <w:rFonts w:hint="eastAsia"/>
                <w:sz w:val="24"/>
                <w:szCs w:val="24"/>
              </w:rPr>
              <w:t>，本项目新增污水量约</w:t>
            </w:r>
            <w:r>
              <w:rPr>
                <w:rFonts w:hint="eastAsia"/>
                <w:kern w:val="24"/>
                <w:sz w:val="24"/>
                <w:szCs w:val="24"/>
                <w:lang w:val="en-US" w:eastAsia="zh-CN"/>
              </w:rPr>
              <w:t>0.97</w:t>
            </w:r>
            <w:r>
              <w:rPr>
                <w:rFonts w:hint="eastAsia"/>
                <w:kern w:val="24"/>
                <w:sz w:val="24"/>
                <w:szCs w:val="24"/>
              </w:rPr>
              <w:t>m</w:t>
            </w:r>
            <w:r>
              <w:rPr>
                <w:rFonts w:hint="eastAsia"/>
                <w:kern w:val="24"/>
                <w:sz w:val="24"/>
                <w:szCs w:val="24"/>
                <w:vertAlign w:val="superscript"/>
              </w:rPr>
              <w:t>3</w:t>
            </w:r>
            <w:r>
              <w:rPr>
                <w:rFonts w:hint="eastAsia"/>
                <w:kern w:val="24"/>
                <w:sz w:val="24"/>
                <w:szCs w:val="24"/>
              </w:rPr>
              <w:t>/d</w:t>
            </w:r>
            <w:r>
              <w:rPr>
                <w:rFonts w:hint="eastAsia"/>
                <w:sz w:val="24"/>
                <w:szCs w:val="24"/>
              </w:rPr>
              <w:t>，满足项目废水处理需求。因此，项目依托巴中经开区污水处理厂可行。</w:t>
            </w:r>
          </w:p>
          <w:p>
            <w:pPr>
              <w:spacing w:line="360" w:lineRule="auto"/>
              <w:ind w:firstLine="482" w:firstLineChars="200"/>
              <w:rPr>
                <w:rFonts w:hint="eastAsia"/>
                <w:b/>
                <w:bCs/>
                <w:sz w:val="24"/>
                <w:szCs w:val="24"/>
              </w:rPr>
            </w:pPr>
            <w:r>
              <w:rPr>
                <w:rFonts w:hint="eastAsia"/>
                <w:b/>
                <w:bCs/>
                <w:sz w:val="24"/>
                <w:szCs w:val="24"/>
                <w:lang w:eastAsia="zh-CN"/>
              </w:rPr>
              <w:t>③生产废水处理措施可行性分析</w:t>
            </w:r>
          </w:p>
          <w:p>
            <w:pPr>
              <w:spacing w:line="360" w:lineRule="auto"/>
              <w:ind w:firstLine="480" w:firstLineChars="200"/>
              <w:rPr>
                <w:rFonts w:hint="default" w:eastAsia="宋体"/>
                <w:b w:val="0"/>
                <w:bCs/>
                <w:sz w:val="24"/>
                <w:szCs w:val="24"/>
                <w:lang w:val="en-US" w:eastAsia="zh-CN"/>
              </w:rPr>
            </w:pPr>
            <w:r>
              <w:rPr>
                <w:rFonts w:hint="eastAsia"/>
                <w:b w:val="0"/>
                <w:bCs/>
                <w:sz w:val="24"/>
                <w:szCs w:val="24"/>
                <w:lang w:eastAsia="zh-CN"/>
              </w:rPr>
              <w:t>本项目新建一座</w:t>
            </w:r>
            <w:r>
              <w:rPr>
                <w:rFonts w:hint="eastAsia"/>
                <w:b w:val="0"/>
                <w:bCs/>
                <w:sz w:val="24"/>
                <w:szCs w:val="24"/>
                <w:lang w:val="en-US" w:eastAsia="zh-CN"/>
              </w:rPr>
              <w:t>10m</w:t>
            </w:r>
            <w:r>
              <w:rPr>
                <w:rFonts w:hint="eastAsia"/>
                <w:b w:val="0"/>
                <w:bCs/>
                <w:sz w:val="24"/>
                <w:szCs w:val="24"/>
                <w:vertAlign w:val="superscript"/>
                <w:lang w:val="en-US" w:eastAsia="zh-CN"/>
              </w:rPr>
              <w:t>3</w:t>
            </w:r>
            <w:r>
              <w:rPr>
                <w:rFonts w:hint="eastAsia"/>
                <w:b w:val="0"/>
                <w:bCs/>
                <w:sz w:val="24"/>
                <w:szCs w:val="24"/>
                <w:lang w:val="en-US" w:eastAsia="zh-CN"/>
              </w:rPr>
              <w:t>沉淀池，对项目产生的玻璃清洗废水进行处理后回用，项目玻璃清洗废水最大产生量为8m</w:t>
            </w:r>
            <w:r>
              <w:rPr>
                <w:rFonts w:hint="eastAsia"/>
                <w:b w:val="0"/>
                <w:bCs/>
                <w:sz w:val="24"/>
                <w:szCs w:val="24"/>
                <w:vertAlign w:val="superscript"/>
                <w:lang w:val="en-US" w:eastAsia="zh-CN"/>
              </w:rPr>
              <w:t>3</w:t>
            </w:r>
            <w:r>
              <w:rPr>
                <w:rFonts w:hint="eastAsia"/>
                <w:b w:val="0"/>
                <w:bCs/>
                <w:sz w:val="24"/>
                <w:szCs w:val="24"/>
                <w:lang w:val="en-US" w:eastAsia="zh-CN"/>
              </w:rPr>
              <w:t>/d，</w:t>
            </w:r>
            <w:r>
              <w:rPr>
                <w:rFonts w:hint="eastAsia"/>
                <w:b w:val="0"/>
                <w:bCs/>
                <w:color w:val="auto"/>
                <w:sz w:val="24"/>
                <w:szCs w:val="21"/>
                <w:lang w:eastAsia="zh-CN"/>
              </w:rPr>
              <w:t>沉淀池容积满足废水容量需求，措施可行</w:t>
            </w:r>
            <w:r>
              <w:rPr>
                <w:rFonts w:hint="eastAsia"/>
                <w:b w:val="0"/>
                <w:bCs/>
                <w:sz w:val="24"/>
                <w:szCs w:val="24"/>
                <w:lang w:val="en-US" w:eastAsia="zh-CN"/>
              </w:rPr>
              <w:t>。</w:t>
            </w:r>
          </w:p>
          <w:p>
            <w:pPr>
              <w:spacing w:line="360" w:lineRule="auto"/>
              <w:ind w:firstLine="482" w:firstLineChars="200"/>
              <w:rPr>
                <w:b/>
                <w:sz w:val="24"/>
                <w:szCs w:val="24"/>
              </w:rPr>
            </w:pPr>
            <w:r>
              <w:rPr>
                <w:rFonts w:hint="eastAsia"/>
                <w:b/>
                <w:sz w:val="24"/>
                <w:szCs w:val="24"/>
              </w:rPr>
              <w:t>（</w:t>
            </w:r>
            <w:r>
              <w:rPr>
                <w:rFonts w:hint="eastAsia"/>
                <w:b/>
                <w:sz w:val="24"/>
                <w:szCs w:val="24"/>
                <w:lang w:val="en-US" w:eastAsia="zh-CN"/>
              </w:rPr>
              <w:t>4</w:t>
            </w:r>
            <w:r>
              <w:rPr>
                <w:rFonts w:hint="eastAsia"/>
                <w:b/>
                <w:sz w:val="24"/>
                <w:szCs w:val="24"/>
              </w:rPr>
              <w:t>）废水治理设施、排放口基本信息</w:t>
            </w:r>
          </w:p>
          <w:p>
            <w:pPr>
              <w:spacing w:line="360" w:lineRule="auto"/>
              <w:ind w:firstLine="480" w:firstLineChars="200"/>
              <w:rPr>
                <w:sz w:val="24"/>
                <w:szCs w:val="24"/>
              </w:rPr>
            </w:pPr>
            <w:r>
              <w:rPr>
                <w:sz w:val="24"/>
                <w:szCs w:val="24"/>
              </w:rPr>
              <w:t>项目</w:t>
            </w:r>
            <w:r>
              <w:rPr>
                <w:rFonts w:hint="eastAsia"/>
                <w:sz w:val="24"/>
                <w:szCs w:val="24"/>
              </w:rPr>
              <w:t>废水治理设施、排放口基本信息见下表：</w:t>
            </w:r>
          </w:p>
          <w:p>
            <w:pPr>
              <w:spacing w:line="240" w:lineRule="auto"/>
              <w:jc w:val="center"/>
              <w:rPr>
                <w:rFonts w:hint="eastAsia" w:ascii="Times New Roman" w:hAnsi="Times New Roman" w:eastAsia="宋体"/>
                <w:b/>
                <w:bCs/>
                <w:color w:val="auto"/>
                <w:sz w:val="21"/>
                <w:shd w:val="clear" w:color="auto" w:fill="auto"/>
                <w:lang w:val="en-US" w:eastAsia="zh-CN"/>
              </w:rPr>
            </w:pPr>
            <w:r>
              <w:rPr>
                <w:rFonts w:hint="default" w:ascii="Times New Roman" w:hAnsi="Times New Roman" w:eastAsia="宋体"/>
                <w:b/>
                <w:bCs/>
                <w:color w:val="auto"/>
                <w:sz w:val="21"/>
                <w:shd w:val="clear" w:color="auto" w:fill="auto"/>
                <w:lang w:val="en-US" w:eastAsia="zh-CN"/>
              </w:rPr>
              <w:t xml:space="preserve">表4-8   </w:t>
            </w:r>
            <w:r>
              <w:rPr>
                <w:rFonts w:hint="eastAsia" w:ascii="Times New Roman" w:hAnsi="Times New Roman" w:eastAsia="宋体"/>
                <w:b/>
                <w:bCs/>
                <w:color w:val="auto"/>
                <w:sz w:val="21"/>
                <w:shd w:val="clear" w:color="auto" w:fill="auto"/>
                <w:lang w:val="en-US" w:eastAsia="zh-CN"/>
              </w:rPr>
              <w:t>废水治理设施信息表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1"/>
              <w:gridCol w:w="1607"/>
              <w:gridCol w:w="749"/>
              <w:gridCol w:w="864"/>
              <w:gridCol w:w="778"/>
              <w:gridCol w:w="1057"/>
              <w:gridCol w:w="661"/>
              <w:gridCol w:w="16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废水类别</w:t>
                  </w:r>
                </w:p>
              </w:tc>
              <w:tc>
                <w:tcPr>
                  <w:tcW w:w="990" w:type="pct"/>
                  <w:vMerge w:val="restar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污染物种类</w:t>
                  </w:r>
                </w:p>
              </w:tc>
              <w:tc>
                <w:tcPr>
                  <w:tcW w:w="2123" w:type="pct"/>
                  <w:gridSpan w:val="4"/>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污染治理设施</w:t>
                  </w:r>
                </w:p>
              </w:tc>
              <w:tc>
                <w:tcPr>
                  <w:tcW w:w="407" w:type="pct"/>
                  <w:vMerge w:val="restar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排放</w:t>
                  </w:r>
                </w:p>
                <w:p>
                  <w:pPr>
                    <w:jc w:val="center"/>
                    <w:rPr>
                      <w:rFonts w:ascii="Times New Roman" w:hAnsi="Times New Roman" w:eastAsia="宋体"/>
                      <w:b/>
                      <w:bCs/>
                      <w:kern w:val="24"/>
                      <w:szCs w:val="21"/>
                    </w:rPr>
                  </w:pPr>
                  <w:r>
                    <w:rPr>
                      <w:rFonts w:ascii="Times New Roman" w:hAnsi="Times New Roman" w:eastAsia="宋体"/>
                      <w:b/>
                      <w:bCs/>
                      <w:kern w:val="24"/>
                      <w:szCs w:val="21"/>
                    </w:rPr>
                    <w:t>方式</w:t>
                  </w:r>
                </w:p>
              </w:tc>
              <w:tc>
                <w:tcPr>
                  <w:tcW w:w="1008" w:type="pct"/>
                  <w:vMerge w:val="restar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排放</w:t>
                  </w:r>
                </w:p>
                <w:p>
                  <w:pPr>
                    <w:jc w:val="center"/>
                    <w:rPr>
                      <w:rFonts w:ascii="Times New Roman" w:hAnsi="Times New Roman" w:eastAsia="宋体"/>
                      <w:b/>
                      <w:bCs/>
                      <w:kern w:val="24"/>
                      <w:szCs w:val="21"/>
                    </w:rPr>
                  </w:pPr>
                  <w:r>
                    <w:rPr>
                      <w:rFonts w:ascii="Times New Roman" w:hAnsi="Times New Roman" w:eastAsia="宋体"/>
                      <w:b/>
                      <w:bCs/>
                      <w:kern w:val="24"/>
                      <w:szCs w:val="21"/>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vAlign w:val="center"/>
                </w:tcPr>
                <w:p>
                  <w:pPr>
                    <w:jc w:val="center"/>
                    <w:rPr>
                      <w:rFonts w:ascii="Times New Roman" w:hAnsi="Times New Roman" w:eastAsia="宋体"/>
                      <w:b/>
                      <w:bCs/>
                      <w:kern w:val="24"/>
                      <w:szCs w:val="21"/>
                    </w:rPr>
                  </w:pPr>
                </w:p>
              </w:tc>
              <w:tc>
                <w:tcPr>
                  <w:tcW w:w="990" w:type="pct"/>
                  <w:vMerge w:val="continue"/>
                  <w:tcBorders>
                    <w:tl2br w:val="nil"/>
                    <w:tr2bl w:val="nil"/>
                  </w:tcBorders>
                  <w:vAlign w:val="center"/>
                </w:tcPr>
                <w:p>
                  <w:pPr>
                    <w:jc w:val="center"/>
                    <w:rPr>
                      <w:rFonts w:ascii="Times New Roman" w:hAnsi="Times New Roman" w:eastAsia="宋体"/>
                      <w:b/>
                      <w:bCs/>
                      <w:kern w:val="24"/>
                      <w:szCs w:val="21"/>
                    </w:rPr>
                  </w:pPr>
                </w:p>
              </w:tc>
              <w:tc>
                <w:tcPr>
                  <w:tcW w:w="461" w:type="pc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名称</w:t>
                  </w:r>
                </w:p>
              </w:tc>
              <w:tc>
                <w:tcPr>
                  <w:tcW w:w="532" w:type="pc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处理能力</w:t>
                  </w:r>
                  <w:r>
                    <w:rPr>
                      <w:rFonts w:hint="eastAsia" w:ascii="Times New Roman" w:hAnsi="Times New Roman" w:eastAsia="宋体"/>
                      <w:b/>
                      <w:bCs/>
                      <w:kern w:val="24"/>
                      <w:szCs w:val="21"/>
                    </w:rPr>
                    <w:t>（</w:t>
                  </w:r>
                  <w:r>
                    <w:rPr>
                      <w:rFonts w:ascii="Times New Roman" w:hAnsi="Times New Roman" w:eastAsia="宋体"/>
                      <w:b/>
                      <w:bCs/>
                      <w:kern w:val="24"/>
                      <w:szCs w:val="21"/>
                    </w:rPr>
                    <w:t>t/d</w:t>
                  </w:r>
                  <w:r>
                    <w:rPr>
                      <w:rFonts w:hint="eastAsia" w:ascii="Times New Roman" w:hAnsi="Times New Roman" w:eastAsia="宋体"/>
                      <w:b/>
                      <w:bCs/>
                      <w:kern w:val="24"/>
                      <w:szCs w:val="21"/>
                    </w:rPr>
                    <w:t>）</w:t>
                  </w:r>
                </w:p>
              </w:tc>
              <w:tc>
                <w:tcPr>
                  <w:tcW w:w="479" w:type="pc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治理工艺</w:t>
                  </w:r>
                </w:p>
              </w:tc>
              <w:tc>
                <w:tcPr>
                  <w:tcW w:w="650" w:type="pct"/>
                  <w:tcBorders>
                    <w:tl2br w:val="nil"/>
                    <w:tr2bl w:val="nil"/>
                  </w:tcBorders>
                  <w:vAlign w:val="center"/>
                </w:tcPr>
                <w:p>
                  <w:pPr>
                    <w:jc w:val="center"/>
                    <w:rPr>
                      <w:rFonts w:ascii="Times New Roman" w:hAnsi="Times New Roman" w:eastAsia="宋体"/>
                      <w:b/>
                      <w:bCs/>
                      <w:kern w:val="24"/>
                      <w:szCs w:val="21"/>
                    </w:rPr>
                  </w:pPr>
                  <w:r>
                    <w:rPr>
                      <w:rFonts w:ascii="Times New Roman" w:hAnsi="Times New Roman" w:eastAsia="宋体"/>
                      <w:b/>
                      <w:bCs/>
                      <w:kern w:val="24"/>
                      <w:szCs w:val="21"/>
                    </w:rPr>
                    <w:t>是否为可行性技术</w:t>
                  </w:r>
                </w:p>
              </w:tc>
              <w:tc>
                <w:tcPr>
                  <w:tcW w:w="407" w:type="pct"/>
                  <w:vMerge w:val="continue"/>
                  <w:tcBorders>
                    <w:tl2br w:val="nil"/>
                    <w:tr2bl w:val="nil"/>
                  </w:tcBorders>
                  <w:vAlign w:val="center"/>
                </w:tcPr>
                <w:p>
                  <w:pPr>
                    <w:jc w:val="center"/>
                    <w:rPr>
                      <w:rFonts w:ascii="Times New Roman" w:hAnsi="Times New Roman" w:eastAsia="宋体"/>
                      <w:b/>
                      <w:bCs/>
                      <w:kern w:val="24"/>
                      <w:szCs w:val="21"/>
                    </w:rPr>
                  </w:pPr>
                </w:p>
              </w:tc>
              <w:tc>
                <w:tcPr>
                  <w:tcW w:w="1008" w:type="pct"/>
                  <w:vMerge w:val="continue"/>
                  <w:tcBorders>
                    <w:tl2br w:val="nil"/>
                    <w:tr2bl w:val="nil"/>
                  </w:tcBorders>
                  <w:vAlign w:val="center"/>
                </w:tcPr>
                <w:p>
                  <w:pPr>
                    <w:jc w:val="center"/>
                    <w:rPr>
                      <w:rFonts w:ascii="Times New Roman" w:hAnsi="Times New Roman" w:eastAsia="宋体"/>
                      <w:b/>
                      <w:bCs/>
                      <w:kern w:val="2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9" w:type="pct"/>
                  <w:tcBorders>
                    <w:tl2br w:val="nil"/>
                    <w:tr2bl w:val="nil"/>
                  </w:tcBorders>
                  <w:vAlign w:val="center"/>
                </w:tcPr>
                <w:p>
                  <w:pPr>
                    <w:jc w:val="center"/>
                    <w:rPr>
                      <w:rFonts w:ascii="Times New Roman" w:hAnsi="Times New Roman" w:eastAsia="宋体"/>
                      <w:kern w:val="24"/>
                      <w:szCs w:val="21"/>
                    </w:rPr>
                  </w:pPr>
                  <w:r>
                    <w:rPr>
                      <w:rFonts w:hint="eastAsia" w:ascii="Times New Roman" w:hAnsi="Times New Roman" w:eastAsia="宋体"/>
                      <w:kern w:val="24"/>
                      <w:szCs w:val="21"/>
                    </w:rPr>
                    <w:t>生活污水</w:t>
                  </w:r>
                </w:p>
              </w:tc>
              <w:tc>
                <w:tcPr>
                  <w:tcW w:w="990" w:type="pct"/>
                  <w:tcBorders>
                    <w:tl2br w:val="nil"/>
                    <w:tr2bl w:val="nil"/>
                  </w:tcBorders>
                  <w:vAlign w:val="center"/>
                </w:tcPr>
                <w:p>
                  <w:pPr>
                    <w:jc w:val="center"/>
                    <w:rPr>
                      <w:rFonts w:ascii="Times New Roman" w:hAnsi="Times New Roman" w:eastAsia="宋体"/>
                      <w:kern w:val="24"/>
                      <w:szCs w:val="21"/>
                    </w:rPr>
                  </w:pPr>
                  <w:r>
                    <w:rPr>
                      <w:rFonts w:ascii="Times New Roman" w:hAnsi="Times New Roman" w:eastAsia="宋体"/>
                      <w:kern w:val="24"/>
                      <w:szCs w:val="21"/>
                    </w:rPr>
                    <w:t>COD、BOD</w:t>
                  </w:r>
                  <w:r>
                    <w:rPr>
                      <w:rFonts w:ascii="Times New Roman" w:hAnsi="Times New Roman" w:eastAsia="宋体"/>
                      <w:kern w:val="24"/>
                      <w:szCs w:val="21"/>
                      <w:vertAlign w:val="subscript"/>
                    </w:rPr>
                    <w:t>5</w:t>
                  </w:r>
                  <w:r>
                    <w:rPr>
                      <w:rFonts w:ascii="Times New Roman" w:hAnsi="Times New Roman" w:eastAsia="宋体"/>
                      <w:kern w:val="24"/>
                      <w:szCs w:val="21"/>
                    </w:rPr>
                    <w:t>、SS、NH</w:t>
                  </w:r>
                  <w:r>
                    <w:rPr>
                      <w:rFonts w:ascii="Times New Roman" w:hAnsi="Times New Roman" w:eastAsia="宋体"/>
                      <w:kern w:val="24"/>
                      <w:szCs w:val="21"/>
                      <w:vertAlign w:val="subscript"/>
                    </w:rPr>
                    <w:t>3</w:t>
                  </w:r>
                  <w:r>
                    <w:rPr>
                      <w:rFonts w:ascii="Times New Roman" w:hAnsi="Times New Roman" w:eastAsia="宋体"/>
                      <w:kern w:val="24"/>
                      <w:szCs w:val="21"/>
                    </w:rPr>
                    <w:t>-N、</w:t>
                  </w:r>
                  <w:r>
                    <w:rPr>
                      <w:rFonts w:hint="eastAsia" w:ascii="Times New Roman" w:hAnsi="Times New Roman" w:eastAsia="宋体"/>
                      <w:kern w:val="24"/>
                      <w:szCs w:val="21"/>
                    </w:rPr>
                    <w:t>TP</w:t>
                  </w:r>
                </w:p>
              </w:tc>
              <w:tc>
                <w:tcPr>
                  <w:tcW w:w="461" w:type="pct"/>
                  <w:tcBorders>
                    <w:tl2br w:val="nil"/>
                    <w:tr2bl w:val="nil"/>
                  </w:tcBorders>
                  <w:vAlign w:val="center"/>
                </w:tcPr>
                <w:p>
                  <w:pPr>
                    <w:jc w:val="center"/>
                    <w:rPr>
                      <w:rFonts w:ascii="Times New Roman" w:hAnsi="Times New Roman" w:eastAsia="宋体"/>
                      <w:kern w:val="24"/>
                      <w:szCs w:val="21"/>
                    </w:rPr>
                  </w:pPr>
                  <w:r>
                    <w:rPr>
                      <w:rFonts w:hint="eastAsia" w:ascii="Times New Roman" w:hAnsi="Times New Roman" w:eastAsia="宋体"/>
                      <w:kern w:val="24"/>
                      <w:szCs w:val="21"/>
                    </w:rPr>
                    <w:t>预处理池</w:t>
                  </w:r>
                </w:p>
              </w:tc>
              <w:tc>
                <w:tcPr>
                  <w:tcW w:w="532" w:type="pct"/>
                  <w:tcBorders>
                    <w:tl2br w:val="nil"/>
                    <w:tr2bl w:val="nil"/>
                  </w:tcBorders>
                  <w:vAlign w:val="center"/>
                </w:tcPr>
                <w:p>
                  <w:pPr>
                    <w:jc w:val="center"/>
                    <w:rPr>
                      <w:rFonts w:hint="default" w:ascii="Times New Roman" w:hAnsi="Times New Roman" w:eastAsia="宋体"/>
                      <w:kern w:val="24"/>
                      <w:szCs w:val="21"/>
                      <w:lang w:val="en-US" w:eastAsia="zh-CN"/>
                    </w:rPr>
                  </w:pPr>
                  <w:r>
                    <w:rPr>
                      <w:rFonts w:hint="eastAsia" w:ascii="Times New Roman" w:hAnsi="Times New Roman" w:eastAsia="宋体"/>
                      <w:kern w:val="24"/>
                      <w:szCs w:val="21"/>
                      <w:lang w:val="en-US" w:eastAsia="zh-CN"/>
                    </w:rPr>
                    <w:t>16</w:t>
                  </w:r>
                </w:p>
              </w:tc>
              <w:tc>
                <w:tcPr>
                  <w:tcW w:w="479" w:type="pct"/>
                  <w:tcBorders>
                    <w:tl2br w:val="nil"/>
                    <w:tr2bl w:val="nil"/>
                  </w:tcBorders>
                  <w:vAlign w:val="center"/>
                </w:tcPr>
                <w:p>
                  <w:pPr>
                    <w:jc w:val="center"/>
                    <w:rPr>
                      <w:rFonts w:ascii="Times New Roman" w:hAnsi="Times New Roman" w:eastAsia="宋体"/>
                      <w:kern w:val="24"/>
                      <w:szCs w:val="21"/>
                    </w:rPr>
                  </w:pPr>
                  <w:r>
                    <w:rPr>
                      <w:rFonts w:hint="eastAsia" w:ascii="Times New Roman" w:hAnsi="Times New Roman" w:eastAsia="宋体"/>
                      <w:kern w:val="24"/>
                      <w:szCs w:val="21"/>
                    </w:rPr>
                    <w:t>预处理</w:t>
                  </w:r>
                </w:p>
              </w:tc>
              <w:tc>
                <w:tcPr>
                  <w:tcW w:w="650" w:type="pct"/>
                  <w:tcBorders>
                    <w:tl2br w:val="nil"/>
                    <w:tr2bl w:val="nil"/>
                  </w:tcBorders>
                  <w:vAlign w:val="center"/>
                </w:tcPr>
                <w:p>
                  <w:pPr>
                    <w:jc w:val="center"/>
                    <w:rPr>
                      <w:rFonts w:ascii="Times New Roman" w:hAnsi="Times New Roman" w:eastAsia="宋体"/>
                      <w:kern w:val="24"/>
                      <w:szCs w:val="21"/>
                    </w:rPr>
                  </w:pPr>
                  <w:r>
                    <w:rPr>
                      <w:rFonts w:ascii="Times New Roman" w:hAnsi="Times New Roman" w:eastAsia="宋体"/>
                      <w:kern w:val="24"/>
                      <w:szCs w:val="21"/>
                    </w:rPr>
                    <w:t>是</w:t>
                  </w:r>
                </w:p>
              </w:tc>
              <w:tc>
                <w:tcPr>
                  <w:tcW w:w="407" w:type="pct"/>
                  <w:tcBorders>
                    <w:tl2br w:val="nil"/>
                    <w:tr2bl w:val="nil"/>
                  </w:tcBorders>
                  <w:vAlign w:val="center"/>
                </w:tcPr>
                <w:p>
                  <w:pPr>
                    <w:jc w:val="center"/>
                    <w:rPr>
                      <w:rFonts w:ascii="Times New Roman" w:hAnsi="Times New Roman" w:eastAsia="宋体"/>
                      <w:kern w:val="24"/>
                      <w:szCs w:val="21"/>
                    </w:rPr>
                  </w:pPr>
                  <w:r>
                    <w:rPr>
                      <w:rFonts w:hint="eastAsia" w:ascii="Times New Roman" w:hAnsi="Times New Roman" w:eastAsia="宋体"/>
                      <w:kern w:val="24"/>
                      <w:szCs w:val="21"/>
                    </w:rPr>
                    <w:t>间接排放</w:t>
                  </w:r>
                </w:p>
              </w:tc>
              <w:tc>
                <w:tcPr>
                  <w:tcW w:w="1008" w:type="pct"/>
                  <w:tcBorders>
                    <w:tl2br w:val="nil"/>
                    <w:tr2bl w:val="nil"/>
                  </w:tcBorders>
                  <w:vAlign w:val="center"/>
                </w:tcPr>
                <w:p>
                  <w:pPr>
                    <w:jc w:val="center"/>
                    <w:rPr>
                      <w:rFonts w:ascii="Times New Roman" w:hAnsi="Times New Roman" w:eastAsia="宋体"/>
                      <w:kern w:val="24"/>
                      <w:szCs w:val="21"/>
                    </w:rPr>
                  </w:pPr>
                  <w:r>
                    <w:rPr>
                      <w:rFonts w:hint="eastAsia" w:ascii="Times New Roman" w:hAnsi="Times New Roman" w:eastAsia="宋体"/>
                      <w:kern w:val="24"/>
                      <w:szCs w:val="21"/>
                    </w:rPr>
                    <w:t>进入巴中经开区污水处理厂</w:t>
                  </w:r>
                </w:p>
              </w:tc>
            </w:tr>
          </w:tbl>
          <w:p>
            <w:pPr>
              <w:spacing w:line="240" w:lineRule="auto"/>
              <w:jc w:val="center"/>
              <w:rPr>
                <w:rFonts w:hint="eastAsia" w:ascii="Times New Roman" w:hAnsi="Times New Roman" w:eastAsia="宋体"/>
                <w:b/>
                <w:bCs/>
                <w:color w:val="auto"/>
                <w:sz w:val="21"/>
                <w:shd w:val="clear" w:color="auto" w:fill="auto"/>
                <w:lang w:val="en-US" w:eastAsia="zh-CN"/>
              </w:rPr>
            </w:pPr>
            <w:r>
              <w:rPr>
                <w:rFonts w:hint="default" w:ascii="Times New Roman" w:hAnsi="Times New Roman" w:eastAsia="宋体"/>
                <w:b/>
                <w:bCs/>
                <w:color w:val="auto"/>
                <w:sz w:val="21"/>
                <w:shd w:val="clear" w:color="auto" w:fill="auto"/>
                <w:lang w:val="en-US" w:eastAsia="zh-CN"/>
              </w:rPr>
              <w:t xml:space="preserve">表4-9   </w:t>
            </w:r>
            <w:r>
              <w:rPr>
                <w:rFonts w:hint="eastAsia" w:ascii="Times New Roman" w:hAnsi="Times New Roman" w:eastAsia="宋体"/>
                <w:b/>
                <w:bCs/>
                <w:color w:val="auto"/>
                <w:sz w:val="21"/>
                <w:shd w:val="clear" w:color="auto" w:fill="auto"/>
                <w:lang w:val="en-US" w:eastAsia="zh-CN"/>
              </w:rPr>
              <w:t>废水排放口基本信息表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1"/>
              <w:gridCol w:w="889"/>
              <w:gridCol w:w="1530"/>
              <w:gridCol w:w="1605"/>
              <w:gridCol w:w="1377"/>
              <w:gridCol w:w="18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555" w:type="pct"/>
                  <w:vMerge w:val="restart"/>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排放口编号</w:t>
                  </w:r>
                </w:p>
              </w:tc>
              <w:tc>
                <w:tcPr>
                  <w:tcW w:w="547" w:type="pct"/>
                  <w:vMerge w:val="restart"/>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排放口</w:t>
                  </w:r>
                </w:p>
                <w:p>
                  <w:pPr>
                    <w:pStyle w:val="43"/>
                    <w:rPr>
                      <w:rFonts w:ascii="Times New Roman" w:hAnsi="Times New Roman" w:eastAsia="宋体"/>
                      <w:sz w:val="21"/>
                      <w:szCs w:val="21"/>
                    </w:rPr>
                  </w:pPr>
                  <w:r>
                    <w:rPr>
                      <w:rFonts w:hint="eastAsia" w:ascii="Times New Roman" w:hAnsi="Times New Roman" w:eastAsia="宋体"/>
                      <w:sz w:val="21"/>
                      <w:szCs w:val="21"/>
                    </w:rPr>
                    <w:t>名称</w:t>
                  </w:r>
                </w:p>
              </w:tc>
              <w:tc>
                <w:tcPr>
                  <w:tcW w:w="1931" w:type="pct"/>
                  <w:gridSpan w:val="2"/>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排放口地理坐标</w:t>
                  </w:r>
                </w:p>
              </w:tc>
              <w:tc>
                <w:tcPr>
                  <w:tcW w:w="848" w:type="pct"/>
                  <w:vMerge w:val="restart"/>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排放去向</w:t>
                  </w:r>
                </w:p>
              </w:tc>
              <w:tc>
                <w:tcPr>
                  <w:tcW w:w="1116" w:type="pct"/>
                  <w:vMerge w:val="restart"/>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排放规律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555" w:type="pct"/>
                  <w:vMerge w:val="continue"/>
                  <w:tcBorders>
                    <w:tl2br w:val="nil"/>
                    <w:tr2bl w:val="nil"/>
                  </w:tcBorders>
                  <w:vAlign w:val="center"/>
                </w:tcPr>
                <w:p>
                  <w:pPr>
                    <w:jc w:val="center"/>
                    <w:rPr>
                      <w:rFonts w:ascii="Times New Roman" w:hAnsi="Times New Roman" w:eastAsia="宋体" w:cs="Times New Roman"/>
                      <w:spacing w:val="4"/>
                      <w:sz w:val="21"/>
                      <w:szCs w:val="21"/>
                    </w:rPr>
                  </w:pPr>
                </w:p>
              </w:tc>
              <w:tc>
                <w:tcPr>
                  <w:tcW w:w="547" w:type="pct"/>
                  <w:vMerge w:val="continue"/>
                  <w:tcBorders>
                    <w:tl2br w:val="nil"/>
                    <w:tr2bl w:val="nil"/>
                  </w:tcBorders>
                  <w:vAlign w:val="center"/>
                </w:tcPr>
                <w:p>
                  <w:pPr>
                    <w:jc w:val="center"/>
                    <w:rPr>
                      <w:rFonts w:ascii="Times New Roman" w:hAnsi="Times New Roman" w:eastAsia="宋体" w:cs="Times New Roman"/>
                      <w:spacing w:val="4"/>
                      <w:sz w:val="21"/>
                      <w:szCs w:val="21"/>
                    </w:rPr>
                  </w:pPr>
                </w:p>
              </w:tc>
              <w:tc>
                <w:tcPr>
                  <w:tcW w:w="942" w:type="pct"/>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经度</w:t>
                  </w:r>
                </w:p>
              </w:tc>
              <w:tc>
                <w:tcPr>
                  <w:tcW w:w="989" w:type="pct"/>
                  <w:tcBorders>
                    <w:tl2br w:val="nil"/>
                    <w:tr2bl w:val="nil"/>
                  </w:tcBorders>
                  <w:vAlign w:val="center"/>
                </w:tcPr>
                <w:p>
                  <w:pPr>
                    <w:pStyle w:val="43"/>
                    <w:rPr>
                      <w:rFonts w:ascii="Times New Roman" w:hAnsi="Times New Roman" w:eastAsia="宋体"/>
                      <w:sz w:val="21"/>
                      <w:szCs w:val="21"/>
                    </w:rPr>
                  </w:pPr>
                  <w:r>
                    <w:rPr>
                      <w:rFonts w:hint="eastAsia" w:ascii="Times New Roman" w:hAnsi="Times New Roman" w:eastAsia="宋体"/>
                      <w:sz w:val="21"/>
                      <w:szCs w:val="21"/>
                    </w:rPr>
                    <w:t>纬度</w:t>
                  </w:r>
                </w:p>
              </w:tc>
              <w:tc>
                <w:tcPr>
                  <w:tcW w:w="848" w:type="pct"/>
                  <w:vMerge w:val="continue"/>
                  <w:tcBorders>
                    <w:tl2br w:val="nil"/>
                    <w:tr2bl w:val="nil"/>
                  </w:tcBorders>
                  <w:vAlign w:val="center"/>
                </w:tcPr>
                <w:p>
                  <w:pPr>
                    <w:jc w:val="center"/>
                    <w:rPr>
                      <w:rFonts w:ascii="Times New Roman" w:hAnsi="Times New Roman" w:eastAsia="宋体" w:cs="Times New Roman"/>
                      <w:spacing w:val="4"/>
                      <w:sz w:val="21"/>
                      <w:szCs w:val="21"/>
                    </w:rPr>
                  </w:pPr>
                </w:p>
              </w:tc>
              <w:tc>
                <w:tcPr>
                  <w:tcW w:w="1116" w:type="pct"/>
                  <w:vMerge w:val="continue"/>
                  <w:tcBorders>
                    <w:tl2br w:val="nil"/>
                    <w:tr2bl w:val="nil"/>
                  </w:tcBorders>
                  <w:vAlign w:val="center"/>
                </w:tcPr>
                <w:p>
                  <w:pPr>
                    <w:jc w:val="center"/>
                    <w:rPr>
                      <w:rFonts w:ascii="Times New Roman" w:hAnsi="Times New Roman" w:eastAsia="宋体"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 w:type="pct"/>
                  <w:tcBorders>
                    <w:tl2br w:val="nil"/>
                    <w:tr2bl w:val="nil"/>
                  </w:tcBorders>
                  <w:vAlign w:val="center"/>
                </w:tcPr>
                <w:p>
                  <w:pPr>
                    <w:jc w:val="center"/>
                    <w:rPr>
                      <w:rFonts w:ascii="Times New Roman" w:hAnsi="Times New Roman" w:eastAsia="宋体" w:cs="Times New Roman"/>
                      <w:spacing w:val="4"/>
                      <w:sz w:val="21"/>
                      <w:szCs w:val="21"/>
                    </w:rPr>
                  </w:pPr>
                  <w:r>
                    <w:rPr>
                      <w:rFonts w:hint="eastAsia" w:ascii="Times New Roman" w:hAnsi="Times New Roman" w:eastAsia="宋体" w:cs="Times New Roman"/>
                      <w:spacing w:val="4"/>
                      <w:sz w:val="21"/>
                      <w:szCs w:val="21"/>
                    </w:rPr>
                    <w:t>DW</w:t>
                  </w:r>
                  <w:r>
                    <w:rPr>
                      <w:rFonts w:ascii="Times New Roman" w:hAnsi="Times New Roman" w:eastAsia="宋体" w:cs="Times New Roman"/>
                      <w:spacing w:val="4"/>
                      <w:sz w:val="21"/>
                      <w:szCs w:val="21"/>
                    </w:rPr>
                    <w:t>001</w:t>
                  </w:r>
                </w:p>
              </w:tc>
              <w:tc>
                <w:tcPr>
                  <w:tcW w:w="547" w:type="pct"/>
                  <w:tcBorders>
                    <w:tl2br w:val="nil"/>
                    <w:tr2bl w:val="nil"/>
                  </w:tcBorders>
                  <w:vAlign w:val="center"/>
                </w:tcPr>
                <w:p>
                  <w:pPr>
                    <w:jc w:val="center"/>
                    <w:rPr>
                      <w:rFonts w:ascii="Times New Roman" w:hAnsi="Times New Roman" w:eastAsia="宋体" w:cs="Times New Roman"/>
                      <w:spacing w:val="4"/>
                      <w:sz w:val="21"/>
                      <w:szCs w:val="21"/>
                    </w:rPr>
                  </w:pPr>
                  <w:r>
                    <w:rPr>
                      <w:rFonts w:hint="eastAsia" w:ascii="Times New Roman" w:hAnsi="Times New Roman" w:eastAsia="宋体" w:cs="Times New Roman"/>
                      <w:spacing w:val="4"/>
                      <w:sz w:val="21"/>
                      <w:szCs w:val="21"/>
                    </w:rPr>
                    <w:t>污水</w:t>
                  </w:r>
                  <w:r>
                    <w:rPr>
                      <w:rFonts w:ascii="Times New Roman" w:hAnsi="Times New Roman" w:eastAsia="宋体" w:cs="Times New Roman"/>
                      <w:spacing w:val="4"/>
                      <w:sz w:val="21"/>
                      <w:szCs w:val="21"/>
                    </w:rPr>
                    <w:t>总排放口</w:t>
                  </w:r>
                </w:p>
              </w:tc>
              <w:tc>
                <w:tcPr>
                  <w:tcW w:w="942" w:type="pct"/>
                  <w:tcBorders>
                    <w:tl2br w:val="nil"/>
                    <w:tr2bl w:val="nil"/>
                  </w:tcBorders>
                  <w:vAlign w:val="center"/>
                </w:tcPr>
                <w:p>
                  <w:pPr>
                    <w:jc w:val="center"/>
                    <w:rPr>
                      <w:rFonts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106°53′18.11330″</w:t>
                  </w:r>
                </w:p>
              </w:tc>
              <w:tc>
                <w:tcPr>
                  <w:tcW w:w="989" w:type="pct"/>
                  <w:tcBorders>
                    <w:tl2br w:val="nil"/>
                    <w:tr2bl w:val="nil"/>
                  </w:tcBorders>
                  <w:vAlign w:val="center"/>
                </w:tcPr>
                <w:p>
                  <w:pPr>
                    <w:jc w:val="center"/>
                    <w:rPr>
                      <w:rFonts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31°51′41.45963″</w:t>
                  </w:r>
                </w:p>
              </w:tc>
              <w:tc>
                <w:tcPr>
                  <w:tcW w:w="848" w:type="pct"/>
                  <w:tcBorders>
                    <w:tl2br w:val="nil"/>
                    <w:tr2bl w:val="nil"/>
                  </w:tcBorders>
                  <w:vAlign w:val="center"/>
                </w:tcPr>
                <w:p>
                  <w:pPr>
                    <w:jc w:val="center"/>
                    <w:rPr>
                      <w:rFonts w:ascii="Times New Roman" w:hAnsi="Times New Roman" w:eastAsia="宋体" w:cs="Times New Roman"/>
                      <w:spacing w:val="4"/>
                      <w:sz w:val="21"/>
                      <w:szCs w:val="21"/>
                    </w:rPr>
                  </w:pPr>
                  <w:r>
                    <w:rPr>
                      <w:rFonts w:hint="eastAsia" w:ascii="Times New Roman" w:hAnsi="Times New Roman" w:eastAsia="宋体"/>
                      <w:sz w:val="21"/>
                      <w:szCs w:val="21"/>
                    </w:rPr>
                    <w:t>巴中经开区污水处理厂</w:t>
                  </w:r>
                </w:p>
              </w:tc>
              <w:tc>
                <w:tcPr>
                  <w:tcW w:w="1116" w:type="pct"/>
                  <w:tcBorders>
                    <w:tl2br w:val="nil"/>
                    <w:tr2bl w:val="nil"/>
                  </w:tcBorders>
                  <w:vAlign w:val="center"/>
                </w:tcPr>
                <w:p>
                  <w:pPr>
                    <w:jc w:val="center"/>
                    <w:rPr>
                      <w:rFonts w:ascii="Times New Roman" w:hAnsi="Times New Roman" w:eastAsia="宋体" w:cs="Times New Roman"/>
                      <w:spacing w:val="4"/>
                      <w:sz w:val="21"/>
                      <w:szCs w:val="21"/>
                    </w:rPr>
                  </w:pPr>
                  <w:r>
                    <w:rPr>
                      <w:rFonts w:hint="eastAsia" w:ascii="Times New Roman" w:hAnsi="Times New Roman" w:eastAsia="宋体"/>
                      <w:sz w:val="21"/>
                      <w:szCs w:val="21"/>
                    </w:rPr>
                    <w:t>间断排放，排放期间流量不稳定且无规律，但不属于冲击型排放</w:t>
                  </w:r>
                </w:p>
              </w:tc>
            </w:tr>
          </w:tbl>
          <w:p>
            <w:pPr>
              <w:spacing w:line="360" w:lineRule="auto"/>
              <w:ind w:firstLine="482" w:firstLineChars="200"/>
              <w:rPr>
                <w:b/>
                <w:sz w:val="24"/>
                <w:szCs w:val="24"/>
              </w:rPr>
            </w:pPr>
            <w:r>
              <w:rPr>
                <w:rFonts w:hint="eastAsia"/>
                <w:b/>
                <w:sz w:val="24"/>
                <w:szCs w:val="24"/>
              </w:rPr>
              <w:t>（</w:t>
            </w:r>
            <w:r>
              <w:rPr>
                <w:rFonts w:hint="eastAsia"/>
                <w:b/>
                <w:sz w:val="24"/>
                <w:szCs w:val="24"/>
                <w:lang w:val="en-US" w:eastAsia="zh-CN"/>
              </w:rPr>
              <w:t>4</w:t>
            </w:r>
            <w:r>
              <w:rPr>
                <w:rFonts w:hint="eastAsia"/>
                <w:b/>
                <w:sz w:val="24"/>
                <w:szCs w:val="24"/>
              </w:rPr>
              <w:t>）监测要求</w:t>
            </w:r>
          </w:p>
          <w:p>
            <w:pPr>
              <w:spacing w:line="360" w:lineRule="auto"/>
              <w:ind w:firstLine="480" w:firstLineChars="200"/>
              <w:rPr>
                <w:sz w:val="24"/>
                <w:szCs w:val="24"/>
              </w:rPr>
            </w:pPr>
            <w:r>
              <w:rPr>
                <w:rFonts w:hint="eastAsia"/>
                <w:sz w:val="24"/>
                <w:szCs w:val="24"/>
              </w:rPr>
              <w:t>根据《排污单位自行监测技术指南 总则》（HJ819-2017）提出项目生产运行阶段的污染源监测计划，详见下表：</w:t>
            </w:r>
          </w:p>
          <w:p>
            <w:pPr>
              <w:spacing w:line="240" w:lineRule="auto"/>
              <w:jc w:val="center"/>
              <w:rPr>
                <w:rFonts w:hint="eastAsia" w:ascii="Times New Roman" w:hAnsi="Times New Roman" w:eastAsia="宋体"/>
                <w:b/>
                <w:bCs/>
                <w:color w:val="auto"/>
                <w:sz w:val="21"/>
                <w:shd w:val="clear" w:color="auto" w:fill="auto"/>
                <w:lang w:val="en-US" w:eastAsia="zh-CN"/>
              </w:rPr>
            </w:pPr>
            <w:r>
              <w:rPr>
                <w:rFonts w:hint="default" w:ascii="Times New Roman" w:hAnsi="Times New Roman" w:eastAsia="宋体"/>
                <w:b/>
                <w:bCs/>
                <w:color w:val="auto"/>
                <w:sz w:val="21"/>
                <w:shd w:val="clear" w:color="auto" w:fill="auto"/>
                <w:lang w:val="en-US" w:eastAsia="zh-CN"/>
              </w:rPr>
              <w:t>表4-1</w:t>
            </w:r>
            <w:r>
              <w:rPr>
                <w:rFonts w:hint="eastAsia" w:ascii="Times New Roman" w:hAnsi="Times New Roman" w:eastAsia="宋体"/>
                <w:b/>
                <w:bCs/>
                <w:color w:val="auto"/>
                <w:sz w:val="21"/>
                <w:shd w:val="clear" w:color="auto" w:fill="auto"/>
                <w:lang w:val="en-US" w:eastAsia="zh-CN"/>
              </w:rPr>
              <w:t>0</w:t>
            </w:r>
            <w:r>
              <w:rPr>
                <w:rFonts w:hint="default" w:ascii="Times New Roman" w:hAnsi="Times New Roman" w:eastAsia="宋体"/>
                <w:b/>
                <w:bCs/>
                <w:color w:val="auto"/>
                <w:sz w:val="21"/>
                <w:shd w:val="clear" w:color="auto" w:fill="auto"/>
                <w:lang w:val="en-US" w:eastAsia="zh-CN"/>
              </w:rPr>
              <w:t xml:space="preserve">  </w:t>
            </w:r>
            <w:r>
              <w:rPr>
                <w:rFonts w:hint="eastAsia" w:ascii="Times New Roman" w:hAnsi="Times New Roman" w:eastAsia="宋体"/>
                <w:b/>
                <w:bCs/>
                <w:color w:val="auto"/>
                <w:sz w:val="21"/>
                <w:shd w:val="clear" w:color="auto" w:fill="auto"/>
                <w:lang w:val="en-US" w:eastAsia="zh-CN"/>
              </w:rPr>
              <w:t>运营期废水监测方案</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09"/>
              <w:gridCol w:w="2058"/>
              <w:gridCol w:w="2058"/>
              <w:gridCol w:w="25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68" w:type="pct"/>
                  <w:tcBorders>
                    <w:tl2br w:val="nil"/>
                    <w:tr2bl w:val="nil"/>
                  </w:tcBorders>
                  <w:shd w:val="clear" w:color="auto" w:fill="auto"/>
                  <w:vAlign w:val="center"/>
                </w:tcPr>
                <w:p>
                  <w:pPr>
                    <w:jc w:val="center"/>
                    <w:rPr>
                      <w:b/>
                      <w:bCs/>
                      <w:szCs w:val="21"/>
                    </w:rPr>
                  </w:pPr>
                  <w:r>
                    <w:rPr>
                      <w:b/>
                      <w:bCs/>
                      <w:szCs w:val="21"/>
                    </w:rPr>
                    <w:t>监测点位</w:t>
                  </w:r>
                </w:p>
              </w:tc>
              <w:tc>
                <w:tcPr>
                  <w:tcW w:w="1268" w:type="pct"/>
                  <w:tcBorders>
                    <w:tl2br w:val="nil"/>
                    <w:tr2bl w:val="nil"/>
                  </w:tcBorders>
                  <w:shd w:val="clear" w:color="auto" w:fill="auto"/>
                  <w:vAlign w:val="center"/>
                </w:tcPr>
                <w:p>
                  <w:pPr>
                    <w:jc w:val="center"/>
                    <w:rPr>
                      <w:b/>
                      <w:bCs/>
                      <w:szCs w:val="21"/>
                    </w:rPr>
                  </w:pPr>
                  <w:r>
                    <w:rPr>
                      <w:b/>
                      <w:bCs/>
                      <w:szCs w:val="21"/>
                    </w:rPr>
                    <w:t>监测指标</w:t>
                  </w:r>
                </w:p>
              </w:tc>
              <w:tc>
                <w:tcPr>
                  <w:tcW w:w="1268" w:type="pct"/>
                  <w:tcBorders>
                    <w:tl2br w:val="nil"/>
                    <w:tr2bl w:val="nil"/>
                  </w:tcBorders>
                  <w:shd w:val="clear" w:color="auto" w:fill="auto"/>
                  <w:vAlign w:val="center"/>
                </w:tcPr>
                <w:p>
                  <w:pPr>
                    <w:jc w:val="center"/>
                    <w:rPr>
                      <w:b/>
                      <w:bCs/>
                      <w:szCs w:val="21"/>
                    </w:rPr>
                  </w:pPr>
                  <w:r>
                    <w:rPr>
                      <w:b/>
                      <w:bCs/>
                      <w:szCs w:val="21"/>
                    </w:rPr>
                    <w:t>监测频次</w:t>
                  </w:r>
                </w:p>
              </w:tc>
              <w:tc>
                <w:tcPr>
                  <w:tcW w:w="1596" w:type="pct"/>
                  <w:tcBorders>
                    <w:tl2br w:val="nil"/>
                    <w:tr2bl w:val="nil"/>
                  </w:tcBorders>
                </w:tcPr>
                <w:p>
                  <w:pPr>
                    <w:jc w:val="center"/>
                    <w:rPr>
                      <w:b/>
                      <w:bCs/>
                      <w:szCs w:val="21"/>
                    </w:rPr>
                  </w:pPr>
                  <w:r>
                    <w:rPr>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68" w:type="pct"/>
                  <w:tcBorders>
                    <w:tl2br w:val="nil"/>
                    <w:tr2bl w:val="nil"/>
                  </w:tcBorders>
                  <w:shd w:val="clear" w:color="auto" w:fill="auto"/>
                  <w:vAlign w:val="center"/>
                </w:tcPr>
                <w:p>
                  <w:pPr>
                    <w:jc w:val="center"/>
                    <w:rPr>
                      <w:szCs w:val="21"/>
                    </w:rPr>
                  </w:pPr>
                  <w:r>
                    <w:rPr>
                      <w:rFonts w:hint="eastAsia"/>
                      <w:szCs w:val="21"/>
                    </w:rPr>
                    <w:t>污水总排口</w:t>
                  </w:r>
                </w:p>
              </w:tc>
              <w:tc>
                <w:tcPr>
                  <w:tcW w:w="1268" w:type="pct"/>
                  <w:tcBorders>
                    <w:tl2br w:val="nil"/>
                    <w:tr2bl w:val="nil"/>
                  </w:tcBorders>
                  <w:shd w:val="clear" w:color="auto" w:fill="auto"/>
                  <w:vAlign w:val="center"/>
                </w:tcPr>
                <w:p>
                  <w:pPr>
                    <w:jc w:val="center"/>
                    <w:rPr>
                      <w:szCs w:val="21"/>
                    </w:rPr>
                  </w:pPr>
                  <w:r>
                    <w:rPr>
                      <w:rFonts w:hint="eastAsia"/>
                      <w:szCs w:val="21"/>
                    </w:rPr>
                    <w:t>pH、COD、BOD</w:t>
                  </w:r>
                  <w:r>
                    <w:rPr>
                      <w:szCs w:val="21"/>
                      <w:vertAlign w:val="subscript"/>
                    </w:rPr>
                    <w:t>5</w:t>
                  </w:r>
                  <w:r>
                    <w:rPr>
                      <w:rFonts w:hint="eastAsia"/>
                      <w:szCs w:val="21"/>
                    </w:rPr>
                    <w:t>、SS、NH</w:t>
                  </w:r>
                  <w:r>
                    <w:rPr>
                      <w:szCs w:val="21"/>
                      <w:vertAlign w:val="subscript"/>
                    </w:rPr>
                    <w:t>3</w:t>
                  </w:r>
                  <w:r>
                    <w:rPr>
                      <w:szCs w:val="21"/>
                    </w:rPr>
                    <w:t>-</w:t>
                  </w:r>
                  <w:r>
                    <w:rPr>
                      <w:rFonts w:hint="eastAsia"/>
                      <w:szCs w:val="21"/>
                    </w:rPr>
                    <w:t>N、TP</w:t>
                  </w:r>
                </w:p>
              </w:tc>
              <w:tc>
                <w:tcPr>
                  <w:tcW w:w="1268" w:type="pct"/>
                  <w:tcBorders>
                    <w:tl2br w:val="nil"/>
                    <w:tr2bl w:val="nil"/>
                  </w:tcBorders>
                  <w:shd w:val="clear" w:color="auto" w:fill="auto"/>
                  <w:vAlign w:val="center"/>
                </w:tcPr>
                <w:p>
                  <w:pPr>
                    <w:jc w:val="center"/>
                    <w:rPr>
                      <w:szCs w:val="21"/>
                    </w:rPr>
                  </w:pPr>
                  <w:r>
                    <w:rPr>
                      <w:rFonts w:hint="eastAsia"/>
                      <w:szCs w:val="21"/>
                    </w:rPr>
                    <w:t>1年/次</w:t>
                  </w:r>
                </w:p>
              </w:tc>
              <w:tc>
                <w:tcPr>
                  <w:tcW w:w="1596" w:type="pct"/>
                  <w:tcBorders>
                    <w:tl2br w:val="nil"/>
                    <w:tr2bl w:val="nil"/>
                  </w:tcBorders>
                  <w:vAlign w:val="center"/>
                </w:tcPr>
                <w:p>
                  <w:pPr>
                    <w:jc w:val="center"/>
                    <w:rPr>
                      <w:szCs w:val="21"/>
                    </w:rPr>
                  </w:pPr>
                  <w:r>
                    <w:rPr>
                      <w:rFonts w:hint="eastAsia"/>
                      <w:szCs w:val="21"/>
                    </w:rPr>
                    <w:t>《污水综合排放标准》（GB8978-1996）三级标准</w:t>
                  </w:r>
                </w:p>
              </w:tc>
            </w:tr>
          </w:tbl>
          <w:p>
            <w:pPr>
              <w:spacing w:line="360" w:lineRule="auto"/>
              <w:ind w:firstLine="482" w:firstLineChars="200"/>
              <w:rPr>
                <w:b/>
                <w:sz w:val="24"/>
                <w:szCs w:val="24"/>
              </w:rPr>
            </w:pPr>
            <w:r>
              <w:rPr>
                <w:b/>
                <w:sz w:val="24"/>
                <w:szCs w:val="24"/>
              </w:rPr>
              <w:t>3</w:t>
            </w:r>
            <w:r>
              <w:rPr>
                <w:rFonts w:hint="eastAsia"/>
                <w:b/>
                <w:sz w:val="24"/>
                <w:szCs w:val="24"/>
              </w:rPr>
              <w:t>、噪声</w:t>
            </w:r>
          </w:p>
          <w:p>
            <w:pPr>
              <w:spacing w:line="360" w:lineRule="auto"/>
              <w:ind w:firstLine="482" w:firstLineChars="200"/>
              <w:rPr>
                <w:b/>
                <w:sz w:val="24"/>
                <w:szCs w:val="24"/>
              </w:rPr>
            </w:pPr>
            <w:r>
              <w:rPr>
                <w:rFonts w:hint="eastAsia"/>
                <w:b/>
                <w:sz w:val="24"/>
                <w:szCs w:val="24"/>
              </w:rPr>
              <w:t>（1）噪声源强及治理措施</w:t>
            </w:r>
          </w:p>
          <w:p>
            <w:pPr>
              <w:spacing w:line="360" w:lineRule="auto"/>
              <w:ind w:firstLine="480"/>
              <w:rPr>
                <w:sz w:val="24"/>
                <w:szCs w:val="24"/>
              </w:rPr>
            </w:pPr>
            <w:r>
              <w:rPr>
                <w:rFonts w:hint="eastAsia"/>
                <w:sz w:val="24"/>
                <w:szCs w:val="24"/>
              </w:rPr>
              <w:t>本项目</w:t>
            </w:r>
            <w:r>
              <w:rPr>
                <w:sz w:val="24"/>
                <w:szCs w:val="24"/>
              </w:rPr>
              <w:t>主要噪声源</w:t>
            </w:r>
            <w:r>
              <w:rPr>
                <w:rFonts w:hint="eastAsia"/>
                <w:sz w:val="24"/>
                <w:szCs w:val="24"/>
              </w:rPr>
              <w:t>来自清洗机</w:t>
            </w:r>
            <w:r>
              <w:rPr>
                <w:rFonts w:hint="eastAsia"/>
                <w:sz w:val="24"/>
                <w:szCs w:val="24"/>
                <w:lang w:eastAsia="zh-CN"/>
              </w:rPr>
              <w:t>、</w:t>
            </w:r>
            <w:r>
              <w:rPr>
                <w:rFonts w:hint="eastAsia"/>
                <w:sz w:val="24"/>
                <w:szCs w:val="24"/>
              </w:rPr>
              <w:t>风冷输送机</w:t>
            </w:r>
            <w:r>
              <w:rPr>
                <w:rFonts w:hint="eastAsia"/>
                <w:sz w:val="24"/>
                <w:szCs w:val="24"/>
                <w:lang w:eastAsia="zh-CN"/>
              </w:rPr>
              <w:t>、精密闪干流平机、精密激光镭射镀膜机、精密紫外固化机</w:t>
            </w:r>
            <w:r>
              <w:rPr>
                <w:rFonts w:hint="eastAsia"/>
                <w:sz w:val="24"/>
                <w:szCs w:val="24"/>
              </w:rPr>
              <w:t>等运行时产生的噪声，各设备噪声源强值在</w:t>
            </w:r>
            <w:r>
              <w:rPr>
                <w:rFonts w:hint="eastAsia"/>
                <w:sz w:val="24"/>
                <w:szCs w:val="24"/>
                <w:lang w:val="en-US" w:eastAsia="zh-CN"/>
              </w:rPr>
              <w:t>70</w:t>
            </w:r>
            <w:r>
              <w:rPr>
                <w:rFonts w:hint="eastAsia"/>
                <w:sz w:val="24"/>
                <w:szCs w:val="24"/>
              </w:rPr>
              <w:t>~</w:t>
            </w:r>
            <w:r>
              <w:rPr>
                <w:sz w:val="24"/>
                <w:szCs w:val="24"/>
              </w:rPr>
              <w:t>90</w:t>
            </w:r>
            <w:r>
              <w:rPr>
                <w:rFonts w:hint="eastAsia"/>
                <w:sz w:val="24"/>
                <w:szCs w:val="24"/>
              </w:rPr>
              <w:t>dB（A）之间，项目拟采取的噪声治理措施如下：</w:t>
            </w:r>
          </w:p>
          <w:p>
            <w:pPr>
              <w:spacing w:line="360" w:lineRule="auto"/>
              <w:ind w:firstLine="480"/>
              <w:rPr>
                <w:sz w:val="24"/>
                <w:szCs w:val="24"/>
              </w:rPr>
            </w:pPr>
            <w:r>
              <w:rPr>
                <w:rFonts w:hint="eastAsia"/>
                <w:sz w:val="24"/>
                <w:szCs w:val="24"/>
              </w:rPr>
              <w:t>①选用符合国家标准的低噪声设备、低噪声工艺，改进工艺、设施结构和操作方法，定期进行设备检修。</w:t>
            </w:r>
          </w:p>
          <w:p>
            <w:pPr>
              <w:spacing w:line="360" w:lineRule="auto"/>
              <w:ind w:firstLine="480"/>
              <w:rPr>
                <w:rFonts w:hint="eastAsia"/>
                <w:sz w:val="24"/>
                <w:szCs w:val="24"/>
                <w:lang w:eastAsia="zh-CN"/>
              </w:rPr>
            </w:pPr>
            <w:r>
              <w:rPr>
                <w:rFonts w:hint="eastAsia"/>
                <w:sz w:val="24"/>
                <w:szCs w:val="24"/>
              </w:rPr>
              <w:t>②合理布局车间平面，利用厂房进行隔声；产噪设备底部采取橡胶减震垫减振处理</w:t>
            </w:r>
            <w:r>
              <w:rPr>
                <w:rFonts w:hint="eastAsia"/>
                <w:sz w:val="24"/>
                <w:szCs w:val="24"/>
                <w:lang w:eastAsia="zh-CN"/>
              </w:rPr>
              <w:t>；</w:t>
            </w:r>
          </w:p>
          <w:p>
            <w:pPr>
              <w:spacing w:line="360" w:lineRule="auto"/>
              <w:ind w:firstLine="480"/>
              <w:rPr>
                <w:sz w:val="24"/>
                <w:szCs w:val="24"/>
              </w:rPr>
            </w:pPr>
            <w:r>
              <w:rPr>
                <w:rFonts w:hint="eastAsia"/>
                <w:sz w:val="24"/>
                <w:szCs w:val="24"/>
              </w:rPr>
              <w:t>③加强车辆进出管理，实施限速、禁鸣。</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）达标情况</w:t>
            </w:r>
          </w:p>
          <w:p>
            <w:pPr>
              <w:spacing w:line="360" w:lineRule="auto"/>
              <w:ind w:firstLine="480" w:firstLineChars="200"/>
              <w:rPr>
                <w:sz w:val="24"/>
                <w:szCs w:val="24"/>
              </w:rPr>
            </w:pPr>
            <w:r>
              <w:rPr>
                <w:rFonts w:hint="eastAsia"/>
                <w:sz w:val="24"/>
                <w:szCs w:val="24"/>
              </w:rPr>
              <w:t>本次环评按照《环境影响评价技术导则 声环境》（HJ2.4-2021）中有关要求进行预测，以厂界作为预测点和评价点。</w:t>
            </w:r>
          </w:p>
          <w:p>
            <w:pPr>
              <w:spacing w:line="360" w:lineRule="auto"/>
              <w:ind w:firstLine="482" w:firstLineChars="200"/>
              <w:rPr>
                <w:b/>
                <w:bCs/>
                <w:sz w:val="24"/>
                <w:szCs w:val="24"/>
              </w:rPr>
            </w:pPr>
            <w:r>
              <w:rPr>
                <w:rFonts w:hint="eastAsia"/>
                <w:b/>
                <w:bCs/>
                <w:sz w:val="24"/>
                <w:szCs w:val="24"/>
              </w:rPr>
              <w:t>1）声源数据</w:t>
            </w:r>
          </w:p>
          <w:p>
            <w:pPr>
              <w:spacing w:line="360" w:lineRule="auto"/>
              <w:ind w:firstLine="480" w:firstLineChars="200"/>
              <w:rPr>
                <w:rFonts w:hint="eastAsia"/>
                <w:sz w:val="24"/>
                <w:szCs w:val="24"/>
                <w:lang w:eastAsia="zh-CN"/>
              </w:rPr>
            </w:pPr>
            <w:r>
              <w:rPr>
                <w:rFonts w:hint="eastAsia"/>
                <w:sz w:val="24"/>
                <w:szCs w:val="24"/>
              </w:rPr>
              <w:t>项目主要噪声源调查情况见下表</w:t>
            </w:r>
            <w:r>
              <w:rPr>
                <w:rFonts w:hint="eastAsia"/>
                <w:sz w:val="24"/>
                <w:szCs w:val="24"/>
                <w:lang w:eastAsia="zh-CN"/>
              </w:rPr>
              <w:t>：</w:t>
            </w: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rFonts w:hint="eastAsia"/>
                <w:sz w:val="24"/>
                <w:szCs w:val="24"/>
                <w:lang w:eastAsia="zh-CN"/>
              </w:rPr>
            </w:pPr>
          </w:p>
          <w:p>
            <w:pPr>
              <w:spacing w:line="360" w:lineRule="auto"/>
              <w:ind w:firstLine="480" w:firstLineChars="200"/>
              <w:rPr>
                <w:sz w:val="24"/>
                <w:szCs w:val="24"/>
              </w:rPr>
            </w:pPr>
          </w:p>
        </w:tc>
      </w:tr>
    </w:tbl>
    <w:p>
      <w:pPr>
        <w:rPr>
          <w:rFonts w:ascii="宋体" w:hAnsi="宋体"/>
          <w:sz w:val="28"/>
          <w:szCs w:val="28"/>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240" w:lineRule="auto"/>
              <w:jc w:val="center"/>
              <w:rPr>
                <w:rFonts w:hint="eastAsia" w:ascii="Times New Roman" w:hAnsi="Times New Roman" w:eastAsia="宋体"/>
                <w:b/>
                <w:bCs/>
                <w:color w:val="auto"/>
                <w:sz w:val="21"/>
                <w:shd w:val="clear" w:color="auto" w:fill="auto"/>
                <w:lang w:val="en-US" w:eastAsia="zh-CN"/>
              </w:rPr>
            </w:pPr>
            <w:r>
              <w:rPr>
                <w:rFonts w:hint="default" w:ascii="Times New Roman" w:hAnsi="Times New Roman" w:eastAsia="宋体"/>
                <w:b/>
                <w:bCs/>
                <w:color w:val="auto"/>
                <w:sz w:val="21"/>
                <w:shd w:val="clear" w:color="auto" w:fill="auto"/>
                <w:lang w:val="en-US" w:eastAsia="zh-CN"/>
              </w:rPr>
              <w:t>表4-1</w:t>
            </w:r>
            <w:r>
              <w:rPr>
                <w:rFonts w:hint="eastAsia" w:ascii="Times New Roman" w:hAnsi="Times New Roman" w:eastAsia="宋体"/>
                <w:b/>
                <w:bCs/>
                <w:color w:val="auto"/>
                <w:sz w:val="21"/>
                <w:shd w:val="clear" w:color="auto" w:fill="auto"/>
                <w:lang w:val="en-US" w:eastAsia="zh-CN"/>
              </w:rPr>
              <w:t>1</w:t>
            </w:r>
            <w:r>
              <w:rPr>
                <w:rFonts w:hint="default" w:ascii="Times New Roman" w:hAnsi="Times New Roman" w:eastAsia="宋体"/>
                <w:b/>
                <w:bCs/>
                <w:color w:val="auto"/>
                <w:sz w:val="21"/>
                <w:shd w:val="clear" w:color="auto" w:fill="auto"/>
                <w:lang w:val="en-US" w:eastAsia="zh-CN"/>
              </w:rPr>
              <w:t xml:space="preserve">     </w:t>
            </w:r>
            <w:r>
              <w:rPr>
                <w:rFonts w:hint="eastAsia" w:ascii="Times New Roman" w:hAnsi="Times New Roman" w:eastAsia="宋体"/>
                <w:b/>
                <w:bCs/>
                <w:color w:val="auto"/>
                <w:sz w:val="21"/>
                <w:shd w:val="clear" w:color="auto" w:fill="auto"/>
                <w:lang w:val="en-US" w:eastAsia="zh-CN"/>
              </w:rPr>
              <w:t>工业企业噪声源强调查清单（室内声源）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432"/>
              <w:gridCol w:w="589"/>
              <w:gridCol w:w="567"/>
              <w:gridCol w:w="687"/>
              <w:gridCol w:w="580"/>
              <w:gridCol w:w="607"/>
              <w:gridCol w:w="607"/>
              <w:gridCol w:w="583"/>
              <w:gridCol w:w="519"/>
              <w:gridCol w:w="504"/>
              <w:gridCol w:w="504"/>
              <w:gridCol w:w="504"/>
              <w:gridCol w:w="498"/>
              <w:gridCol w:w="498"/>
              <w:gridCol w:w="498"/>
              <w:gridCol w:w="500"/>
              <w:gridCol w:w="475"/>
              <w:gridCol w:w="483"/>
              <w:gridCol w:w="483"/>
              <w:gridCol w:w="483"/>
              <w:gridCol w:w="483"/>
              <w:gridCol w:w="508"/>
              <w:gridCol w:w="508"/>
              <w:gridCol w:w="508"/>
              <w:gridCol w:w="509"/>
              <w:gridCol w:w="6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432"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bookmarkStart w:id="9" w:name="PT_6"/>
                  <w:r>
                    <w:rPr>
                      <w:rFonts w:hint="default" w:ascii="Times New Roman" w:hAnsi="Times New Roman" w:cs="Times New Roman" w:eastAsiaTheme="minorEastAsia"/>
                      <w:b/>
                      <w:sz w:val="21"/>
                      <w:szCs w:val="21"/>
                    </w:rPr>
                    <w:t>序号</w:t>
                  </w:r>
                </w:p>
              </w:tc>
              <w:tc>
                <w:tcPr>
                  <w:tcW w:w="58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建筑物名称</w:t>
                  </w:r>
                </w:p>
              </w:tc>
              <w:tc>
                <w:tcPr>
                  <w:tcW w:w="56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声源名称</w:t>
                  </w:r>
                </w:p>
              </w:tc>
              <w:tc>
                <w:tcPr>
                  <w:tcW w:w="68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sz w:val="21"/>
                      <w:szCs w:val="21"/>
                      <w:lang w:eastAsia="zh-CN"/>
                    </w:rPr>
                    <w:t>声源源强</w:t>
                  </w:r>
                </w:p>
              </w:tc>
              <w:tc>
                <w:tcPr>
                  <w:tcW w:w="5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声源控制措施</w:t>
                  </w:r>
                </w:p>
              </w:tc>
              <w:tc>
                <w:tcPr>
                  <w:tcW w:w="1797"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空间相对位置/m</w:t>
                  </w:r>
                </w:p>
              </w:tc>
              <w:tc>
                <w:tcPr>
                  <w:tcW w:w="2031"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距室内边界距离/m</w:t>
                  </w:r>
                </w:p>
              </w:tc>
              <w:tc>
                <w:tcPr>
                  <w:tcW w:w="1994"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室内边界声级/dB(A)</w:t>
                  </w:r>
                </w:p>
              </w:tc>
              <w:tc>
                <w:tcPr>
                  <w:tcW w:w="475"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运行时段</w:t>
                  </w:r>
                </w:p>
              </w:tc>
              <w:tc>
                <w:tcPr>
                  <w:tcW w:w="1932"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建筑物插入损失 / dB(A)</w:t>
                  </w:r>
                  <w:bookmarkStart w:id="10" w:name="PT_10"/>
                  <w:bookmarkEnd w:id="10"/>
                </w:p>
              </w:tc>
              <w:tc>
                <w:tcPr>
                  <w:tcW w:w="2692"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建筑物外噪声声压级/dB(A)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lang w:val="en-US" w:eastAsia="zh-CN"/>
                    </w:rPr>
                  </w:pPr>
                </w:p>
              </w:tc>
              <w:tc>
                <w:tcPr>
                  <w:tcW w:w="589"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p>
              </w:tc>
              <w:tc>
                <w:tcPr>
                  <w:tcW w:w="567"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声功率级/dB(A)</w:t>
                  </w:r>
                </w:p>
              </w:tc>
              <w:tc>
                <w:tcPr>
                  <w:tcW w:w="5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X</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Y</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Z</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475"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建筑物外距离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w:t>
                  </w:r>
                </w:p>
              </w:tc>
              <w:tc>
                <w:tcPr>
                  <w:tcW w:w="589" w:type="dxa"/>
                  <w:vMerge w:val="restar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3#生产车间</w:t>
                  </w:r>
                </w:p>
              </w:tc>
              <w:tc>
                <w:tcPr>
                  <w:tcW w:w="5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清洗机</w:t>
                  </w: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70</w:t>
                  </w:r>
                </w:p>
              </w:tc>
              <w:tc>
                <w:tcPr>
                  <w:tcW w:w="580" w:type="dxa"/>
                  <w:vMerge w:val="restar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厂房隔声，基础减振</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-80.1</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-48.1</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127.6</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11.5</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29.7</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41.3</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51.7</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51.9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51.7</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51.7</w:t>
                  </w:r>
                </w:p>
              </w:tc>
              <w:tc>
                <w:tcPr>
                  <w:tcW w:w="4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20.7</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20.9</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20.7</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20.7</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w:t>
                  </w:r>
                </w:p>
              </w:tc>
              <w:tc>
                <w:tcPr>
                  <w:tcW w:w="589"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精密激光镭射镀膜机</w:t>
                  </w: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75</w:t>
                  </w:r>
                </w:p>
              </w:tc>
              <w:tc>
                <w:tcPr>
                  <w:tcW w:w="5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-66.3</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-50.9</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113.5</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10.9</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43.8</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42.1</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56.7</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56.7</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56.7</w:t>
                  </w:r>
                </w:p>
              </w:tc>
              <w:tc>
                <w:tcPr>
                  <w:tcW w:w="4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25.9</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w:t>
                  </w:r>
                </w:p>
              </w:tc>
              <w:tc>
                <w:tcPr>
                  <w:tcW w:w="589"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风冷输送机</w:t>
                  </w: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90</w:t>
                  </w:r>
                </w:p>
              </w:tc>
              <w:tc>
                <w:tcPr>
                  <w:tcW w:w="5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-52.9</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-52.1</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100.1</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11.8</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57.2</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41.4</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71.7</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71.9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71.7</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71.7</w:t>
                  </w:r>
                </w:p>
              </w:tc>
              <w:tc>
                <w:tcPr>
                  <w:tcW w:w="4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40.7</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40.9</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40.7</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40.7</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w:t>
                  </w:r>
                </w:p>
              </w:tc>
              <w:tc>
                <w:tcPr>
                  <w:tcW w:w="589"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精密闪干流平机</w:t>
                  </w: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80</w:t>
                  </w:r>
                </w:p>
              </w:tc>
              <w:tc>
                <w:tcPr>
                  <w:tcW w:w="5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-38.7</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-54.6</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85.7</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11.6</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71.6</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41.9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61.7</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61.9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61.7</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61.7</w:t>
                  </w:r>
                </w:p>
              </w:tc>
              <w:tc>
                <w:tcPr>
                  <w:tcW w:w="4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30.7</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30.9</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30.7</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30.7</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w:t>
                  </w:r>
                </w:p>
              </w:tc>
              <w:tc>
                <w:tcPr>
                  <w:tcW w:w="589"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精密紫外固化机</w:t>
                  </w: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75</w:t>
                  </w:r>
                </w:p>
              </w:tc>
              <w:tc>
                <w:tcPr>
                  <w:tcW w:w="5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-24.5</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-57</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71.3</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11.5</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86.0</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42.3</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56.7</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56.7</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56.7</w:t>
                  </w:r>
                </w:p>
              </w:tc>
              <w:tc>
                <w:tcPr>
                  <w:tcW w:w="4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31.0</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25.9</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2"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6</w:t>
                  </w:r>
                </w:p>
              </w:tc>
              <w:tc>
                <w:tcPr>
                  <w:tcW w:w="589"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6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风机</w:t>
                  </w:r>
                </w:p>
              </w:tc>
              <w:tc>
                <w:tcPr>
                  <w:tcW w:w="68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90</w:t>
                  </w:r>
                </w:p>
              </w:tc>
              <w:tc>
                <w:tcPr>
                  <w:tcW w:w="580" w:type="dxa"/>
                  <w:vMerge w:val="continue"/>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-6</w:t>
                  </w:r>
                  <w:r>
                    <w:rPr>
                      <w:rFonts w:hint="eastAsia" w:ascii="Times New Roman" w:hAnsi="Times New Roman" w:eastAsia="宋体" w:cs="Times New Roman"/>
                      <w:sz w:val="21"/>
                      <w:szCs w:val="21"/>
                      <w:lang w:val="en-US" w:eastAsia="zh-CN"/>
                    </w:rPr>
                    <w:t>5.3</w:t>
                  </w:r>
                </w:p>
              </w:tc>
              <w:tc>
                <w:tcPr>
                  <w:tcW w:w="60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-5</w:t>
                  </w:r>
                  <w:r>
                    <w:rPr>
                      <w:rFonts w:hint="eastAsia" w:ascii="Times New Roman" w:hAnsi="Times New Roman" w:eastAsia="宋体" w:cs="Times New Roman"/>
                      <w:sz w:val="21"/>
                      <w:szCs w:val="21"/>
                      <w:lang w:val="en-US" w:eastAsia="zh-CN"/>
                    </w:rPr>
                    <w:t>1.2</w:t>
                  </w:r>
                </w:p>
              </w:tc>
              <w:tc>
                <w:tcPr>
                  <w:tcW w:w="5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1.2</w:t>
                  </w:r>
                </w:p>
              </w:tc>
              <w:tc>
                <w:tcPr>
                  <w:tcW w:w="51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117.8</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10.7</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43.8</w:t>
                  </w:r>
                </w:p>
              </w:tc>
              <w:tc>
                <w:tcPr>
                  <w:tcW w:w="50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42.1</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56.7</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56.9</w:t>
                  </w:r>
                </w:p>
              </w:tc>
              <w:tc>
                <w:tcPr>
                  <w:tcW w:w="49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56.7</w:t>
                  </w:r>
                </w:p>
              </w:tc>
              <w:tc>
                <w:tcPr>
                  <w:tcW w:w="50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56.7</w:t>
                  </w:r>
                </w:p>
              </w:tc>
              <w:tc>
                <w:tcPr>
                  <w:tcW w:w="47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8</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31.0</w:t>
                  </w:r>
                </w:p>
              </w:tc>
              <w:tc>
                <w:tcPr>
                  <w:tcW w:w="483"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31.0</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40.7</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40.9</w:t>
                  </w:r>
                </w:p>
              </w:tc>
              <w:tc>
                <w:tcPr>
                  <w:tcW w:w="508"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40.7</w:t>
                  </w:r>
                </w:p>
              </w:tc>
              <w:tc>
                <w:tcPr>
                  <w:tcW w:w="50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40.7</w:t>
                  </w:r>
                </w:p>
              </w:tc>
              <w:tc>
                <w:tcPr>
                  <w:tcW w:w="659"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Arial" w:cs="Times New Roman"/>
                      <w:sz w:val="21"/>
                      <w:szCs w:val="21"/>
                    </w:rPr>
                    <w:t>1</w:t>
                  </w:r>
                </w:p>
              </w:tc>
            </w:tr>
            <w:bookmarkEnd w:id="9"/>
          </w:tbl>
          <w:p>
            <w:pPr>
              <w:spacing w:line="360" w:lineRule="auto"/>
              <w:rPr>
                <w:rFonts w:ascii="宋体" w:hAnsi="宋体"/>
                <w:sz w:val="18"/>
                <w:szCs w:val="18"/>
              </w:rPr>
            </w:pPr>
          </w:p>
          <w:p>
            <w:pPr>
              <w:spacing w:line="360" w:lineRule="auto"/>
              <w:rPr>
                <w:rFonts w:ascii="宋体" w:hAnsi="宋体"/>
                <w:sz w:val="24"/>
                <w:szCs w:val="24"/>
              </w:rPr>
            </w:pPr>
          </w:p>
        </w:tc>
      </w:tr>
    </w:tbl>
    <w:p>
      <w:pPr>
        <w:rPr>
          <w:rFonts w:ascii="宋体" w:hAnsi="宋体"/>
          <w:sz w:val="28"/>
          <w:szCs w:val="28"/>
        </w:rPr>
        <w:sectPr>
          <w:pgSz w:w="16838" w:h="11906" w:orient="landscape"/>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3" w:type="pct"/>
            <w:vAlign w:val="center"/>
          </w:tcPr>
          <w:p>
            <w:pPr>
              <w:spacing w:line="360" w:lineRule="auto"/>
              <w:jc w:val="center"/>
              <w:rPr>
                <w:rFonts w:cs="Times New Roman"/>
                <w:sz w:val="24"/>
                <w:szCs w:val="24"/>
              </w:rPr>
            </w:pPr>
            <w:r>
              <w:rPr>
                <w:rFonts w:hint="eastAsia" w:cs="Times New Roman"/>
                <w:sz w:val="24"/>
                <w:szCs w:val="24"/>
              </w:rPr>
              <w:t>运营期环境影响和保护措施</w:t>
            </w:r>
          </w:p>
        </w:tc>
        <w:tc>
          <w:tcPr>
            <w:tcW w:w="4566" w:type="pct"/>
            <w:vAlign w:val="center"/>
          </w:tcPr>
          <w:p>
            <w:pPr>
              <w:spacing w:line="360" w:lineRule="auto"/>
              <w:ind w:firstLine="482" w:firstLineChars="200"/>
              <w:rPr>
                <w:b/>
                <w:bCs/>
                <w:sz w:val="24"/>
                <w:szCs w:val="24"/>
              </w:rPr>
            </w:pPr>
            <w:r>
              <w:rPr>
                <w:b/>
                <w:bCs/>
                <w:sz w:val="24"/>
                <w:szCs w:val="24"/>
              </w:rPr>
              <w:t>2</w:t>
            </w:r>
            <w:r>
              <w:rPr>
                <w:rFonts w:hint="eastAsia"/>
                <w:b/>
                <w:bCs/>
                <w:sz w:val="24"/>
                <w:szCs w:val="24"/>
              </w:rPr>
              <w:t>）预测方法</w:t>
            </w:r>
          </w:p>
          <w:p>
            <w:pPr>
              <w:spacing w:line="360" w:lineRule="auto"/>
              <w:ind w:firstLine="480" w:firstLineChars="200"/>
              <w:rPr>
                <w:bCs/>
                <w:sz w:val="24"/>
                <w:szCs w:val="24"/>
              </w:rPr>
            </w:pPr>
            <w:r>
              <w:rPr>
                <w:rFonts w:hint="eastAsia"/>
                <w:bCs/>
                <w:sz w:val="24"/>
                <w:szCs w:val="24"/>
              </w:rPr>
              <w:t>本次环评采用《环境影响评价技术导则 声环境》（HJ2.4-2021）中工业噪声预测计算模型，预测方法为：</w:t>
            </w:r>
          </w:p>
          <w:p>
            <w:pPr>
              <w:spacing w:line="360" w:lineRule="auto"/>
              <w:ind w:firstLine="482" w:firstLineChars="200"/>
              <w:rPr>
                <w:b/>
                <w:sz w:val="24"/>
                <w:szCs w:val="24"/>
              </w:rPr>
            </w:pPr>
            <w:r>
              <w:rPr>
                <w:rFonts w:hint="eastAsia"/>
                <w:b/>
                <w:sz w:val="24"/>
                <w:szCs w:val="24"/>
              </w:rPr>
              <w:t>①声源描述</w:t>
            </w:r>
          </w:p>
          <w:p>
            <w:pPr>
              <w:spacing w:line="360" w:lineRule="auto"/>
              <w:ind w:firstLine="480" w:firstLineChars="200"/>
              <w:rPr>
                <w:bCs/>
                <w:sz w:val="24"/>
                <w:szCs w:val="24"/>
              </w:rPr>
            </w:pPr>
            <w:r>
              <w:rPr>
                <w:rFonts w:hint="eastAsia"/>
                <w:bCs/>
                <w:sz w:val="24"/>
                <w:szCs w:val="24"/>
              </w:rPr>
              <w:t>声环境影响预测，一般采用声源的倍频带声功率级、A声功率级或靠近声源某一位置的倍频带声压级、A声级来预测计算距声源不同距离的声级。工业声源有室外和室内两种声源，应分别计算。</w:t>
            </w:r>
          </w:p>
          <w:p>
            <w:pPr>
              <w:pStyle w:val="70"/>
              <w:ind w:firstLine="482"/>
            </w:pPr>
            <w:r>
              <w:rPr>
                <w:rFonts w:hint="eastAsia"/>
              </w:rPr>
              <w:t>②室外声源在预测点产生的声级计算</w:t>
            </w:r>
          </w:p>
          <w:p>
            <w:pPr>
              <w:spacing w:line="360" w:lineRule="auto"/>
              <w:ind w:firstLine="480" w:firstLineChars="200"/>
              <w:rPr>
                <w:rFonts w:cs="Times New Roman"/>
                <w:sz w:val="24"/>
                <w:szCs w:val="24"/>
              </w:rPr>
            </w:pPr>
            <w:r>
              <w:rPr>
                <w:rFonts w:cs="Times New Roman"/>
                <w:sz w:val="24"/>
                <w:szCs w:val="24"/>
              </w:rPr>
              <w:t>按照无指向性点声源几何发散衰减进行计算</w:t>
            </w:r>
            <w:r>
              <w:rPr>
                <w:rFonts w:hint="eastAsia" w:cs="Times New Roman"/>
                <w:sz w:val="24"/>
                <w:szCs w:val="24"/>
              </w:rPr>
              <w:t>：</w:t>
            </w:r>
          </w:p>
          <w:p>
            <w:pPr>
              <w:spacing w:line="360" w:lineRule="auto"/>
              <w:jc w:val="center"/>
              <w:rPr>
                <w:rFonts w:cs="Times New Roman"/>
                <w:sz w:val="24"/>
                <w:szCs w:val="24"/>
              </w:rPr>
            </w:pPr>
            <w:r>
              <w:rPr>
                <w:position w:val="-14"/>
              </w:rPr>
              <w:object>
                <v:shape id="_x0000_i1029" o:spt="75" type="#_x0000_t75" style="height:21.75pt;width:144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i/>
                <w:sz w:val="24"/>
                <w:szCs w:val="24"/>
                <w:vertAlign w:val="subscript"/>
              </w:rPr>
              <w:t>p</w:t>
            </w:r>
            <w:r>
              <w:rPr>
                <w:sz w:val="24"/>
                <w:szCs w:val="24"/>
              </w:rPr>
              <w:t>（</w:t>
            </w:r>
            <w:r>
              <w:rPr>
                <w:i/>
                <w:sz w:val="24"/>
                <w:szCs w:val="24"/>
              </w:rPr>
              <w:t>r</w:t>
            </w:r>
            <w:r>
              <w:rPr>
                <w:sz w:val="24"/>
                <w:szCs w:val="24"/>
              </w:rPr>
              <w:t>）——</w:t>
            </w:r>
            <w:r>
              <w:rPr>
                <w:rFonts w:hint="eastAsia"/>
                <w:sz w:val="24"/>
                <w:szCs w:val="24"/>
              </w:rPr>
              <w:t>预测点处声压级，dB；</w:t>
            </w:r>
          </w:p>
          <w:p>
            <w:pPr>
              <w:spacing w:line="360" w:lineRule="auto"/>
              <w:ind w:firstLine="1200" w:firstLineChars="500"/>
              <w:rPr>
                <w:sz w:val="24"/>
                <w:szCs w:val="24"/>
              </w:rPr>
            </w:pPr>
            <w:r>
              <w:rPr>
                <w:i/>
                <w:sz w:val="24"/>
                <w:szCs w:val="24"/>
              </w:rPr>
              <w:t>L</w:t>
            </w:r>
            <w:r>
              <w:rPr>
                <w:i/>
                <w:sz w:val="24"/>
                <w:szCs w:val="24"/>
                <w:vertAlign w:val="subscript"/>
              </w:rPr>
              <w:t>p</w:t>
            </w:r>
            <w:r>
              <w:rPr>
                <w:sz w:val="24"/>
                <w:szCs w:val="24"/>
              </w:rPr>
              <w:t>（</w:t>
            </w:r>
            <w:r>
              <w:rPr>
                <w:i/>
                <w:sz w:val="24"/>
                <w:szCs w:val="24"/>
              </w:rPr>
              <w:t>r</w:t>
            </w:r>
            <w:r>
              <w:rPr>
                <w:i/>
                <w:sz w:val="24"/>
                <w:szCs w:val="24"/>
                <w:vertAlign w:val="subscript"/>
              </w:rPr>
              <w:t>0</w:t>
            </w:r>
            <w:r>
              <w:rPr>
                <w:sz w:val="24"/>
                <w:szCs w:val="24"/>
              </w:rPr>
              <w:t>）——</w:t>
            </w:r>
            <w:r>
              <w:rPr>
                <w:rFonts w:hint="eastAsia"/>
                <w:sz w:val="24"/>
                <w:szCs w:val="24"/>
              </w:rPr>
              <w:t>参考位置</w:t>
            </w:r>
            <w:r>
              <w:rPr>
                <w:rFonts w:hint="eastAsia"/>
                <w:i/>
                <w:sz w:val="24"/>
                <w:szCs w:val="24"/>
              </w:rPr>
              <w:t>r</w:t>
            </w:r>
            <w:r>
              <w:rPr>
                <w:sz w:val="24"/>
                <w:szCs w:val="24"/>
                <w:vertAlign w:val="subscript"/>
              </w:rPr>
              <w:t>0</w:t>
            </w:r>
            <w:r>
              <w:rPr>
                <w:sz w:val="24"/>
                <w:szCs w:val="24"/>
              </w:rPr>
              <w:t>处的声压级</w:t>
            </w:r>
            <w:r>
              <w:rPr>
                <w:rFonts w:hint="eastAsia"/>
                <w:sz w:val="24"/>
                <w:szCs w:val="24"/>
              </w:rPr>
              <w:t>，dB；</w:t>
            </w:r>
          </w:p>
          <w:p>
            <w:pPr>
              <w:spacing w:line="360" w:lineRule="auto"/>
              <w:ind w:firstLine="1200" w:firstLineChars="500"/>
              <w:rPr>
                <w:sz w:val="24"/>
                <w:szCs w:val="24"/>
              </w:rPr>
            </w:pPr>
            <w:r>
              <w:rPr>
                <w:rFonts w:hint="eastAsia"/>
                <w:i/>
                <w:sz w:val="24"/>
                <w:szCs w:val="24"/>
              </w:rPr>
              <w:t>r</w:t>
            </w:r>
            <w:r>
              <w:rPr>
                <w:sz w:val="24"/>
                <w:szCs w:val="24"/>
              </w:rPr>
              <w:t>——</w:t>
            </w:r>
            <w:r>
              <w:rPr>
                <w:rFonts w:hint="eastAsia"/>
                <w:sz w:val="24"/>
                <w:szCs w:val="24"/>
              </w:rPr>
              <w:t>预测点距声源的距离，m；</w:t>
            </w:r>
          </w:p>
          <w:p>
            <w:pPr>
              <w:spacing w:line="360" w:lineRule="auto"/>
              <w:ind w:firstLine="1200" w:firstLineChars="500"/>
              <w:rPr>
                <w:sz w:val="24"/>
                <w:szCs w:val="24"/>
              </w:rPr>
            </w:pPr>
            <w:r>
              <w:rPr>
                <w:rFonts w:hint="eastAsia"/>
                <w:i/>
                <w:sz w:val="24"/>
                <w:szCs w:val="24"/>
              </w:rPr>
              <w:t>r</w:t>
            </w:r>
            <w:r>
              <w:rPr>
                <w:sz w:val="24"/>
                <w:szCs w:val="24"/>
                <w:vertAlign w:val="subscript"/>
              </w:rPr>
              <w:t>0</w:t>
            </w:r>
            <w:r>
              <w:rPr>
                <w:sz w:val="24"/>
                <w:szCs w:val="24"/>
              </w:rPr>
              <w:t>——</w:t>
            </w:r>
            <w:r>
              <w:rPr>
                <w:rFonts w:hint="eastAsia"/>
                <w:sz w:val="24"/>
                <w:szCs w:val="24"/>
              </w:rPr>
              <w:t>参考位置距声源的距离，m。</w:t>
            </w:r>
          </w:p>
          <w:p>
            <w:pPr>
              <w:pStyle w:val="70"/>
              <w:ind w:firstLine="482"/>
            </w:pPr>
            <w:r>
              <w:rPr>
                <w:rFonts w:hint="eastAsia"/>
              </w:rPr>
              <w:t>③室内声源等效室外声源声功率级计算</w:t>
            </w:r>
          </w:p>
          <w:p>
            <w:pPr>
              <w:spacing w:line="360" w:lineRule="auto"/>
              <w:ind w:firstLine="480" w:firstLineChars="200"/>
              <w:rPr>
                <w:sz w:val="24"/>
                <w:szCs w:val="24"/>
              </w:rPr>
            </w:pPr>
            <w:r>
              <w:rPr>
                <w:rFonts w:hint="eastAsia"/>
                <w:sz w:val="24"/>
                <w:szCs w:val="24"/>
              </w:rPr>
              <w:t>如下图所示，声源位于室内，</w:t>
            </w:r>
            <w:r>
              <w:rPr>
                <w:sz w:val="24"/>
                <w:szCs w:val="24"/>
              </w:rPr>
              <w:t>室内声源可采用等效室外声源声功率级</w:t>
            </w:r>
            <w:r>
              <w:rPr>
                <w:rFonts w:hint="eastAsia"/>
                <w:sz w:val="24"/>
                <w:szCs w:val="24"/>
              </w:rPr>
              <w:t>法</w:t>
            </w:r>
            <w:r>
              <w:rPr>
                <w:sz w:val="24"/>
                <w:szCs w:val="24"/>
              </w:rPr>
              <w:t>进行计算</w:t>
            </w:r>
            <w:r>
              <w:rPr>
                <w:rFonts w:hint="eastAsia"/>
                <w:sz w:val="24"/>
                <w:szCs w:val="24"/>
              </w:rPr>
              <w:t>。</w:t>
            </w:r>
            <w:r>
              <w:rPr>
                <w:sz w:val="24"/>
                <w:szCs w:val="24"/>
              </w:rPr>
              <w:t>设靠近开口处（</w:t>
            </w:r>
            <w:r>
              <w:rPr>
                <w:rFonts w:hint="eastAsia"/>
                <w:sz w:val="24"/>
                <w:szCs w:val="24"/>
              </w:rPr>
              <w:t>或</w:t>
            </w:r>
            <w:r>
              <w:rPr>
                <w:sz w:val="24"/>
                <w:szCs w:val="24"/>
              </w:rPr>
              <w:t>窗户）</w:t>
            </w:r>
            <w:r>
              <w:rPr>
                <w:rFonts w:hint="eastAsia"/>
                <w:sz w:val="24"/>
                <w:szCs w:val="24"/>
              </w:rPr>
              <w:t>室内</w:t>
            </w:r>
            <w:r>
              <w:rPr>
                <w:sz w:val="24"/>
                <w:szCs w:val="24"/>
              </w:rPr>
              <w:t>、室外某倍频带的声压级分别为</w:t>
            </w:r>
            <w:r>
              <w:rPr>
                <w:i/>
                <w:sz w:val="24"/>
                <w:szCs w:val="24"/>
              </w:rPr>
              <w:t>L</w:t>
            </w:r>
            <w:r>
              <w:rPr>
                <w:i/>
                <w:sz w:val="24"/>
                <w:szCs w:val="24"/>
                <w:vertAlign w:val="subscript"/>
              </w:rPr>
              <w:t>p</w:t>
            </w:r>
            <w:r>
              <w:rPr>
                <w:sz w:val="24"/>
                <w:szCs w:val="24"/>
                <w:vertAlign w:val="subscript"/>
              </w:rPr>
              <w:t>1</w:t>
            </w:r>
            <w:r>
              <w:rPr>
                <w:rFonts w:hint="eastAsia"/>
                <w:sz w:val="24"/>
                <w:szCs w:val="24"/>
              </w:rPr>
              <w:t>和</w:t>
            </w:r>
            <w:r>
              <w:rPr>
                <w:i/>
                <w:sz w:val="24"/>
                <w:szCs w:val="24"/>
              </w:rPr>
              <w:t>L</w:t>
            </w:r>
            <w:r>
              <w:rPr>
                <w:i/>
                <w:sz w:val="24"/>
                <w:szCs w:val="24"/>
                <w:vertAlign w:val="subscript"/>
              </w:rPr>
              <w:t>p</w:t>
            </w:r>
            <w:r>
              <w:rPr>
                <w:sz w:val="24"/>
                <w:szCs w:val="24"/>
                <w:vertAlign w:val="subscript"/>
              </w:rPr>
              <w:t>2</w:t>
            </w:r>
            <w:r>
              <w:rPr>
                <w:rFonts w:hint="eastAsia"/>
                <w:sz w:val="24"/>
                <w:szCs w:val="24"/>
              </w:rPr>
              <w:t>，</w:t>
            </w:r>
            <w:r>
              <w:rPr>
                <w:sz w:val="24"/>
                <w:szCs w:val="24"/>
              </w:rPr>
              <w:t>若</w:t>
            </w:r>
            <w:r>
              <w:rPr>
                <w:rFonts w:hint="eastAsia"/>
                <w:sz w:val="24"/>
                <w:szCs w:val="24"/>
              </w:rPr>
              <w:t>声源</w:t>
            </w:r>
            <w:r>
              <w:rPr>
                <w:sz w:val="24"/>
                <w:szCs w:val="24"/>
              </w:rPr>
              <w:t>所在室内声场为近似扩散声场，则室外倍频带声压级按下式计算：</w:t>
            </w:r>
          </w:p>
          <w:p>
            <w:pPr>
              <w:spacing w:line="360" w:lineRule="auto"/>
              <w:jc w:val="center"/>
              <w:rPr>
                <w:sz w:val="24"/>
                <w:szCs w:val="24"/>
              </w:rPr>
            </w:pPr>
            <w:r>
              <w:rPr>
                <w:position w:val="-14"/>
              </w:rPr>
              <w:object>
                <v:shape id="_x0000_i1030" o:spt="75" type="#_x0000_t75" style="height:14.25pt;width:64.5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i/>
                <w:sz w:val="24"/>
                <w:szCs w:val="24"/>
                <w:vertAlign w:val="subscript"/>
              </w:rPr>
              <w:t>p</w:t>
            </w:r>
            <w:r>
              <w:rPr>
                <w:sz w:val="24"/>
                <w:szCs w:val="24"/>
                <w:vertAlign w:val="subscript"/>
              </w:rPr>
              <w:t>1</w:t>
            </w:r>
            <w:r>
              <w:rPr>
                <w:sz w:val="24"/>
                <w:szCs w:val="24"/>
              </w:rPr>
              <w:t>——</w:t>
            </w:r>
            <w:r>
              <w:rPr>
                <w:rFonts w:hint="eastAsia"/>
                <w:sz w:val="24"/>
                <w:szCs w:val="24"/>
              </w:rPr>
              <w:t>靠近开口处（或窗户）室内某倍频带的声压级或A声级，dB；</w:t>
            </w:r>
          </w:p>
          <w:p>
            <w:pPr>
              <w:spacing w:line="360" w:lineRule="auto"/>
              <w:ind w:firstLine="1200" w:firstLineChars="500"/>
              <w:rPr>
                <w:sz w:val="24"/>
                <w:szCs w:val="24"/>
              </w:rPr>
            </w:pPr>
            <w:r>
              <w:rPr>
                <w:i/>
                <w:sz w:val="24"/>
                <w:szCs w:val="24"/>
              </w:rPr>
              <w:t>L</w:t>
            </w:r>
            <w:r>
              <w:rPr>
                <w:i/>
                <w:sz w:val="24"/>
                <w:szCs w:val="24"/>
                <w:vertAlign w:val="subscript"/>
              </w:rPr>
              <w:t>p</w:t>
            </w:r>
            <w:r>
              <w:rPr>
                <w:sz w:val="24"/>
                <w:szCs w:val="24"/>
                <w:vertAlign w:val="subscript"/>
              </w:rPr>
              <w:t>2</w:t>
            </w:r>
            <w:r>
              <w:rPr>
                <w:sz w:val="24"/>
                <w:szCs w:val="24"/>
              </w:rPr>
              <w:t>——</w:t>
            </w:r>
            <w:r>
              <w:rPr>
                <w:rFonts w:hint="eastAsia"/>
                <w:sz w:val="24"/>
                <w:szCs w:val="24"/>
              </w:rPr>
              <w:t>靠近开口处（或窗户）室外某倍频带的声压级或A声级，dB；</w:t>
            </w:r>
          </w:p>
          <w:p>
            <w:pPr>
              <w:spacing w:line="360" w:lineRule="auto"/>
              <w:ind w:firstLine="1200" w:firstLineChars="500"/>
              <w:rPr>
                <w:sz w:val="24"/>
                <w:szCs w:val="24"/>
              </w:rPr>
            </w:pPr>
            <w:r>
              <w:rPr>
                <w:rFonts w:hint="eastAsia"/>
                <w:i/>
                <w:sz w:val="24"/>
                <w:szCs w:val="24"/>
              </w:rPr>
              <w:t>TL</w:t>
            </w:r>
            <w:r>
              <w:rPr>
                <w:sz w:val="24"/>
                <w:szCs w:val="24"/>
              </w:rPr>
              <w:t>——</w:t>
            </w:r>
            <w:r>
              <w:rPr>
                <w:rFonts w:hint="eastAsia"/>
                <w:sz w:val="24"/>
                <w:szCs w:val="24"/>
              </w:rPr>
              <w:t>隔墙（或</w:t>
            </w:r>
            <w:r>
              <w:rPr>
                <w:sz w:val="24"/>
                <w:szCs w:val="24"/>
              </w:rPr>
              <w:t>窗户</w:t>
            </w:r>
            <w:r>
              <w:rPr>
                <w:rFonts w:hint="eastAsia"/>
                <w:sz w:val="24"/>
                <w:szCs w:val="24"/>
              </w:rPr>
              <w:t>）倍频带或A声级的隔声量，dB。</w:t>
            </w:r>
          </w:p>
          <w:p>
            <w:pPr>
              <w:spacing w:line="360" w:lineRule="auto"/>
              <w:jc w:val="center"/>
              <w:rPr>
                <w:sz w:val="24"/>
                <w:szCs w:val="24"/>
              </w:rPr>
            </w:pPr>
            <w:r>
              <w:drawing>
                <wp:inline distT="0" distB="0" distL="0" distR="0">
                  <wp:extent cx="2419350" cy="11626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2465648" cy="1185169"/>
                          </a:xfrm>
                          <a:prstGeom prst="rect">
                            <a:avLst/>
                          </a:prstGeom>
                        </pic:spPr>
                      </pic:pic>
                    </a:graphicData>
                  </a:graphic>
                </wp:inline>
              </w:drawing>
            </w:r>
          </w:p>
          <w:p>
            <w:pPr>
              <w:spacing w:line="360" w:lineRule="auto"/>
              <w:jc w:val="center"/>
              <w:rPr>
                <w:rFonts w:eastAsia="黑体" w:cs="Times New Roman"/>
                <w:szCs w:val="21"/>
              </w:rPr>
            </w:pPr>
            <w:bookmarkStart w:id="11" w:name="_Ref110549742"/>
            <w:r>
              <w:rPr>
                <w:rFonts w:hint="eastAsia" w:eastAsia="黑体" w:cs="Times New Roman"/>
                <w:szCs w:val="21"/>
              </w:rPr>
              <w:t>图4</w:t>
            </w:r>
            <w:r>
              <w:rPr>
                <w:rFonts w:eastAsia="黑体" w:cs="Times New Roman"/>
                <w:szCs w:val="21"/>
              </w:rPr>
              <w:t xml:space="preserve">-1  </w:t>
            </w:r>
            <w:r>
              <w:rPr>
                <w:rFonts w:hint="eastAsia" w:eastAsia="黑体" w:cs="Times New Roman"/>
                <w:szCs w:val="21"/>
              </w:rPr>
              <w:t>室内声源等效为室外声源图例</w:t>
            </w:r>
            <w:bookmarkEnd w:id="11"/>
          </w:p>
          <w:p>
            <w:pPr>
              <w:spacing w:line="360" w:lineRule="auto"/>
              <w:ind w:firstLine="480" w:firstLineChars="200"/>
              <w:rPr>
                <w:sz w:val="24"/>
                <w:szCs w:val="24"/>
              </w:rPr>
            </w:pPr>
            <w:r>
              <w:rPr>
                <w:rFonts w:hint="eastAsia"/>
                <w:sz w:val="24"/>
                <w:szCs w:val="24"/>
              </w:rPr>
              <w:t>某一室内声源靠近围护结构处产生的倍频带声压级或A声级按下式计算：</w:t>
            </w:r>
          </w:p>
          <w:p>
            <w:pPr>
              <w:spacing w:line="360" w:lineRule="auto"/>
              <w:jc w:val="center"/>
              <w:rPr>
                <w:sz w:val="24"/>
                <w:szCs w:val="24"/>
              </w:rPr>
            </w:pPr>
            <w:r>
              <w:rPr>
                <w:position w:val="-28"/>
              </w:rPr>
              <w:object>
                <v:shape id="_x0000_i1031" o:spt="75" type="#_x0000_t75" style="height:28.55pt;width:115.45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p>
          <w:p>
            <w:pPr>
              <w:spacing w:line="360" w:lineRule="auto"/>
              <w:ind w:firstLine="480" w:firstLineChars="200"/>
              <w:rPr>
                <w:rFonts w:cs="Times New Roman"/>
                <w:sz w:val="24"/>
                <w:szCs w:val="24"/>
              </w:rPr>
            </w:pPr>
            <w:r>
              <w:rPr>
                <w:rFonts w:cs="Times New Roman"/>
                <w:sz w:val="24"/>
                <w:szCs w:val="24"/>
              </w:rPr>
              <w:t>式中，</w:t>
            </w:r>
            <w:r>
              <w:rPr>
                <w:rFonts w:cs="Times New Roman"/>
                <w:i/>
                <w:iCs/>
                <w:sz w:val="24"/>
                <w:szCs w:val="24"/>
              </w:rPr>
              <w:t>L</w:t>
            </w:r>
            <w:r>
              <w:rPr>
                <w:rFonts w:cs="Times New Roman"/>
                <w:i/>
                <w:iCs/>
                <w:sz w:val="24"/>
                <w:szCs w:val="24"/>
                <w:vertAlign w:val="subscript"/>
              </w:rPr>
              <w:t>w</w:t>
            </w:r>
            <w:r>
              <w:rPr>
                <w:rFonts w:cs="Times New Roman"/>
                <w:sz w:val="24"/>
                <w:szCs w:val="24"/>
              </w:rPr>
              <w:t>——点声源声功率级（A计权或倍频带），dB；</w:t>
            </w:r>
          </w:p>
          <w:p>
            <w:pPr>
              <w:spacing w:line="360" w:lineRule="auto"/>
              <w:ind w:firstLine="1200" w:firstLineChars="500"/>
              <w:rPr>
                <w:sz w:val="24"/>
                <w:szCs w:val="24"/>
              </w:rPr>
            </w:pPr>
            <w:r>
              <w:rPr>
                <w:rFonts w:hint="eastAsia"/>
                <w:i/>
                <w:sz w:val="24"/>
                <w:szCs w:val="24"/>
              </w:rPr>
              <w:t>Q</w:t>
            </w:r>
            <w:r>
              <w:rPr>
                <w:sz w:val="24"/>
                <w:szCs w:val="24"/>
              </w:rPr>
              <w:t>——</w:t>
            </w:r>
            <w:r>
              <w:rPr>
                <w:rFonts w:hint="eastAsia"/>
                <w:sz w:val="24"/>
                <w:szCs w:val="24"/>
              </w:rPr>
              <w:t>指向性因数；通常对无指向性声源，当声源放在房间中心时，</w:t>
            </w:r>
            <w:r>
              <w:rPr>
                <w:rFonts w:hint="eastAsia"/>
                <w:i/>
                <w:iCs/>
                <w:sz w:val="24"/>
                <w:szCs w:val="24"/>
              </w:rPr>
              <w:t>Q</w:t>
            </w:r>
            <w:r>
              <w:rPr>
                <w:rFonts w:hint="eastAsia"/>
                <w:sz w:val="24"/>
                <w:szCs w:val="24"/>
              </w:rPr>
              <w:t>=1；当放在一面墙的中心时，</w:t>
            </w:r>
            <w:r>
              <w:rPr>
                <w:rFonts w:hint="eastAsia"/>
                <w:i/>
                <w:iCs/>
                <w:sz w:val="24"/>
                <w:szCs w:val="24"/>
              </w:rPr>
              <w:t>Q</w:t>
            </w:r>
            <w:r>
              <w:rPr>
                <w:rFonts w:hint="eastAsia"/>
                <w:sz w:val="24"/>
                <w:szCs w:val="24"/>
              </w:rPr>
              <w:t>=2；当放在两面墙夹角处时，</w:t>
            </w:r>
            <w:r>
              <w:rPr>
                <w:rFonts w:hint="eastAsia"/>
                <w:i/>
                <w:iCs/>
                <w:sz w:val="24"/>
                <w:szCs w:val="24"/>
              </w:rPr>
              <w:t>Q</w:t>
            </w:r>
            <w:r>
              <w:rPr>
                <w:rFonts w:hint="eastAsia"/>
                <w:sz w:val="24"/>
                <w:szCs w:val="24"/>
              </w:rPr>
              <w:t>=4；当放在三面墙夹角处时，</w:t>
            </w:r>
            <w:r>
              <w:rPr>
                <w:rFonts w:hint="eastAsia"/>
                <w:i/>
                <w:iCs/>
                <w:sz w:val="24"/>
                <w:szCs w:val="24"/>
              </w:rPr>
              <w:t>Q</w:t>
            </w:r>
            <w:r>
              <w:rPr>
                <w:rFonts w:hint="eastAsia"/>
                <w:sz w:val="24"/>
                <w:szCs w:val="24"/>
              </w:rPr>
              <w:t>=8；</w:t>
            </w:r>
          </w:p>
          <w:p>
            <w:pPr>
              <w:spacing w:line="360" w:lineRule="auto"/>
              <w:ind w:firstLine="1200" w:firstLineChars="500"/>
              <w:rPr>
                <w:rFonts w:cs="Times New Roman"/>
                <w:sz w:val="24"/>
                <w:szCs w:val="24"/>
              </w:rPr>
            </w:pPr>
            <w:r>
              <w:rPr>
                <w:rFonts w:cs="Times New Roman"/>
                <w:i/>
                <w:sz w:val="24"/>
                <w:szCs w:val="24"/>
              </w:rPr>
              <w:t>R</w:t>
            </w:r>
            <w:r>
              <w:rPr>
                <w:rFonts w:cs="Times New Roman"/>
                <w:sz w:val="24"/>
                <w:szCs w:val="24"/>
              </w:rPr>
              <w:t>——房间常数；</w:t>
            </w:r>
            <w:r>
              <w:rPr>
                <w:rFonts w:cs="Times New Roman"/>
                <w:i/>
                <w:iCs/>
                <w:sz w:val="24"/>
                <w:szCs w:val="24"/>
              </w:rPr>
              <w:t>R</w:t>
            </w:r>
            <w:r>
              <w:rPr>
                <w:rFonts w:cs="Times New Roman"/>
                <w:sz w:val="24"/>
                <w:szCs w:val="24"/>
              </w:rPr>
              <w:t>=</w:t>
            </w:r>
            <w:r>
              <w:rPr>
                <w:rFonts w:cs="Times New Roman"/>
                <w:i/>
                <w:iCs/>
                <w:sz w:val="24"/>
                <w:szCs w:val="24"/>
              </w:rPr>
              <w:t>Sα</w:t>
            </w:r>
            <w:r>
              <w:rPr>
                <w:rFonts w:cs="Times New Roman"/>
                <w:sz w:val="24"/>
                <w:szCs w:val="24"/>
              </w:rPr>
              <w:t>/（1-</w:t>
            </w:r>
            <w:r>
              <w:rPr>
                <w:rFonts w:cs="Times New Roman"/>
                <w:i/>
                <w:iCs/>
                <w:sz w:val="24"/>
                <w:szCs w:val="24"/>
              </w:rPr>
              <w:t>α</w:t>
            </w:r>
            <w:r>
              <w:rPr>
                <w:rFonts w:cs="Times New Roman"/>
                <w:sz w:val="24"/>
                <w:szCs w:val="24"/>
              </w:rPr>
              <w:t>），</w:t>
            </w:r>
            <w:r>
              <w:rPr>
                <w:rFonts w:cs="Times New Roman"/>
                <w:i/>
                <w:iCs/>
                <w:sz w:val="24"/>
                <w:szCs w:val="24"/>
              </w:rPr>
              <w:t>S</w:t>
            </w:r>
            <w:r>
              <w:rPr>
                <w:rFonts w:cs="Times New Roman"/>
                <w:sz w:val="24"/>
                <w:szCs w:val="24"/>
              </w:rPr>
              <w:t>为房间内表面面积，m</w:t>
            </w:r>
            <w:r>
              <w:rPr>
                <w:rFonts w:cs="Times New Roman"/>
                <w:sz w:val="24"/>
                <w:szCs w:val="24"/>
                <w:vertAlign w:val="superscript"/>
              </w:rPr>
              <w:t>2</w:t>
            </w:r>
            <w:r>
              <w:rPr>
                <w:rFonts w:cs="Times New Roman"/>
                <w:sz w:val="24"/>
                <w:szCs w:val="24"/>
              </w:rPr>
              <w:t>；</w:t>
            </w:r>
            <w:r>
              <w:rPr>
                <w:rFonts w:cs="Times New Roman"/>
                <w:i/>
                <w:iCs/>
                <w:sz w:val="24"/>
                <w:szCs w:val="24"/>
              </w:rPr>
              <w:t>α</w:t>
            </w:r>
            <w:r>
              <w:rPr>
                <w:rFonts w:cs="Times New Roman"/>
                <w:sz w:val="24"/>
                <w:szCs w:val="24"/>
              </w:rPr>
              <w:t>为平均吸声系数；</w:t>
            </w:r>
          </w:p>
          <w:p>
            <w:pPr>
              <w:spacing w:line="360" w:lineRule="auto"/>
              <w:ind w:firstLine="1200" w:firstLineChars="500"/>
              <w:rPr>
                <w:rFonts w:cs="Times New Roman"/>
                <w:sz w:val="24"/>
                <w:szCs w:val="24"/>
              </w:rPr>
            </w:pPr>
            <w:r>
              <w:rPr>
                <w:rFonts w:hint="eastAsia" w:cs="Times New Roman"/>
                <w:i/>
                <w:sz w:val="24"/>
                <w:szCs w:val="24"/>
              </w:rPr>
              <w:t>r</w:t>
            </w:r>
            <w:r>
              <w:rPr>
                <w:rFonts w:cs="Times New Roman"/>
                <w:sz w:val="24"/>
                <w:szCs w:val="24"/>
              </w:rPr>
              <w:t>——</w:t>
            </w:r>
            <w:r>
              <w:rPr>
                <w:rFonts w:hint="eastAsia" w:cs="Times New Roman"/>
                <w:sz w:val="24"/>
                <w:szCs w:val="24"/>
              </w:rPr>
              <w:t>声源到靠近围护结构某点处的距离，m。</w:t>
            </w:r>
          </w:p>
          <w:p>
            <w:pPr>
              <w:spacing w:line="360" w:lineRule="auto"/>
              <w:ind w:firstLine="480" w:firstLineChars="200"/>
              <w:rPr>
                <w:sz w:val="24"/>
                <w:szCs w:val="24"/>
              </w:rPr>
            </w:pPr>
            <w:r>
              <w:rPr>
                <w:rFonts w:hint="eastAsia"/>
                <w:sz w:val="24"/>
                <w:szCs w:val="24"/>
              </w:rPr>
              <w:t>然后按下式计算出所有室内声源在围护结构处产生的</w:t>
            </w:r>
            <w:r>
              <w:rPr>
                <w:rFonts w:hint="eastAsia"/>
                <w:i/>
                <w:iCs/>
                <w:sz w:val="24"/>
                <w:szCs w:val="24"/>
              </w:rPr>
              <w:t xml:space="preserve">i </w:t>
            </w:r>
            <w:r>
              <w:rPr>
                <w:rFonts w:hint="eastAsia"/>
                <w:sz w:val="24"/>
                <w:szCs w:val="24"/>
              </w:rPr>
              <w:t>倍频带叠加声压级：</w:t>
            </w:r>
          </w:p>
          <w:p>
            <w:pPr>
              <w:spacing w:line="360" w:lineRule="auto"/>
              <w:jc w:val="center"/>
              <w:rPr>
                <w:sz w:val="24"/>
                <w:szCs w:val="24"/>
              </w:rPr>
            </w:pPr>
            <w:r>
              <w:rPr>
                <w:position w:val="-32"/>
              </w:rPr>
              <w:object>
                <v:shape id="_x0000_i1032" o:spt="75" type="#_x0000_t75" style="height:28.55pt;width:108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p>
          <w:p>
            <w:pPr>
              <w:spacing w:line="360" w:lineRule="auto"/>
              <w:ind w:firstLine="480" w:firstLineChars="200"/>
              <w:rPr>
                <w:rFonts w:cs="Times New Roman"/>
                <w:sz w:val="24"/>
                <w:szCs w:val="24"/>
              </w:rPr>
            </w:pPr>
            <w:r>
              <w:rPr>
                <w:rFonts w:cs="Times New Roman"/>
                <w:sz w:val="24"/>
                <w:szCs w:val="24"/>
              </w:rPr>
              <w:t>式中，</w:t>
            </w:r>
            <w:r>
              <w:rPr>
                <w:rFonts w:cs="Times New Roman"/>
                <w:i/>
                <w:iCs/>
                <w:sz w:val="24"/>
                <w:szCs w:val="24"/>
              </w:rPr>
              <w:t>L</w:t>
            </w:r>
            <w:r>
              <w:rPr>
                <w:rFonts w:cs="Times New Roman"/>
                <w:i/>
                <w:iCs/>
                <w:sz w:val="24"/>
                <w:szCs w:val="24"/>
                <w:vertAlign w:val="subscript"/>
              </w:rPr>
              <w:t>p1i</w:t>
            </w:r>
            <w:r>
              <w:rPr>
                <w:rFonts w:cs="Times New Roman"/>
                <w:sz w:val="24"/>
                <w:szCs w:val="24"/>
              </w:rPr>
              <w:t>(</w:t>
            </w:r>
            <w:r>
              <w:rPr>
                <w:rFonts w:cs="Times New Roman"/>
                <w:i/>
                <w:iCs/>
                <w:sz w:val="24"/>
                <w:szCs w:val="24"/>
              </w:rPr>
              <w:t>T</w:t>
            </w:r>
            <w:r>
              <w:rPr>
                <w:rFonts w:cs="Times New Roman"/>
                <w:sz w:val="24"/>
                <w:szCs w:val="24"/>
              </w:rPr>
              <w:t>)——</w:t>
            </w:r>
            <w:r>
              <w:rPr>
                <w:rFonts w:hint="eastAsia" w:cs="Times New Roman"/>
                <w:sz w:val="24"/>
                <w:szCs w:val="24"/>
              </w:rPr>
              <w:t>靠近围护结构处室内N个声源</w:t>
            </w:r>
            <w:r>
              <w:rPr>
                <w:rFonts w:hint="eastAsia" w:cs="Times New Roman"/>
                <w:i/>
                <w:iCs/>
                <w:sz w:val="24"/>
                <w:szCs w:val="24"/>
              </w:rPr>
              <w:t>i</w:t>
            </w:r>
            <w:r>
              <w:rPr>
                <w:rFonts w:hint="eastAsia" w:cs="Times New Roman"/>
                <w:sz w:val="24"/>
                <w:szCs w:val="24"/>
              </w:rPr>
              <w:t>倍频带的叠加声压级，dB；</w:t>
            </w:r>
          </w:p>
          <w:p>
            <w:pPr>
              <w:spacing w:line="360" w:lineRule="auto"/>
              <w:ind w:firstLine="1200" w:firstLineChars="500"/>
              <w:rPr>
                <w:sz w:val="24"/>
                <w:szCs w:val="24"/>
              </w:rPr>
            </w:pPr>
            <w:r>
              <w:rPr>
                <w:rFonts w:cs="Times New Roman"/>
                <w:i/>
                <w:iCs/>
                <w:sz w:val="24"/>
                <w:szCs w:val="24"/>
              </w:rPr>
              <w:t>L</w:t>
            </w:r>
            <w:r>
              <w:rPr>
                <w:rFonts w:cs="Times New Roman"/>
                <w:i/>
                <w:iCs/>
                <w:sz w:val="24"/>
                <w:szCs w:val="24"/>
                <w:vertAlign w:val="subscript"/>
              </w:rPr>
              <w:t>p1ij</w:t>
            </w:r>
            <w:r>
              <w:rPr>
                <w:rFonts w:cs="Times New Roman"/>
                <w:sz w:val="24"/>
                <w:szCs w:val="24"/>
              </w:rPr>
              <w:t>——</w:t>
            </w:r>
            <w:r>
              <w:rPr>
                <w:rFonts w:hint="eastAsia" w:cs="Times New Roman"/>
                <w:sz w:val="24"/>
                <w:szCs w:val="24"/>
              </w:rPr>
              <w:t>室内</w:t>
            </w:r>
            <w:r>
              <w:rPr>
                <w:rFonts w:hint="eastAsia" w:cs="Times New Roman"/>
                <w:i/>
                <w:iCs/>
                <w:sz w:val="24"/>
                <w:szCs w:val="24"/>
              </w:rPr>
              <w:t>j</w:t>
            </w:r>
            <w:r>
              <w:rPr>
                <w:rFonts w:hint="eastAsia" w:cs="Times New Roman"/>
                <w:sz w:val="24"/>
                <w:szCs w:val="24"/>
              </w:rPr>
              <w:t>声源</w:t>
            </w:r>
            <w:r>
              <w:rPr>
                <w:rFonts w:hint="eastAsia" w:cs="Times New Roman"/>
                <w:i/>
                <w:iCs/>
                <w:sz w:val="24"/>
                <w:szCs w:val="24"/>
              </w:rPr>
              <w:t>i</w:t>
            </w:r>
            <w:r>
              <w:rPr>
                <w:rFonts w:hint="eastAsia" w:cs="Times New Roman"/>
                <w:sz w:val="24"/>
                <w:szCs w:val="24"/>
              </w:rPr>
              <w:t>倍频带的声压级，dB；</w:t>
            </w:r>
          </w:p>
          <w:p>
            <w:pPr>
              <w:spacing w:line="360" w:lineRule="auto"/>
              <w:ind w:firstLine="1200" w:firstLineChars="500"/>
              <w:rPr>
                <w:rFonts w:cs="Times New Roman"/>
                <w:sz w:val="24"/>
                <w:szCs w:val="24"/>
              </w:rPr>
            </w:pPr>
            <w:r>
              <w:rPr>
                <w:rFonts w:hint="eastAsia"/>
                <w:i/>
                <w:iCs/>
                <w:sz w:val="24"/>
                <w:szCs w:val="24"/>
              </w:rPr>
              <w:t>N</w:t>
            </w:r>
            <w:r>
              <w:rPr>
                <w:rFonts w:cs="Times New Roman"/>
                <w:sz w:val="24"/>
                <w:szCs w:val="24"/>
              </w:rPr>
              <w:t>——</w:t>
            </w:r>
            <w:r>
              <w:rPr>
                <w:rFonts w:hint="eastAsia" w:cs="Times New Roman"/>
                <w:sz w:val="24"/>
                <w:szCs w:val="24"/>
              </w:rPr>
              <w:t>室内声源总数。</w:t>
            </w:r>
          </w:p>
          <w:p>
            <w:pPr>
              <w:spacing w:line="360" w:lineRule="auto"/>
              <w:ind w:firstLine="482" w:firstLineChars="200"/>
              <w:rPr>
                <w:b/>
                <w:bCs/>
                <w:sz w:val="24"/>
                <w:szCs w:val="24"/>
              </w:rPr>
            </w:pPr>
            <w:r>
              <w:rPr>
                <w:rFonts w:hint="eastAsia"/>
                <w:b/>
                <w:bCs/>
                <w:sz w:val="24"/>
                <w:szCs w:val="24"/>
              </w:rPr>
              <w:t>④靠近声源处的预测点噪声预测模型</w:t>
            </w:r>
          </w:p>
          <w:p>
            <w:pPr>
              <w:spacing w:line="360" w:lineRule="auto"/>
              <w:ind w:firstLine="480" w:firstLineChars="200"/>
              <w:rPr>
                <w:sz w:val="24"/>
                <w:szCs w:val="24"/>
              </w:rPr>
            </w:pPr>
            <w:r>
              <w:rPr>
                <w:rFonts w:hint="eastAsia"/>
                <w:sz w:val="24"/>
                <w:szCs w:val="24"/>
              </w:rPr>
              <w:t>如预测点在靠近声源处，但不能满足点声源条件时，需按线声源或面声源模型计算。</w:t>
            </w:r>
          </w:p>
          <w:p>
            <w:pPr>
              <w:spacing w:line="360" w:lineRule="auto"/>
              <w:ind w:firstLine="482" w:firstLineChars="200"/>
              <w:rPr>
                <w:b/>
                <w:bCs/>
                <w:sz w:val="24"/>
                <w:szCs w:val="24"/>
              </w:rPr>
            </w:pPr>
            <w:r>
              <w:rPr>
                <w:rFonts w:hint="eastAsia"/>
                <w:b/>
                <w:bCs/>
                <w:sz w:val="24"/>
                <w:szCs w:val="24"/>
              </w:rPr>
              <w:t>⑤工业企业噪声计算</w:t>
            </w:r>
          </w:p>
          <w:p>
            <w:pPr>
              <w:spacing w:line="360" w:lineRule="auto"/>
              <w:ind w:firstLine="480" w:firstLineChars="200"/>
              <w:rPr>
                <w:sz w:val="24"/>
                <w:szCs w:val="24"/>
              </w:rPr>
            </w:pPr>
            <w:r>
              <w:rPr>
                <w:rFonts w:hint="eastAsia"/>
                <w:sz w:val="24"/>
                <w:szCs w:val="24"/>
              </w:rPr>
              <w:t>设</w:t>
            </w:r>
            <w:r>
              <w:rPr>
                <w:sz w:val="24"/>
                <w:szCs w:val="24"/>
              </w:rPr>
              <w:t>第</w:t>
            </w:r>
            <w:r>
              <w:rPr>
                <w:i/>
                <w:sz w:val="24"/>
                <w:szCs w:val="24"/>
              </w:rPr>
              <w:t>i</w:t>
            </w:r>
            <w:r>
              <w:rPr>
                <w:sz w:val="24"/>
                <w:szCs w:val="24"/>
              </w:rPr>
              <w:t>个室外</w:t>
            </w:r>
            <w:r>
              <w:rPr>
                <w:rFonts w:hint="eastAsia"/>
                <w:sz w:val="24"/>
                <w:szCs w:val="24"/>
              </w:rPr>
              <w:t>声源</w:t>
            </w:r>
            <w:r>
              <w:rPr>
                <w:sz w:val="24"/>
                <w:szCs w:val="24"/>
              </w:rPr>
              <w:t>在预测点产生的A声级为</w:t>
            </w:r>
            <w:r>
              <w:rPr>
                <w:i/>
                <w:sz w:val="24"/>
                <w:szCs w:val="24"/>
              </w:rPr>
              <w:t>L</w:t>
            </w:r>
            <w:r>
              <w:rPr>
                <w:sz w:val="24"/>
                <w:szCs w:val="24"/>
                <w:vertAlign w:val="subscript"/>
              </w:rPr>
              <w:t>A</w:t>
            </w:r>
            <w:r>
              <w:rPr>
                <w:i/>
                <w:sz w:val="24"/>
                <w:szCs w:val="24"/>
                <w:vertAlign w:val="subscript"/>
              </w:rPr>
              <w:t>i</w:t>
            </w:r>
            <w:r>
              <w:rPr>
                <w:sz w:val="24"/>
                <w:szCs w:val="24"/>
              </w:rPr>
              <w:t>，在</w:t>
            </w:r>
            <w:r>
              <w:rPr>
                <w:i/>
                <w:sz w:val="24"/>
                <w:szCs w:val="24"/>
              </w:rPr>
              <w:t>T</w:t>
            </w:r>
            <w:r>
              <w:rPr>
                <w:sz w:val="24"/>
                <w:szCs w:val="24"/>
              </w:rPr>
              <w:t>时间内该声源工作时间为</w:t>
            </w:r>
            <w:r>
              <w:rPr>
                <w:rFonts w:hint="eastAsia"/>
                <w:i/>
                <w:sz w:val="24"/>
                <w:szCs w:val="24"/>
              </w:rPr>
              <w:t>t</w:t>
            </w:r>
            <w:r>
              <w:rPr>
                <w:rFonts w:hint="eastAsia"/>
                <w:i/>
                <w:sz w:val="24"/>
                <w:szCs w:val="24"/>
                <w:vertAlign w:val="subscript"/>
              </w:rPr>
              <w:t>i</w:t>
            </w:r>
            <w:r>
              <w:rPr>
                <w:rFonts w:hint="eastAsia"/>
                <w:sz w:val="24"/>
                <w:szCs w:val="24"/>
              </w:rPr>
              <w:t>，第</w:t>
            </w:r>
            <w:r>
              <w:rPr>
                <w:rFonts w:hint="eastAsia"/>
                <w:i/>
                <w:iCs/>
                <w:sz w:val="24"/>
                <w:szCs w:val="24"/>
              </w:rPr>
              <w:t>j</w:t>
            </w:r>
            <w:r>
              <w:rPr>
                <w:rFonts w:hint="eastAsia"/>
                <w:sz w:val="24"/>
                <w:szCs w:val="24"/>
              </w:rPr>
              <w:t>个等效室外声源在预测点产生的A声级为</w:t>
            </w:r>
            <w:r>
              <w:rPr>
                <w:rFonts w:hint="eastAsia"/>
                <w:i/>
                <w:iCs/>
                <w:sz w:val="24"/>
                <w:szCs w:val="24"/>
              </w:rPr>
              <w:t>L</w:t>
            </w:r>
            <w:r>
              <w:rPr>
                <w:rFonts w:hint="eastAsia"/>
                <w:sz w:val="24"/>
                <w:szCs w:val="24"/>
                <w:vertAlign w:val="subscript"/>
              </w:rPr>
              <w:t>A</w:t>
            </w:r>
            <w:r>
              <w:rPr>
                <w:rFonts w:hint="eastAsia"/>
                <w:i/>
                <w:iCs/>
                <w:sz w:val="24"/>
                <w:szCs w:val="24"/>
                <w:vertAlign w:val="subscript"/>
              </w:rPr>
              <w:t>j</w:t>
            </w:r>
            <w:r>
              <w:rPr>
                <w:rFonts w:hint="eastAsia"/>
                <w:sz w:val="24"/>
                <w:szCs w:val="24"/>
              </w:rPr>
              <w:t xml:space="preserve"> ，在</w:t>
            </w:r>
            <w:r>
              <w:rPr>
                <w:rFonts w:hint="eastAsia"/>
                <w:i/>
                <w:iCs/>
                <w:sz w:val="24"/>
                <w:szCs w:val="24"/>
              </w:rPr>
              <w:t>T</w:t>
            </w:r>
            <w:r>
              <w:rPr>
                <w:rFonts w:hint="eastAsia"/>
                <w:sz w:val="24"/>
                <w:szCs w:val="24"/>
              </w:rPr>
              <w:t>时间内该声源工作时间为</w:t>
            </w:r>
            <w:r>
              <w:rPr>
                <w:rFonts w:hint="eastAsia"/>
                <w:i/>
                <w:sz w:val="24"/>
                <w:szCs w:val="24"/>
              </w:rPr>
              <w:t>t</w:t>
            </w:r>
            <w:r>
              <w:rPr>
                <w:rFonts w:hint="eastAsia"/>
                <w:i/>
                <w:sz w:val="24"/>
                <w:szCs w:val="24"/>
                <w:vertAlign w:val="subscript"/>
              </w:rPr>
              <w:t>j</w:t>
            </w:r>
            <w:r>
              <w:rPr>
                <w:rFonts w:hint="eastAsia"/>
                <w:sz w:val="24"/>
                <w:szCs w:val="24"/>
              </w:rPr>
              <w:t>，则拟建工程声源对预测点产生的贡献值（</w:t>
            </w:r>
            <w:r>
              <w:rPr>
                <w:rFonts w:hint="eastAsia"/>
                <w:i/>
                <w:iCs/>
                <w:sz w:val="24"/>
                <w:szCs w:val="24"/>
              </w:rPr>
              <w:t>L</w:t>
            </w:r>
            <w:r>
              <w:rPr>
                <w:rFonts w:hint="eastAsia"/>
                <w:sz w:val="24"/>
                <w:szCs w:val="24"/>
                <w:vertAlign w:val="subscript"/>
              </w:rPr>
              <w:t>eqg</w:t>
            </w:r>
            <w:r>
              <w:rPr>
                <w:rFonts w:hint="eastAsia"/>
                <w:sz w:val="24"/>
                <w:szCs w:val="24"/>
              </w:rPr>
              <w:t>）为</w:t>
            </w:r>
            <w:r>
              <w:rPr>
                <w:sz w:val="24"/>
                <w:szCs w:val="24"/>
              </w:rPr>
              <w:t>：</w:t>
            </w:r>
          </w:p>
          <w:p>
            <w:pPr>
              <w:spacing w:line="360" w:lineRule="auto"/>
              <w:jc w:val="center"/>
              <w:rPr>
                <w:sz w:val="24"/>
                <w:szCs w:val="24"/>
              </w:rPr>
            </w:pPr>
            <w:r>
              <w:rPr>
                <w:position w:val="-34"/>
                <w:sz w:val="24"/>
                <w:szCs w:val="24"/>
              </w:rPr>
              <w:object>
                <v:shape id="_x0000_i1033" o:spt="75" type="#_x0000_t75" style="height:28.55pt;width:180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rFonts w:hint="eastAsia"/>
                <w:i/>
                <w:iCs/>
                <w:sz w:val="24"/>
                <w:szCs w:val="24"/>
              </w:rPr>
              <w:t>L</w:t>
            </w:r>
            <w:r>
              <w:rPr>
                <w:rFonts w:hint="eastAsia"/>
                <w:sz w:val="24"/>
                <w:szCs w:val="24"/>
                <w:vertAlign w:val="subscript"/>
              </w:rPr>
              <w:t>eqg</w:t>
            </w:r>
            <w:r>
              <w:rPr>
                <w:sz w:val="24"/>
                <w:szCs w:val="24"/>
              </w:rPr>
              <w:t>——</w:t>
            </w:r>
            <w:r>
              <w:rPr>
                <w:rFonts w:hint="eastAsia"/>
                <w:sz w:val="24"/>
                <w:szCs w:val="24"/>
              </w:rPr>
              <w:t>建设项目声源在预测点产生的噪声贡献值，dB；</w:t>
            </w:r>
          </w:p>
          <w:p>
            <w:pPr>
              <w:spacing w:line="360" w:lineRule="auto"/>
              <w:ind w:firstLine="1200" w:firstLineChars="500"/>
              <w:rPr>
                <w:sz w:val="24"/>
                <w:szCs w:val="24"/>
              </w:rPr>
            </w:pPr>
            <w:r>
              <w:rPr>
                <w:i/>
                <w:sz w:val="24"/>
                <w:szCs w:val="24"/>
              </w:rPr>
              <w:t>T</w:t>
            </w:r>
            <w:r>
              <w:rPr>
                <w:sz w:val="24"/>
                <w:szCs w:val="24"/>
              </w:rPr>
              <w:t>——</w:t>
            </w:r>
            <w:r>
              <w:rPr>
                <w:rFonts w:hint="eastAsia"/>
                <w:sz w:val="24"/>
                <w:szCs w:val="24"/>
              </w:rPr>
              <w:t>用于</w:t>
            </w:r>
            <w:r>
              <w:rPr>
                <w:sz w:val="24"/>
                <w:szCs w:val="24"/>
              </w:rPr>
              <w:t>计算等效声级的时间</w:t>
            </w:r>
            <w:r>
              <w:rPr>
                <w:rFonts w:hint="eastAsia"/>
                <w:sz w:val="24"/>
                <w:szCs w:val="24"/>
              </w:rPr>
              <w:t>，</w:t>
            </w:r>
            <w:r>
              <w:rPr>
                <w:sz w:val="24"/>
                <w:szCs w:val="24"/>
              </w:rPr>
              <w:t>s</w:t>
            </w:r>
            <w:r>
              <w:rPr>
                <w:rFonts w:hint="eastAsia"/>
                <w:sz w:val="24"/>
                <w:szCs w:val="24"/>
              </w:rPr>
              <w:t>；</w:t>
            </w:r>
          </w:p>
          <w:p>
            <w:pPr>
              <w:spacing w:line="360" w:lineRule="auto"/>
              <w:ind w:firstLine="1200" w:firstLineChars="500"/>
              <w:rPr>
                <w:sz w:val="24"/>
                <w:szCs w:val="24"/>
              </w:rPr>
            </w:pPr>
            <w:r>
              <w:rPr>
                <w:i/>
                <w:sz w:val="24"/>
                <w:szCs w:val="24"/>
              </w:rPr>
              <w:t>N</w:t>
            </w:r>
            <w:r>
              <w:rPr>
                <w:sz w:val="24"/>
                <w:szCs w:val="24"/>
              </w:rPr>
              <w:t>——</w:t>
            </w:r>
            <w:r>
              <w:rPr>
                <w:rFonts w:hint="eastAsia"/>
                <w:sz w:val="24"/>
                <w:szCs w:val="24"/>
              </w:rPr>
              <w:t>室外</w:t>
            </w:r>
            <w:r>
              <w:rPr>
                <w:sz w:val="24"/>
                <w:szCs w:val="24"/>
              </w:rPr>
              <w:t>声源个数</w:t>
            </w:r>
            <w:r>
              <w:rPr>
                <w:rFonts w:hint="eastAsia"/>
                <w:sz w:val="24"/>
                <w:szCs w:val="24"/>
              </w:rPr>
              <w:t>；</w:t>
            </w:r>
          </w:p>
          <w:p>
            <w:pPr>
              <w:spacing w:line="360" w:lineRule="auto"/>
              <w:ind w:firstLine="1200" w:firstLineChars="500"/>
              <w:rPr>
                <w:rFonts w:cs="Times New Roman"/>
                <w:sz w:val="24"/>
                <w:szCs w:val="24"/>
              </w:rPr>
            </w:pPr>
            <w:r>
              <w:rPr>
                <w:rFonts w:cs="Times New Roman"/>
                <w:i/>
                <w:iCs/>
                <w:sz w:val="24"/>
                <w:szCs w:val="24"/>
              </w:rPr>
              <w:t>t</w:t>
            </w:r>
            <w:r>
              <w:rPr>
                <w:rFonts w:hint="eastAsia" w:cs="Times New Roman"/>
                <w:i/>
                <w:iCs/>
                <w:sz w:val="24"/>
                <w:szCs w:val="24"/>
                <w:vertAlign w:val="subscript"/>
              </w:rPr>
              <w:t>i</w:t>
            </w:r>
            <w:r>
              <w:rPr>
                <w:rFonts w:cs="Times New Roman"/>
                <w:sz w:val="24"/>
                <w:szCs w:val="24"/>
              </w:rPr>
              <w:t>——在</w:t>
            </w:r>
            <w:r>
              <w:rPr>
                <w:rFonts w:cs="Times New Roman"/>
                <w:i/>
                <w:iCs/>
                <w:sz w:val="24"/>
                <w:szCs w:val="24"/>
              </w:rPr>
              <w:t>T</w:t>
            </w:r>
            <w:r>
              <w:rPr>
                <w:rFonts w:cs="Times New Roman"/>
                <w:sz w:val="24"/>
                <w:szCs w:val="24"/>
              </w:rPr>
              <w:t>时间内</w:t>
            </w:r>
            <w:r>
              <w:rPr>
                <w:rFonts w:cs="Times New Roman"/>
                <w:i/>
                <w:iCs/>
                <w:sz w:val="24"/>
                <w:szCs w:val="24"/>
              </w:rPr>
              <w:t>i</w:t>
            </w:r>
            <w:r>
              <w:rPr>
                <w:rFonts w:cs="Times New Roman"/>
                <w:sz w:val="24"/>
                <w:szCs w:val="24"/>
              </w:rPr>
              <w:t>声源工作时间，s；</w:t>
            </w:r>
          </w:p>
          <w:p>
            <w:pPr>
              <w:spacing w:line="360" w:lineRule="auto"/>
              <w:ind w:firstLine="1200" w:firstLineChars="500"/>
              <w:rPr>
                <w:rFonts w:cs="Times New Roman"/>
                <w:sz w:val="24"/>
                <w:szCs w:val="24"/>
              </w:rPr>
            </w:pPr>
            <w:r>
              <w:rPr>
                <w:rFonts w:cs="Times New Roman"/>
                <w:i/>
                <w:iCs/>
                <w:sz w:val="24"/>
                <w:szCs w:val="24"/>
              </w:rPr>
              <w:t>M</w:t>
            </w:r>
            <w:r>
              <w:rPr>
                <w:rFonts w:cs="Times New Roman"/>
                <w:sz w:val="24"/>
                <w:szCs w:val="24"/>
              </w:rPr>
              <w:t>——等效室外声源个数；</w:t>
            </w:r>
          </w:p>
          <w:p>
            <w:pPr>
              <w:spacing w:line="360" w:lineRule="auto"/>
              <w:ind w:firstLine="1200" w:firstLineChars="500"/>
              <w:rPr>
                <w:rFonts w:cs="Times New Roman"/>
                <w:sz w:val="24"/>
                <w:szCs w:val="24"/>
              </w:rPr>
            </w:pPr>
            <w:r>
              <w:rPr>
                <w:rFonts w:hint="eastAsia" w:cs="Times New Roman"/>
                <w:i/>
                <w:iCs/>
                <w:sz w:val="24"/>
                <w:szCs w:val="24"/>
              </w:rPr>
              <w:t>t</w:t>
            </w:r>
            <w:r>
              <w:rPr>
                <w:rFonts w:hint="eastAsia" w:cs="Times New Roman"/>
                <w:i/>
                <w:iCs/>
                <w:sz w:val="24"/>
                <w:szCs w:val="24"/>
                <w:vertAlign w:val="subscript"/>
              </w:rPr>
              <w:t>j</w:t>
            </w:r>
            <w:r>
              <w:rPr>
                <w:rFonts w:cs="Times New Roman"/>
                <w:sz w:val="24"/>
                <w:szCs w:val="24"/>
              </w:rPr>
              <w:t>——在</w:t>
            </w:r>
            <w:r>
              <w:rPr>
                <w:rFonts w:cs="Times New Roman"/>
                <w:i/>
                <w:iCs/>
                <w:sz w:val="24"/>
                <w:szCs w:val="24"/>
              </w:rPr>
              <w:t>T</w:t>
            </w:r>
            <w:r>
              <w:rPr>
                <w:rFonts w:cs="Times New Roman"/>
                <w:sz w:val="24"/>
                <w:szCs w:val="24"/>
              </w:rPr>
              <w:t>时间内</w:t>
            </w:r>
            <w:r>
              <w:rPr>
                <w:rFonts w:cs="Times New Roman"/>
                <w:i/>
                <w:iCs/>
                <w:sz w:val="24"/>
                <w:szCs w:val="24"/>
              </w:rPr>
              <w:t>j</w:t>
            </w:r>
            <w:r>
              <w:rPr>
                <w:rFonts w:cs="Times New Roman"/>
                <w:sz w:val="24"/>
                <w:szCs w:val="24"/>
              </w:rPr>
              <w:t>声源工作时间，s。</w:t>
            </w:r>
          </w:p>
          <w:p>
            <w:pPr>
              <w:spacing w:line="360" w:lineRule="auto"/>
              <w:ind w:firstLine="482" w:firstLineChars="200"/>
              <w:rPr>
                <w:b/>
                <w:bCs/>
                <w:sz w:val="24"/>
                <w:szCs w:val="24"/>
              </w:rPr>
            </w:pPr>
            <w:r>
              <w:rPr>
                <w:rFonts w:hint="eastAsia"/>
                <w:b/>
                <w:bCs/>
                <w:sz w:val="24"/>
                <w:szCs w:val="24"/>
              </w:rPr>
              <w:t>⑥预测值计算</w:t>
            </w:r>
          </w:p>
          <w:p>
            <w:pPr>
              <w:spacing w:line="360" w:lineRule="auto"/>
              <w:jc w:val="center"/>
              <w:rPr>
                <w:sz w:val="24"/>
                <w:szCs w:val="24"/>
              </w:rPr>
            </w:pPr>
            <w:r>
              <w:rPr>
                <w:position w:val="-14"/>
              </w:rPr>
              <w:object>
                <v:shape id="_x0000_i1034" o:spt="75" type="#_x0000_t75" style="height:21.75pt;width:122.2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p>
          <w:p>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sz w:val="24"/>
                <w:szCs w:val="24"/>
                <w:vertAlign w:val="subscript"/>
              </w:rPr>
              <w:t>eq</w:t>
            </w:r>
            <w:r>
              <w:rPr>
                <w:sz w:val="24"/>
                <w:szCs w:val="24"/>
              </w:rPr>
              <w:t>——</w:t>
            </w:r>
            <w:r>
              <w:rPr>
                <w:rFonts w:hint="eastAsia"/>
                <w:sz w:val="24"/>
                <w:szCs w:val="24"/>
              </w:rPr>
              <w:t>预测点的噪声预测值，dB；；</w:t>
            </w:r>
          </w:p>
          <w:p>
            <w:pPr>
              <w:spacing w:line="360" w:lineRule="auto"/>
              <w:ind w:firstLine="1200" w:firstLineChars="500"/>
              <w:rPr>
                <w:sz w:val="24"/>
                <w:szCs w:val="24"/>
              </w:rPr>
            </w:pPr>
            <w:r>
              <w:rPr>
                <w:i/>
                <w:sz w:val="24"/>
                <w:szCs w:val="24"/>
              </w:rPr>
              <w:t>L</w:t>
            </w:r>
            <w:r>
              <w:rPr>
                <w:sz w:val="24"/>
                <w:szCs w:val="24"/>
                <w:vertAlign w:val="subscript"/>
              </w:rPr>
              <w:t>eqb</w:t>
            </w:r>
            <w:r>
              <w:rPr>
                <w:sz w:val="24"/>
                <w:szCs w:val="24"/>
              </w:rPr>
              <w:t>——</w:t>
            </w:r>
            <w:r>
              <w:rPr>
                <w:rFonts w:hint="eastAsia"/>
                <w:sz w:val="24"/>
                <w:szCs w:val="24"/>
              </w:rPr>
              <w:t>预测点</w:t>
            </w:r>
            <w:r>
              <w:rPr>
                <w:sz w:val="24"/>
                <w:szCs w:val="24"/>
              </w:rPr>
              <w:t>的背景值</w:t>
            </w:r>
            <w:r>
              <w:rPr>
                <w:rFonts w:hint="eastAsia"/>
                <w:sz w:val="24"/>
                <w:szCs w:val="24"/>
              </w:rPr>
              <w:t>，</w:t>
            </w:r>
            <w:r>
              <w:rPr>
                <w:sz w:val="24"/>
                <w:szCs w:val="24"/>
              </w:rPr>
              <w:t>dB</w:t>
            </w:r>
            <w:r>
              <w:rPr>
                <w:rFonts w:hint="eastAsia"/>
                <w:sz w:val="24"/>
                <w:szCs w:val="24"/>
              </w:rPr>
              <w:t>。</w:t>
            </w:r>
          </w:p>
          <w:p>
            <w:pPr>
              <w:spacing w:line="360" w:lineRule="auto"/>
              <w:ind w:firstLine="482" w:firstLineChars="200"/>
              <w:rPr>
                <w:b/>
                <w:bCs/>
                <w:sz w:val="24"/>
                <w:szCs w:val="24"/>
              </w:rPr>
            </w:pPr>
            <w:r>
              <w:rPr>
                <w:b/>
                <w:bCs/>
                <w:sz w:val="24"/>
                <w:szCs w:val="24"/>
              </w:rPr>
              <w:t>3</w:t>
            </w:r>
            <w:r>
              <w:rPr>
                <w:rFonts w:hint="eastAsia"/>
                <w:b/>
                <w:bCs/>
                <w:sz w:val="24"/>
                <w:szCs w:val="24"/>
              </w:rPr>
              <w:t>）预测结果</w:t>
            </w:r>
          </w:p>
          <w:p>
            <w:pPr>
              <w:adjustRightInd w:val="0"/>
              <w:snapToGrid w:val="0"/>
              <w:spacing w:line="360" w:lineRule="auto"/>
              <w:ind w:firstLine="480" w:firstLineChars="200"/>
              <w:rPr>
                <w:rFonts w:hint="default" w:ascii="Times New Roman" w:hAnsi="Times New Roman" w:cs="Times New Roman"/>
                <w:vanish w:val="0"/>
                <w:color w:val="auto"/>
                <w:sz w:val="24"/>
              </w:rPr>
            </w:pPr>
            <w:r>
              <w:rPr>
                <w:rFonts w:hint="default" w:ascii="Times New Roman" w:hAnsi="Times New Roman" w:cs="Times New Roman"/>
                <w:vanish w:val="0"/>
                <w:color w:val="auto"/>
                <w:sz w:val="24"/>
              </w:rPr>
              <w:t>项目厂界</w:t>
            </w:r>
            <w:r>
              <w:rPr>
                <w:rFonts w:hint="eastAsia" w:ascii="Times New Roman" w:hAnsi="Times New Roman" w:cs="Times New Roman"/>
                <w:vanish w:val="0"/>
                <w:color w:val="auto"/>
                <w:sz w:val="24"/>
                <w:lang w:eastAsia="zh-CN"/>
              </w:rPr>
              <w:t>和环境保护目标噪声</w:t>
            </w:r>
            <w:r>
              <w:rPr>
                <w:rFonts w:hint="default" w:ascii="Times New Roman" w:hAnsi="Times New Roman" w:cs="Times New Roman"/>
                <w:vanish w:val="0"/>
                <w:color w:val="auto"/>
                <w:sz w:val="24"/>
              </w:rPr>
              <w:t>预测结果见</w:t>
            </w:r>
            <w:r>
              <w:rPr>
                <w:rFonts w:hint="eastAsia" w:ascii="Times New Roman" w:hAnsi="Times New Roman" w:cs="Times New Roman"/>
                <w:vanish w:val="0"/>
                <w:color w:val="auto"/>
                <w:sz w:val="24"/>
                <w:lang w:eastAsia="zh-CN"/>
              </w:rPr>
              <w:t>下</w:t>
            </w:r>
            <w:r>
              <w:rPr>
                <w:rFonts w:hint="default" w:ascii="Times New Roman" w:hAnsi="Times New Roman" w:cs="Times New Roman"/>
                <w:vanish w:val="0"/>
                <w:color w:val="auto"/>
                <w:sz w:val="24"/>
              </w:rPr>
              <w:t>表。</w:t>
            </w:r>
          </w:p>
          <w:p>
            <w:pPr>
              <w:spacing w:line="240" w:lineRule="auto"/>
              <w:jc w:val="center"/>
              <w:rPr>
                <w:rFonts w:hint="eastAsia" w:ascii="Times New Roman" w:hAnsi="Times New Roman" w:eastAsia="宋体"/>
                <w:b/>
                <w:bCs/>
                <w:color w:val="auto"/>
                <w:sz w:val="21"/>
                <w:shd w:val="clear" w:color="auto" w:fill="auto"/>
                <w:lang w:val="en-US" w:eastAsia="zh-CN"/>
              </w:rPr>
            </w:pPr>
            <w:r>
              <w:rPr>
                <w:rFonts w:hint="default" w:ascii="Times New Roman" w:hAnsi="Times New Roman" w:eastAsia="宋体"/>
                <w:b/>
                <w:bCs/>
                <w:color w:val="auto"/>
                <w:sz w:val="21"/>
                <w:shd w:val="clear" w:color="auto" w:fill="auto"/>
                <w:lang w:val="en-US" w:eastAsia="zh-CN"/>
              </w:rPr>
              <w:t>表4-1</w:t>
            </w:r>
            <w:r>
              <w:rPr>
                <w:rFonts w:hint="eastAsia" w:ascii="Times New Roman" w:hAnsi="Times New Roman" w:eastAsia="宋体"/>
                <w:b/>
                <w:bCs/>
                <w:color w:val="auto"/>
                <w:sz w:val="21"/>
                <w:shd w:val="clear" w:color="auto" w:fill="auto"/>
                <w:lang w:val="en-US" w:eastAsia="zh-CN"/>
              </w:rPr>
              <w:t>2</w:t>
            </w:r>
            <w:r>
              <w:rPr>
                <w:rFonts w:hint="default" w:ascii="Times New Roman" w:hAnsi="Times New Roman" w:eastAsia="宋体"/>
                <w:b/>
                <w:bCs/>
                <w:color w:val="auto"/>
                <w:sz w:val="21"/>
                <w:shd w:val="clear" w:color="auto" w:fill="auto"/>
                <w:lang w:val="en-US" w:eastAsia="zh-CN"/>
              </w:rPr>
              <w:t xml:space="preserve">    </w:t>
            </w:r>
            <w:r>
              <w:rPr>
                <w:rFonts w:hint="eastAsia" w:ascii="Times New Roman" w:hAnsi="Times New Roman" w:eastAsia="宋体"/>
                <w:b/>
                <w:bCs/>
                <w:color w:val="auto"/>
                <w:sz w:val="21"/>
                <w:shd w:val="clear" w:color="auto" w:fill="auto"/>
                <w:lang w:val="en-US" w:eastAsia="zh-CN"/>
              </w:rPr>
              <w:t>项目厂界噪声预测结果与达标分析表    单位：dB(A)</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28"/>
              <w:gridCol w:w="1361"/>
              <w:gridCol w:w="1270"/>
              <w:gridCol w:w="1591"/>
              <w:gridCol w:w="1207"/>
              <w:gridCol w:w="15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hidden/>
              </w:trPr>
              <w:tc>
                <w:tcPr>
                  <w:tcW w:w="1248" w:type="dxa"/>
                  <w:vMerge w:val="restart"/>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预测点位</w:t>
                  </w:r>
                </w:p>
              </w:tc>
              <w:tc>
                <w:tcPr>
                  <w:tcW w:w="1506"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贡献值</w:t>
                  </w:r>
                </w:p>
              </w:tc>
              <w:tc>
                <w:tcPr>
                  <w:tcW w:w="1405" w:type="dxa"/>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b/>
                      <w:bCs/>
                      <w:vanish w:val="0"/>
                      <w:color w:val="auto"/>
                      <w:sz w:val="21"/>
                      <w:szCs w:val="21"/>
                      <w:lang w:eastAsia="zh-CN"/>
                    </w:rPr>
                  </w:pPr>
                  <w:r>
                    <w:rPr>
                      <w:rFonts w:hint="eastAsia" w:ascii="Times New Roman" w:hAnsi="Times New Roman" w:cs="Times New Roman"/>
                      <w:b/>
                      <w:bCs/>
                      <w:vanish w:val="0"/>
                      <w:color w:val="auto"/>
                      <w:sz w:val="21"/>
                      <w:szCs w:val="21"/>
                      <w:lang w:eastAsia="zh-CN"/>
                    </w:rPr>
                    <w:t>背景值</w:t>
                  </w:r>
                </w:p>
              </w:tc>
              <w:tc>
                <w:tcPr>
                  <w:tcW w:w="1762" w:type="dxa"/>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b/>
                      <w:bCs/>
                      <w:vanish w:val="0"/>
                      <w:color w:val="auto"/>
                      <w:sz w:val="21"/>
                      <w:szCs w:val="21"/>
                      <w:lang w:eastAsia="zh-CN"/>
                    </w:rPr>
                  </w:pPr>
                  <w:r>
                    <w:rPr>
                      <w:rFonts w:hint="eastAsia" w:ascii="Times New Roman" w:hAnsi="Times New Roman" w:cs="Times New Roman"/>
                      <w:b/>
                      <w:bCs/>
                      <w:vanish w:val="0"/>
                      <w:color w:val="auto"/>
                      <w:sz w:val="21"/>
                      <w:szCs w:val="21"/>
                      <w:lang w:eastAsia="zh-CN"/>
                    </w:rPr>
                    <w:t>预测值</w:t>
                  </w:r>
                </w:p>
              </w:tc>
              <w:tc>
                <w:tcPr>
                  <w:tcW w:w="1335" w:type="dxa"/>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b/>
                      <w:bCs/>
                      <w:vanish w:val="0"/>
                      <w:color w:val="auto"/>
                      <w:sz w:val="21"/>
                      <w:szCs w:val="21"/>
                      <w:lang w:eastAsia="zh-CN"/>
                    </w:rPr>
                  </w:pPr>
                  <w:r>
                    <w:rPr>
                      <w:rFonts w:hint="default" w:ascii="Times New Roman" w:hAnsi="Times New Roman" w:cs="Times New Roman"/>
                      <w:b/>
                      <w:bCs/>
                      <w:vanish w:val="0"/>
                      <w:color w:val="auto"/>
                      <w:sz w:val="21"/>
                      <w:szCs w:val="21"/>
                    </w:rPr>
                    <w:t>标准</w:t>
                  </w:r>
                  <w:r>
                    <w:rPr>
                      <w:rFonts w:hint="eastAsia" w:ascii="Times New Roman" w:hAnsi="Times New Roman" w:cs="Times New Roman"/>
                      <w:b/>
                      <w:bCs/>
                      <w:vanish w:val="0"/>
                      <w:color w:val="auto"/>
                      <w:sz w:val="21"/>
                      <w:szCs w:val="21"/>
                      <w:lang w:eastAsia="zh-CN"/>
                    </w:rPr>
                    <w:t>值</w:t>
                  </w:r>
                </w:p>
              </w:tc>
              <w:tc>
                <w:tcPr>
                  <w:tcW w:w="1661"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hidden/>
              </w:trPr>
              <w:tc>
                <w:tcPr>
                  <w:tcW w:w="1248" w:type="dxa"/>
                  <w:vMerge w:val="continue"/>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p>
              </w:tc>
              <w:tc>
                <w:tcPr>
                  <w:tcW w:w="1506"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昼</w:t>
                  </w:r>
                </w:p>
              </w:tc>
              <w:tc>
                <w:tcPr>
                  <w:tcW w:w="1405"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昼</w:t>
                  </w:r>
                </w:p>
              </w:tc>
              <w:tc>
                <w:tcPr>
                  <w:tcW w:w="1762"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昼</w:t>
                  </w:r>
                </w:p>
              </w:tc>
              <w:tc>
                <w:tcPr>
                  <w:tcW w:w="1335"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昼</w:t>
                  </w:r>
                </w:p>
              </w:tc>
              <w:tc>
                <w:tcPr>
                  <w:tcW w:w="1661"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b/>
                      <w:bCs/>
                      <w:vanish w:val="0"/>
                      <w:color w:val="auto"/>
                      <w:sz w:val="21"/>
                      <w:szCs w:val="21"/>
                    </w:rPr>
                  </w:pPr>
                  <w:r>
                    <w:rPr>
                      <w:rFonts w:hint="default" w:ascii="Times New Roman" w:hAnsi="Times New Roman" w:cs="Times New Roman"/>
                      <w:b/>
                      <w:bCs/>
                      <w:vanish w:val="0"/>
                      <w:color w:val="auto"/>
                      <w:sz w:val="21"/>
                      <w:szCs w:val="21"/>
                    </w:rPr>
                    <w:t>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hidden/>
              </w:trPr>
              <w:tc>
                <w:tcPr>
                  <w:tcW w:w="1248"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东厂界</w:t>
                  </w:r>
                </w:p>
              </w:tc>
              <w:tc>
                <w:tcPr>
                  <w:tcW w:w="1506"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24.5</w:t>
                  </w:r>
                </w:p>
              </w:tc>
              <w:tc>
                <w:tcPr>
                  <w:tcW w:w="1405" w:type="dxa"/>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56</w:t>
                  </w:r>
                </w:p>
              </w:tc>
              <w:tc>
                <w:tcPr>
                  <w:tcW w:w="1762"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56.00</w:t>
                  </w:r>
                </w:p>
              </w:tc>
              <w:tc>
                <w:tcPr>
                  <w:tcW w:w="1335" w:type="dxa"/>
                  <w:vMerge w:val="restar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65</w:t>
                  </w:r>
                </w:p>
              </w:tc>
              <w:tc>
                <w:tcPr>
                  <w:tcW w:w="1661"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hidden/>
              </w:trPr>
              <w:tc>
                <w:tcPr>
                  <w:tcW w:w="1248"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南厂界</w:t>
                  </w:r>
                </w:p>
              </w:tc>
              <w:tc>
                <w:tcPr>
                  <w:tcW w:w="1506"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48.6</w:t>
                  </w:r>
                </w:p>
              </w:tc>
              <w:tc>
                <w:tcPr>
                  <w:tcW w:w="140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55</w:t>
                  </w:r>
                </w:p>
              </w:tc>
              <w:tc>
                <w:tcPr>
                  <w:tcW w:w="1762"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55.90</w:t>
                  </w:r>
                </w:p>
              </w:tc>
              <w:tc>
                <w:tcPr>
                  <w:tcW w:w="1335" w:type="dxa"/>
                  <w:vMerge w:val="continue"/>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p>
              </w:tc>
              <w:tc>
                <w:tcPr>
                  <w:tcW w:w="1661"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hidden/>
              </w:trPr>
              <w:tc>
                <w:tcPr>
                  <w:tcW w:w="1248"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西厂界</w:t>
                  </w:r>
                </w:p>
              </w:tc>
              <w:tc>
                <w:tcPr>
                  <w:tcW w:w="1506"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47.6</w:t>
                  </w:r>
                </w:p>
              </w:tc>
              <w:tc>
                <w:tcPr>
                  <w:tcW w:w="140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57</w:t>
                  </w:r>
                </w:p>
              </w:tc>
              <w:tc>
                <w:tcPr>
                  <w:tcW w:w="1762"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57.47</w:t>
                  </w:r>
                </w:p>
              </w:tc>
              <w:tc>
                <w:tcPr>
                  <w:tcW w:w="1335" w:type="dxa"/>
                  <w:vMerge w:val="continue"/>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p>
              </w:tc>
              <w:tc>
                <w:tcPr>
                  <w:tcW w:w="1661"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hidden/>
              </w:trPr>
              <w:tc>
                <w:tcPr>
                  <w:tcW w:w="1248"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北厂界</w:t>
                  </w:r>
                </w:p>
              </w:tc>
              <w:tc>
                <w:tcPr>
                  <w:tcW w:w="1506"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29.9</w:t>
                  </w:r>
                </w:p>
              </w:tc>
              <w:tc>
                <w:tcPr>
                  <w:tcW w:w="140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55</w:t>
                  </w:r>
                </w:p>
              </w:tc>
              <w:tc>
                <w:tcPr>
                  <w:tcW w:w="1762"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vanish w:val="0"/>
                      <w:color w:val="auto"/>
                      <w:sz w:val="21"/>
                      <w:szCs w:val="21"/>
                      <w:lang w:val="en-US" w:eastAsia="zh-CN"/>
                    </w:rPr>
                  </w:pPr>
                  <w:r>
                    <w:rPr>
                      <w:rFonts w:hint="eastAsia" w:ascii="Times New Roman" w:hAnsi="Times New Roman" w:eastAsia="宋体" w:cs="Times New Roman"/>
                      <w:vanish w:val="0"/>
                      <w:color w:val="auto"/>
                      <w:sz w:val="21"/>
                      <w:szCs w:val="21"/>
                      <w:lang w:val="en-US" w:eastAsia="zh-CN"/>
                    </w:rPr>
                    <w:t>55.01</w:t>
                  </w:r>
                </w:p>
              </w:tc>
              <w:tc>
                <w:tcPr>
                  <w:tcW w:w="1335" w:type="dxa"/>
                  <w:vMerge w:val="continue"/>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p>
              </w:tc>
              <w:tc>
                <w:tcPr>
                  <w:tcW w:w="1661"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vanish w:val="0"/>
                      <w:color w:val="auto"/>
                      <w:sz w:val="21"/>
                      <w:szCs w:val="21"/>
                    </w:rPr>
                  </w:pPr>
                  <w:r>
                    <w:rPr>
                      <w:rFonts w:hint="default" w:ascii="Times New Roman" w:hAnsi="Times New Roman" w:cs="Times New Roman"/>
                      <w:vanish w:val="0"/>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vanish w:val="0"/>
                <w:color w:val="auto"/>
                <w:position w:val="-8"/>
                <w:sz w:val="24"/>
              </w:rPr>
            </w:pPr>
            <w:r>
              <w:rPr>
                <w:rFonts w:hint="default" w:ascii="Times New Roman" w:hAnsi="Times New Roman" w:cs="Times New Roman"/>
                <w:vanish w:val="0"/>
                <w:color w:val="auto"/>
                <w:position w:val="-8"/>
                <w:sz w:val="24"/>
              </w:rPr>
              <w:t>综上，厂界昼</w:t>
            </w:r>
            <w:r>
              <w:rPr>
                <w:rFonts w:hint="eastAsia" w:cs="Times New Roman"/>
                <w:vanish w:val="0"/>
                <w:color w:val="auto"/>
                <w:position w:val="-8"/>
                <w:sz w:val="24"/>
                <w:lang w:eastAsia="zh-CN"/>
              </w:rPr>
              <w:t>间</w:t>
            </w:r>
            <w:r>
              <w:rPr>
                <w:rFonts w:hint="default" w:ascii="Times New Roman" w:hAnsi="Times New Roman" w:cs="Times New Roman"/>
                <w:vanish w:val="0"/>
                <w:color w:val="auto"/>
                <w:position w:val="-8"/>
                <w:sz w:val="24"/>
              </w:rPr>
              <w:t>满足《工业企业厂界环境噪声排放标准》（GB12348-2008）的</w:t>
            </w:r>
            <w:r>
              <w:rPr>
                <w:rFonts w:hint="eastAsia" w:ascii="Times New Roman" w:hAnsi="Times New Roman" w:cs="Times New Roman"/>
                <w:vanish w:val="0"/>
                <w:color w:val="auto"/>
                <w:position w:val="-8"/>
                <w:sz w:val="24"/>
                <w:lang w:val="en-US" w:eastAsia="zh-CN"/>
              </w:rPr>
              <w:t>3</w:t>
            </w:r>
            <w:r>
              <w:rPr>
                <w:rFonts w:hint="default" w:ascii="Times New Roman" w:hAnsi="Times New Roman" w:cs="Times New Roman"/>
                <w:vanish w:val="0"/>
                <w:color w:val="auto"/>
                <w:position w:val="-8"/>
                <w:sz w:val="24"/>
              </w:rPr>
              <w:t>类标准（昼间：6</w:t>
            </w:r>
            <w:r>
              <w:rPr>
                <w:rFonts w:hint="eastAsia" w:ascii="Times New Roman" w:hAnsi="Times New Roman" w:cs="Times New Roman"/>
                <w:vanish w:val="0"/>
                <w:color w:val="auto"/>
                <w:position w:val="-8"/>
                <w:sz w:val="24"/>
                <w:lang w:val="en-US" w:eastAsia="zh-CN"/>
              </w:rPr>
              <w:t>5</w:t>
            </w:r>
            <w:r>
              <w:rPr>
                <w:rFonts w:hint="default" w:ascii="Times New Roman" w:hAnsi="Times New Roman" w:cs="Times New Roman"/>
                <w:vanish w:val="0"/>
                <w:color w:val="auto"/>
                <w:position w:val="-8"/>
                <w:sz w:val="24"/>
              </w:rPr>
              <w:t xml:space="preserve"> dB(A)）</w:t>
            </w:r>
            <w:r>
              <w:rPr>
                <w:rFonts w:hint="eastAsia" w:ascii="Times New Roman" w:hAnsi="Times New Roman" w:cs="Times New Roman"/>
                <w:vanish w:val="0"/>
                <w:color w:val="auto"/>
                <w:position w:val="-8"/>
                <w:sz w:val="24"/>
                <w:lang w:eastAsia="zh-CN"/>
              </w:rPr>
              <w:t>，</w:t>
            </w:r>
            <w:r>
              <w:rPr>
                <w:rFonts w:hint="default" w:ascii="Times New Roman" w:hAnsi="Times New Roman" w:cs="Times New Roman"/>
                <w:vanish w:val="0"/>
                <w:color w:val="auto"/>
                <w:position w:val="-8"/>
                <w:sz w:val="24"/>
              </w:rPr>
              <w:t>因此本项目噪声厂界达标。</w:t>
            </w:r>
          </w:p>
          <w:p>
            <w:pPr>
              <w:spacing w:line="360" w:lineRule="auto"/>
              <w:ind w:firstLine="482" w:firstLineChars="200"/>
              <w:rPr>
                <w:b/>
                <w:sz w:val="24"/>
                <w:szCs w:val="24"/>
              </w:rPr>
            </w:pPr>
            <w:r>
              <w:rPr>
                <w:rFonts w:hint="eastAsia"/>
                <w:b/>
                <w:sz w:val="24"/>
                <w:szCs w:val="24"/>
              </w:rPr>
              <w:t>（</w:t>
            </w:r>
            <w:r>
              <w:rPr>
                <w:rFonts w:hint="eastAsia"/>
                <w:b/>
                <w:sz w:val="24"/>
                <w:szCs w:val="24"/>
                <w:lang w:val="en-US" w:eastAsia="zh-CN"/>
              </w:rPr>
              <w:t>4</w:t>
            </w:r>
            <w:r>
              <w:rPr>
                <w:rFonts w:hint="eastAsia"/>
                <w:b/>
                <w:sz w:val="24"/>
                <w:szCs w:val="24"/>
              </w:rPr>
              <w:t>）监测要求</w:t>
            </w:r>
          </w:p>
          <w:p>
            <w:pPr>
              <w:spacing w:line="360" w:lineRule="auto"/>
              <w:ind w:firstLine="480" w:firstLineChars="200"/>
              <w:rPr>
                <w:sz w:val="24"/>
                <w:szCs w:val="24"/>
              </w:rPr>
            </w:pPr>
            <w:r>
              <w:rPr>
                <w:rFonts w:hint="eastAsia"/>
                <w:sz w:val="24"/>
                <w:szCs w:val="24"/>
              </w:rPr>
              <w:t>本次环评根据《排污单位自行监测技术指南 总则》（HJ819-2017）提出项目生产运行阶段的污染源监测计划，详见下表：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表4-1</w:t>
            </w:r>
            <w:r>
              <w:rPr>
                <w:rFonts w:hint="eastAsia" w:cs="黑体"/>
                <w:b/>
                <w:bCs/>
                <w:color w:val="auto"/>
                <w:kern w:val="2"/>
                <w:sz w:val="21"/>
                <w:szCs w:val="22"/>
                <w:shd w:val="clear" w:color="auto" w:fill="auto"/>
                <w:lang w:val="en-US" w:eastAsia="zh-CN" w:bidi="ar-SA"/>
              </w:rPr>
              <w:t>3</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噪声监测方案</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3"/>
              <w:gridCol w:w="1693"/>
              <w:gridCol w:w="1255"/>
              <w:gridCol w:w="35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l2br w:val="nil"/>
                    <w:tr2bl w:val="nil"/>
                  </w:tcBorders>
                  <w:shd w:val="clear" w:color="auto" w:fill="auto"/>
                  <w:vAlign w:val="center"/>
                </w:tcPr>
                <w:p>
                  <w:pPr>
                    <w:jc w:val="center"/>
                    <w:rPr>
                      <w:b/>
                      <w:bCs/>
                      <w:szCs w:val="21"/>
                    </w:rPr>
                  </w:pPr>
                  <w:r>
                    <w:rPr>
                      <w:b/>
                      <w:bCs/>
                      <w:szCs w:val="21"/>
                    </w:rPr>
                    <w:t>监测点位</w:t>
                  </w:r>
                </w:p>
              </w:tc>
              <w:tc>
                <w:tcPr>
                  <w:tcW w:w="1050" w:type="pct"/>
                  <w:tcBorders>
                    <w:tl2br w:val="nil"/>
                    <w:tr2bl w:val="nil"/>
                  </w:tcBorders>
                  <w:shd w:val="clear" w:color="auto" w:fill="auto"/>
                  <w:vAlign w:val="center"/>
                </w:tcPr>
                <w:p>
                  <w:pPr>
                    <w:jc w:val="center"/>
                    <w:rPr>
                      <w:b/>
                      <w:bCs/>
                      <w:szCs w:val="21"/>
                    </w:rPr>
                  </w:pPr>
                  <w:r>
                    <w:rPr>
                      <w:b/>
                      <w:bCs/>
                      <w:szCs w:val="21"/>
                    </w:rPr>
                    <w:t>监测指标</w:t>
                  </w:r>
                </w:p>
              </w:tc>
              <w:tc>
                <w:tcPr>
                  <w:tcW w:w="779" w:type="pct"/>
                  <w:tcBorders>
                    <w:tl2br w:val="nil"/>
                    <w:tr2bl w:val="nil"/>
                  </w:tcBorders>
                  <w:shd w:val="clear" w:color="auto" w:fill="auto"/>
                  <w:vAlign w:val="center"/>
                </w:tcPr>
                <w:p>
                  <w:pPr>
                    <w:jc w:val="center"/>
                    <w:rPr>
                      <w:b/>
                      <w:bCs/>
                      <w:szCs w:val="21"/>
                    </w:rPr>
                  </w:pPr>
                  <w:r>
                    <w:rPr>
                      <w:b/>
                      <w:bCs/>
                      <w:szCs w:val="21"/>
                    </w:rPr>
                    <w:t>监测频次</w:t>
                  </w:r>
                </w:p>
              </w:tc>
              <w:tc>
                <w:tcPr>
                  <w:tcW w:w="2182" w:type="pct"/>
                  <w:tcBorders>
                    <w:tl2br w:val="nil"/>
                    <w:tr2bl w:val="nil"/>
                  </w:tcBorders>
                </w:tcPr>
                <w:p>
                  <w:pPr>
                    <w:jc w:val="center"/>
                    <w:rPr>
                      <w:b/>
                      <w:bCs/>
                      <w:szCs w:val="21"/>
                    </w:rPr>
                  </w:pPr>
                  <w:r>
                    <w:rPr>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l2br w:val="nil"/>
                    <w:tr2bl w:val="nil"/>
                  </w:tcBorders>
                  <w:shd w:val="clear" w:color="auto" w:fill="auto"/>
                  <w:vAlign w:val="center"/>
                </w:tcPr>
                <w:p>
                  <w:pPr>
                    <w:jc w:val="center"/>
                    <w:rPr>
                      <w:szCs w:val="21"/>
                    </w:rPr>
                  </w:pPr>
                  <w:r>
                    <w:rPr>
                      <w:rFonts w:hint="eastAsia"/>
                      <w:szCs w:val="21"/>
                    </w:rPr>
                    <w:t>厂界</w:t>
                  </w:r>
                </w:p>
              </w:tc>
              <w:tc>
                <w:tcPr>
                  <w:tcW w:w="1050" w:type="pct"/>
                  <w:tcBorders>
                    <w:tl2br w:val="nil"/>
                    <w:tr2bl w:val="nil"/>
                  </w:tcBorders>
                  <w:shd w:val="clear" w:color="auto" w:fill="auto"/>
                  <w:vAlign w:val="center"/>
                </w:tcPr>
                <w:p>
                  <w:pPr>
                    <w:jc w:val="center"/>
                    <w:rPr>
                      <w:szCs w:val="21"/>
                    </w:rPr>
                  </w:pPr>
                  <w:r>
                    <w:rPr>
                      <w:rFonts w:hint="eastAsia"/>
                      <w:szCs w:val="21"/>
                    </w:rPr>
                    <w:t>厂界噪声</w:t>
                  </w:r>
                </w:p>
              </w:tc>
              <w:tc>
                <w:tcPr>
                  <w:tcW w:w="779" w:type="pct"/>
                  <w:tcBorders>
                    <w:tl2br w:val="nil"/>
                    <w:tr2bl w:val="nil"/>
                  </w:tcBorders>
                  <w:shd w:val="clear" w:color="auto" w:fill="auto"/>
                  <w:vAlign w:val="center"/>
                </w:tcPr>
                <w:p>
                  <w:pPr>
                    <w:jc w:val="center"/>
                    <w:rPr>
                      <w:szCs w:val="21"/>
                    </w:rPr>
                  </w:pPr>
                  <w:r>
                    <w:rPr>
                      <w:rFonts w:hint="eastAsia"/>
                      <w:szCs w:val="21"/>
                    </w:rPr>
                    <w:t>1季度/</w:t>
                  </w:r>
                  <w:r>
                    <w:rPr>
                      <w:szCs w:val="21"/>
                    </w:rPr>
                    <w:t>次</w:t>
                  </w:r>
                </w:p>
              </w:tc>
              <w:tc>
                <w:tcPr>
                  <w:tcW w:w="2182" w:type="pct"/>
                  <w:tcBorders>
                    <w:tl2br w:val="nil"/>
                    <w:tr2bl w:val="nil"/>
                  </w:tcBorders>
                  <w:vAlign w:val="center"/>
                </w:tcPr>
                <w:p>
                  <w:pPr>
                    <w:jc w:val="center"/>
                    <w:rPr>
                      <w:szCs w:val="21"/>
                    </w:rPr>
                  </w:pPr>
                  <w:r>
                    <w:rPr>
                      <w:rFonts w:hint="eastAsia"/>
                      <w:szCs w:val="21"/>
                    </w:rPr>
                    <w:t>《工业企业厂界环境噪声排放标准》（GB12348-2008）</w:t>
                  </w:r>
                  <w:r>
                    <w:rPr>
                      <w:szCs w:val="21"/>
                    </w:rPr>
                    <w:t>3</w:t>
                  </w:r>
                  <w:r>
                    <w:rPr>
                      <w:rFonts w:hint="eastAsia"/>
                      <w:szCs w:val="21"/>
                    </w:rPr>
                    <w:t>类标准</w:t>
                  </w:r>
                </w:p>
              </w:tc>
            </w:tr>
          </w:tbl>
          <w:p>
            <w:pPr>
              <w:spacing w:line="360" w:lineRule="auto"/>
              <w:ind w:firstLine="482" w:firstLineChars="200"/>
              <w:rPr>
                <w:b/>
                <w:sz w:val="24"/>
                <w:szCs w:val="24"/>
              </w:rPr>
            </w:pPr>
            <w:r>
              <w:rPr>
                <w:b/>
                <w:sz w:val="24"/>
                <w:szCs w:val="24"/>
              </w:rPr>
              <w:t>4</w:t>
            </w:r>
            <w:r>
              <w:rPr>
                <w:rFonts w:hint="eastAsia"/>
                <w:b/>
                <w:sz w:val="24"/>
                <w:szCs w:val="24"/>
              </w:rPr>
              <w:t>、固体废物</w:t>
            </w:r>
          </w:p>
          <w:p>
            <w:pPr>
              <w:spacing w:line="360" w:lineRule="auto"/>
              <w:ind w:firstLine="482" w:firstLineChars="200"/>
              <w:rPr>
                <w:rFonts w:hint="eastAsia" w:eastAsia="宋体"/>
                <w:b/>
                <w:sz w:val="24"/>
                <w:szCs w:val="24"/>
                <w:lang w:eastAsia="zh-CN"/>
              </w:rPr>
            </w:pPr>
            <w:r>
              <w:rPr>
                <w:rFonts w:hint="eastAsia"/>
                <w:b/>
                <w:sz w:val="24"/>
                <w:szCs w:val="24"/>
                <w:lang w:eastAsia="zh-CN"/>
              </w:rPr>
              <w:t>（</w:t>
            </w:r>
            <w:r>
              <w:rPr>
                <w:rFonts w:hint="eastAsia"/>
                <w:b/>
                <w:sz w:val="24"/>
                <w:szCs w:val="24"/>
                <w:lang w:val="en-US" w:eastAsia="zh-CN"/>
              </w:rPr>
              <w:t>1</w:t>
            </w:r>
            <w:r>
              <w:rPr>
                <w:rFonts w:hint="eastAsia"/>
                <w:b/>
                <w:sz w:val="24"/>
                <w:szCs w:val="24"/>
                <w:lang w:eastAsia="zh-CN"/>
              </w:rPr>
              <w:t>）生活垃圾</w:t>
            </w:r>
          </w:p>
          <w:p>
            <w:pPr>
              <w:spacing w:line="360" w:lineRule="auto"/>
              <w:ind w:firstLine="482" w:firstLineChars="200"/>
              <w:rPr>
                <w:sz w:val="24"/>
                <w:szCs w:val="24"/>
              </w:rPr>
            </w:pPr>
            <w:r>
              <w:rPr>
                <w:rFonts w:hint="eastAsia"/>
                <w:b/>
                <w:sz w:val="24"/>
                <w:szCs w:val="24"/>
              </w:rPr>
              <w:t>生活垃圾</w:t>
            </w:r>
            <w:r>
              <w:rPr>
                <w:rFonts w:hint="eastAsia"/>
                <w:sz w:val="24"/>
                <w:szCs w:val="24"/>
              </w:rPr>
              <w:t>：项目</w:t>
            </w:r>
            <w:r>
              <w:rPr>
                <w:rFonts w:hint="eastAsia"/>
                <w:sz w:val="24"/>
                <w:szCs w:val="24"/>
                <w:lang w:eastAsia="zh-CN"/>
              </w:rPr>
              <w:t>新增</w:t>
            </w:r>
            <w:r>
              <w:rPr>
                <w:rFonts w:hint="eastAsia"/>
                <w:sz w:val="24"/>
                <w:szCs w:val="24"/>
              </w:rPr>
              <w:t>劳动定员</w:t>
            </w:r>
            <w:r>
              <w:rPr>
                <w:rFonts w:hint="eastAsia"/>
                <w:sz w:val="24"/>
                <w:szCs w:val="24"/>
                <w:lang w:val="en-US" w:eastAsia="zh-CN"/>
              </w:rPr>
              <w:t>4</w:t>
            </w:r>
            <w:r>
              <w:rPr>
                <w:rFonts w:hint="eastAsia"/>
                <w:sz w:val="24"/>
                <w:szCs w:val="24"/>
              </w:rPr>
              <w:t>人，生活</w:t>
            </w:r>
            <w:r>
              <w:rPr>
                <w:rFonts w:cs="Times New Roman"/>
                <w:sz w:val="24"/>
                <w:szCs w:val="24"/>
              </w:rPr>
              <w:t>垃圾产生量按0.5kg/人·d计</w:t>
            </w:r>
            <w:r>
              <w:rPr>
                <w:rFonts w:hint="eastAsia"/>
                <w:sz w:val="24"/>
                <w:szCs w:val="24"/>
              </w:rPr>
              <w:t>，生活垃圾产生量约</w:t>
            </w:r>
            <w:r>
              <w:rPr>
                <w:rFonts w:hint="eastAsia"/>
                <w:sz w:val="24"/>
                <w:szCs w:val="24"/>
                <w:lang w:val="en-US" w:eastAsia="zh-CN"/>
              </w:rPr>
              <w:t>0.6</w:t>
            </w:r>
            <w:r>
              <w:rPr>
                <w:rFonts w:hint="eastAsia"/>
                <w:sz w:val="24"/>
                <w:szCs w:val="24"/>
              </w:rPr>
              <w:t>t/a</w:t>
            </w:r>
            <w:r>
              <w:rPr>
                <w:rFonts w:hint="eastAsia"/>
                <w:sz w:val="24"/>
                <w:szCs w:val="24"/>
                <w:lang w:eastAsia="zh-CN"/>
              </w:rPr>
              <w:t>，</w:t>
            </w:r>
            <w:r>
              <w:rPr>
                <w:rFonts w:hint="eastAsia"/>
                <w:sz w:val="24"/>
                <w:szCs w:val="24"/>
              </w:rPr>
              <w:t>分类收集后交环卫部门清运处理，实现日产日清。</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eastAsia="宋体"/>
                <w:b/>
                <w:sz w:val="24"/>
                <w:szCs w:val="24"/>
                <w:lang w:eastAsia="zh-CN"/>
              </w:rPr>
            </w:pPr>
            <w:r>
              <w:rPr>
                <w:rFonts w:hint="eastAsia"/>
                <w:b/>
                <w:sz w:val="24"/>
                <w:szCs w:val="24"/>
              </w:rPr>
              <w:t>（</w:t>
            </w:r>
            <w:r>
              <w:rPr>
                <w:rFonts w:hint="eastAsia"/>
                <w:b/>
                <w:sz w:val="24"/>
                <w:szCs w:val="24"/>
                <w:lang w:val="en-US" w:eastAsia="zh-CN"/>
              </w:rPr>
              <w:t>2</w:t>
            </w:r>
            <w:r>
              <w:rPr>
                <w:rFonts w:hint="eastAsia"/>
                <w:b/>
                <w:sz w:val="24"/>
                <w:szCs w:val="24"/>
              </w:rPr>
              <w:t>）一般</w:t>
            </w:r>
            <w:r>
              <w:rPr>
                <w:rFonts w:hint="eastAsia"/>
                <w:b/>
                <w:sz w:val="24"/>
                <w:szCs w:val="24"/>
                <w:lang w:eastAsia="zh-CN"/>
              </w:rPr>
              <w:t>固废</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cs="Times New Roman"/>
                <w:sz w:val="24"/>
                <w:szCs w:val="24"/>
              </w:rPr>
            </w:pPr>
            <w:r>
              <w:rPr>
                <w:rFonts w:cs="Times New Roman"/>
                <w:b/>
                <w:sz w:val="24"/>
                <w:szCs w:val="24"/>
              </w:rPr>
              <w:t>不</w:t>
            </w:r>
            <w:r>
              <w:rPr>
                <w:rFonts w:hint="eastAsia" w:cs="Times New Roman"/>
                <w:b/>
                <w:sz w:val="24"/>
                <w:szCs w:val="24"/>
                <w:lang w:eastAsia="zh-CN"/>
              </w:rPr>
              <w:t>合格</w:t>
            </w:r>
            <w:r>
              <w:rPr>
                <w:rFonts w:hint="eastAsia" w:cs="Times New Roman"/>
                <w:b/>
                <w:sz w:val="24"/>
                <w:szCs w:val="24"/>
              </w:rPr>
              <w:t>涂膜玻璃</w:t>
            </w:r>
            <w:r>
              <w:rPr>
                <w:rFonts w:cs="Times New Roman"/>
                <w:sz w:val="24"/>
                <w:szCs w:val="24"/>
              </w:rPr>
              <w:t>：</w:t>
            </w:r>
            <w:r>
              <w:rPr>
                <w:rFonts w:hint="eastAsia" w:cs="Times New Roman"/>
                <w:sz w:val="24"/>
                <w:szCs w:val="24"/>
              </w:rPr>
              <w:t>本项目玻璃进行涂膜后，经检测会产生不合格涂膜玻璃，产生量为</w:t>
            </w:r>
            <w:r>
              <w:rPr>
                <w:rFonts w:hint="eastAsia" w:cs="Times New Roman"/>
                <w:sz w:val="24"/>
                <w:szCs w:val="24"/>
                <w:lang w:val="en-US" w:eastAsia="zh-CN"/>
              </w:rPr>
              <w:t>1</w:t>
            </w:r>
            <w:r>
              <w:rPr>
                <w:rFonts w:hint="eastAsia" w:cs="Times New Roman"/>
                <w:sz w:val="24"/>
                <w:szCs w:val="24"/>
              </w:rPr>
              <w:t>t/a，收集后</w:t>
            </w:r>
            <w:r>
              <w:rPr>
                <w:rFonts w:hint="eastAsia"/>
                <w:sz w:val="24"/>
                <w:szCs w:val="24"/>
              </w:rPr>
              <w:t>外售废旧资源回收站</w:t>
            </w:r>
            <w:r>
              <w:rPr>
                <w:rFonts w:hint="eastAsia" w:cs="Times New Roman"/>
                <w:sz w:val="24"/>
                <w:szCs w:val="24"/>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cs="Times New Roman"/>
                <w:sz w:val="24"/>
                <w:szCs w:val="24"/>
              </w:rPr>
            </w:pPr>
            <w:r>
              <w:rPr>
                <w:rFonts w:hint="eastAsia"/>
                <w:b/>
                <w:sz w:val="24"/>
                <w:szCs w:val="24"/>
              </w:rPr>
              <w:t>废包装材料</w:t>
            </w:r>
            <w:r>
              <w:rPr>
                <w:rFonts w:hint="eastAsia"/>
                <w:sz w:val="24"/>
                <w:szCs w:val="24"/>
              </w:rPr>
              <w:t>：主要为纸箱、塑料薄膜、泡沫等，产生量约</w:t>
            </w:r>
            <w:r>
              <w:rPr>
                <w:sz w:val="24"/>
                <w:szCs w:val="24"/>
              </w:rPr>
              <w:t>0.</w:t>
            </w:r>
            <w:r>
              <w:rPr>
                <w:rFonts w:hint="eastAsia"/>
                <w:sz w:val="24"/>
                <w:szCs w:val="24"/>
                <w:lang w:val="en-US" w:eastAsia="zh-CN"/>
              </w:rPr>
              <w:t>5</w:t>
            </w:r>
            <w:r>
              <w:rPr>
                <w:rFonts w:cs="Times New Roman"/>
                <w:sz w:val="24"/>
                <w:szCs w:val="24"/>
              </w:rPr>
              <w:t>t/a</w:t>
            </w:r>
            <w:r>
              <w:rPr>
                <w:rFonts w:hint="eastAsia" w:cs="Times New Roman"/>
                <w:sz w:val="24"/>
                <w:szCs w:val="24"/>
                <w:lang w:eastAsia="zh-CN"/>
              </w:rPr>
              <w:t>，</w:t>
            </w:r>
            <w:r>
              <w:rPr>
                <w:rFonts w:hint="eastAsia"/>
                <w:sz w:val="24"/>
                <w:szCs w:val="24"/>
              </w:rPr>
              <w:t>外售废旧资源回收站</w:t>
            </w:r>
            <w:r>
              <w:rPr>
                <w:rFonts w:cs="Times New Roman"/>
                <w:sz w:val="24"/>
                <w:szCs w:val="24"/>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sz w:val="24"/>
                <w:szCs w:val="24"/>
              </w:rPr>
            </w:pPr>
            <w:r>
              <w:rPr>
                <w:rFonts w:hint="eastAsia"/>
                <w:b/>
                <w:sz w:val="24"/>
                <w:szCs w:val="24"/>
                <w:lang w:eastAsia="zh-CN"/>
              </w:rPr>
              <w:t>预处理池</w:t>
            </w:r>
            <w:r>
              <w:rPr>
                <w:rFonts w:hint="eastAsia"/>
                <w:b/>
                <w:sz w:val="24"/>
                <w:szCs w:val="24"/>
              </w:rPr>
              <w:t>污泥</w:t>
            </w:r>
            <w:r>
              <w:rPr>
                <w:rFonts w:hint="eastAsia"/>
                <w:sz w:val="24"/>
                <w:szCs w:val="24"/>
              </w:rPr>
              <w:t>：主要为预处理池定期清掏出的污泥，按8kg</w:t>
            </w:r>
            <w:r>
              <w:rPr>
                <w:sz w:val="24"/>
                <w:szCs w:val="24"/>
              </w:rPr>
              <w:t>/100m</w:t>
            </w:r>
            <w:r>
              <w:rPr>
                <w:rFonts w:hint="eastAsia"/>
                <w:sz w:val="24"/>
                <w:szCs w:val="24"/>
                <w:vertAlign w:val="superscript"/>
              </w:rPr>
              <w:t>3</w:t>
            </w:r>
            <w:r>
              <w:rPr>
                <w:rFonts w:hint="eastAsia"/>
                <w:sz w:val="24"/>
                <w:szCs w:val="24"/>
              </w:rPr>
              <w:t>废水计，生活污泥产生量约0.</w:t>
            </w:r>
            <w:r>
              <w:rPr>
                <w:rFonts w:hint="eastAsia"/>
                <w:sz w:val="24"/>
                <w:szCs w:val="24"/>
                <w:lang w:val="en-US" w:eastAsia="zh-CN"/>
              </w:rPr>
              <w:t>18</w:t>
            </w:r>
            <w:r>
              <w:rPr>
                <w:rFonts w:hint="eastAsia"/>
                <w:sz w:val="24"/>
                <w:szCs w:val="24"/>
              </w:rPr>
              <w:t>t</w:t>
            </w:r>
            <w:r>
              <w:rPr>
                <w:sz w:val="24"/>
                <w:szCs w:val="24"/>
              </w:rPr>
              <w:t>/a</w:t>
            </w:r>
            <w:r>
              <w:rPr>
                <w:rFonts w:hint="eastAsia"/>
                <w:sz w:val="24"/>
                <w:szCs w:val="24"/>
                <w:lang w:eastAsia="zh-CN"/>
              </w:rPr>
              <w:t>，定期</w:t>
            </w:r>
            <w:r>
              <w:rPr>
                <w:rFonts w:hint="eastAsia"/>
                <w:sz w:val="24"/>
                <w:szCs w:val="24"/>
              </w:rPr>
              <w:t>清掏</w:t>
            </w:r>
            <w:r>
              <w:rPr>
                <w:rFonts w:hint="eastAsia"/>
                <w:sz w:val="24"/>
                <w:szCs w:val="24"/>
                <w:lang w:eastAsia="zh-CN"/>
              </w:rPr>
              <w:t>，交由</w:t>
            </w:r>
            <w:r>
              <w:rPr>
                <w:rFonts w:hint="eastAsia"/>
                <w:sz w:val="24"/>
                <w:szCs w:val="24"/>
              </w:rPr>
              <w:t>环卫部门</w:t>
            </w:r>
            <w:r>
              <w:rPr>
                <w:rFonts w:hint="eastAsia"/>
                <w:sz w:val="24"/>
                <w:szCs w:val="24"/>
                <w:lang w:eastAsia="zh-CN"/>
              </w:rPr>
              <w:t>清运</w:t>
            </w:r>
            <w:r>
              <w:rPr>
                <w:rFonts w:hint="eastAsia"/>
                <w:sz w:val="24"/>
                <w:szCs w:val="24"/>
              </w:rPr>
              <w:t>处理</w:t>
            </w:r>
            <w:r>
              <w:rPr>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8"/>
                <w:lang w:val="en-US" w:eastAsia="zh-CN"/>
              </w:rPr>
            </w:pPr>
            <w:r>
              <w:rPr>
                <w:rFonts w:hint="eastAsia"/>
                <w:b/>
                <w:bCs/>
                <w:color w:val="auto"/>
                <w:sz w:val="24"/>
                <w:szCs w:val="28"/>
                <w:lang w:eastAsia="zh-CN"/>
              </w:rPr>
              <w:t>沉淀池沉渣：</w:t>
            </w:r>
            <w:r>
              <w:rPr>
                <w:rFonts w:hint="eastAsia"/>
                <w:b w:val="0"/>
                <w:bCs w:val="0"/>
                <w:color w:val="auto"/>
                <w:sz w:val="24"/>
                <w:szCs w:val="28"/>
                <w:lang w:eastAsia="zh-CN"/>
              </w:rPr>
              <w:t>本项目玻璃清洗过程中会产生污水，污水经沉淀池沉淀后回用，沉渣定期清掏，沉淀池沉渣产生量约为</w:t>
            </w:r>
            <w:r>
              <w:rPr>
                <w:rFonts w:hint="eastAsia"/>
                <w:b w:val="0"/>
                <w:bCs w:val="0"/>
                <w:color w:val="auto"/>
                <w:sz w:val="24"/>
                <w:szCs w:val="28"/>
                <w:lang w:val="en-US" w:eastAsia="zh-CN"/>
              </w:rPr>
              <w:t>0.1t/a</w:t>
            </w:r>
            <w:r>
              <w:rPr>
                <w:rFonts w:hint="eastAsia"/>
                <w:b w:val="0"/>
                <w:bCs w:val="0"/>
                <w:sz w:val="24"/>
                <w:szCs w:val="24"/>
                <w:lang w:eastAsia="zh-CN"/>
              </w:rPr>
              <w:t>，</w:t>
            </w:r>
            <w:r>
              <w:rPr>
                <w:rFonts w:hint="eastAsia"/>
                <w:sz w:val="24"/>
                <w:szCs w:val="24"/>
                <w:lang w:eastAsia="zh-CN"/>
              </w:rPr>
              <w:t>定期</w:t>
            </w:r>
            <w:r>
              <w:rPr>
                <w:rFonts w:hint="eastAsia"/>
                <w:sz w:val="24"/>
                <w:szCs w:val="24"/>
              </w:rPr>
              <w:t>清掏</w:t>
            </w:r>
            <w:r>
              <w:rPr>
                <w:rFonts w:hint="eastAsia"/>
                <w:sz w:val="24"/>
                <w:szCs w:val="24"/>
                <w:lang w:eastAsia="zh-CN"/>
              </w:rPr>
              <w:t>，交由</w:t>
            </w:r>
            <w:r>
              <w:rPr>
                <w:rFonts w:hint="eastAsia"/>
                <w:sz w:val="24"/>
                <w:szCs w:val="24"/>
              </w:rPr>
              <w:t>环卫部门</w:t>
            </w:r>
            <w:r>
              <w:rPr>
                <w:rFonts w:hint="eastAsia"/>
                <w:sz w:val="24"/>
                <w:szCs w:val="24"/>
                <w:lang w:eastAsia="zh-CN"/>
              </w:rPr>
              <w:t>清运</w:t>
            </w:r>
            <w:r>
              <w:rPr>
                <w:rFonts w:hint="eastAsia"/>
                <w:sz w:val="24"/>
                <w:szCs w:val="24"/>
              </w:rPr>
              <w:t>处理</w:t>
            </w:r>
            <w:r>
              <w:rPr>
                <w:rFonts w:hint="eastAsia"/>
                <w:b w:val="0"/>
                <w:bCs w:val="0"/>
                <w:color w:val="auto"/>
                <w:sz w:val="24"/>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color w:val="auto"/>
                <w:sz w:val="24"/>
                <w:szCs w:val="28"/>
                <w:lang w:eastAsia="zh-CN"/>
              </w:rPr>
            </w:pPr>
            <w:r>
              <w:rPr>
                <w:rFonts w:hint="eastAsia"/>
                <w:b/>
                <w:bCs/>
                <w:color w:val="auto"/>
                <w:sz w:val="24"/>
                <w:szCs w:val="28"/>
                <w:lang w:eastAsia="zh-CN"/>
              </w:rPr>
              <w:t>废离子交换树脂：</w:t>
            </w:r>
            <w:r>
              <w:rPr>
                <w:rFonts w:hint="eastAsia"/>
                <w:color w:val="auto"/>
                <w:sz w:val="24"/>
                <w:szCs w:val="28"/>
                <w:lang w:eastAsia="zh-CN"/>
              </w:rPr>
              <w:t>纯水制备系统需定期更换离子交换树脂，产生废离</w:t>
            </w:r>
            <w:r>
              <w:rPr>
                <w:color w:val="auto"/>
                <w:spacing w:val="-9"/>
                <w:sz w:val="24"/>
                <w:lang w:eastAsia="zh-CN"/>
              </w:rPr>
              <w:t>子交换树脂约</w:t>
            </w:r>
            <w:r>
              <w:rPr>
                <w:rFonts w:hint="eastAsia" w:cs="Times New Roman"/>
                <w:color w:val="auto"/>
                <w:sz w:val="24"/>
                <w:szCs w:val="24"/>
                <w:lang w:val="en-US" w:eastAsia="zh-CN"/>
              </w:rPr>
              <w:t>0.1</w:t>
            </w:r>
            <w:r>
              <w:rPr>
                <w:rFonts w:ascii="Times New Roman" w:hAnsi="Times New Roman" w:cs="Times New Roman"/>
                <w:color w:val="auto"/>
                <w:sz w:val="24"/>
                <w:szCs w:val="24"/>
                <w:lang w:eastAsia="zh-CN"/>
              </w:rPr>
              <w:t>t/a</w:t>
            </w:r>
            <w:r>
              <w:rPr>
                <w:color w:val="auto"/>
                <w:spacing w:val="-15"/>
                <w:sz w:val="24"/>
                <w:lang w:eastAsia="zh-CN"/>
              </w:rPr>
              <w:t>，</w:t>
            </w:r>
            <w:r>
              <w:rPr>
                <w:rFonts w:hint="eastAsia"/>
                <w:color w:val="auto"/>
                <w:sz w:val="24"/>
                <w:szCs w:val="28"/>
                <w:lang w:eastAsia="zh-CN"/>
              </w:rPr>
              <w:t>属于一般固废，纯水制备系统需定期更换离子交换树脂，更换下来的废离子交换树脂由厂家回收处理，不在项目场地内暂存。</w:t>
            </w:r>
          </w:p>
          <w:p>
            <w:pPr>
              <w:spacing w:line="360" w:lineRule="auto"/>
              <w:ind w:firstLine="482" w:firstLineChars="200"/>
              <w:rPr>
                <w:rFonts w:hint="eastAsia"/>
                <w:sz w:val="24"/>
                <w:szCs w:val="24"/>
              </w:rPr>
            </w:pPr>
            <w:r>
              <w:rPr>
                <w:b/>
                <w:bCs/>
                <w:color w:val="auto"/>
                <w:kern w:val="0"/>
                <w:sz w:val="24"/>
              </w:rPr>
              <w:t>废空气过滤器滤料：</w:t>
            </w:r>
            <w:r>
              <w:rPr>
                <w:color w:val="auto"/>
                <w:kern w:val="0"/>
                <w:sz w:val="24"/>
              </w:rPr>
              <w:t>项目运营期间</w:t>
            </w:r>
            <w:r>
              <w:rPr>
                <w:rFonts w:hint="eastAsia"/>
                <w:color w:val="auto"/>
                <w:kern w:val="0"/>
                <w:sz w:val="24"/>
                <w:lang w:eastAsia="zh-CN"/>
              </w:rPr>
              <w:t>涂膜工段</w:t>
            </w:r>
            <w:r>
              <w:rPr>
                <w:rFonts w:hint="eastAsia"/>
                <w:color w:val="auto"/>
                <w:kern w:val="0"/>
                <w:sz w:val="24"/>
              </w:rPr>
              <w:t>空气净化</w:t>
            </w:r>
            <w:r>
              <w:rPr>
                <w:color w:val="auto"/>
                <w:kern w:val="0"/>
                <w:sz w:val="24"/>
              </w:rPr>
              <w:t>经空气过滤器吸附处理，高效空气过滤器滤料需定期更换，更换后产生的废空气过滤器滤料量约0.02t/a</w:t>
            </w:r>
            <w:r>
              <w:rPr>
                <w:rFonts w:hint="eastAsia"/>
                <w:color w:val="auto"/>
                <w:kern w:val="0"/>
                <w:sz w:val="24"/>
                <w:lang w:eastAsia="zh-CN"/>
              </w:rPr>
              <w:t>，定期收集后由厂家回收</w:t>
            </w:r>
            <w:r>
              <w:rPr>
                <w:rFonts w:hint="eastAsia"/>
                <w:color w:val="auto"/>
                <w:kern w:val="0"/>
                <w:sz w:val="24"/>
              </w:rPr>
              <w:t>。</w:t>
            </w:r>
          </w:p>
          <w:p>
            <w:pPr>
              <w:spacing w:line="360" w:lineRule="auto"/>
              <w:ind w:firstLine="480" w:firstLineChars="200"/>
              <w:rPr>
                <w:sz w:val="24"/>
                <w:szCs w:val="24"/>
              </w:rPr>
            </w:pPr>
            <w:r>
              <w:rPr>
                <w:rFonts w:hint="eastAsia"/>
                <w:sz w:val="24"/>
                <w:szCs w:val="24"/>
              </w:rPr>
              <w:t>综上</w:t>
            </w:r>
            <w:r>
              <w:rPr>
                <w:sz w:val="24"/>
                <w:szCs w:val="24"/>
              </w:rPr>
              <w:t>所述</w:t>
            </w:r>
            <w:r>
              <w:rPr>
                <w:rFonts w:hint="eastAsia"/>
                <w:sz w:val="24"/>
                <w:szCs w:val="24"/>
              </w:rPr>
              <w:t>，项目一般固体废物污染源源强核算结果见下表：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表4-1</w:t>
            </w:r>
            <w:r>
              <w:rPr>
                <w:rFonts w:hint="eastAsia" w:cs="黑体"/>
                <w:b/>
                <w:bCs/>
                <w:color w:val="auto"/>
                <w:kern w:val="2"/>
                <w:sz w:val="21"/>
                <w:szCs w:val="22"/>
                <w:shd w:val="clear" w:color="auto" w:fill="auto"/>
                <w:lang w:val="en-US" w:eastAsia="zh-CN" w:bidi="ar-SA"/>
              </w:rPr>
              <w:t>4</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一般固体废物污染源源强核算结果表</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1200"/>
              <w:gridCol w:w="989"/>
              <w:gridCol w:w="1216"/>
              <w:gridCol w:w="1053"/>
              <w:gridCol w:w="23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55" w:type="pct"/>
                  <w:vMerge w:val="restart"/>
                  <w:tcBorders>
                    <w:tl2br w:val="nil"/>
                    <w:tr2bl w:val="nil"/>
                  </w:tcBorders>
                  <w:vAlign w:val="center"/>
                </w:tcPr>
                <w:p>
                  <w:pPr>
                    <w:pStyle w:val="43"/>
                  </w:pPr>
                  <w:r>
                    <w:rPr>
                      <w:rFonts w:hint="eastAsia"/>
                    </w:rPr>
                    <w:t>产生源</w:t>
                  </w:r>
                </w:p>
              </w:tc>
              <w:tc>
                <w:tcPr>
                  <w:tcW w:w="744" w:type="pct"/>
                  <w:vMerge w:val="restart"/>
                  <w:tcBorders>
                    <w:tl2br w:val="nil"/>
                    <w:tr2bl w:val="nil"/>
                  </w:tcBorders>
                  <w:vAlign w:val="center"/>
                </w:tcPr>
                <w:p>
                  <w:pPr>
                    <w:pStyle w:val="43"/>
                  </w:pPr>
                  <w:r>
                    <w:t>固体废物名称</w:t>
                  </w:r>
                </w:p>
              </w:tc>
              <w:tc>
                <w:tcPr>
                  <w:tcW w:w="613" w:type="pct"/>
                  <w:vMerge w:val="restart"/>
                  <w:tcBorders>
                    <w:tl2br w:val="nil"/>
                    <w:tr2bl w:val="nil"/>
                  </w:tcBorders>
                  <w:vAlign w:val="center"/>
                </w:tcPr>
                <w:p>
                  <w:pPr>
                    <w:pStyle w:val="43"/>
                  </w:pPr>
                  <w:r>
                    <w:rPr>
                      <w:rFonts w:hint="eastAsia"/>
                    </w:rPr>
                    <w:t>产生量（t</w:t>
                  </w:r>
                  <w:r>
                    <w:t>/a</w:t>
                  </w:r>
                  <w:r>
                    <w:rPr>
                      <w:rFonts w:hint="eastAsia"/>
                    </w:rPr>
                    <w:t>）</w:t>
                  </w:r>
                </w:p>
              </w:tc>
              <w:tc>
                <w:tcPr>
                  <w:tcW w:w="1407" w:type="pct"/>
                  <w:gridSpan w:val="2"/>
                  <w:tcBorders>
                    <w:tl2br w:val="nil"/>
                    <w:tr2bl w:val="nil"/>
                  </w:tcBorders>
                  <w:vAlign w:val="center"/>
                </w:tcPr>
                <w:p>
                  <w:pPr>
                    <w:pStyle w:val="43"/>
                  </w:pPr>
                  <w:r>
                    <w:rPr>
                      <w:rFonts w:hint="eastAsia"/>
                    </w:rPr>
                    <w:t>处置措施</w:t>
                  </w:r>
                </w:p>
              </w:tc>
              <w:tc>
                <w:tcPr>
                  <w:tcW w:w="1478" w:type="pct"/>
                  <w:vMerge w:val="restart"/>
                  <w:tcBorders>
                    <w:tl2br w:val="nil"/>
                    <w:tr2bl w:val="nil"/>
                  </w:tcBorders>
                  <w:vAlign w:val="center"/>
                </w:tcPr>
                <w:p>
                  <w:pPr>
                    <w:pStyle w:val="43"/>
                  </w:pPr>
                  <w:r>
                    <w:rPr>
                      <w:rFonts w:hint="eastAsia"/>
                    </w:rPr>
                    <w:t>最终去向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55" w:type="pct"/>
                  <w:vMerge w:val="continue"/>
                  <w:tcBorders>
                    <w:tl2br w:val="nil"/>
                    <w:tr2bl w:val="nil"/>
                  </w:tcBorders>
                  <w:vAlign w:val="center"/>
                </w:tcPr>
                <w:p>
                  <w:pPr>
                    <w:jc w:val="center"/>
                    <w:rPr>
                      <w:szCs w:val="21"/>
                    </w:rPr>
                  </w:pPr>
                </w:p>
              </w:tc>
              <w:tc>
                <w:tcPr>
                  <w:tcW w:w="744" w:type="pct"/>
                  <w:vMerge w:val="continue"/>
                  <w:tcBorders>
                    <w:tl2br w:val="nil"/>
                    <w:tr2bl w:val="nil"/>
                  </w:tcBorders>
                  <w:vAlign w:val="center"/>
                </w:tcPr>
                <w:p>
                  <w:pPr>
                    <w:jc w:val="center"/>
                    <w:rPr>
                      <w:szCs w:val="21"/>
                    </w:rPr>
                  </w:pPr>
                </w:p>
              </w:tc>
              <w:tc>
                <w:tcPr>
                  <w:tcW w:w="613" w:type="pct"/>
                  <w:vMerge w:val="continue"/>
                  <w:tcBorders>
                    <w:tl2br w:val="nil"/>
                    <w:tr2bl w:val="nil"/>
                  </w:tcBorders>
                  <w:vAlign w:val="center"/>
                </w:tcPr>
                <w:p>
                  <w:pPr>
                    <w:jc w:val="center"/>
                    <w:rPr>
                      <w:szCs w:val="21"/>
                    </w:rPr>
                  </w:pPr>
                </w:p>
              </w:tc>
              <w:tc>
                <w:tcPr>
                  <w:tcW w:w="754" w:type="pct"/>
                  <w:tcBorders>
                    <w:tl2br w:val="nil"/>
                    <w:tr2bl w:val="nil"/>
                  </w:tcBorders>
                  <w:vAlign w:val="center"/>
                </w:tcPr>
                <w:p>
                  <w:pPr>
                    <w:pStyle w:val="43"/>
                  </w:pPr>
                  <w:r>
                    <w:rPr>
                      <w:rFonts w:hint="eastAsia"/>
                    </w:rPr>
                    <w:t>工艺</w:t>
                  </w:r>
                </w:p>
              </w:tc>
              <w:tc>
                <w:tcPr>
                  <w:tcW w:w="653" w:type="pct"/>
                  <w:tcBorders>
                    <w:tl2br w:val="nil"/>
                    <w:tr2bl w:val="nil"/>
                  </w:tcBorders>
                  <w:vAlign w:val="center"/>
                </w:tcPr>
                <w:p>
                  <w:pPr>
                    <w:pStyle w:val="43"/>
                  </w:pPr>
                  <w:r>
                    <w:rPr>
                      <w:rFonts w:hint="eastAsia"/>
                    </w:rPr>
                    <w:t>处置量（t/</w:t>
                  </w:r>
                  <w:r>
                    <w:t>a</w:t>
                  </w:r>
                  <w:r>
                    <w:rPr>
                      <w:rFonts w:hint="eastAsia"/>
                    </w:rPr>
                    <w:t>）</w:t>
                  </w:r>
                </w:p>
              </w:tc>
              <w:tc>
                <w:tcPr>
                  <w:tcW w:w="1478" w:type="pct"/>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rFonts w:hint="eastAsia"/>
                      <w:szCs w:val="21"/>
                    </w:rPr>
                    <w:t>生产人员</w:t>
                  </w:r>
                </w:p>
              </w:tc>
              <w:tc>
                <w:tcPr>
                  <w:tcW w:w="744"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rFonts w:hint="eastAsia"/>
                      <w:szCs w:val="21"/>
                    </w:rPr>
                    <w:t>生活垃圾</w:t>
                  </w:r>
                </w:p>
              </w:tc>
              <w:tc>
                <w:tcPr>
                  <w:tcW w:w="613" w:type="pct"/>
                  <w:tcBorders>
                    <w:tl2br w:val="nil"/>
                    <w:tr2bl w:val="nil"/>
                  </w:tcBorders>
                  <w:vAlign w:val="center"/>
                </w:tcPr>
                <w:p>
                  <w:pPr>
                    <w:jc w:val="center"/>
                    <w:rPr>
                      <w:rFonts w:hint="default" w:ascii="Times New Roman" w:hAnsi="Times New Roman" w:eastAsia="宋体" w:cs="黑体"/>
                      <w:kern w:val="2"/>
                      <w:sz w:val="21"/>
                      <w:szCs w:val="21"/>
                      <w:lang w:val="en-US" w:eastAsia="zh-CN" w:bidi="ar-SA"/>
                    </w:rPr>
                  </w:pPr>
                  <w:r>
                    <w:rPr>
                      <w:rFonts w:hint="eastAsia"/>
                      <w:szCs w:val="21"/>
                      <w:lang w:val="en-US" w:eastAsia="zh-CN"/>
                    </w:rPr>
                    <w:t>0.6</w:t>
                  </w:r>
                </w:p>
              </w:tc>
              <w:tc>
                <w:tcPr>
                  <w:tcW w:w="754"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rFonts w:hint="eastAsia"/>
                      <w:szCs w:val="21"/>
                    </w:rPr>
                    <w:t>委托处置</w:t>
                  </w:r>
                </w:p>
              </w:tc>
              <w:tc>
                <w:tcPr>
                  <w:tcW w:w="653" w:type="pct"/>
                  <w:tcBorders>
                    <w:tl2br w:val="nil"/>
                    <w:tr2bl w:val="nil"/>
                  </w:tcBorders>
                  <w:vAlign w:val="center"/>
                </w:tcPr>
                <w:p>
                  <w:pPr>
                    <w:jc w:val="center"/>
                    <w:rPr>
                      <w:rFonts w:hint="default" w:ascii="Times New Roman" w:hAnsi="Times New Roman" w:eastAsia="宋体" w:cs="黑体"/>
                      <w:kern w:val="2"/>
                      <w:sz w:val="21"/>
                      <w:szCs w:val="21"/>
                      <w:lang w:val="en-US" w:eastAsia="zh-CN" w:bidi="ar-SA"/>
                    </w:rPr>
                  </w:pPr>
                  <w:r>
                    <w:rPr>
                      <w:rFonts w:hint="eastAsia"/>
                      <w:szCs w:val="21"/>
                      <w:lang w:val="en-US" w:eastAsia="zh-CN"/>
                    </w:rPr>
                    <w:t>0.6</w:t>
                  </w:r>
                </w:p>
              </w:tc>
              <w:tc>
                <w:tcPr>
                  <w:tcW w:w="1478"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rFonts w:hint="eastAsia"/>
                      <w:szCs w:val="21"/>
                    </w:rPr>
                    <w:t>交由环卫部门清运处理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rFonts w:hint="eastAsia" w:ascii="Times New Roman" w:hAnsi="Times New Roman" w:eastAsia="宋体" w:cs="黑体"/>
                      <w:kern w:val="2"/>
                      <w:sz w:val="21"/>
                      <w:szCs w:val="21"/>
                      <w:lang w:val="en-US" w:eastAsia="zh-CN" w:bidi="ar-SA"/>
                    </w:rPr>
                  </w:pPr>
                  <w:r>
                    <w:rPr>
                      <w:rFonts w:hint="eastAsia"/>
                      <w:szCs w:val="21"/>
                    </w:rPr>
                    <w:t>检测</w:t>
                  </w:r>
                </w:p>
              </w:tc>
              <w:tc>
                <w:tcPr>
                  <w:tcW w:w="744"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szCs w:val="21"/>
                    </w:rPr>
                    <w:t>不</w:t>
                  </w:r>
                  <w:r>
                    <w:rPr>
                      <w:rFonts w:hint="eastAsia"/>
                      <w:szCs w:val="21"/>
                      <w:lang w:eastAsia="zh-CN"/>
                    </w:rPr>
                    <w:t>合格</w:t>
                  </w:r>
                  <w:r>
                    <w:rPr>
                      <w:rFonts w:hint="eastAsia"/>
                      <w:szCs w:val="21"/>
                    </w:rPr>
                    <w:t>涂膜玻璃</w:t>
                  </w:r>
                </w:p>
              </w:tc>
              <w:tc>
                <w:tcPr>
                  <w:tcW w:w="613"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szCs w:val="21"/>
                    </w:rPr>
                    <w:t>1</w:t>
                  </w:r>
                </w:p>
              </w:tc>
              <w:tc>
                <w:tcPr>
                  <w:tcW w:w="754" w:type="pct"/>
                  <w:tcBorders>
                    <w:tl2br w:val="nil"/>
                    <w:tr2bl w:val="nil"/>
                  </w:tcBorders>
                  <w:vAlign w:val="center"/>
                </w:tcPr>
                <w:p>
                  <w:pPr>
                    <w:jc w:val="center"/>
                    <w:rPr>
                      <w:rFonts w:hint="eastAsia" w:ascii="Times New Roman" w:hAnsi="Times New Roman" w:eastAsia="宋体" w:cs="黑体"/>
                      <w:kern w:val="2"/>
                      <w:sz w:val="21"/>
                      <w:szCs w:val="21"/>
                      <w:lang w:val="en-US" w:eastAsia="zh-CN" w:bidi="ar-SA"/>
                    </w:rPr>
                  </w:pPr>
                  <w:r>
                    <w:rPr>
                      <w:rFonts w:hint="eastAsia"/>
                      <w:szCs w:val="21"/>
                    </w:rPr>
                    <w:t>委托利用</w:t>
                  </w:r>
                </w:p>
              </w:tc>
              <w:tc>
                <w:tcPr>
                  <w:tcW w:w="653" w:type="pct"/>
                  <w:tcBorders>
                    <w:tl2br w:val="nil"/>
                    <w:tr2bl w:val="nil"/>
                  </w:tcBorders>
                  <w:vAlign w:val="center"/>
                </w:tcPr>
                <w:p>
                  <w:pPr>
                    <w:jc w:val="center"/>
                    <w:rPr>
                      <w:rFonts w:ascii="Times New Roman" w:hAnsi="Times New Roman" w:eastAsia="宋体" w:cs="黑体"/>
                      <w:kern w:val="2"/>
                      <w:sz w:val="21"/>
                      <w:szCs w:val="21"/>
                      <w:lang w:val="en-US" w:eastAsia="zh-CN" w:bidi="ar-SA"/>
                    </w:rPr>
                  </w:pPr>
                  <w:r>
                    <w:rPr>
                      <w:szCs w:val="21"/>
                    </w:rPr>
                    <w:t>1</w:t>
                  </w:r>
                </w:p>
              </w:tc>
              <w:tc>
                <w:tcPr>
                  <w:tcW w:w="1478" w:type="pct"/>
                  <w:tcBorders>
                    <w:tl2br w:val="nil"/>
                    <w:tr2bl w:val="nil"/>
                  </w:tcBorders>
                  <w:vAlign w:val="center"/>
                </w:tcPr>
                <w:p>
                  <w:pPr>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cs="黑体"/>
                      <w:kern w:val="2"/>
                      <w:sz w:val="21"/>
                      <w:szCs w:val="21"/>
                      <w:lang w:val="en-US" w:eastAsia="zh-CN" w:bidi="ar-SA"/>
                    </w:rPr>
                    <w:t>收集后外售物资回收部门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szCs w:val="21"/>
                    </w:rPr>
                  </w:pPr>
                  <w:r>
                    <w:rPr>
                      <w:rFonts w:hint="eastAsia"/>
                      <w:szCs w:val="21"/>
                    </w:rPr>
                    <w:t>包装</w:t>
                  </w:r>
                </w:p>
              </w:tc>
              <w:tc>
                <w:tcPr>
                  <w:tcW w:w="744" w:type="pct"/>
                  <w:tcBorders>
                    <w:tl2br w:val="nil"/>
                    <w:tr2bl w:val="nil"/>
                  </w:tcBorders>
                  <w:vAlign w:val="center"/>
                </w:tcPr>
                <w:p>
                  <w:pPr>
                    <w:jc w:val="center"/>
                    <w:rPr>
                      <w:szCs w:val="21"/>
                    </w:rPr>
                  </w:pPr>
                  <w:r>
                    <w:rPr>
                      <w:rFonts w:hint="eastAsia"/>
                      <w:szCs w:val="21"/>
                    </w:rPr>
                    <w:t>废包装材料</w:t>
                  </w:r>
                </w:p>
              </w:tc>
              <w:tc>
                <w:tcPr>
                  <w:tcW w:w="613"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0.5</w:t>
                  </w:r>
                </w:p>
              </w:tc>
              <w:tc>
                <w:tcPr>
                  <w:tcW w:w="754" w:type="pct"/>
                  <w:tcBorders>
                    <w:tl2br w:val="nil"/>
                    <w:tr2bl w:val="nil"/>
                  </w:tcBorders>
                  <w:vAlign w:val="center"/>
                </w:tcPr>
                <w:p>
                  <w:pPr>
                    <w:jc w:val="center"/>
                    <w:rPr>
                      <w:szCs w:val="21"/>
                    </w:rPr>
                  </w:pPr>
                  <w:r>
                    <w:rPr>
                      <w:rFonts w:hint="eastAsia"/>
                      <w:szCs w:val="21"/>
                    </w:rPr>
                    <w:t>委托利用</w:t>
                  </w:r>
                </w:p>
              </w:tc>
              <w:tc>
                <w:tcPr>
                  <w:tcW w:w="653" w:type="pct"/>
                  <w:tcBorders>
                    <w:tl2br w:val="nil"/>
                    <w:tr2bl w:val="nil"/>
                  </w:tcBorders>
                  <w:vAlign w:val="center"/>
                </w:tcPr>
                <w:p>
                  <w:pPr>
                    <w:jc w:val="center"/>
                    <w:rPr>
                      <w:rFonts w:hint="eastAsia" w:eastAsia="宋体"/>
                      <w:szCs w:val="21"/>
                      <w:lang w:eastAsia="zh-CN"/>
                    </w:rPr>
                  </w:pPr>
                  <w:r>
                    <w:rPr>
                      <w:rFonts w:hint="eastAsia"/>
                      <w:szCs w:val="21"/>
                    </w:rPr>
                    <w:t>0</w:t>
                  </w:r>
                  <w:r>
                    <w:rPr>
                      <w:szCs w:val="21"/>
                    </w:rPr>
                    <w:t>.</w:t>
                  </w:r>
                  <w:r>
                    <w:rPr>
                      <w:rFonts w:hint="eastAsia"/>
                      <w:szCs w:val="21"/>
                      <w:lang w:val="en-US" w:eastAsia="zh-CN"/>
                    </w:rPr>
                    <w:t>5</w:t>
                  </w:r>
                </w:p>
              </w:tc>
              <w:tc>
                <w:tcPr>
                  <w:tcW w:w="1478" w:type="pct"/>
                  <w:tcBorders>
                    <w:tl2br w:val="nil"/>
                    <w:tr2bl w:val="nil"/>
                  </w:tcBorders>
                  <w:vAlign w:val="center"/>
                </w:tcPr>
                <w:p>
                  <w:pPr>
                    <w:jc w:val="center"/>
                    <w:rPr>
                      <w:szCs w:val="21"/>
                    </w:rPr>
                  </w:pPr>
                  <w:r>
                    <w:rPr>
                      <w:rFonts w:hint="eastAsia"/>
                      <w:szCs w:val="21"/>
                    </w:rPr>
                    <w:t>外售废旧资源回收站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szCs w:val="21"/>
                    </w:rPr>
                  </w:pPr>
                  <w:r>
                    <w:rPr>
                      <w:rFonts w:hint="eastAsia"/>
                      <w:szCs w:val="21"/>
                    </w:rPr>
                    <w:t>预处理池</w:t>
                  </w:r>
                </w:p>
              </w:tc>
              <w:tc>
                <w:tcPr>
                  <w:tcW w:w="744" w:type="pct"/>
                  <w:tcBorders>
                    <w:tl2br w:val="nil"/>
                    <w:tr2bl w:val="nil"/>
                  </w:tcBorders>
                  <w:vAlign w:val="center"/>
                </w:tcPr>
                <w:p>
                  <w:pPr>
                    <w:jc w:val="center"/>
                    <w:rPr>
                      <w:szCs w:val="21"/>
                    </w:rPr>
                  </w:pPr>
                  <w:r>
                    <w:rPr>
                      <w:rFonts w:hint="eastAsia"/>
                      <w:szCs w:val="21"/>
                      <w:lang w:eastAsia="zh-CN"/>
                    </w:rPr>
                    <w:t>预处理池</w:t>
                  </w:r>
                  <w:r>
                    <w:rPr>
                      <w:rFonts w:hint="eastAsia"/>
                      <w:szCs w:val="21"/>
                    </w:rPr>
                    <w:t>污泥</w:t>
                  </w:r>
                </w:p>
              </w:tc>
              <w:tc>
                <w:tcPr>
                  <w:tcW w:w="613"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0.18</w:t>
                  </w:r>
                </w:p>
              </w:tc>
              <w:tc>
                <w:tcPr>
                  <w:tcW w:w="754" w:type="pct"/>
                  <w:tcBorders>
                    <w:tl2br w:val="nil"/>
                    <w:tr2bl w:val="nil"/>
                  </w:tcBorders>
                  <w:vAlign w:val="center"/>
                </w:tcPr>
                <w:p>
                  <w:pPr>
                    <w:jc w:val="center"/>
                    <w:rPr>
                      <w:szCs w:val="21"/>
                    </w:rPr>
                  </w:pPr>
                  <w:r>
                    <w:rPr>
                      <w:rFonts w:hint="eastAsia"/>
                      <w:szCs w:val="21"/>
                    </w:rPr>
                    <w:t>委托处置</w:t>
                  </w:r>
                </w:p>
              </w:tc>
              <w:tc>
                <w:tcPr>
                  <w:tcW w:w="653"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0.18</w:t>
                  </w:r>
                </w:p>
              </w:tc>
              <w:tc>
                <w:tcPr>
                  <w:tcW w:w="1478" w:type="pct"/>
                  <w:tcBorders>
                    <w:tl2br w:val="nil"/>
                    <w:tr2bl w:val="nil"/>
                  </w:tcBorders>
                  <w:vAlign w:val="center"/>
                </w:tcPr>
                <w:p>
                  <w:pPr>
                    <w:jc w:val="center"/>
                    <w:rPr>
                      <w:szCs w:val="21"/>
                    </w:rPr>
                  </w:pPr>
                  <w:r>
                    <w:rPr>
                      <w:rFonts w:hint="eastAsia"/>
                      <w:szCs w:val="21"/>
                      <w:lang w:eastAsia="zh-CN"/>
                    </w:rPr>
                    <w:t>定期</w:t>
                  </w:r>
                  <w:r>
                    <w:rPr>
                      <w:rFonts w:hint="eastAsia"/>
                      <w:szCs w:val="21"/>
                    </w:rPr>
                    <w:t>清掏</w:t>
                  </w:r>
                  <w:r>
                    <w:rPr>
                      <w:rFonts w:hint="eastAsia"/>
                      <w:szCs w:val="21"/>
                      <w:lang w:eastAsia="zh-CN"/>
                    </w:rPr>
                    <w:t>，交由</w:t>
                  </w:r>
                  <w:r>
                    <w:rPr>
                      <w:rFonts w:hint="eastAsia"/>
                      <w:szCs w:val="21"/>
                    </w:rPr>
                    <w:t>环卫部门</w:t>
                  </w:r>
                  <w:r>
                    <w:rPr>
                      <w:rFonts w:hint="eastAsia"/>
                      <w:szCs w:val="21"/>
                      <w:lang w:eastAsia="zh-CN"/>
                    </w:rPr>
                    <w:t>清运</w:t>
                  </w:r>
                  <w:r>
                    <w:rPr>
                      <w:rFonts w:hint="eastAsia"/>
                      <w:szCs w:val="21"/>
                    </w:rPr>
                    <w:t>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rFonts w:hint="eastAsia" w:eastAsia="宋体"/>
                      <w:szCs w:val="21"/>
                      <w:lang w:eastAsia="zh-CN"/>
                    </w:rPr>
                  </w:pPr>
                  <w:r>
                    <w:rPr>
                      <w:rFonts w:hint="eastAsia"/>
                      <w:szCs w:val="21"/>
                      <w:lang w:eastAsia="zh-CN"/>
                    </w:rPr>
                    <w:t>沉淀池</w:t>
                  </w:r>
                </w:p>
              </w:tc>
              <w:tc>
                <w:tcPr>
                  <w:tcW w:w="744" w:type="pct"/>
                  <w:tcBorders>
                    <w:tl2br w:val="nil"/>
                    <w:tr2bl w:val="nil"/>
                  </w:tcBorders>
                  <w:vAlign w:val="center"/>
                </w:tcPr>
                <w:p>
                  <w:pPr>
                    <w:jc w:val="center"/>
                    <w:rPr>
                      <w:rFonts w:hint="eastAsia"/>
                      <w:szCs w:val="21"/>
                      <w:lang w:eastAsia="zh-CN"/>
                    </w:rPr>
                  </w:pPr>
                  <w:r>
                    <w:rPr>
                      <w:rFonts w:hint="eastAsia"/>
                      <w:szCs w:val="21"/>
                      <w:lang w:eastAsia="zh-CN"/>
                    </w:rPr>
                    <w:t>沉淀池沉渣</w:t>
                  </w:r>
                </w:p>
              </w:tc>
              <w:tc>
                <w:tcPr>
                  <w:tcW w:w="613" w:type="pct"/>
                  <w:tcBorders>
                    <w:tl2br w:val="nil"/>
                    <w:tr2bl w:val="nil"/>
                  </w:tcBorders>
                  <w:vAlign w:val="center"/>
                </w:tcPr>
                <w:p>
                  <w:pPr>
                    <w:jc w:val="center"/>
                    <w:rPr>
                      <w:rFonts w:hint="default"/>
                      <w:szCs w:val="21"/>
                      <w:lang w:val="en-US" w:eastAsia="zh-CN"/>
                    </w:rPr>
                  </w:pPr>
                  <w:r>
                    <w:rPr>
                      <w:rFonts w:hint="eastAsia"/>
                      <w:szCs w:val="21"/>
                      <w:lang w:val="en-US" w:eastAsia="zh-CN"/>
                    </w:rPr>
                    <w:t>0.1</w:t>
                  </w:r>
                </w:p>
              </w:tc>
              <w:tc>
                <w:tcPr>
                  <w:tcW w:w="754" w:type="pct"/>
                  <w:tcBorders>
                    <w:tl2br w:val="nil"/>
                    <w:tr2bl w:val="nil"/>
                  </w:tcBorders>
                  <w:vAlign w:val="center"/>
                </w:tcPr>
                <w:p>
                  <w:pPr>
                    <w:jc w:val="center"/>
                    <w:rPr>
                      <w:rFonts w:hint="eastAsia" w:eastAsia="宋体"/>
                      <w:szCs w:val="21"/>
                      <w:lang w:eastAsia="zh-CN"/>
                    </w:rPr>
                  </w:pPr>
                  <w:r>
                    <w:rPr>
                      <w:rFonts w:hint="eastAsia"/>
                      <w:szCs w:val="21"/>
                      <w:lang w:eastAsia="zh-CN"/>
                    </w:rPr>
                    <w:t>委托处置</w:t>
                  </w:r>
                </w:p>
              </w:tc>
              <w:tc>
                <w:tcPr>
                  <w:tcW w:w="653" w:type="pct"/>
                  <w:tcBorders>
                    <w:tl2br w:val="nil"/>
                    <w:tr2bl w:val="nil"/>
                  </w:tcBorders>
                  <w:vAlign w:val="center"/>
                </w:tcPr>
                <w:p>
                  <w:pPr>
                    <w:jc w:val="center"/>
                    <w:rPr>
                      <w:rFonts w:hint="default"/>
                      <w:szCs w:val="21"/>
                      <w:lang w:val="en-US" w:eastAsia="zh-CN"/>
                    </w:rPr>
                  </w:pPr>
                  <w:r>
                    <w:rPr>
                      <w:rFonts w:hint="eastAsia"/>
                      <w:szCs w:val="21"/>
                      <w:lang w:val="en-US" w:eastAsia="zh-CN"/>
                    </w:rPr>
                    <w:t>0.1</w:t>
                  </w:r>
                </w:p>
              </w:tc>
              <w:tc>
                <w:tcPr>
                  <w:tcW w:w="1478" w:type="pct"/>
                  <w:tcBorders>
                    <w:tl2br w:val="nil"/>
                    <w:tr2bl w:val="nil"/>
                  </w:tcBorders>
                  <w:vAlign w:val="center"/>
                </w:tcPr>
                <w:p>
                  <w:pPr>
                    <w:jc w:val="center"/>
                    <w:rPr>
                      <w:rFonts w:hint="eastAsia"/>
                      <w:szCs w:val="21"/>
                      <w:lang w:eastAsia="zh-CN"/>
                    </w:rPr>
                  </w:pPr>
                  <w:r>
                    <w:rPr>
                      <w:rFonts w:hint="eastAsia"/>
                      <w:szCs w:val="21"/>
                      <w:lang w:eastAsia="zh-CN"/>
                    </w:rPr>
                    <w:t>定期</w:t>
                  </w:r>
                  <w:r>
                    <w:rPr>
                      <w:rFonts w:hint="eastAsia"/>
                      <w:szCs w:val="21"/>
                    </w:rPr>
                    <w:t>清掏</w:t>
                  </w:r>
                  <w:r>
                    <w:rPr>
                      <w:rFonts w:hint="eastAsia"/>
                      <w:szCs w:val="21"/>
                      <w:lang w:eastAsia="zh-CN"/>
                    </w:rPr>
                    <w:t>，交由</w:t>
                  </w:r>
                  <w:r>
                    <w:rPr>
                      <w:rFonts w:hint="eastAsia"/>
                      <w:szCs w:val="21"/>
                    </w:rPr>
                    <w:t>环卫部门</w:t>
                  </w:r>
                  <w:r>
                    <w:rPr>
                      <w:rFonts w:hint="eastAsia"/>
                      <w:szCs w:val="21"/>
                      <w:lang w:eastAsia="zh-CN"/>
                    </w:rPr>
                    <w:t>清运</w:t>
                  </w:r>
                  <w:r>
                    <w:rPr>
                      <w:rFonts w:hint="eastAsia"/>
                      <w:szCs w:val="21"/>
                    </w:rPr>
                    <w:t>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rFonts w:hint="eastAsia" w:eastAsia="宋体"/>
                      <w:szCs w:val="21"/>
                      <w:lang w:eastAsia="zh-CN"/>
                    </w:rPr>
                  </w:pPr>
                  <w:r>
                    <w:rPr>
                      <w:rFonts w:hint="eastAsia"/>
                      <w:szCs w:val="21"/>
                      <w:lang w:eastAsia="zh-CN"/>
                    </w:rPr>
                    <w:t>纯水制备</w:t>
                  </w:r>
                </w:p>
              </w:tc>
              <w:tc>
                <w:tcPr>
                  <w:tcW w:w="744" w:type="pct"/>
                  <w:tcBorders>
                    <w:tl2br w:val="nil"/>
                    <w:tr2bl w:val="nil"/>
                  </w:tcBorders>
                  <w:vAlign w:val="center"/>
                </w:tcPr>
                <w:p>
                  <w:pPr>
                    <w:jc w:val="center"/>
                    <w:rPr>
                      <w:rFonts w:hint="eastAsia"/>
                      <w:szCs w:val="21"/>
                      <w:lang w:eastAsia="zh-CN"/>
                    </w:rPr>
                  </w:pPr>
                  <w:r>
                    <w:rPr>
                      <w:rFonts w:hint="eastAsia"/>
                      <w:szCs w:val="21"/>
                    </w:rPr>
                    <w:t>废离子交换树脂</w:t>
                  </w:r>
                </w:p>
              </w:tc>
              <w:tc>
                <w:tcPr>
                  <w:tcW w:w="613" w:type="pct"/>
                  <w:tcBorders>
                    <w:tl2br w:val="nil"/>
                    <w:tr2bl w:val="nil"/>
                  </w:tcBorders>
                  <w:vAlign w:val="center"/>
                </w:tcPr>
                <w:p>
                  <w:pPr>
                    <w:jc w:val="center"/>
                    <w:rPr>
                      <w:rFonts w:hint="default"/>
                      <w:szCs w:val="21"/>
                      <w:lang w:val="en-US" w:eastAsia="zh-CN"/>
                    </w:rPr>
                  </w:pPr>
                  <w:r>
                    <w:rPr>
                      <w:rFonts w:hint="eastAsia"/>
                      <w:szCs w:val="21"/>
                      <w:lang w:val="en-US" w:eastAsia="zh-CN"/>
                    </w:rPr>
                    <w:t>0.1</w:t>
                  </w:r>
                </w:p>
              </w:tc>
              <w:tc>
                <w:tcPr>
                  <w:tcW w:w="754" w:type="pct"/>
                  <w:tcBorders>
                    <w:tl2br w:val="nil"/>
                    <w:tr2bl w:val="nil"/>
                  </w:tcBorders>
                  <w:vAlign w:val="center"/>
                </w:tcPr>
                <w:p>
                  <w:pPr>
                    <w:jc w:val="center"/>
                    <w:rPr>
                      <w:rFonts w:hint="eastAsia" w:eastAsia="宋体"/>
                      <w:szCs w:val="21"/>
                      <w:lang w:eastAsia="zh-CN"/>
                    </w:rPr>
                  </w:pPr>
                  <w:r>
                    <w:rPr>
                      <w:rFonts w:hint="eastAsia"/>
                      <w:szCs w:val="21"/>
                      <w:lang w:eastAsia="zh-CN"/>
                    </w:rPr>
                    <w:t>委托处置</w:t>
                  </w:r>
                </w:p>
              </w:tc>
              <w:tc>
                <w:tcPr>
                  <w:tcW w:w="653" w:type="pct"/>
                  <w:tcBorders>
                    <w:tl2br w:val="nil"/>
                    <w:tr2bl w:val="nil"/>
                  </w:tcBorders>
                  <w:vAlign w:val="center"/>
                </w:tcPr>
                <w:p>
                  <w:pPr>
                    <w:jc w:val="center"/>
                    <w:rPr>
                      <w:rFonts w:hint="default"/>
                      <w:szCs w:val="21"/>
                      <w:lang w:val="en-US" w:eastAsia="zh-CN"/>
                    </w:rPr>
                  </w:pPr>
                  <w:r>
                    <w:rPr>
                      <w:rFonts w:hint="eastAsia"/>
                      <w:szCs w:val="21"/>
                      <w:lang w:val="en-US" w:eastAsia="zh-CN"/>
                    </w:rPr>
                    <w:t>0.1</w:t>
                  </w:r>
                </w:p>
              </w:tc>
              <w:tc>
                <w:tcPr>
                  <w:tcW w:w="1478" w:type="pct"/>
                  <w:tcBorders>
                    <w:tl2br w:val="nil"/>
                    <w:tr2bl w:val="nil"/>
                  </w:tcBorders>
                  <w:vAlign w:val="center"/>
                </w:tcPr>
                <w:p>
                  <w:pPr>
                    <w:jc w:val="center"/>
                    <w:rPr>
                      <w:rFonts w:hint="eastAsia"/>
                      <w:szCs w:val="21"/>
                      <w:lang w:eastAsia="zh-CN"/>
                    </w:rPr>
                  </w:pPr>
                  <w:r>
                    <w:rPr>
                      <w:rFonts w:hint="eastAsia"/>
                      <w:szCs w:val="21"/>
                      <w:lang w:eastAsia="zh-CN"/>
                    </w:rPr>
                    <w:t>厂家回收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55" w:type="pct"/>
                  <w:tcBorders>
                    <w:tl2br w:val="nil"/>
                    <w:tr2bl w:val="nil"/>
                  </w:tcBorders>
                  <w:vAlign w:val="center"/>
                </w:tcPr>
                <w:p>
                  <w:pPr>
                    <w:jc w:val="center"/>
                    <w:rPr>
                      <w:rFonts w:hint="eastAsia"/>
                      <w:szCs w:val="21"/>
                      <w:lang w:eastAsia="zh-CN"/>
                    </w:rPr>
                  </w:pPr>
                  <w:r>
                    <w:rPr>
                      <w:rFonts w:hint="eastAsia"/>
                      <w:szCs w:val="21"/>
                      <w:lang w:eastAsia="zh-CN"/>
                    </w:rPr>
                    <w:t>洁净车间</w:t>
                  </w:r>
                </w:p>
              </w:tc>
              <w:tc>
                <w:tcPr>
                  <w:tcW w:w="744" w:type="pct"/>
                  <w:tcBorders>
                    <w:tl2br w:val="nil"/>
                    <w:tr2bl w:val="nil"/>
                  </w:tcBorders>
                  <w:vAlign w:val="center"/>
                </w:tcPr>
                <w:p>
                  <w:pPr>
                    <w:jc w:val="center"/>
                    <w:rPr>
                      <w:rFonts w:hint="eastAsia" w:eastAsia="宋体"/>
                      <w:szCs w:val="21"/>
                      <w:lang w:eastAsia="zh-CN"/>
                    </w:rPr>
                  </w:pPr>
                  <w:r>
                    <w:rPr>
                      <w:rFonts w:hint="eastAsia"/>
                      <w:szCs w:val="21"/>
                      <w:lang w:eastAsia="zh-CN"/>
                    </w:rPr>
                    <w:t>废空气过滤滤料</w:t>
                  </w:r>
                </w:p>
              </w:tc>
              <w:tc>
                <w:tcPr>
                  <w:tcW w:w="613" w:type="pct"/>
                  <w:tcBorders>
                    <w:tl2br w:val="nil"/>
                    <w:tr2bl w:val="nil"/>
                  </w:tcBorders>
                  <w:vAlign w:val="center"/>
                </w:tcPr>
                <w:p>
                  <w:pPr>
                    <w:jc w:val="center"/>
                    <w:rPr>
                      <w:rFonts w:hint="default"/>
                      <w:szCs w:val="21"/>
                      <w:lang w:val="en-US" w:eastAsia="zh-CN"/>
                    </w:rPr>
                  </w:pPr>
                  <w:r>
                    <w:rPr>
                      <w:rFonts w:hint="eastAsia"/>
                      <w:szCs w:val="21"/>
                      <w:lang w:val="en-US" w:eastAsia="zh-CN"/>
                    </w:rPr>
                    <w:t>0.02</w:t>
                  </w:r>
                </w:p>
              </w:tc>
              <w:tc>
                <w:tcPr>
                  <w:tcW w:w="754" w:type="pct"/>
                  <w:tcBorders>
                    <w:tl2br w:val="nil"/>
                    <w:tr2bl w:val="nil"/>
                  </w:tcBorders>
                  <w:vAlign w:val="center"/>
                </w:tcPr>
                <w:p>
                  <w:pPr>
                    <w:jc w:val="center"/>
                    <w:rPr>
                      <w:rFonts w:hint="eastAsia"/>
                      <w:szCs w:val="21"/>
                      <w:lang w:eastAsia="zh-CN"/>
                    </w:rPr>
                  </w:pPr>
                  <w:r>
                    <w:rPr>
                      <w:rFonts w:hint="eastAsia"/>
                      <w:szCs w:val="21"/>
                      <w:lang w:eastAsia="zh-CN"/>
                    </w:rPr>
                    <w:t>委托处置</w:t>
                  </w:r>
                </w:p>
              </w:tc>
              <w:tc>
                <w:tcPr>
                  <w:tcW w:w="653" w:type="pct"/>
                  <w:tcBorders>
                    <w:tl2br w:val="nil"/>
                    <w:tr2bl w:val="nil"/>
                  </w:tcBorders>
                  <w:vAlign w:val="center"/>
                </w:tcPr>
                <w:p>
                  <w:pPr>
                    <w:jc w:val="center"/>
                    <w:rPr>
                      <w:rFonts w:hint="eastAsia"/>
                      <w:szCs w:val="21"/>
                      <w:lang w:val="en-US" w:eastAsia="zh-CN"/>
                    </w:rPr>
                  </w:pPr>
                  <w:r>
                    <w:rPr>
                      <w:rFonts w:hint="eastAsia"/>
                      <w:szCs w:val="21"/>
                      <w:lang w:val="en-US" w:eastAsia="zh-CN"/>
                    </w:rPr>
                    <w:t>0.02</w:t>
                  </w:r>
                </w:p>
              </w:tc>
              <w:tc>
                <w:tcPr>
                  <w:tcW w:w="1478" w:type="pct"/>
                  <w:tcBorders>
                    <w:tl2br w:val="nil"/>
                    <w:tr2bl w:val="nil"/>
                  </w:tcBorders>
                  <w:vAlign w:val="center"/>
                </w:tcPr>
                <w:p>
                  <w:pPr>
                    <w:jc w:val="center"/>
                    <w:rPr>
                      <w:rFonts w:hint="eastAsia"/>
                      <w:szCs w:val="21"/>
                      <w:lang w:eastAsia="zh-CN"/>
                    </w:rPr>
                  </w:pPr>
                  <w:r>
                    <w:rPr>
                      <w:rFonts w:hint="eastAsia"/>
                      <w:szCs w:val="21"/>
                      <w:lang w:eastAsia="zh-CN"/>
                    </w:rPr>
                    <w:t>厂家回收</w:t>
                  </w:r>
                </w:p>
              </w:tc>
            </w:tr>
          </w:tbl>
          <w:p>
            <w:pPr>
              <w:spacing w:line="360" w:lineRule="auto"/>
              <w:ind w:firstLine="482" w:firstLineChars="200"/>
              <w:rPr>
                <w:b/>
                <w:sz w:val="24"/>
                <w:szCs w:val="24"/>
              </w:rPr>
            </w:pPr>
            <w:r>
              <w:rPr>
                <w:rFonts w:hint="eastAsia"/>
                <w:b/>
                <w:sz w:val="24"/>
                <w:szCs w:val="24"/>
              </w:rPr>
              <w:t>（</w:t>
            </w:r>
            <w:r>
              <w:rPr>
                <w:rFonts w:hint="eastAsia"/>
                <w:b/>
                <w:sz w:val="24"/>
                <w:szCs w:val="24"/>
                <w:lang w:val="en-US" w:eastAsia="zh-CN"/>
              </w:rPr>
              <w:t>3</w:t>
            </w:r>
            <w:r>
              <w:rPr>
                <w:rFonts w:hint="eastAsia"/>
                <w:b/>
                <w:sz w:val="24"/>
                <w:szCs w:val="24"/>
              </w:rPr>
              <w:t>）危险废物</w:t>
            </w:r>
          </w:p>
          <w:p>
            <w:pPr>
              <w:widowControl/>
              <w:snapToGrid w:val="0"/>
              <w:spacing w:line="360" w:lineRule="auto"/>
              <w:ind w:firstLine="482" w:firstLineChars="200"/>
              <w:rPr>
                <w:rFonts w:ascii="Times New Roman" w:hAnsi="Times New Roman" w:cs="Times New Roman"/>
                <w:color w:val="auto"/>
                <w:sz w:val="24"/>
                <w:szCs w:val="24"/>
                <w:lang w:val="zh-CN" w:eastAsia="zh-CN"/>
              </w:rPr>
            </w:pPr>
            <w:r>
              <w:rPr>
                <w:rFonts w:ascii="Times New Roman" w:hAnsi="Times New Roman" w:cs="Times New Roman"/>
                <w:b/>
                <w:bCs/>
                <w:color w:val="auto"/>
                <w:sz w:val="24"/>
                <w:szCs w:val="28"/>
                <w:lang w:val="zh-CN" w:eastAsia="zh-CN"/>
              </w:rPr>
              <w:t>废活性炭：</w:t>
            </w:r>
            <w:r>
              <w:rPr>
                <w:rFonts w:ascii="Times New Roman" w:hAnsi="Times New Roman" w:cs="Times New Roman"/>
                <w:color w:val="auto"/>
                <w:sz w:val="24"/>
                <w:szCs w:val="28"/>
                <w:lang w:val="zh-CN" w:eastAsia="zh-CN"/>
              </w:rPr>
              <w:t>本</w:t>
            </w:r>
            <w:r>
              <w:rPr>
                <w:rFonts w:hint="eastAsia" w:cs="Times New Roman"/>
                <w:color w:val="auto"/>
                <w:sz w:val="24"/>
                <w:szCs w:val="28"/>
                <w:lang w:val="zh-CN" w:eastAsia="zh-CN"/>
              </w:rPr>
              <w:t>项目</w:t>
            </w:r>
            <w:r>
              <w:rPr>
                <w:rFonts w:ascii="Times New Roman" w:hAnsi="Times New Roman" w:cs="Times New Roman"/>
                <w:color w:val="auto"/>
                <w:sz w:val="24"/>
                <w:szCs w:val="28"/>
                <w:lang w:val="zh-CN" w:eastAsia="zh-CN"/>
              </w:rPr>
              <w:t>有机废气收集后经</w:t>
            </w:r>
            <w:r>
              <w:rPr>
                <w:rFonts w:hint="eastAsia" w:ascii="Times New Roman" w:hAnsi="Times New Roman" w:cs="Times New Roman"/>
                <w:color w:val="auto"/>
                <w:sz w:val="24"/>
                <w:szCs w:val="28"/>
                <w:lang w:val="zh-CN" w:eastAsia="zh-CN"/>
              </w:rPr>
              <w:t>二级</w:t>
            </w:r>
            <w:r>
              <w:rPr>
                <w:rFonts w:ascii="Times New Roman" w:hAnsi="Times New Roman" w:cs="Times New Roman"/>
                <w:color w:val="auto"/>
                <w:sz w:val="24"/>
                <w:szCs w:val="28"/>
                <w:lang w:val="zh-CN" w:eastAsia="zh-CN"/>
              </w:rPr>
              <w:t>活性炭吸附装置处理后通过</w:t>
            </w:r>
            <w:r>
              <w:rPr>
                <w:rFonts w:hint="eastAsia" w:ascii="Times New Roman" w:hAnsi="Times New Roman" w:cs="Times New Roman"/>
                <w:color w:val="auto"/>
                <w:sz w:val="24"/>
                <w:szCs w:val="28"/>
                <w:lang w:val="en-US" w:eastAsia="zh-CN"/>
              </w:rPr>
              <w:t>15</w:t>
            </w:r>
            <w:r>
              <w:rPr>
                <w:rFonts w:hint="eastAsia" w:ascii="Times New Roman" w:hAnsi="Times New Roman" w:cs="Times New Roman"/>
                <w:color w:val="auto"/>
                <w:sz w:val="24"/>
                <w:szCs w:val="28"/>
                <w:lang w:eastAsia="zh-CN"/>
              </w:rPr>
              <w:t>m</w:t>
            </w:r>
            <w:r>
              <w:rPr>
                <w:rFonts w:ascii="Times New Roman" w:hAnsi="Times New Roman" w:cs="Times New Roman"/>
                <w:color w:val="auto"/>
                <w:sz w:val="24"/>
                <w:szCs w:val="28"/>
                <w:lang w:val="zh-CN" w:eastAsia="zh-CN"/>
              </w:rPr>
              <w:t>高排气筒排放，</w:t>
            </w:r>
            <w:r>
              <w:rPr>
                <w:rFonts w:hint="eastAsia" w:ascii="Times New Roman" w:hAnsi="Times New Roman" w:eastAsia="宋体" w:cs="Times New Roman"/>
                <w:b w:val="0"/>
                <w:bCs w:val="0"/>
                <w:color w:val="auto"/>
                <w:sz w:val="24"/>
                <w:szCs w:val="28"/>
                <w:shd w:val="clear" w:color="auto" w:fill="auto"/>
              </w:rPr>
              <w:t>根据《大气污染治理工程技术导则》 (征求意见稿) 可知，一般活性炭的吸附能力20kg（废气）/100kg(活性炭)计算，</w:t>
            </w:r>
            <w:r>
              <w:rPr>
                <w:rFonts w:hint="eastAsia" w:ascii="Times New Roman" w:hAnsi="Times New Roman" w:eastAsia="宋体" w:cs="Times New Roman"/>
                <w:b w:val="0"/>
                <w:bCs w:val="0"/>
                <w:color w:val="auto"/>
                <w:sz w:val="24"/>
                <w:szCs w:val="28"/>
                <w:shd w:val="clear" w:color="auto" w:fill="auto"/>
                <w:lang w:eastAsia="zh-CN"/>
              </w:rPr>
              <w:t>项目废气</w:t>
            </w:r>
            <w:r>
              <w:rPr>
                <w:rFonts w:hint="eastAsia" w:cs="Times New Roman"/>
                <w:b w:val="0"/>
                <w:bCs w:val="0"/>
                <w:color w:val="auto"/>
                <w:sz w:val="24"/>
                <w:szCs w:val="28"/>
                <w:shd w:val="clear" w:color="auto" w:fill="auto"/>
                <w:lang w:eastAsia="zh-CN"/>
              </w:rPr>
              <w:t>处理量</w:t>
            </w:r>
            <w:r>
              <w:rPr>
                <w:rFonts w:hint="eastAsia" w:ascii="Times New Roman" w:hAnsi="Times New Roman" w:eastAsia="宋体" w:cs="Times New Roman"/>
                <w:b w:val="0"/>
                <w:bCs w:val="0"/>
                <w:color w:val="auto"/>
                <w:sz w:val="24"/>
                <w:szCs w:val="28"/>
                <w:shd w:val="clear" w:color="auto" w:fill="auto"/>
                <w:lang w:eastAsia="zh-CN"/>
              </w:rPr>
              <w:t>为</w:t>
            </w:r>
            <w:r>
              <w:rPr>
                <w:rFonts w:hint="eastAsia" w:cs="Times New Roman"/>
                <w:b w:val="0"/>
                <w:bCs w:val="0"/>
                <w:color w:val="auto"/>
                <w:sz w:val="24"/>
                <w:szCs w:val="28"/>
                <w:shd w:val="clear" w:color="auto" w:fill="auto"/>
                <w:lang w:val="en-US" w:eastAsia="zh-CN"/>
              </w:rPr>
              <w:t>5.4</w:t>
            </w:r>
            <w:r>
              <w:rPr>
                <w:rFonts w:hint="eastAsia" w:ascii="Times New Roman" w:hAnsi="Times New Roman" w:eastAsia="宋体" w:cs="Times New Roman"/>
                <w:b w:val="0"/>
                <w:bCs w:val="0"/>
                <w:color w:val="auto"/>
                <w:sz w:val="24"/>
                <w:szCs w:val="28"/>
                <w:shd w:val="clear" w:color="auto" w:fill="auto"/>
                <w:lang w:val="en-US" w:eastAsia="zh-CN"/>
              </w:rPr>
              <w:t>t/a，</w:t>
            </w:r>
            <w:r>
              <w:rPr>
                <w:rFonts w:hint="eastAsia" w:ascii="Times New Roman" w:hAnsi="Times New Roman" w:eastAsia="宋体" w:cs="Times New Roman"/>
                <w:b w:val="0"/>
                <w:bCs w:val="0"/>
                <w:color w:val="auto"/>
                <w:sz w:val="24"/>
                <w:szCs w:val="28"/>
                <w:shd w:val="clear" w:color="auto" w:fill="auto"/>
              </w:rPr>
              <w:t>项目设置的活性炭净化系统所需活性炭量为</w:t>
            </w:r>
            <w:r>
              <w:rPr>
                <w:rFonts w:hint="eastAsia" w:cs="Times New Roman"/>
                <w:b w:val="0"/>
                <w:bCs w:val="0"/>
                <w:color w:val="auto"/>
                <w:sz w:val="24"/>
                <w:szCs w:val="28"/>
                <w:shd w:val="clear" w:color="auto" w:fill="auto"/>
                <w:lang w:val="en-US" w:eastAsia="zh-CN"/>
              </w:rPr>
              <w:t>27</w:t>
            </w:r>
            <w:r>
              <w:rPr>
                <w:rFonts w:hint="eastAsia" w:ascii="Times New Roman" w:hAnsi="Times New Roman" w:eastAsia="宋体" w:cs="Times New Roman"/>
                <w:b w:val="0"/>
                <w:bCs w:val="0"/>
                <w:color w:val="auto"/>
                <w:sz w:val="24"/>
                <w:szCs w:val="28"/>
                <w:shd w:val="clear" w:color="auto" w:fill="auto"/>
                <w:lang w:val="en-US" w:eastAsia="zh-CN"/>
              </w:rPr>
              <w:t>t</w:t>
            </w:r>
            <w:r>
              <w:rPr>
                <w:rFonts w:hint="eastAsia" w:ascii="Times New Roman" w:hAnsi="Times New Roman" w:eastAsia="宋体" w:cs="Times New Roman"/>
                <w:b w:val="0"/>
                <w:bCs w:val="0"/>
                <w:color w:val="auto"/>
                <w:sz w:val="24"/>
                <w:szCs w:val="28"/>
                <w:shd w:val="clear" w:color="auto" w:fill="auto"/>
              </w:rPr>
              <w:t>/a</w:t>
            </w:r>
            <w:r>
              <w:rPr>
                <w:rFonts w:hint="eastAsia" w:ascii="Times New Roman" w:hAnsi="Times New Roman" w:eastAsia="宋体" w:cs="Times New Roman"/>
                <w:b w:val="0"/>
                <w:bCs w:val="0"/>
                <w:color w:val="auto"/>
                <w:sz w:val="24"/>
                <w:szCs w:val="28"/>
                <w:shd w:val="clear" w:color="auto" w:fill="auto"/>
                <w:lang w:eastAsia="zh-CN"/>
              </w:rPr>
              <w:t>，</w:t>
            </w:r>
            <w:r>
              <w:rPr>
                <w:rFonts w:hint="eastAsia" w:ascii="Times New Roman" w:hAnsi="Times New Roman" w:eastAsia="宋体" w:cs="Times New Roman"/>
                <w:b w:val="0"/>
                <w:bCs w:val="0"/>
                <w:color w:val="auto"/>
                <w:sz w:val="24"/>
                <w:szCs w:val="28"/>
                <w:shd w:val="clear" w:color="auto" w:fill="auto"/>
              </w:rPr>
              <w:t>为保证活性炭吸附效率，环评要求活性炭每</w:t>
            </w:r>
            <w:r>
              <w:rPr>
                <w:rFonts w:hint="eastAsia" w:ascii="Times New Roman" w:hAnsi="Times New Roman" w:eastAsia="宋体" w:cs="Times New Roman"/>
                <w:b w:val="0"/>
                <w:bCs w:val="0"/>
                <w:color w:val="auto"/>
                <w:sz w:val="24"/>
                <w:szCs w:val="28"/>
                <w:shd w:val="clear" w:color="auto" w:fill="auto"/>
                <w:lang w:val="en-US" w:eastAsia="zh-CN"/>
              </w:rPr>
              <w:t>2个月</w:t>
            </w:r>
            <w:r>
              <w:rPr>
                <w:rFonts w:hint="eastAsia" w:ascii="Times New Roman" w:hAnsi="Times New Roman" w:eastAsia="宋体" w:cs="Times New Roman"/>
                <w:b w:val="0"/>
                <w:bCs w:val="0"/>
                <w:color w:val="auto"/>
                <w:sz w:val="24"/>
                <w:szCs w:val="28"/>
                <w:shd w:val="clear" w:color="auto" w:fill="auto"/>
              </w:rPr>
              <w:t>更换一次</w:t>
            </w:r>
            <w:r>
              <w:rPr>
                <w:rFonts w:hint="eastAsia" w:ascii="Times New Roman" w:hAnsi="Times New Roman" w:eastAsia="宋体" w:cs="Times New Roman"/>
                <w:b w:val="0"/>
                <w:bCs w:val="0"/>
                <w:color w:val="auto"/>
                <w:sz w:val="24"/>
                <w:szCs w:val="28"/>
                <w:shd w:val="clear" w:color="auto" w:fill="auto"/>
                <w:lang w:eastAsia="zh-CN"/>
              </w:rPr>
              <w:t>，</w:t>
            </w:r>
            <w:r>
              <w:rPr>
                <w:rFonts w:hint="eastAsia" w:ascii="Times New Roman" w:hAnsi="Times New Roman" w:eastAsia="宋体" w:cs="Times New Roman"/>
                <w:b w:val="0"/>
                <w:bCs w:val="0"/>
                <w:color w:val="auto"/>
                <w:sz w:val="24"/>
                <w:szCs w:val="28"/>
                <w:shd w:val="clear" w:color="auto" w:fill="auto"/>
              </w:rPr>
              <w:t>则每次更换量为</w:t>
            </w:r>
            <w:r>
              <w:rPr>
                <w:rFonts w:hint="eastAsia" w:cs="Times New Roman"/>
                <w:b w:val="0"/>
                <w:bCs w:val="0"/>
                <w:color w:val="auto"/>
                <w:sz w:val="24"/>
                <w:szCs w:val="28"/>
                <w:shd w:val="clear" w:color="auto" w:fill="auto"/>
                <w:lang w:val="en-US" w:eastAsia="zh-CN"/>
              </w:rPr>
              <w:t>4.5</w:t>
            </w:r>
            <w:r>
              <w:rPr>
                <w:rFonts w:hint="eastAsia" w:ascii="Times New Roman" w:hAnsi="Times New Roman" w:eastAsia="宋体" w:cs="Times New Roman"/>
                <w:b w:val="0"/>
                <w:bCs w:val="0"/>
                <w:color w:val="auto"/>
                <w:sz w:val="24"/>
                <w:szCs w:val="28"/>
                <w:shd w:val="clear" w:color="auto" w:fill="auto"/>
              </w:rPr>
              <w:t>t，则本项目每年产生废旧活性炭</w:t>
            </w:r>
            <w:r>
              <w:rPr>
                <w:rFonts w:hint="eastAsia" w:cs="Times New Roman"/>
                <w:b w:val="0"/>
                <w:bCs w:val="0"/>
                <w:color w:val="auto"/>
                <w:sz w:val="24"/>
                <w:szCs w:val="28"/>
                <w:shd w:val="clear" w:color="auto" w:fill="auto"/>
                <w:lang w:val="en-US" w:eastAsia="zh-CN"/>
              </w:rPr>
              <w:t>27</w:t>
            </w:r>
            <w:r>
              <w:rPr>
                <w:rFonts w:hint="eastAsia" w:ascii="Times New Roman" w:hAnsi="Times New Roman" w:eastAsia="宋体" w:cs="Times New Roman"/>
                <w:b w:val="0"/>
                <w:bCs w:val="0"/>
                <w:color w:val="auto"/>
                <w:sz w:val="24"/>
                <w:szCs w:val="28"/>
                <w:shd w:val="clear" w:color="auto" w:fill="auto"/>
              </w:rPr>
              <w:t>t。</w:t>
            </w:r>
            <w:r>
              <w:rPr>
                <w:rFonts w:hint="eastAsia" w:ascii="Times New Roman" w:hAnsi="Times New Roman" w:cs="Times New Roman"/>
                <w:i w:val="0"/>
                <w:iCs w:val="0"/>
                <w:color w:val="auto"/>
                <w:sz w:val="24"/>
                <w:szCs w:val="24"/>
                <w:lang w:eastAsia="zh-CN"/>
              </w:rPr>
              <w:t>其属于《国家危险废物名录（2021年版）》中“HW49 其他废物/非特定行业/ 900-039-49</w:t>
            </w:r>
            <w:r>
              <w:rPr>
                <w:rFonts w:hint="eastAsia" w:ascii="Times New Roman" w:hAnsi="Times New Roman" w:cs="Times New Roman"/>
                <w:i w:val="0"/>
                <w:iCs w:val="0"/>
                <w:color w:val="auto"/>
                <w:sz w:val="24"/>
                <w:szCs w:val="24"/>
                <w:lang w:val="en-US" w:eastAsia="zh-CN"/>
              </w:rPr>
              <w:t>，</w:t>
            </w:r>
            <w:r>
              <w:rPr>
                <w:rFonts w:hint="eastAsia" w:ascii="Times New Roman" w:hAnsi="Times New Roman" w:cs="Times New Roman"/>
                <w:i w:val="0"/>
                <w:iCs w:val="0"/>
                <w:color w:val="auto"/>
                <w:sz w:val="24"/>
                <w:szCs w:val="24"/>
                <w:lang w:eastAsia="zh-CN"/>
              </w:rPr>
              <w:t>VOCs 治理过程（不包括餐饮行业油烟治理过程）产生的废活性炭”。</w:t>
            </w:r>
            <w:r>
              <w:rPr>
                <w:rFonts w:ascii="Times New Roman" w:hAnsi="Times New Roman" w:cs="Times New Roman"/>
                <w:color w:val="auto"/>
                <w:sz w:val="24"/>
                <w:szCs w:val="24"/>
                <w:lang w:eastAsia="zh-CN"/>
              </w:rPr>
              <w:t>废活性炭</w:t>
            </w:r>
            <w:r>
              <w:rPr>
                <w:rFonts w:ascii="Times New Roman" w:hAnsi="Times New Roman" w:cs="Times New Roman"/>
                <w:color w:val="auto"/>
                <w:sz w:val="24"/>
                <w:szCs w:val="28"/>
                <w:lang w:val="zh-CN" w:eastAsia="zh-CN"/>
              </w:rPr>
              <w:t>收集暂存于危废暂存</w:t>
            </w:r>
            <w:r>
              <w:rPr>
                <w:rFonts w:ascii="Times New Roman" w:hAnsi="Times New Roman" w:cs="Times New Roman"/>
                <w:color w:val="auto"/>
                <w:sz w:val="24"/>
                <w:szCs w:val="28"/>
                <w:lang w:eastAsia="zh-CN"/>
              </w:rPr>
              <w:t>间</w:t>
            </w:r>
            <w:r>
              <w:rPr>
                <w:rFonts w:ascii="Times New Roman" w:hAnsi="Times New Roman" w:cs="Times New Roman"/>
                <w:color w:val="auto"/>
                <w:sz w:val="24"/>
                <w:szCs w:val="28"/>
                <w:lang w:val="zh-CN" w:eastAsia="zh-CN"/>
              </w:rPr>
              <w:t>，定期交由有危废处理资质的单位进行处置</w:t>
            </w:r>
            <w:r>
              <w:rPr>
                <w:rFonts w:ascii="Times New Roman" w:hAnsi="Times New Roman" w:cs="Times New Roman"/>
                <w:color w:val="auto"/>
                <w:sz w:val="24"/>
                <w:szCs w:val="24"/>
                <w:lang w:val="zh-CN" w:eastAsia="zh-CN"/>
              </w:rPr>
              <w:t>。</w:t>
            </w:r>
          </w:p>
          <w:p>
            <w:pPr>
              <w:spacing w:line="360" w:lineRule="auto"/>
              <w:ind w:firstLine="482" w:firstLineChars="200"/>
              <w:rPr>
                <w:i/>
                <w:iCs/>
                <w:sz w:val="24"/>
                <w:szCs w:val="24"/>
              </w:rPr>
            </w:pPr>
            <w:r>
              <w:rPr>
                <w:rFonts w:hint="eastAsia"/>
                <w:b/>
                <w:sz w:val="24"/>
                <w:szCs w:val="24"/>
                <w:lang w:eastAsia="zh-CN"/>
              </w:rPr>
              <w:t>隔热剂及</w:t>
            </w:r>
            <w:r>
              <w:rPr>
                <w:rFonts w:hint="eastAsia"/>
                <w:b/>
                <w:sz w:val="24"/>
                <w:szCs w:val="24"/>
              </w:rPr>
              <w:t>包装桶</w:t>
            </w:r>
            <w:r>
              <w:rPr>
                <w:rFonts w:hint="eastAsia"/>
                <w:sz w:val="24"/>
                <w:szCs w:val="24"/>
              </w:rPr>
              <w:t>：主要为</w:t>
            </w:r>
            <w:r>
              <w:rPr>
                <w:rFonts w:hint="eastAsia"/>
                <w:sz w:val="24"/>
                <w:szCs w:val="24"/>
                <w:lang w:eastAsia="zh-CN"/>
              </w:rPr>
              <w:t>剩余少量隔热剂</w:t>
            </w:r>
            <w:r>
              <w:rPr>
                <w:rFonts w:hint="eastAsia"/>
                <w:sz w:val="24"/>
                <w:szCs w:val="24"/>
              </w:rPr>
              <w:t>，以及沾染有</w:t>
            </w:r>
            <w:r>
              <w:rPr>
                <w:rFonts w:hint="eastAsia"/>
                <w:sz w:val="24"/>
                <w:szCs w:val="24"/>
                <w:lang w:eastAsia="zh-CN"/>
              </w:rPr>
              <w:t>隔热剂</w:t>
            </w:r>
            <w:r>
              <w:rPr>
                <w:rFonts w:hint="eastAsia"/>
                <w:sz w:val="24"/>
                <w:szCs w:val="24"/>
              </w:rPr>
              <w:t>的包装桶，产生量约</w:t>
            </w:r>
            <w:r>
              <w:rPr>
                <w:sz w:val="24"/>
                <w:szCs w:val="24"/>
              </w:rPr>
              <w:t>0.</w:t>
            </w:r>
            <w:r>
              <w:rPr>
                <w:rFonts w:hint="eastAsia"/>
                <w:sz w:val="24"/>
                <w:szCs w:val="24"/>
                <w:lang w:val="en-US" w:eastAsia="zh-CN"/>
              </w:rPr>
              <w:t>2</w:t>
            </w:r>
            <w:r>
              <w:rPr>
                <w:rFonts w:hint="eastAsia"/>
                <w:sz w:val="24"/>
                <w:szCs w:val="24"/>
              </w:rPr>
              <w:t>t/a，其属于《国家危险废物名录（2021年版）》中</w:t>
            </w:r>
            <w:r>
              <w:rPr>
                <w:rFonts w:hint="eastAsia"/>
                <w:i w:val="0"/>
                <w:iCs w:val="0"/>
                <w:sz w:val="24"/>
                <w:szCs w:val="24"/>
              </w:rPr>
              <w:t>“HW12染料、涂料废物/900-299-12</w:t>
            </w:r>
            <w:r>
              <w:rPr>
                <w:i w:val="0"/>
                <w:iCs w:val="0"/>
                <w:sz w:val="24"/>
                <w:szCs w:val="24"/>
              </w:rPr>
              <w:t xml:space="preserve"> </w:t>
            </w:r>
            <w:r>
              <w:rPr>
                <w:rFonts w:hint="eastAsia"/>
                <w:i w:val="0"/>
                <w:iCs w:val="0"/>
                <w:sz w:val="24"/>
                <w:szCs w:val="24"/>
              </w:rPr>
              <w:t>生产、销售及使用过程中产生的失效、变质、不合格、淘汰、伪劣的油墨、染料、颜料、油漆（不包括水性漆）”</w:t>
            </w:r>
            <w:r>
              <w:rPr>
                <w:rFonts w:hint="eastAsia"/>
                <w:i w:val="0"/>
                <w:iCs w:val="0"/>
                <w:sz w:val="24"/>
                <w:szCs w:val="24"/>
                <w:lang w:eastAsia="zh-CN"/>
              </w:rPr>
              <w:t>，</w:t>
            </w:r>
            <w:r>
              <w:rPr>
                <w:rFonts w:ascii="Times New Roman" w:hAnsi="Times New Roman" w:cs="Times New Roman"/>
                <w:color w:val="auto"/>
                <w:sz w:val="24"/>
                <w:szCs w:val="28"/>
                <w:lang w:val="zh-CN" w:eastAsia="zh-CN"/>
              </w:rPr>
              <w:t>收集暂存于危废暂存</w:t>
            </w:r>
            <w:r>
              <w:rPr>
                <w:rFonts w:ascii="Times New Roman" w:hAnsi="Times New Roman" w:cs="Times New Roman"/>
                <w:color w:val="auto"/>
                <w:sz w:val="24"/>
                <w:szCs w:val="28"/>
                <w:lang w:eastAsia="zh-CN"/>
              </w:rPr>
              <w:t>间</w:t>
            </w:r>
            <w:r>
              <w:rPr>
                <w:rFonts w:ascii="Times New Roman" w:hAnsi="Times New Roman" w:cs="Times New Roman"/>
                <w:color w:val="auto"/>
                <w:sz w:val="24"/>
                <w:szCs w:val="28"/>
                <w:lang w:val="zh-CN" w:eastAsia="zh-CN"/>
              </w:rPr>
              <w:t>，定期交由有危废处理资质的单位进行处置</w:t>
            </w:r>
            <w:r>
              <w:rPr>
                <w:rFonts w:hint="eastAsia"/>
                <w:i w:val="0"/>
                <w:iCs w:val="0"/>
                <w:sz w:val="24"/>
                <w:szCs w:val="24"/>
              </w:rPr>
              <w:t>。</w:t>
            </w:r>
          </w:p>
          <w:p>
            <w:pPr>
              <w:spacing w:line="360" w:lineRule="auto"/>
              <w:ind w:firstLine="482" w:firstLineChars="200"/>
              <w:rPr>
                <w:sz w:val="24"/>
                <w:szCs w:val="24"/>
              </w:rPr>
            </w:pPr>
            <w:r>
              <w:rPr>
                <w:rFonts w:hint="eastAsia"/>
                <w:b/>
                <w:sz w:val="24"/>
                <w:szCs w:val="24"/>
                <w:lang w:eastAsia="zh-CN"/>
              </w:rPr>
              <w:t>废机油及废机油桶</w:t>
            </w:r>
            <w:r>
              <w:rPr>
                <w:rFonts w:hint="eastAsia"/>
                <w:sz w:val="24"/>
                <w:szCs w:val="24"/>
              </w:rPr>
              <w:t>：主要为设备保养过程中产生的废</w:t>
            </w:r>
            <w:r>
              <w:rPr>
                <w:rFonts w:hint="eastAsia"/>
                <w:sz w:val="24"/>
                <w:szCs w:val="24"/>
                <w:lang w:eastAsia="zh-CN"/>
              </w:rPr>
              <w:t>机油</w:t>
            </w:r>
            <w:r>
              <w:rPr>
                <w:rFonts w:hint="eastAsia"/>
                <w:sz w:val="24"/>
                <w:szCs w:val="24"/>
              </w:rPr>
              <w:t>，以及沾染有</w:t>
            </w:r>
            <w:r>
              <w:rPr>
                <w:rFonts w:hint="eastAsia"/>
                <w:sz w:val="24"/>
                <w:szCs w:val="24"/>
                <w:lang w:eastAsia="zh-CN"/>
              </w:rPr>
              <w:t>机油</w:t>
            </w:r>
            <w:r>
              <w:rPr>
                <w:rFonts w:hint="eastAsia"/>
                <w:sz w:val="24"/>
                <w:szCs w:val="24"/>
              </w:rPr>
              <w:t>的包装桶，产生量约</w:t>
            </w:r>
            <w:r>
              <w:rPr>
                <w:sz w:val="24"/>
                <w:szCs w:val="24"/>
              </w:rPr>
              <w:t>0.0</w:t>
            </w:r>
            <w:r>
              <w:rPr>
                <w:rFonts w:hint="eastAsia"/>
                <w:sz w:val="24"/>
                <w:szCs w:val="24"/>
                <w:lang w:val="en-US" w:eastAsia="zh-CN"/>
              </w:rPr>
              <w:t>1</w:t>
            </w:r>
            <w:r>
              <w:rPr>
                <w:rFonts w:hint="eastAsia"/>
                <w:sz w:val="24"/>
                <w:szCs w:val="24"/>
              </w:rPr>
              <w:t>t/a，其属于《国家危险废物名录（2021年版）》中“</w:t>
            </w:r>
            <w:r>
              <w:rPr>
                <w:rFonts w:hint="eastAsia"/>
                <w:i w:val="0"/>
                <w:iCs/>
                <w:sz w:val="24"/>
                <w:szCs w:val="24"/>
              </w:rPr>
              <w:t>HW</w:t>
            </w:r>
            <w:r>
              <w:rPr>
                <w:i w:val="0"/>
                <w:iCs/>
                <w:sz w:val="24"/>
                <w:szCs w:val="24"/>
              </w:rPr>
              <w:t xml:space="preserve">08 </w:t>
            </w:r>
            <w:r>
              <w:rPr>
                <w:rFonts w:hint="eastAsia"/>
                <w:i w:val="0"/>
                <w:iCs/>
                <w:sz w:val="24"/>
                <w:szCs w:val="24"/>
              </w:rPr>
              <w:t>废矿物油与含矿物油废物</w:t>
            </w:r>
            <w:r>
              <w:rPr>
                <w:i w:val="0"/>
                <w:iCs/>
                <w:sz w:val="24"/>
                <w:szCs w:val="24"/>
              </w:rPr>
              <w:t>/</w:t>
            </w:r>
            <w:r>
              <w:rPr>
                <w:rFonts w:hint="eastAsia"/>
                <w:i w:val="0"/>
                <w:iCs/>
                <w:sz w:val="24"/>
                <w:szCs w:val="24"/>
              </w:rPr>
              <w:t>非特定行业/</w:t>
            </w:r>
            <w:r>
              <w:rPr>
                <w:i w:val="0"/>
                <w:iCs/>
                <w:sz w:val="24"/>
                <w:szCs w:val="24"/>
              </w:rPr>
              <w:t xml:space="preserve">900-249-08 </w:t>
            </w:r>
            <w:r>
              <w:rPr>
                <w:rFonts w:hint="eastAsia"/>
                <w:i w:val="0"/>
                <w:iCs/>
                <w:sz w:val="24"/>
                <w:szCs w:val="24"/>
              </w:rPr>
              <w:t>其他生产、销售、使用过程中产生的废矿物油及沾染矿物油的废弃包装物</w:t>
            </w:r>
            <w:r>
              <w:rPr>
                <w:rFonts w:hint="eastAsia"/>
                <w:sz w:val="24"/>
                <w:szCs w:val="24"/>
              </w:rPr>
              <w:t>”</w:t>
            </w:r>
            <w:r>
              <w:rPr>
                <w:rFonts w:hint="eastAsia"/>
                <w:i w:val="0"/>
                <w:iCs w:val="0"/>
                <w:sz w:val="24"/>
                <w:szCs w:val="24"/>
                <w:lang w:eastAsia="zh-CN"/>
              </w:rPr>
              <w:t>，</w:t>
            </w:r>
            <w:r>
              <w:rPr>
                <w:rFonts w:ascii="Times New Roman" w:hAnsi="Times New Roman" w:cs="Times New Roman"/>
                <w:color w:val="auto"/>
                <w:sz w:val="24"/>
                <w:szCs w:val="28"/>
                <w:lang w:val="zh-CN" w:eastAsia="zh-CN"/>
              </w:rPr>
              <w:t>收集暂存于危废暂存</w:t>
            </w:r>
            <w:r>
              <w:rPr>
                <w:rFonts w:ascii="Times New Roman" w:hAnsi="Times New Roman" w:cs="Times New Roman"/>
                <w:color w:val="auto"/>
                <w:sz w:val="24"/>
                <w:szCs w:val="28"/>
                <w:lang w:eastAsia="zh-CN"/>
              </w:rPr>
              <w:t>间</w:t>
            </w:r>
            <w:r>
              <w:rPr>
                <w:rFonts w:ascii="Times New Roman" w:hAnsi="Times New Roman" w:cs="Times New Roman"/>
                <w:color w:val="auto"/>
                <w:sz w:val="24"/>
                <w:szCs w:val="28"/>
                <w:lang w:val="zh-CN" w:eastAsia="zh-CN"/>
              </w:rPr>
              <w:t>，定期交由有危废处理资质的单位进行处置</w:t>
            </w:r>
            <w:r>
              <w:rPr>
                <w:rFonts w:hint="eastAsia"/>
                <w:sz w:val="24"/>
                <w:szCs w:val="24"/>
              </w:rPr>
              <w:t>。</w:t>
            </w:r>
          </w:p>
          <w:p>
            <w:pPr>
              <w:spacing w:line="360" w:lineRule="auto"/>
              <w:ind w:firstLine="482" w:firstLineChars="200"/>
              <w:rPr>
                <w:sz w:val="24"/>
                <w:szCs w:val="24"/>
              </w:rPr>
            </w:pPr>
            <w:r>
              <w:rPr>
                <w:rFonts w:hint="eastAsia"/>
                <w:b/>
                <w:sz w:val="24"/>
                <w:szCs w:val="24"/>
              </w:rPr>
              <w:t>含油棉纱及手套</w:t>
            </w:r>
            <w:r>
              <w:rPr>
                <w:rFonts w:hint="eastAsia"/>
                <w:sz w:val="24"/>
                <w:szCs w:val="24"/>
              </w:rPr>
              <w:t>：主要为设备保养过程中沾染有机油的手套、棉纱等，产生量约0.</w:t>
            </w:r>
            <w:r>
              <w:rPr>
                <w:sz w:val="24"/>
                <w:szCs w:val="24"/>
              </w:rPr>
              <w:t>01</w:t>
            </w:r>
            <w:r>
              <w:rPr>
                <w:rFonts w:hint="eastAsia"/>
                <w:sz w:val="24"/>
                <w:szCs w:val="24"/>
              </w:rPr>
              <w:t>t/a，其属于《国家危险废物名录（20</w:t>
            </w:r>
            <w:r>
              <w:rPr>
                <w:sz w:val="24"/>
                <w:szCs w:val="24"/>
              </w:rPr>
              <w:t>21年</w:t>
            </w:r>
            <w:r>
              <w:rPr>
                <w:rFonts w:hint="eastAsia"/>
                <w:sz w:val="24"/>
                <w:szCs w:val="24"/>
              </w:rPr>
              <w:t>版）》中“</w:t>
            </w:r>
            <w:r>
              <w:rPr>
                <w:rFonts w:hint="eastAsia"/>
                <w:i w:val="0"/>
                <w:iCs w:val="0"/>
                <w:sz w:val="24"/>
                <w:szCs w:val="24"/>
              </w:rPr>
              <w:t>HW</w:t>
            </w:r>
            <w:r>
              <w:rPr>
                <w:i w:val="0"/>
                <w:iCs w:val="0"/>
                <w:sz w:val="24"/>
                <w:szCs w:val="24"/>
              </w:rPr>
              <w:t xml:space="preserve">49 </w:t>
            </w:r>
            <w:r>
              <w:rPr>
                <w:rFonts w:hint="eastAsia"/>
                <w:i w:val="0"/>
                <w:iCs w:val="0"/>
                <w:sz w:val="24"/>
                <w:szCs w:val="24"/>
              </w:rPr>
              <w:t>其他废物/非特定行业/</w:t>
            </w:r>
            <w:r>
              <w:rPr>
                <w:i w:val="0"/>
                <w:iCs w:val="0"/>
              </w:rPr>
              <w:t xml:space="preserve"> </w:t>
            </w:r>
            <w:r>
              <w:rPr>
                <w:i w:val="0"/>
                <w:iCs w:val="0"/>
                <w:sz w:val="24"/>
                <w:szCs w:val="24"/>
              </w:rPr>
              <w:t>900-041-49</w:t>
            </w:r>
            <w:r>
              <w:rPr>
                <w:rFonts w:hint="eastAsia"/>
                <w:i w:val="0"/>
                <w:iCs w:val="0"/>
                <w:sz w:val="24"/>
                <w:szCs w:val="24"/>
              </w:rPr>
              <w:t>含有或沾染毒性、感染性危险废物的废弃包装物、容器、过滤吸附介质</w:t>
            </w:r>
            <w:r>
              <w:rPr>
                <w:rFonts w:hint="eastAsia"/>
                <w:sz w:val="24"/>
                <w:szCs w:val="24"/>
              </w:rPr>
              <w:t>”</w:t>
            </w:r>
            <w:r>
              <w:rPr>
                <w:rFonts w:hint="eastAsia"/>
                <w:i w:val="0"/>
                <w:iCs w:val="0"/>
                <w:sz w:val="24"/>
                <w:szCs w:val="24"/>
                <w:lang w:eastAsia="zh-CN"/>
              </w:rPr>
              <w:t>，</w:t>
            </w:r>
            <w:r>
              <w:rPr>
                <w:rFonts w:ascii="Times New Roman" w:hAnsi="Times New Roman" w:cs="Times New Roman"/>
                <w:color w:val="auto"/>
                <w:sz w:val="24"/>
                <w:szCs w:val="28"/>
                <w:lang w:val="zh-CN" w:eastAsia="zh-CN"/>
              </w:rPr>
              <w:t>收集暂存于危废暂存</w:t>
            </w:r>
            <w:r>
              <w:rPr>
                <w:rFonts w:ascii="Times New Roman" w:hAnsi="Times New Roman" w:cs="Times New Roman"/>
                <w:color w:val="auto"/>
                <w:sz w:val="24"/>
                <w:szCs w:val="28"/>
                <w:lang w:eastAsia="zh-CN"/>
              </w:rPr>
              <w:t>间</w:t>
            </w:r>
            <w:r>
              <w:rPr>
                <w:rFonts w:ascii="Times New Roman" w:hAnsi="Times New Roman" w:cs="Times New Roman"/>
                <w:color w:val="auto"/>
                <w:sz w:val="24"/>
                <w:szCs w:val="28"/>
                <w:lang w:val="zh-CN" w:eastAsia="zh-CN"/>
              </w:rPr>
              <w:t>，定期交由有危废处理资质的单位进行处置</w:t>
            </w:r>
            <w:r>
              <w:rPr>
                <w:rFonts w:hint="eastAsia"/>
                <w:sz w:val="24"/>
                <w:szCs w:val="24"/>
              </w:rPr>
              <w:t>。</w:t>
            </w:r>
          </w:p>
          <w:p>
            <w:pPr>
              <w:spacing w:line="360" w:lineRule="auto"/>
              <w:ind w:firstLine="480" w:firstLineChars="200"/>
              <w:rPr>
                <w:rFonts w:hint="eastAsia"/>
                <w:b w:val="0"/>
                <w:bCs/>
                <w:sz w:val="24"/>
                <w:szCs w:val="24"/>
              </w:rPr>
            </w:pPr>
            <w:r>
              <w:rPr>
                <w:rFonts w:cs="Times New Roman"/>
                <w:b w:val="0"/>
                <w:bCs/>
                <w:sz w:val="24"/>
                <w:szCs w:val="24"/>
              </w:rPr>
              <w:t>项目</w:t>
            </w:r>
            <w:r>
              <w:rPr>
                <w:rFonts w:hint="eastAsia" w:cs="Times New Roman"/>
                <w:b w:val="0"/>
                <w:bCs/>
                <w:sz w:val="24"/>
                <w:szCs w:val="24"/>
                <w:lang w:eastAsia="zh-CN"/>
              </w:rPr>
              <w:t>依托一期项目已建的危废暂存间进行危废暂存，该危废暂存间位于</w:t>
            </w:r>
            <w:r>
              <w:rPr>
                <w:rFonts w:hint="eastAsia" w:cs="Times New Roman"/>
                <w:b w:val="0"/>
                <w:bCs/>
                <w:sz w:val="24"/>
                <w:szCs w:val="24"/>
              </w:rPr>
              <w:t>西</w:t>
            </w:r>
            <w:r>
              <w:rPr>
                <w:rFonts w:hint="eastAsia" w:cs="Times New Roman"/>
                <w:b w:val="0"/>
                <w:bCs/>
                <w:sz w:val="24"/>
                <w:szCs w:val="24"/>
                <w:lang w:eastAsia="zh-CN"/>
              </w:rPr>
              <w:t>北</w:t>
            </w:r>
            <w:r>
              <w:rPr>
                <w:rFonts w:hint="eastAsia" w:cs="Times New Roman"/>
                <w:b w:val="0"/>
                <w:bCs/>
                <w:sz w:val="24"/>
                <w:szCs w:val="24"/>
              </w:rPr>
              <w:t>侧，面积约</w:t>
            </w:r>
            <w:r>
              <w:rPr>
                <w:rFonts w:hint="eastAsia" w:cs="Times New Roman"/>
                <w:b w:val="0"/>
                <w:bCs/>
                <w:sz w:val="24"/>
                <w:szCs w:val="24"/>
                <w:lang w:val="en-US" w:eastAsia="zh-CN"/>
              </w:rPr>
              <w:t>15</w:t>
            </w:r>
            <w:r>
              <w:rPr>
                <w:rFonts w:hint="eastAsia" w:cs="Times New Roman"/>
                <w:b w:val="0"/>
                <w:bCs/>
                <w:sz w:val="24"/>
                <w:szCs w:val="24"/>
              </w:rPr>
              <w:t>m</w:t>
            </w:r>
            <w:r>
              <w:rPr>
                <w:rFonts w:cs="Times New Roman"/>
                <w:b w:val="0"/>
                <w:bCs/>
                <w:sz w:val="24"/>
                <w:szCs w:val="24"/>
                <w:vertAlign w:val="superscript"/>
              </w:rPr>
              <w:t>2</w:t>
            </w:r>
            <w:r>
              <w:rPr>
                <w:rFonts w:cs="Times New Roman"/>
                <w:b w:val="0"/>
                <w:bCs/>
                <w:sz w:val="24"/>
                <w:szCs w:val="24"/>
              </w:rPr>
              <w:t>，</w:t>
            </w:r>
            <w:r>
              <w:rPr>
                <w:rFonts w:hint="eastAsia" w:cs="Times New Roman"/>
                <w:b w:val="0"/>
                <w:bCs/>
                <w:sz w:val="24"/>
                <w:szCs w:val="24"/>
                <w:lang w:eastAsia="zh-CN"/>
              </w:rPr>
              <w:t>已建</w:t>
            </w:r>
            <w:r>
              <w:rPr>
                <w:rFonts w:hint="eastAsia"/>
                <w:b w:val="0"/>
                <w:bCs/>
                <w:sz w:val="24"/>
                <w:szCs w:val="24"/>
              </w:rPr>
              <w:t>危废暂存间符合</w:t>
            </w:r>
            <w:r>
              <w:rPr>
                <w:rFonts w:cs="Times New Roman"/>
                <w:b w:val="0"/>
                <w:bCs/>
                <w:sz w:val="24"/>
                <w:szCs w:val="24"/>
              </w:rPr>
              <w:t>《危险废物贮存污染控制标准》（GB18597-2023）</w:t>
            </w:r>
            <w:r>
              <w:rPr>
                <w:rFonts w:hint="eastAsia"/>
                <w:b w:val="0"/>
                <w:bCs/>
                <w:sz w:val="24"/>
                <w:szCs w:val="24"/>
              </w:rPr>
              <w:t>中相关要求，地面及1</w:t>
            </w:r>
            <w:r>
              <w:rPr>
                <w:b w:val="0"/>
                <w:bCs/>
                <w:sz w:val="24"/>
                <w:szCs w:val="24"/>
              </w:rPr>
              <w:t>0cm高墙裙</w:t>
            </w:r>
            <w:r>
              <w:rPr>
                <w:rFonts w:hint="eastAsia"/>
                <w:b w:val="0"/>
                <w:bCs/>
                <w:sz w:val="24"/>
                <w:szCs w:val="24"/>
              </w:rPr>
              <w:t>采用2mmHDPE防</w:t>
            </w:r>
            <w:r>
              <w:rPr>
                <w:rFonts w:cstheme="minorHAnsi"/>
                <w:b w:val="0"/>
                <w:bCs/>
                <w:sz w:val="24"/>
                <w:szCs w:val="24"/>
              </w:rPr>
              <w:t>渗层进行防渗、防腐处理，确保防渗系数K≤1×10</w:t>
            </w:r>
            <w:r>
              <w:rPr>
                <w:rFonts w:cstheme="minorHAnsi"/>
                <w:b w:val="0"/>
                <w:bCs/>
                <w:sz w:val="24"/>
                <w:szCs w:val="24"/>
                <w:vertAlign w:val="superscript"/>
              </w:rPr>
              <w:t>-10</w:t>
            </w:r>
            <w:r>
              <w:rPr>
                <w:rFonts w:cstheme="minorHAnsi"/>
                <w:b w:val="0"/>
                <w:bCs/>
                <w:sz w:val="24"/>
                <w:szCs w:val="24"/>
              </w:rPr>
              <w:t>cm/s，并严格</w:t>
            </w:r>
            <w:r>
              <w:rPr>
                <w:rFonts w:hint="eastAsia"/>
                <w:b w:val="0"/>
                <w:bCs/>
                <w:sz w:val="24"/>
                <w:szCs w:val="24"/>
              </w:rPr>
              <w:t>做好“防风、防晒、防雨、防漏、防渗、防腐”措施；</w:t>
            </w:r>
          </w:p>
          <w:p>
            <w:pPr>
              <w:spacing w:line="360" w:lineRule="auto"/>
              <w:ind w:firstLine="480" w:firstLineChars="200"/>
              <w:rPr>
                <w:rFonts w:cs="Times New Roman"/>
                <w:sz w:val="24"/>
                <w:szCs w:val="24"/>
              </w:rPr>
            </w:pPr>
            <w:r>
              <w:rPr>
                <w:rFonts w:hint="eastAsia"/>
                <w:sz w:val="24"/>
                <w:szCs w:val="24"/>
              </w:rPr>
              <w:t>危险废物的收集必须按照相关规定进行，禁止将危险废物混入其它一般工业固体废物和生活垃圾，贮存场所、容器必须按照相关要求设置警示标识；危险废物转运时必须安全转移，防止撒漏，且由具处理资质的单位接手。危险废物的处置需严格按照《危险废物转移联单管理办法》规定办理危险废物转移手续，并严格执行《危险废物转移联单管理办法》规定，防止二次污染。</w:t>
            </w:r>
          </w:p>
          <w:p>
            <w:pPr>
              <w:spacing w:line="360" w:lineRule="auto"/>
              <w:ind w:firstLine="480" w:firstLineChars="200"/>
              <w:rPr>
                <w:rFonts w:hint="eastAsia" w:cs="Times New Roman"/>
                <w:sz w:val="24"/>
                <w:szCs w:val="24"/>
              </w:rPr>
            </w:pPr>
            <w:r>
              <w:rPr>
                <w:rFonts w:hint="eastAsia" w:cs="Times New Roman"/>
                <w:sz w:val="24"/>
                <w:szCs w:val="24"/>
              </w:rPr>
              <w:t>项目危废暂存间基本情况、危险废物处置措施见下表。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表4-1</w:t>
            </w:r>
            <w:r>
              <w:rPr>
                <w:rFonts w:hint="eastAsia" w:cs="黑体"/>
                <w:b/>
                <w:bCs/>
                <w:color w:val="auto"/>
                <w:kern w:val="2"/>
                <w:sz w:val="21"/>
                <w:szCs w:val="22"/>
                <w:shd w:val="clear" w:color="auto" w:fill="auto"/>
                <w:lang w:val="en-US" w:eastAsia="zh-CN" w:bidi="ar-SA"/>
              </w:rPr>
              <w:t>5</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危险废物治理措施一览表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3"/>
              <w:gridCol w:w="672"/>
              <w:gridCol w:w="667"/>
              <w:gridCol w:w="1028"/>
              <w:gridCol w:w="841"/>
              <w:gridCol w:w="786"/>
              <w:gridCol w:w="545"/>
              <w:gridCol w:w="603"/>
              <w:gridCol w:w="600"/>
              <w:gridCol w:w="510"/>
              <w:gridCol w:w="645"/>
              <w:gridCol w:w="7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43" w:type="pct"/>
                  <w:tcBorders>
                    <w:tl2br w:val="nil"/>
                    <w:tr2bl w:val="nil"/>
                  </w:tcBorders>
                  <w:vAlign w:val="center"/>
                </w:tcPr>
                <w:p>
                  <w:pPr>
                    <w:pStyle w:val="43"/>
                    <w:rPr>
                      <w:sz w:val="21"/>
                      <w:szCs w:val="21"/>
                    </w:rPr>
                  </w:pPr>
                  <w:r>
                    <w:rPr>
                      <w:sz w:val="21"/>
                      <w:szCs w:val="21"/>
                    </w:rPr>
                    <w:t>序号</w:t>
                  </w:r>
                </w:p>
              </w:tc>
              <w:tc>
                <w:tcPr>
                  <w:tcW w:w="416" w:type="pct"/>
                  <w:tcBorders>
                    <w:tl2br w:val="nil"/>
                    <w:tr2bl w:val="nil"/>
                  </w:tcBorders>
                  <w:shd w:val="clear" w:color="auto" w:fill="auto"/>
                  <w:vAlign w:val="center"/>
                </w:tcPr>
                <w:p>
                  <w:pPr>
                    <w:pStyle w:val="43"/>
                    <w:rPr>
                      <w:sz w:val="21"/>
                      <w:szCs w:val="21"/>
                    </w:rPr>
                  </w:pPr>
                  <w:r>
                    <w:rPr>
                      <w:sz w:val="21"/>
                      <w:szCs w:val="21"/>
                    </w:rPr>
                    <w:t>危险废物名称</w:t>
                  </w:r>
                </w:p>
              </w:tc>
              <w:tc>
                <w:tcPr>
                  <w:tcW w:w="413" w:type="pct"/>
                  <w:tcBorders>
                    <w:tl2br w:val="nil"/>
                    <w:tr2bl w:val="nil"/>
                  </w:tcBorders>
                  <w:shd w:val="clear" w:color="auto" w:fill="auto"/>
                  <w:vAlign w:val="center"/>
                </w:tcPr>
                <w:p>
                  <w:pPr>
                    <w:pStyle w:val="43"/>
                    <w:rPr>
                      <w:sz w:val="21"/>
                      <w:szCs w:val="21"/>
                    </w:rPr>
                  </w:pPr>
                  <w:r>
                    <w:rPr>
                      <w:sz w:val="21"/>
                      <w:szCs w:val="21"/>
                    </w:rPr>
                    <w:t>危险废物类别</w:t>
                  </w:r>
                </w:p>
              </w:tc>
              <w:tc>
                <w:tcPr>
                  <w:tcW w:w="637" w:type="pct"/>
                  <w:tcBorders>
                    <w:tl2br w:val="nil"/>
                    <w:tr2bl w:val="nil"/>
                  </w:tcBorders>
                  <w:shd w:val="clear" w:color="auto" w:fill="auto"/>
                  <w:vAlign w:val="center"/>
                </w:tcPr>
                <w:p>
                  <w:pPr>
                    <w:pStyle w:val="43"/>
                    <w:rPr>
                      <w:sz w:val="21"/>
                      <w:szCs w:val="21"/>
                    </w:rPr>
                  </w:pPr>
                  <w:r>
                    <w:rPr>
                      <w:sz w:val="21"/>
                      <w:szCs w:val="21"/>
                    </w:rPr>
                    <w:t>危险废物代码</w:t>
                  </w:r>
                </w:p>
              </w:tc>
              <w:tc>
                <w:tcPr>
                  <w:tcW w:w="521" w:type="pct"/>
                  <w:tcBorders>
                    <w:tl2br w:val="nil"/>
                    <w:tr2bl w:val="nil"/>
                  </w:tcBorders>
                  <w:shd w:val="clear" w:color="auto" w:fill="auto"/>
                  <w:vAlign w:val="center"/>
                </w:tcPr>
                <w:p>
                  <w:pPr>
                    <w:pStyle w:val="43"/>
                    <w:rPr>
                      <w:sz w:val="21"/>
                      <w:szCs w:val="21"/>
                    </w:rPr>
                  </w:pPr>
                  <w:r>
                    <w:rPr>
                      <w:sz w:val="21"/>
                      <w:szCs w:val="21"/>
                    </w:rPr>
                    <w:t>产生量</w:t>
                  </w:r>
                </w:p>
                <w:p>
                  <w:pPr>
                    <w:pStyle w:val="43"/>
                    <w:rPr>
                      <w:sz w:val="21"/>
                      <w:szCs w:val="21"/>
                    </w:rPr>
                  </w:pPr>
                  <w:r>
                    <w:rPr>
                      <w:rFonts w:hint="eastAsia"/>
                      <w:sz w:val="21"/>
                      <w:szCs w:val="21"/>
                    </w:rPr>
                    <w:t>（t</w:t>
                  </w:r>
                  <w:r>
                    <w:rPr>
                      <w:sz w:val="21"/>
                      <w:szCs w:val="21"/>
                    </w:rPr>
                    <w:t>/a</w:t>
                  </w:r>
                  <w:r>
                    <w:rPr>
                      <w:rFonts w:hint="eastAsia"/>
                      <w:sz w:val="21"/>
                      <w:szCs w:val="21"/>
                    </w:rPr>
                    <w:t>）</w:t>
                  </w:r>
                </w:p>
              </w:tc>
              <w:tc>
                <w:tcPr>
                  <w:tcW w:w="487" w:type="pct"/>
                  <w:tcBorders>
                    <w:tl2br w:val="nil"/>
                    <w:tr2bl w:val="nil"/>
                  </w:tcBorders>
                  <w:vAlign w:val="center"/>
                </w:tcPr>
                <w:p>
                  <w:pPr>
                    <w:pStyle w:val="43"/>
                    <w:rPr>
                      <w:sz w:val="21"/>
                      <w:szCs w:val="21"/>
                    </w:rPr>
                  </w:pPr>
                  <w:r>
                    <w:rPr>
                      <w:sz w:val="21"/>
                      <w:szCs w:val="21"/>
                    </w:rPr>
                    <w:t>产生工序及装置</w:t>
                  </w:r>
                </w:p>
              </w:tc>
              <w:tc>
                <w:tcPr>
                  <w:tcW w:w="338" w:type="pct"/>
                  <w:tcBorders>
                    <w:tl2br w:val="nil"/>
                    <w:tr2bl w:val="nil"/>
                  </w:tcBorders>
                  <w:vAlign w:val="center"/>
                </w:tcPr>
                <w:p>
                  <w:pPr>
                    <w:pStyle w:val="43"/>
                    <w:rPr>
                      <w:sz w:val="21"/>
                      <w:szCs w:val="21"/>
                    </w:rPr>
                  </w:pPr>
                  <w:r>
                    <w:rPr>
                      <w:sz w:val="21"/>
                      <w:szCs w:val="21"/>
                    </w:rPr>
                    <w:t>形态</w:t>
                  </w:r>
                </w:p>
              </w:tc>
              <w:tc>
                <w:tcPr>
                  <w:tcW w:w="374" w:type="pct"/>
                  <w:tcBorders>
                    <w:tl2br w:val="nil"/>
                    <w:tr2bl w:val="nil"/>
                  </w:tcBorders>
                  <w:vAlign w:val="center"/>
                </w:tcPr>
                <w:p>
                  <w:pPr>
                    <w:pStyle w:val="43"/>
                    <w:rPr>
                      <w:sz w:val="21"/>
                      <w:szCs w:val="21"/>
                    </w:rPr>
                  </w:pPr>
                  <w:r>
                    <w:rPr>
                      <w:sz w:val="21"/>
                      <w:szCs w:val="21"/>
                    </w:rPr>
                    <w:t>主要成分</w:t>
                  </w:r>
                </w:p>
              </w:tc>
              <w:tc>
                <w:tcPr>
                  <w:tcW w:w="372" w:type="pct"/>
                  <w:tcBorders>
                    <w:tl2br w:val="nil"/>
                    <w:tr2bl w:val="nil"/>
                  </w:tcBorders>
                  <w:vAlign w:val="center"/>
                </w:tcPr>
                <w:p>
                  <w:pPr>
                    <w:pStyle w:val="43"/>
                    <w:rPr>
                      <w:sz w:val="21"/>
                      <w:szCs w:val="21"/>
                    </w:rPr>
                  </w:pPr>
                  <w:r>
                    <w:rPr>
                      <w:sz w:val="21"/>
                      <w:szCs w:val="21"/>
                    </w:rPr>
                    <w:t>有害成分</w:t>
                  </w:r>
                </w:p>
              </w:tc>
              <w:tc>
                <w:tcPr>
                  <w:tcW w:w="316" w:type="pct"/>
                  <w:tcBorders>
                    <w:tl2br w:val="nil"/>
                    <w:tr2bl w:val="nil"/>
                  </w:tcBorders>
                  <w:vAlign w:val="center"/>
                </w:tcPr>
                <w:p>
                  <w:pPr>
                    <w:pStyle w:val="43"/>
                    <w:rPr>
                      <w:sz w:val="21"/>
                      <w:szCs w:val="21"/>
                    </w:rPr>
                  </w:pPr>
                  <w:r>
                    <w:rPr>
                      <w:sz w:val="21"/>
                      <w:szCs w:val="21"/>
                    </w:rPr>
                    <w:t>产废周期</w:t>
                  </w:r>
                </w:p>
              </w:tc>
              <w:tc>
                <w:tcPr>
                  <w:tcW w:w="400" w:type="pct"/>
                  <w:tcBorders>
                    <w:tl2br w:val="nil"/>
                    <w:tr2bl w:val="nil"/>
                  </w:tcBorders>
                  <w:vAlign w:val="center"/>
                </w:tcPr>
                <w:p>
                  <w:pPr>
                    <w:pStyle w:val="43"/>
                    <w:rPr>
                      <w:sz w:val="21"/>
                      <w:szCs w:val="21"/>
                    </w:rPr>
                  </w:pPr>
                  <w:r>
                    <w:rPr>
                      <w:sz w:val="21"/>
                      <w:szCs w:val="21"/>
                    </w:rPr>
                    <w:t>危险特性</w:t>
                  </w:r>
                </w:p>
              </w:tc>
              <w:tc>
                <w:tcPr>
                  <w:tcW w:w="477" w:type="pct"/>
                  <w:tcBorders>
                    <w:tl2br w:val="nil"/>
                    <w:tr2bl w:val="nil"/>
                  </w:tcBorders>
                  <w:shd w:val="clear" w:color="auto" w:fill="auto"/>
                  <w:vAlign w:val="center"/>
                </w:tcPr>
                <w:p>
                  <w:pPr>
                    <w:pStyle w:val="43"/>
                    <w:rPr>
                      <w:sz w:val="21"/>
                      <w:szCs w:val="21"/>
                    </w:rPr>
                  </w:pPr>
                  <w:r>
                    <w:rPr>
                      <w:sz w:val="21"/>
                      <w:szCs w:val="21"/>
                    </w:rPr>
                    <w:t>污染物防治措施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3" w:type="pct"/>
                  <w:tcBorders>
                    <w:tl2br w:val="nil"/>
                    <w:tr2bl w:val="nil"/>
                  </w:tcBorders>
                  <w:vAlign w:val="center"/>
                </w:tcPr>
                <w:p>
                  <w:pPr>
                    <w:numPr>
                      <w:ilvl w:val="0"/>
                      <w:numId w:val="6"/>
                    </w:numPr>
                    <w:ind w:left="425" w:leftChars="0" w:hanging="425" w:firstLineChars="0"/>
                    <w:jc w:val="center"/>
                    <w:rPr>
                      <w:rFonts w:cs="Times New Roman"/>
                      <w:sz w:val="21"/>
                      <w:szCs w:val="21"/>
                    </w:rPr>
                  </w:pPr>
                </w:p>
              </w:tc>
              <w:tc>
                <w:tcPr>
                  <w:tcW w:w="416" w:type="pct"/>
                  <w:tcBorders>
                    <w:tl2br w:val="nil"/>
                    <w:tr2bl w:val="nil"/>
                  </w:tcBorders>
                  <w:shd w:val="clear" w:color="auto" w:fill="auto"/>
                  <w:vAlign w:val="center"/>
                </w:tcPr>
                <w:p>
                  <w:pPr>
                    <w:jc w:val="center"/>
                    <w:rPr>
                      <w:sz w:val="21"/>
                      <w:szCs w:val="21"/>
                    </w:rPr>
                  </w:pPr>
                  <w:r>
                    <w:rPr>
                      <w:rFonts w:hint="eastAsia"/>
                      <w:sz w:val="21"/>
                      <w:szCs w:val="21"/>
                    </w:rPr>
                    <w:t>废活性炭</w:t>
                  </w:r>
                </w:p>
              </w:tc>
              <w:tc>
                <w:tcPr>
                  <w:tcW w:w="413" w:type="pct"/>
                  <w:tcBorders>
                    <w:tl2br w:val="nil"/>
                    <w:tr2bl w:val="nil"/>
                  </w:tcBorders>
                  <w:shd w:val="clear" w:color="auto" w:fill="auto"/>
                  <w:vAlign w:val="center"/>
                </w:tcPr>
                <w:p>
                  <w:pPr>
                    <w:jc w:val="center"/>
                    <w:rPr>
                      <w:rFonts w:cstheme="minorHAnsi"/>
                      <w:sz w:val="21"/>
                      <w:szCs w:val="21"/>
                    </w:rPr>
                  </w:pPr>
                  <w:r>
                    <w:rPr>
                      <w:rFonts w:hint="eastAsia" w:cstheme="minorHAnsi"/>
                      <w:sz w:val="21"/>
                      <w:szCs w:val="21"/>
                    </w:rPr>
                    <w:t>HW49</w:t>
                  </w:r>
                </w:p>
              </w:tc>
              <w:tc>
                <w:tcPr>
                  <w:tcW w:w="637" w:type="pct"/>
                  <w:tcBorders>
                    <w:tl2br w:val="nil"/>
                    <w:tr2bl w:val="nil"/>
                  </w:tcBorders>
                  <w:shd w:val="clear" w:color="auto" w:fill="auto"/>
                  <w:vAlign w:val="center"/>
                </w:tcPr>
                <w:p>
                  <w:pPr>
                    <w:jc w:val="center"/>
                    <w:rPr>
                      <w:sz w:val="21"/>
                      <w:szCs w:val="21"/>
                    </w:rPr>
                  </w:pPr>
                  <w:r>
                    <w:rPr>
                      <w:rFonts w:hint="eastAsia"/>
                      <w:sz w:val="21"/>
                      <w:szCs w:val="21"/>
                    </w:rPr>
                    <w:t>900-039-49</w:t>
                  </w:r>
                </w:p>
              </w:tc>
              <w:tc>
                <w:tcPr>
                  <w:tcW w:w="521" w:type="pct"/>
                  <w:tcBorders>
                    <w:tl2br w:val="nil"/>
                    <w:tr2bl w:val="nil"/>
                  </w:tcBorders>
                  <w:shd w:val="clear" w:color="auto" w:fill="auto"/>
                  <w:vAlign w:val="center"/>
                </w:tcPr>
                <w:p>
                  <w:pPr>
                    <w:jc w:val="center"/>
                    <w:rPr>
                      <w:rFonts w:hint="default" w:cstheme="minorHAnsi"/>
                      <w:sz w:val="21"/>
                      <w:szCs w:val="21"/>
                      <w:lang w:val="en-US"/>
                    </w:rPr>
                  </w:pPr>
                  <w:r>
                    <w:rPr>
                      <w:rFonts w:hint="eastAsia" w:cstheme="minorHAnsi"/>
                      <w:sz w:val="21"/>
                      <w:szCs w:val="21"/>
                      <w:lang w:val="en-US" w:eastAsia="zh-CN"/>
                    </w:rPr>
                    <w:t>27</w:t>
                  </w:r>
                </w:p>
              </w:tc>
              <w:tc>
                <w:tcPr>
                  <w:tcW w:w="487" w:type="pct"/>
                  <w:tcBorders>
                    <w:tl2br w:val="nil"/>
                    <w:tr2bl w:val="nil"/>
                  </w:tcBorders>
                  <w:vAlign w:val="center"/>
                </w:tcPr>
                <w:p>
                  <w:pPr>
                    <w:jc w:val="center"/>
                    <w:rPr>
                      <w:rFonts w:hint="eastAsia" w:eastAsia="宋体"/>
                      <w:sz w:val="21"/>
                      <w:szCs w:val="21"/>
                      <w:lang w:eastAsia="zh-CN"/>
                    </w:rPr>
                  </w:pPr>
                  <w:r>
                    <w:rPr>
                      <w:rFonts w:hint="eastAsia"/>
                      <w:sz w:val="21"/>
                      <w:szCs w:val="21"/>
                      <w:lang w:eastAsia="zh-CN"/>
                    </w:rPr>
                    <w:t>废气处理</w:t>
                  </w:r>
                </w:p>
              </w:tc>
              <w:tc>
                <w:tcPr>
                  <w:tcW w:w="338" w:type="pct"/>
                  <w:tcBorders>
                    <w:tl2br w:val="nil"/>
                    <w:tr2bl w:val="nil"/>
                  </w:tcBorders>
                  <w:vAlign w:val="center"/>
                </w:tcPr>
                <w:p>
                  <w:pPr>
                    <w:jc w:val="center"/>
                    <w:rPr>
                      <w:rFonts w:hint="eastAsia" w:eastAsia="宋体" w:cstheme="minorHAnsi"/>
                      <w:sz w:val="21"/>
                      <w:szCs w:val="21"/>
                      <w:lang w:eastAsia="zh-CN"/>
                    </w:rPr>
                  </w:pPr>
                  <w:r>
                    <w:rPr>
                      <w:rFonts w:hint="eastAsia" w:cstheme="minorHAnsi"/>
                      <w:sz w:val="21"/>
                      <w:szCs w:val="21"/>
                      <w:lang w:eastAsia="zh-CN"/>
                    </w:rPr>
                    <w:t>固态</w:t>
                  </w:r>
                </w:p>
              </w:tc>
              <w:tc>
                <w:tcPr>
                  <w:tcW w:w="374" w:type="pct"/>
                  <w:tcBorders>
                    <w:tl2br w:val="nil"/>
                    <w:tr2bl w:val="nil"/>
                  </w:tcBorders>
                  <w:vAlign w:val="center"/>
                </w:tcPr>
                <w:p>
                  <w:pPr>
                    <w:jc w:val="center"/>
                    <w:rPr>
                      <w:rFonts w:hint="eastAsia" w:eastAsia="宋体" w:cstheme="minorHAnsi"/>
                      <w:sz w:val="21"/>
                      <w:szCs w:val="21"/>
                      <w:lang w:val="en-US" w:eastAsia="zh-CN"/>
                    </w:rPr>
                  </w:pPr>
                  <w:r>
                    <w:rPr>
                      <w:rFonts w:hint="eastAsia" w:cstheme="minorHAnsi"/>
                      <w:sz w:val="21"/>
                      <w:szCs w:val="21"/>
                      <w:lang w:val="en-US" w:eastAsia="zh-CN"/>
                    </w:rPr>
                    <w:t>废活性炭</w:t>
                  </w:r>
                </w:p>
              </w:tc>
              <w:tc>
                <w:tcPr>
                  <w:tcW w:w="372" w:type="pct"/>
                  <w:tcBorders>
                    <w:tl2br w:val="nil"/>
                    <w:tr2bl w:val="nil"/>
                  </w:tcBorders>
                  <w:vAlign w:val="center"/>
                </w:tcPr>
                <w:p>
                  <w:pPr>
                    <w:jc w:val="center"/>
                    <w:rPr>
                      <w:rFonts w:cstheme="minorHAnsi"/>
                      <w:sz w:val="21"/>
                      <w:szCs w:val="21"/>
                    </w:rPr>
                  </w:pPr>
                  <w:r>
                    <w:rPr>
                      <w:rFonts w:hint="eastAsia" w:cstheme="minorHAnsi"/>
                      <w:sz w:val="21"/>
                      <w:szCs w:val="21"/>
                      <w:lang w:val="en-US" w:eastAsia="zh-CN"/>
                    </w:rPr>
                    <w:t>有机废气</w:t>
                  </w:r>
                </w:p>
              </w:tc>
              <w:tc>
                <w:tcPr>
                  <w:tcW w:w="316" w:type="pct"/>
                  <w:tcBorders>
                    <w:tl2br w:val="nil"/>
                    <w:tr2bl w:val="nil"/>
                  </w:tcBorders>
                  <w:vAlign w:val="center"/>
                </w:tcPr>
                <w:p>
                  <w:pPr>
                    <w:jc w:val="center"/>
                    <w:rPr>
                      <w:rFonts w:hint="eastAsia" w:eastAsia="宋体" w:cstheme="minorHAnsi"/>
                      <w:sz w:val="21"/>
                      <w:szCs w:val="21"/>
                      <w:lang w:val="en-US" w:eastAsia="zh-CN"/>
                    </w:rPr>
                  </w:pPr>
                  <w:r>
                    <w:rPr>
                      <w:rFonts w:hint="eastAsia" w:cstheme="minorHAnsi"/>
                      <w:sz w:val="21"/>
                      <w:szCs w:val="21"/>
                      <w:lang w:val="en-US" w:eastAsia="zh-CN"/>
                    </w:rPr>
                    <w:t>2个月</w:t>
                  </w:r>
                </w:p>
              </w:tc>
              <w:tc>
                <w:tcPr>
                  <w:tcW w:w="400" w:type="pct"/>
                  <w:tcBorders>
                    <w:tl2br w:val="nil"/>
                    <w:tr2bl w:val="nil"/>
                  </w:tcBorders>
                  <w:vAlign w:val="center"/>
                </w:tcPr>
                <w:p>
                  <w:pPr>
                    <w:jc w:val="center"/>
                    <w:rPr>
                      <w:rFonts w:cstheme="minorHAnsi"/>
                      <w:sz w:val="21"/>
                      <w:szCs w:val="21"/>
                    </w:rPr>
                  </w:pPr>
                  <w:r>
                    <w:rPr>
                      <w:rFonts w:cstheme="minorHAnsi"/>
                      <w:sz w:val="21"/>
                      <w:szCs w:val="21"/>
                    </w:rPr>
                    <w:t>T</w:t>
                  </w:r>
                </w:p>
              </w:tc>
              <w:tc>
                <w:tcPr>
                  <w:tcW w:w="477" w:type="pct"/>
                  <w:vMerge w:val="restart"/>
                  <w:tcBorders>
                    <w:tl2br w:val="nil"/>
                    <w:tr2bl w:val="nil"/>
                  </w:tcBorders>
                  <w:shd w:val="clear" w:color="auto" w:fill="auto"/>
                  <w:vAlign w:val="center"/>
                </w:tcPr>
                <w:p>
                  <w:pPr>
                    <w:jc w:val="center"/>
                    <w:rPr>
                      <w:rFonts w:cstheme="minorHAnsi"/>
                      <w:sz w:val="21"/>
                      <w:szCs w:val="21"/>
                    </w:rPr>
                  </w:pPr>
                  <w:r>
                    <w:rPr>
                      <w:rFonts w:cstheme="minorHAnsi"/>
                      <w:sz w:val="21"/>
                      <w:szCs w:val="21"/>
                    </w:rPr>
                    <w:t>分类收集后交由</w:t>
                  </w:r>
                  <w:r>
                    <w:rPr>
                      <w:rFonts w:hint="eastAsia" w:cstheme="minorHAnsi"/>
                      <w:sz w:val="21"/>
                      <w:szCs w:val="21"/>
                    </w:rPr>
                    <w:t>具资质单位清运处置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3" w:type="pct"/>
                  <w:tcBorders>
                    <w:tl2br w:val="nil"/>
                    <w:tr2bl w:val="nil"/>
                  </w:tcBorders>
                  <w:vAlign w:val="center"/>
                </w:tcPr>
                <w:p>
                  <w:pPr>
                    <w:numPr>
                      <w:ilvl w:val="0"/>
                      <w:numId w:val="6"/>
                    </w:numPr>
                    <w:ind w:left="425" w:leftChars="0" w:hanging="425" w:firstLineChars="0"/>
                    <w:jc w:val="center"/>
                    <w:rPr>
                      <w:rFonts w:cs="Times New Roman"/>
                      <w:sz w:val="21"/>
                      <w:szCs w:val="21"/>
                    </w:rPr>
                  </w:pPr>
                </w:p>
              </w:tc>
              <w:tc>
                <w:tcPr>
                  <w:tcW w:w="416" w:type="pct"/>
                  <w:tcBorders>
                    <w:tl2br w:val="nil"/>
                    <w:tr2bl w:val="nil"/>
                  </w:tcBorders>
                  <w:shd w:val="clear" w:color="auto" w:fill="auto"/>
                  <w:vAlign w:val="center"/>
                </w:tcPr>
                <w:p>
                  <w:pPr>
                    <w:jc w:val="center"/>
                    <w:rPr>
                      <w:sz w:val="21"/>
                      <w:szCs w:val="21"/>
                    </w:rPr>
                  </w:pPr>
                  <w:r>
                    <w:rPr>
                      <w:rFonts w:hint="eastAsia"/>
                      <w:sz w:val="21"/>
                      <w:szCs w:val="21"/>
                    </w:rPr>
                    <w:t>隔热剂及包装桶</w:t>
                  </w:r>
                </w:p>
              </w:tc>
              <w:tc>
                <w:tcPr>
                  <w:tcW w:w="413" w:type="pct"/>
                  <w:tcBorders>
                    <w:tl2br w:val="nil"/>
                    <w:tr2bl w:val="nil"/>
                  </w:tcBorders>
                  <w:shd w:val="clear" w:color="auto" w:fill="auto"/>
                  <w:vAlign w:val="center"/>
                </w:tcPr>
                <w:p>
                  <w:pPr>
                    <w:jc w:val="center"/>
                    <w:rPr>
                      <w:rFonts w:cstheme="minorHAnsi"/>
                      <w:sz w:val="21"/>
                      <w:szCs w:val="21"/>
                    </w:rPr>
                  </w:pPr>
                  <w:r>
                    <w:rPr>
                      <w:rFonts w:hint="eastAsia" w:cstheme="minorHAnsi"/>
                      <w:sz w:val="21"/>
                      <w:szCs w:val="21"/>
                    </w:rPr>
                    <w:t>HW12</w:t>
                  </w:r>
                </w:p>
              </w:tc>
              <w:tc>
                <w:tcPr>
                  <w:tcW w:w="637" w:type="pct"/>
                  <w:tcBorders>
                    <w:tl2br w:val="nil"/>
                    <w:tr2bl w:val="nil"/>
                  </w:tcBorders>
                  <w:shd w:val="clear" w:color="auto" w:fill="auto"/>
                  <w:vAlign w:val="center"/>
                </w:tcPr>
                <w:p>
                  <w:pPr>
                    <w:jc w:val="center"/>
                    <w:rPr>
                      <w:sz w:val="21"/>
                      <w:szCs w:val="21"/>
                    </w:rPr>
                  </w:pPr>
                  <w:r>
                    <w:rPr>
                      <w:rFonts w:hint="eastAsia"/>
                      <w:sz w:val="21"/>
                      <w:szCs w:val="21"/>
                    </w:rPr>
                    <w:t>900-299-12</w:t>
                  </w:r>
                </w:p>
              </w:tc>
              <w:tc>
                <w:tcPr>
                  <w:tcW w:w="521" w:type="pct"/>
                  <w:tcBorders>
                    <w:tl2br w:val="nil"/>
                    <w:tr2bl w:val="nil"/>
                  </w:tcBorders>
                  <w:shd w:val="clear" w:color="auto" w:fill="auto"/>
                  <w:vAlign w:val="center"/>
                </w:tcPr>
                <w:p>
                  <w:pPr>
                    <w:jc w:val="center"/>
                    <w:rPr>
                      <w:rFonts w:hint="default" w:eastAsia="宋体" w:cstheme="minorHAnsi"/>
                      <w:sz w:val="21"/>
                      <w:szCs w:val="21"/>
                      <w:lang w:val="en-US" w:eastAsia="zh-CN"/>
                    </w:rPr>
                  </w:pPr>
                  <w:r>
                    <w:rPr>
                      <w:rFonts w:hint="eastAsia" w:cstheme="minorHAnsi"/>
                      <w:sz w:val="21"/>
                      <w:szCs w:val="21"/>
                      <w:lang w:val="en-US" w:eastAsia="zh-CN"/>
                    </w:rPr>
                    <w:t>0.2</w:t>
                  </w:r>
                </w:p>
              </w:tc>
              <w:tc>
                <w:tcPr>
                  <w:tcW w:w="487" w:type="pct"/>
                  <w:tcBorders>
                    <w:tl2br w:val="nil"/>
                    <w:tr2bl w:val="nil"/>
                  </w:tcBorders>
                  <w:vAlign w:val="center"/>
                </w:tcPr>
                <w:p>
                  <w:pPr>
                    <w:jc w:val="center"/>
                    <w:rPr>
                      <w:rFonts w:hint="eastAsia" w:eastAsia="宋体"/>
                      <w:sz w:val="21"/>
                      <w:szCs w:val="21"/>
                      <w:lang w:eastAsia="zh-CN"/>
                    </w:rPr>
                  </w:pPr>
                  <w:r>
                    <w:rPr>
                      <w:rFonts w:hint="eastAsia"/>
                      <w:sz w:val="21"/>
                      <w:szCs w:val="21"/>
                      <w:lang w:eastAsia="zh-CN"/>
                    </w:rPr>
                    <w:t>生产过程</w:t>
                  </w:r>
                </w:p>
              </w:tc>
              <w:tc>
                <w:tcPr>
                  <w:tcW w:w="338" w:type="pct"/>
                  <w:tcBorders>
                    <w:tl2br w:val="nil"/>
                    <w:tr2bl w:val="nil"/>
                  </w:tcBorders>
                  <w:vAlign w:val="center"/>
                </w:tcPr>
                <w:p>
                  <w:pPr>
                    <w:jc w:val="center"/>
                    <w:rPr>
                      <w:rFonts w:hint="eastAsia" w:eastAsia="宋体"/>
                      <w:sz w:val="21"/>
                      <w:szCs w:val="21"/>
                      <w:lang w:eastAsia="zh-CN"/>
                    </w:rPr>
                  </w:pPr>
                  <w:r>
                    <w:rPr>
                      <w:rFonts w:hint="eastAsia"/>
                      <w:sz w:val="21"/>
                      <w:szCs w:val="21"/>
                      <w:lang w:eastAsia="zh-CN"/>
                    </w:rPr>
                    <w:t>固态</w:t>
                  </w:r>
                </w:p>
              </w:tc>
              <w:tc>
                <w:tcPr>
                  <w:tcW w:w="374" w:type="pct"/>
                  <w:tcBorders>
                    <w:tl2br w:val="nil"/>
                    <w:tr2bl w:val="nil"/>
                  </w:tcBorders>
                  <w:vAlign w:val="center"/>
                </w:tcPr>
                <w:p>
                  <w:pPr>
                    <w:jc w:val="center"/>
                    <w:rPr>
                      <w:rFonts w:hint="eastAsia" w:eastAsia="宋体" w:cstheme="minorHAnsi"/>
                      <w:sz w:val="21"/>
                      <w:szCs w:val="21"/>
                      <w:lang w:val="en-US" w:eastAsia="zh-CN"/>
                    </w:rPr>
                  </w:pPr>
                  <w:r>
                    <w:rPr>
                      <w:rFonts w:hint="eastAsia" w:cstheme="minorHAnsi"/>
                      <w:sz w:val="21"/>
                      <w:szCs w:val="21"/>
                      <w:lang w:val="en-US" w:eastAsia="zh-CN"/>
                    </w:rPr>
                    <w:t>隔热剂</w:t>
                  </w:r>
                </w:p>
              </w:tc>
              <w:tc>
                <w:tcPr>
                  <w:tcW w:w="372" w:type="pct"/>
                  <w:tcBorders>
                    <w:tl2br w:val="nil"/>
                    <w:tr2bl w:val="nil"/>
                  </w:tcBorders>
                  <w:vAlign w:val="center"/>
                </w:tcPr>
                <w:p>
                  <w:pPr>
                    <w:jc w:val="center"/>
                    <w:rPr>
                      <w:rFonts w:cstheme="minorHAnsi"/>
                      <w:sz w:val="21"/>
                      <w:szCs w:val="21"/>
                    </w:rPr>
                  </w:pPr>
                  <w:r>
                    <w:rPr>
                      <w:rFonts w:hint="eastAsia" w:cstheme="minorHAnsi"/>
                      <w:sz w:val="21"/>
                      <w:szCs w:val="21"/>
                      <w:lang w:val="en-US" w:eastAsia="zh-CN"/>
                    </w:rPr>
                    <w:t>隔热剂</w:t>
                  </w:r>
                </w:p>
              </w:tc>
              <w:tc>
                <w:tcPr>
                  <w:tcW w:w="316" w:type="pct"/>
                  <w:tcBorders>
                    <w:tl2br w:val="nil"/>
                    <w:tr2bl w:val="nil"/>
                  </w:tcBorders>
                  <w:vAlign w:val="center"/>
                </w:tcPr>
                <w:p>
                  <w:pPr>
                    <w:jc w:val="center"/>
                    <w:rPr>
                      <w:rFonts w:cstheme="minorHAnsi"/>
                      <w:sz w:val="21"/>
                      <w:szCs w:val="21"/>
                    </w:rPr>
                  </w:pPr>
                  <w:r>
                    <w:rPr>
                      <w:rFonts w:hint="eastAsia" w:cstheme="minorHAnsi"/>
                      <w:sz w:val="21"/>
                      <w:szCs w:val="21"/>
                    </w:rPr>
                    <w:t>每月</w:t>
                  </w:r>
                </w:p>
              </w:tc>
              <w:tc>
                <w:tcPr>
                  <w:tcW w:w="400" w:type="pct"/>
                  <w:tcBorders>
                    <w:tl2br w:val="nil"/>
                    <w:tr2bl w:val="nil"/>
                  </w:tcBorders>
                  <w:vAlign w:val="center"/>
                </w:tcPr>
                <w:p>
                  <w:pPr>
                    <w:jc w:val="center"/>
                    <w:rPr>
                      <w:rFonts w:cstheme="minorHAnsi"/>
                      <w:sz w:val="21"/>
                      <w:szCs w:val="21"/>
                    </w:rPr>
                  </w:pPr>
                  <w:r>
                    <w:rPr>
                      <w:rFonts w:cstheme="minorHAnsi"/>
                      <w:sz w:val="21"/>
                      <w:szCs w:val="21"/>
                    </w:rPr>
                    <w:t>T</w:t>
                  </w:r>
                </w:p>
              </w:tc>
              <w:tc>
                <w:tcPr>
                  <w:tcW w:w="477" w:type="pct"/>
                  <w:vMerge w:val="continue"/>
                  <w:tcBorders>
                    <w:tl2br w:val="nil"/>
                    <w:tr2bl w:val="nil"/>
                  </w:tcBorders>
                  <w:shd w:val="clear" w:color="auto" w:fill="auto"/>
                  <w:vAlign w:val="center"/>
                </w:tcPr>
                <w:p>
                  <w:pPr>
                    <w:jc w:val="center"/>
                    <w:rPr>
                      <w:rFonts w:cstheme="minorHAnsi"/>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3" w:type="pct"/>
                  <w:tcBorders>
                    <w:tl2br w:val="nil"/>
                    <w:tr2bl w:val="nil"/>
                  </w:tcBorders>
                  <w:vAlign w:val="center"/>
                </w:tcPr>
                <w:p>
                  <w:pPr>
                    <w:numPr>
                      <w:ilvl w:val="0"/>
                      <w:numId w:val="6"/>
                    </w:numPr>
                    <w:ind w:left="425" w:leftChars="0" w:hanging="425" w:firstLineChars="0"/>
                    <w:jc w:val="center"/>
                    <w:rPr>
                      <w:rFonts w:cs="Times New Roman"/>
                      <w:sz w:val="21"/>
                      <w:szCs w:val="21"/>
                    </w:rPr>
                  </w:pPr>
                </w:p>
              </w:tc>
              <w:tc>
                <w:tcPr>
                  <w:tcW w:w="416" w:type="pct"/>
                  <w:tcBorders>
                    <w:tl2br w:val="nil"/>
                    <w:tr2bl w:val="nil"/>
                  </w:tcBorders>
                  <w:shd w:val="clear" w:color="auto" w:fill="auto"/>
                  <w:vAlign w:val="center"/>
                </w:tcPr>
                <w:p>
                  <w:pPr>
                    <w:jc w:val="center"/>
                    <w:rPr>
                      <w:rFonts w:hint="eastAsia" w:eastAsia="宋体"/>
                      <w:sz w:val="21"/>
                      <w:szCs w:val="21"/>
                      <w:lang w:eastAsia="zh-CN"/>
                    </w:rPr>
                  </w:pPr>
                  <w:r>
                    <w:rPr>
                      <w:rFonts w:hint="eastAsia"/>
                      <w:sz w:val="21"/>
                      <w:szCs w:val="21"/>
                      <w:lang w:eastAsia="zh-CN"/>
                    </w:rPr>
                    <w:t>废机油及废机油桶</w:t>
                  </w:r>
                </w:p>
              </w:tc>
              <w:tc>
                <w:tcPr>
                  <w:tcW w:w="413" w:type="pct"/>
                  <w:tcBorders>
                    <w:tl2br w:val="nil"/>
                    <w:tr2bl w:val="nil"/>
                  </w:tcBorders>
                  <w:shd w:val="clear" w:color="auto" w:fill="auto"/>
                  <w:vAlign w:val="center"/>
                </w:tcPr>
                <w:p>
                  <w:pPr>
                    <w:jc w:val="center"/>
                    <w:rPr>
                      <w:rFonts w:cstheme="minorHAnsi"/>
                      <w:sz w:val="21"/>
                      <w:szCs w:val="21"/>
                    </w:rPr>
                  </w:pPr>
                  <w:r>
                    <w:rPr>
                      <w:rFonts w:cstheme="minorHAnsi"/>
                      <w:sz w:val="21"/>
                      <w:szCs w:val="21"/>
                    </w:rPr>
                    <w:t>HW08</w:t>
                  </w:r>
                </w:p>
              </w:tc>
              <w:tc>
                <w:tcPr>
                  <w:tcW w:w="637" w:type="pct"/>
                  <w:tcBorders>
                    <w:tl2br w:val="nil"/>
                    <w:tr2bl w:val="nil"/>
                  </w:tcBorders>
                  <w:shd w:val="clear" w:color="auto" w:fill="auto"/>
                  <w:vAlign w:val="center"/>
                </w:tcPr>
                <w:p>
                  <w:pPr>
                    <w:jc w:val="center"/>
                    <w:rPr>
                      <w:sz w:val="21"/>
                      <w:szCs w:val="21"/>
                    </w:rPr>
                  </w:pPr>
                  <w:r>
                    <w:rPr>
                      <w:sz w:val="21"/>
                      <w:szCs w:val="21"/>
                    </w:rPr>
                    <w:t>900-249-08</w:t>
                  </w:r>
                </w:p>
              </w:tc>
              <w:tc>
                <w:tcPr>
                  <w:tcW w:w="521" w:type="pct"/>
                  <w:tcBorders>
                    <w:tl2br w:val="nil"/>
                    <w:tr2bl w:val="nil"/>
                  </w:tcBorders>
                  <w:shd w:val="clear" w:color="auto" w:fill="auto"/>
                  <w:vAlign w:val="center"/>
                </w:tcPr>
                <w:p>
                  <w:pPr>
                    <w:jc w:val="center"/>
                    <w:rPr>
                      <w:rFonts w:cstheme="minorHAnsi"/>
                      <w:sz w:val="21"/>
                      <w:szCs w:val="21"/>
                    </w:rPr>
                  </w:pPr>
                  <w:r>
                    <w:rPr>
                      <w:rFonts w:cstheme="minorHAnsi"/>
                      <w:sz w:val="21"/>
                      <w:szCs w:val="21"/>
                    </w:rPr>
                    <w:t>0.01</w:t>
                  </w:r>
                </w:p>
              </w:tc>
              <w:tc>
                <w:tcPr>
                  <w:tcW w:w="487" w:type="pct"/>
                  <w:tcBorders>
                    <w:tl2br w:val="nil"/>
                    <w:tr2bl w:val="nil"/>
                  </w:tcBorders>
                  <w:vAlign w:val="center"/>
                </w:tcPr>
                <w:p>
                  <w:pPr>
                    <w:jc w:val="center"/>
                    <w:rPr>
                      <w:sz w:val="21"/>
                      <w:szCs w:val="21"/>
                    </w:rPr>
                  </w:pPr>
                  <w:r>
                    <w:rPr>
                      <w:rFonts w:hint="eastAsia"/>
                      <w:sz w:val="21"/>
                      <w:szCs w:val="21"/>
                    </w:rPr>
                    <w:t>设备保养</w:t>
                  </w:r>
                </w:p>
              </w:tc>
              <w:tc>
                <w:tcPr>
                  <w:tcW w:w="338" w:type="pct"/>
                  <w:tcBorders>
                    <w:tl2br w:val="nil"/>
                    <w:tr2bl w:val="nil"/>
                  </w:tcBorders>
                  <w:vAlign w:val="center"/>
                </w:tcPr>
                <w:p>
                  <w:pPr>
                    <w:jc w:val="center"/>
                    <w:rPr>
                      <w:rFonts w:cstheme="minorHAnsi"/>
                      <w:sz w:val="21"/>
                      <w:szCs w:val="21"/>
                    </w:rPr>
                  </w:pPr>
                  <w:r>
                    <w:rPr>
                      <w:rFonts w:hint="eastAsia" w:cstheme="minorHAnsi"/>
                      <w:sz w:val="21"/>
                      <w:szCs w:val="21"/>
                    </w:rPr>
                    <w:t>液体</w:t>
                  </w:r>
                </w:p>
              </w:tc>
              <w:tc>
                <w:tcPr>
                  <w:tcW w:w="374" w:type="pct"/>
                  <w:tcBorders>
                    <w:tl2br w:val="nil"/>
                    <w:tr2bl w:val="nil"/>
                  </w:tcBorders>
                  <w:vAlign w:val="center"/>
                </w:tcPr>
                <w:p>
                  <w:pPr>
                    <w:jc w:val="center"/>
                    <w:rPr>
                      <w:rFonts w:cstheme="minorHAnsi"/>
                      <w:sz w:val="21"/>
                      <w:szCs w:val="21"/>
                    </w:rPr>
                  </w:pPr>
                  <w:r>
                    <w:rPr>
                      <w:rFonts w:hint="eastAsia" w:cstheme="minorHAnsi"/>
                      <w:sz w:val="21"/>
                      <w:szCs w:val="21"/>
                    </w:rPr>
                    <w:t>矿物油</w:t>
                  </w:r>
                </w:p>
              </w:tc>
              <w:tc>
                <w:tcPr>
                  <w:tcW w:w="372" w:type="pct"/>
                  <w:tcBorders>
                    <w:tl2br w:val="nil"/>
                    <w:tr2bl w:val="nil"/>
                  </w:tcBorders>
                  <w:vAlign w:val="center"/>
                </w:tcPr>
                <w:p>
                  <w:pPr>
                    <w:jc w:val="center"/>
                    <w:rPr>
                      <w:rFonts w:cstheme="minorHAnsi"/>
                      <w:sz w:val="21"/>
                      <w:szCs w:val="21"/>
                    </w:rPr>
                  </w:pPr>
                  <w:r>
                    <w:rPr>
                      <w:rFonts w:hint="eastAsia" w:cstheme="minorHAnsi"/>
                      <w:sz w:val="21"/>
                      <w:szCs w:val="21"/>
                    </w:rPr>
                    <w:t>矿物油</w:t>
                  </w:r>
                </w:p>
              </w:tc>
              <w:tc>
                <w:tcPr>
                  <w:tcW w:w="316" w:type="pct"/>
                  <w:tcBorders>
                    <w:tl2br w:val="nil"/>
                    <w:tr2bl w:val="nil"/>
                  </w:tcBorders>
                  <w:vAlign w:val="center"/>
                </w:tcPr>
                <w:p>
                  <w:pPr>
                    <w:jc w:val="center"/>
                    <w:rPr>
                      <w:rFonts w:cstheme="minorHAnsi"/>
                      <w:sz w:val="21"/>
                      <w:szCs w:val="21"/>
                    </w:rPr>
                  </w:pPr>
                  <w:r>
                    <w:rPr>
                      <w:rFonts w:hint="eastAsia" w:cstheme="minorHAnsi"/>
                      <w:sz w:val="21"/>
                      <w:szCs w:val="21"/>
                    </w:rPr>
                    <w:t>每月</w:t>
                  </w:r>
                </w:p>
              </w:tc>
              <w:tc>
                <w:tcPr>
                  <w:tcW w:w="400" w:type="pct"/>
                  <w:tcBorders>
                    <w:tl2br w:val="nil"/>
                    <w:tr2bl w:val="nil"/>
                  </w:tcBorders>
                  <w:vAlign w:val="center"/>
                </w:tcPr>
                <w:p>
                  <w:pPr>
                    <w:jc w:val="center"/>
                    <w:rPr>
                      <w:rFonts w:cstheme="minorHAnsi"/>
                      <w:sz w:val="21"/>
                      <w:szCs w:val="21"/>
                    </w:rPr>
                  </w:pPr>
                  <w:r>
                    <w:rPr>
                      <w:rFonts w:cstheme="minorHAnsi"/>
                      <w:sz w:val="21"/>
                      <w:szCs w:val="21"/>
                    </w:rPr>
                    <w:t>T</w:t>
                  </w:r>
                  <w:r>
                    <w:rPr>
                      <w:rFonts w:hint="eastAsia" w:cstheme="minorHAnsi"/>
                      <w:sz w:val="21"/>
                      <w:szCs w:val="21"/>
                    </w:rPr>
                    <w:t>,</w:t>
                  </w:r>
                  <w:r>
                    <w:rPr>
                      <w:rFonts w:cstheme="minorHAnsi"/>
                      <w:sz w:val="21"/>
                      <w:szCs w:val="21"/>
                    </w:rPr>
                    <w:t>I</w:t>
                  </w:r>
                </w:p>
              </w:tc>
              <w:tc>
                <w:tcPr>
                  <w:tcW w:w="477" w:type="pct"/>
                  <w:vMerge w:val="continue"/>
                  <w:tcBorders>
                    <w:tl2br w:val="nil"/>
                    <w:tr2bl w:val="nil"/>
                  </w:tcBorders>
                  <w:shd w:val="clear" w:color="auto" w:fill="auto"/>
                  <w:vAlign w:val="center"/>
                </w:tcPr>
                <w:p>
                  <w:pPr>
                    <w:jc w:val="center"/>
                    <w:rPr>
                      <w:rFonts w:cstheme="minorHAnsi"/>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3" w:type="pct"/>
                  <w:tcBorders>
                    <w:tl2br w:val="nil"/>
                    <w:tr2bl w:val="nil"/>
                  </w:tcBorders>
                  <w:vAlign w:val="center"/>
                </w:tcPr>
                <w:p>
                  <w:pPr>
                    <w:numPr>
                      <w:ilvl w:val="0"/>
                      <w:numId w:val="6"/>
                    </w:numPr>
                    <w:ind w:left="425" w:leftChars="0" w:hanging="425" w:firstLineChars="0"/>
                    <w:jc w:val="center"/>
                    <w:rPr>
                      <w:rFonts w:cs="Times New Roman"/>
                      <w:sz w:val="21"/>
                      <w:szCs w:val="21"/>
                    </w:rPr>
                  </w:pPr>
                </w:p>
              </w:tc>
              <w:tc>
                <w:tcPr>
                  <w:tcW w:w="416" w:type="pct"/>
                  <w:tcBorders>
                    <w:tl2br w:val="nil"/>
                    <w:tr2bl w:val="nil"/>
                  </w:tcBorders>
                  <w:shd w:val="clear" w:color="auto" w:fill="auto"/>
                  <w:vAlign w:val="center"/>
                </w:tcPr>
                <w:p>
                  <w:pPr>
                    <w:jc w:val="center"/>
                    <w:rPr>
                      <w:sz w:val="21"/>
                      <w:szCs w:val="21"/>
                    </w:rPr>
                  </w:pPr>
                  <w:r>
                    <w:rPr>
                      <w:rFonts w:hint="eastAsia"/>
                      <w:sz w:val="21"/>
                      <w:szCs w:val="21"/>
                    </w:rPr>
                    <w:t>含油棉纱及手套</w:t>
                  </w:r>
                </w:p>
              </w:tc>
              <w:tc>
                <w:tcPr>
                  <w:tcW w:w="413" w:type="pct"/>
                  <w:tcBorders>
                    <w:tl2br w:val="nil"/>
                    <w:tr2bl w:val="nil"/>
                  </w:tcBorders>
                  <w:shd w:val="clear" w:color="auto" w:fill="auto"/>
                  <w:vAlign w:val="center"/>
                </w:tcPr>
                <w:p>
                  <w:pPr>
                    <w:jc w:val="center"/>
                    <w:rPr>
                      <w:sz w:val="21"/>
                      <w:szCs w:val="21"/>
                    </w:rPr>
                  </w:pPr>
                  <w:r>
                    <w:rPr>
                      <w:sz w:val="21"/>
                      <w:szCs w:val="21"/>
                    </w:rPr>
                    <w:t>HW49</w:t>
                  </w:r>
                </w:p>
              </w:tc>
              <w:tc>
                <w:tcPr>
                  <w:tcW w:w="637" w:type="pct"/>
                  <w:tcBorders>
                    <w:tl2br w:val="nil"/>
                    <w:tr2bl w:val="nil"/>
                  </w:tcBorders>
                  <w:shd w:val="clear" w:color="auto" w:fill="auto"/>
                  <w:vAlign w:val="center"/>
                </w:tcPr>
                <w:p>
                  <w:pPr>
                    <w:jc w:val="center"/>
                    <w:rPr>
                      <w:sz w:val="21"/>
                      <w:szCs w:val="21"/>
                    </w:rPr>
                  </w:pPr>
                  <w:r>
                    <w:rPr>
                      <w:sz w:val="21"/>
                      <w:szCs w:val="21"/>
                    </w:rPr>
                    <w:t>900-041-49</w:t>
                  </w:r>
                </w:p>
              </w:tc>
              <w:tc>
                <w:tcPr>
                  <w:tcW w:w="521" w:type="pct"/>
                  <w:tcBorders>
                    <w:tl2br w:val="nil"/>
                    <w:tr2bl w:val="nil"/>
                  </w:tcBorders>
                  <w:shd w:val="clear" w:color="auto" w:fill="auto"/>
                  <w:vAlign w:val="center"/>
                </w:tcPr>
                <w:p>
                  <w:pPr>
                    <w:jc w:val="center"/>
                    <w:rPr>
                      <w:rFonts w:cstheme="minorHAnsi"/>
                      <w:sz w:val="21"/>
                      <w:szCs w:val="21"/>
                    </w:rPr>
                  </w:pPr>
                  <w:r>
                    <w:rPr>
                      <w:rFonts w:hint="eastAsia" w:cstheme="minorHAnsi"/>
                      <w:sz w:val="21"/>
                      <w:szCs w:val="21"/>
                    </w:rPr>
                    <w:t>0.0</w:t>
                  </w:r>
                  <w:r>
                    <w:rPr>
                      <w:rFonts w:cstheme="minorHAnsi"/>
                      <w:sz w:val="21"/>
                      <w:szCs w:val="21"/>
                    </w:rPr>
                    <w:t>1</w:t>
                  </w:r>
                </w:p>
              </w:tc>
              <w:tc>
                <w:tcPr>
                  <w:tcW w:w="487" w:type="pct"/>
                  <w:tcBorders>
                    <w:tl2br w:val="nil"/>
                    <w:tr2bl w:val="nil"/>
                  </w:tcBorders>
                  <w:vAlign w:val="center"/>
                </w:tcPr>
                <w:p>
                  <w:pPr>
                    <w:jc w:val="center"/>
                    <w:rPr>
                      <w:sz w:val="21"/>
                      <w:szCs w:val="21"/>
                    </w:rPr>
                  </w:pPr>
                  <w:r>
                    <w:rPr>
                      <w:rFonts w:hint="eastAsia"/>
                      <w:sz w:val="21"/>
                      <w:szCs w:val="21"/>
                    </w:rPr>
                    <w:t>设备保养</w:t>
                  </w:r>
                </w:p>
              </w:tc>
              <w:tc>
                <w:tcPr>
                  <w:tcW w:w="338" w:type="pct"/>
                  <w:tcBorders>
                    <w:tl2br w:val="nil"/>
                    <w:tr2bl w:val="nil"/>
                  </w:tcBorders>
                  <w:vAlign w:val="center"/>
                </w:tcPr>
                <w:p>
                  <w:pPr>
                    <w:jc w:val="center"/>
                    <w:rPr>
                      <w:rFonts w:cstheme="minorHAnsi"/>
                      <w:sz w:val="21"/>
                      <w:szCs w:val="21"/>
                    </w:rPr>
                  </w:pPr>
                  <w:r>
                    <w:rPr>
                      <w:rFonts w:hint="eastAsia" w:cstheme="minorHAnsi"/>
                      <w:sz w:val="21"/>
                      <w:szCs w:val="21"/>
                    </w:rPr>
                    <w:t>固态</w:t>
                  </w:r>
                </w:p>
              </w:tc>
              <w:tc>
                <w:tcPr>
                  <w:tcW w:w="374" w:type="pct"/>
                  <w:tcBorders>
                    <w:tl2br w:val="nil"/>
                    <w:tr2bl w:val="nil"/>
                  </w:tcBorders>
                  <w:vAlign w:val="center"/>
                </w:tcPr>
                <w:p>
                  <w:pPr>
                    <w:jc w:val="center"/>
                    <w:rPr>
                      <w:rFonts w:cstheme="minorHAnsi"/>
                      <w:sz w:val="21"/>
                      <w:szCs w:val="21"/>
                    </w:rPr>
                  </w:pPr>
                  <w:r>
                    <w:rPr>
                      <w:rFonts w:hint="eastAsia" w:cstheme="minorHAnsi"/>
                      <w:sz w:val="21"/>
                      <w:szCs w:val="21"/>
                    </w:rPr>
                    <w:t>矿物油</w:t>
                  </w:r>
                </w:p>
              </w:tc>
              <w:tc>
                <w:tcPr>
                  <w:tcW w:w="372" w:type="pct"/>
                  <w:tcBorders>
                    <w:tl2br w:val="nil"/>
                    <w:tr2bl w:val="nil"/>
                  </w:tcBorders>
                  <w:vAlign w:val="center"/>
                </w:tcPr>
                <w:p>
                  <w:pPr>
                    <w:jc w:val="center"/>
                    <w:rPr>
                      <w:rFonts w:cstheme="minorHAnsi"/>
                      <w:sz w:val="21"/>
                      <w:szCs w:val="21"/>
                    </w:rPr>
                  </w:pPr>
                  <w:r>
                    <w:rPr>
                      <w:rFonts w:hint="eastAsia" w:cstheme="minorHAnsi"/>
                      <w:sz w:val="21"/>
                      <w:szCs w:val="21"/>
                    </w:rPr>
                    <w:t>矿物油</w:t>
                  </w:r>
                </w:p>
              </w:tc>
              <w:tc>
                <w:tcPr>
                  <w:tcW w:w="316" w:type="pct"/>
                  <w:tcBorders>
                    <w:tl2br w:val="nil"/>
                    <w:tr2bl w:val="nil"/>
                  </w:tcBorders>
                  <w:vAlign w:val="center"/>
                </w:tcPr>
                <w:p>
                  <w:pPr>
                    <w:jc w:val="center"/>
                    <w:rPr>
                      <w:rFonts w:cstheme="minorHAnsi"/>
                      <w:sz w:val="21"/>
                      <w:szCs w:val="21"/>
                    </w:rPr>
                  </w:pPr>
                  <w:r>
                    <w:rPr>
                      <w:rFonts w:hint="eastAsia" w:cstheme="minorHAnsi"/>
                      <w:sz w:val="21"/>
                      <w:szCs w:val="21"/>
                    </w:rPr>
                    <w:t>每月</w:t>
                  </w:r>
                </w:p>
              </w:tc>
              <w:tc>
                <w:tcPr>
                  <w:tcW w:w="400" w:type="pct"/>
                  <w:tcBorders>
                    <w:tl2br w:val="nil"/>
                    <w:tr2bl w:val="nil"/>
                  </w:tcBorders>
                  <w:vAlign w:val="center"/>
                </w:tcPr>
                <w:p>
                  <w:pPr>
                    <w:jc w:val="center"/>
                    <w:rPr>
                      <w:rFonts w:cstheme="minorHAnsi"/>
                      <w:sz w:val="21"/>
                      <w:szCs w:val="21"/>
                    </w:rPr>
                  </w:pPr>
                  <w:r>
                    <w:rPr>
                      <w:rFonts w:cstheme="minorHAnsi"/>
                      <w:sz w:val="21"/>
                      <w:szCs w:val="21"/>
                    </w:rPr>
                    <w:t>T</w:t>
                  </w:r>
                </w:p>
              </w:tc>
              <w:tc>
                <w:tcPr>
                  <w:tcW w:w="477" w:type="pct"/>
                  <w:vMerge w:val="continue"/>
                  <w:tcBorders>
                    <w:tl2br w:val="nil"/>
                    <w:tr2bl w:val="nil"/>
                  </w:tcBorders>
                  <w:shd w:val="clear" w:color="auto" w:fill="auto"/>
                  <w:vAlign w:val="center"/>
                </w:tcPr>
                <w:p>
                  <w:pPr>
                    <w:jc w:val="center"/>
                    <w:rPr>
                      <w:rFonts w:cstheme="minorHAnsi"/>
                      <w:sz w:val="21"/>
                      <w:szCs w:val="21"/>
                    </w:rPr>
                  </w:pPr>
                </w:p>
              </w:tc>
            </w:tr>
          </w:tbl>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表4-1</w:t>
            </w:r>
            <w:r>
              <w:rPr>
                <w:rFonts w:hint="eastAsia" w:cs="黑体"/>
                <w:b/>
                <w:bCs/>
                <w:color w:val="auto"/>
                <w:kern w:val="2"/>
                <w:sz w:val="21"/>
                <w:szCs w:val="22"/>
                <w:shd w:val="clear" w:color="auto" w:fill="auto"/>
                <w:lang w:val="en-US" w:eastAsia="zh-CN" w:bidi="ar-SA"/>
              </w:rPr>
              <w:t>6</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项目固废产生及处理情况一览表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140"/>
              <w:gridCol w:w="960"/>
              <w:gridCol w:w="1190"/>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2140" w:type="dxa"/>
                  <w:noWrap w:val="0"/>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固废名称</w:t>
                  </w:r>
                </w:p>
              </w:tc>
              <w:tc>
                <w:tcPr>
                  <w:tcW w:w="960" w:type="dxa"/>
                  <w:noWrap w:val="0"/>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性质</w:t>
                  </w:r>
                </w:p>
              </w:tc>
              <w:tc>
                <w:tcPr>
                  <w:tcW w:w="1190" w:type="dxa"/>
                  <w:noWrap w:val="0"/>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产生量（t/a）</w:t>
                  </w:r>
                </w:p>
              </w:tc>
              <w:tc>
                <w:tcPr>
                  <w:tcW w:w="3024" w:type="dxa"/>
                  <w:noWrap w:val="0"/>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214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rPr>
                    <w:t>废活性炭</w:t>
                  </w:r>
                </w:p>
              </w:tc>
              <w:tc>
                <w:tcPr>
                  <w:tcW w:w="960" w:type="dxa"/>
                  <w:noWrap w:val="0"/>
                  <w:vAlign w:val="center"/>
                </w:tcPr>
                <w:p>
                  <w:pPr>
                    <w:jc w:val="center"/>
                    <w:rPr>
                      <w:rFonts w:hint="eastAsia" w:ascii="Times New Roman" w:hAnsi="Times New Roman" w:eastAsia="宋体"/>
                      <w:sz w:val="21"/>
                      <w:szCs w:val="21"/>
                    </w:rPr>
                  </w:pPr>
                  <w:r>
                    <w:rPr>
                      <w:rFonts w:hint="eastAsia" w:ascii="Times New Roman" w:hAnsi="Times New Roman" w:eastAsia="宋体"/>
                      <w:sz w:val="21"/>
                      <w:szCs w:val="21"/>
                    </w:rPr>
                    <w:t>危险固废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27</w:t>
                  </w:r>
                </w:p>
              </w:tc>
              <w:tc>
                <w:tcPr>
                  <w:tcW w:w="3024" w:type="dxa"/>
                  <w:vMerge w:val="restart"/>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val="zh-CN" w:eastAsia="zh-CN"/>
                    </w:rPr>
                    <w:t>收集暂存于危废暂存</w:t>
                  </w:r>
                  <w:r>
                    <w:rPr>
                      <w:rFonts w:hint="eastAsia" w:ascii="Times New Roman" w:hAnsi="Times New Roman" w:eastAsia="宋体"/>
                      <w:sz w:val="21"/>
                      <w:szCs w:val="21"/>
                      <w:lang w:eastAsia="zh-CN"/>
                    </w:rPr>
                    <w:t>间</w:t>
                  </w:r>
                  <w:r>
                    <w:rPr>
                      <w:rFonts w:hint="eastAsia" w:ascii="Times New Roman" w:hAnsi="Times New Roman" w:eastAsia="宋体"/>
                      <w:sz w:val="21"/>
                      <w:szCs w:val="21"/>
                      <w:lang w:val="zh-CN" w:eastAsia="zh-CN"/>
                    </w:rPr>
                    <w:t>，定期交由有危废处理资质的单位进行处置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214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rPr>
                    <w:t>隔热剂及包装桶</w:t>
                  </w:r>
                </w:p>
              </w:tc>
              <w:tc>
                <w:tcPr>
                  <w:tcW w:w="960" w:type="dxa"/>
                  <w:noWrap w:val="0"/>
                  <w:vAlign w:val="center"/>
                </w:tcPr>
                <w:p>
                  <w:pPr>
                    <w:jc w:val="center"/>
                    <w:rPr>
                      <w:rFonts w:hint="eastAsia" w:ascii="Times New Roman" w:hAnsi="Times New Roman" w:eastAsia="宋体"/>
                      <w:sz w:val="21"/>
                      <w:szCs w:val="21"/>
                    </w:rPr>
                  </w:pPr>
                  <w:r>
                    <w:rPr>
                      <w:rFonts w:hint="eastAsia" w:ascii="Times New Roman" w:hAnsi="Times New Roman" w:eastAsia="宋体"/>
                      <w:sz w:val="21"/>
                      <w:szCs w:val="21"/>
                    </w:rPr>
                    <w:t>危险固废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w:t>
                  </w:r>
                </w:p>
              </w:tc>
              <w:tc>
                <w:tcPr>
                  <w:tcW w:w="3024" w:type="dxa"/>
                  <w:vMerge w:val="continue"/>
                  <w:noWrap w:val="0"/>
                  <w:vAlign w:val="center"/>
                </w:tcPr>
                <w:p>
                  <w:pPr>
                    <w:jc w:val="center"/>
                    <w:rPr>
                      <w:rFonts w:hint="eastAsia" w:ascii="Times New Roman" w:hAnsi="Times New Roman" w:eastAsia="宋体"/>
                      <w:sz w:val="21"/>
                      <w:szCs w:val="21"/>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214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废机油及废机油桶</w:t>
                  </w:r>
                </w:p>
              </w:tc>
              <w:tc>
                <w:tcPr>
                  <w:tcW w:w="960" w:type="dxa"/>
                  <w:noWrap w:val="0"/>
                  <w:vAlign w:val="center"/>
                </w:tcPr>
                <w:p>
                  <w:pPr>
                    <w:jc w:val="center"/>
                    <w:rPr>
                      <w:rFonts w:hint="eastAsia" w:ascii="Times New Roman" w:hAnsi="Times New Roman" w:eastAsia="宋体"/>
                      <w:sz w:val="21"/>
                      <w:szCs w:val="21"/>
                    </w:rPr>
                  </w:pPr>
                  <w:r>
                    <w:rPr>
                      <w:rFonts w:hint="eastAsia" w:ascii="Times New Roman" w:hAnsi="Times New Roman" w:eastAsia="宋体"/>
                      <w:sz w:val="21"/>
                      <w:szCs w:val="21"/>
                    </w:rPr>
                    <w:t>危险固废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0.01</w:t>
                  </w:r>
                </w:p>
              </w:tc>
              <w:tc>
                <w:tcPr>
                  <w:tcW w:w="3024" w:type="dxa"/>
                  <w:vMerge w:val="continue"/>
                  <w:noWrap w:val="0"/>
                  <w:vAlign w:val="center"/>
                </w:tcPr>
                <w:p>
                  <w:pPr>
                    <w:jc w:val="center"/>
                    <w:rPr>
                      <w:rFonts w:hint="eastAsia" w:ascii="Times New Roman" w:hAnsi="Times New Roman" w:eastAsia="宋体"/>
                      <w:sz w:val="21"/>
                      <w:szCs w:val="21"/>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ind w:left="210" w:leftChars="0"/>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2140"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rPr>
                    <w:t>含油棉纱及手套</w:t>
                  </w:r>
                </w:p>
              </w:tc>
              <w:tc>
                <w:tcPr>
                  <w:tcW w:w="960" w:type="dxa"/>
                  <w:noWrap w:val="0"/>
                  <w:vAlign w:val="center"/>
                </w:tcPr>
                <w:p>
                  <w:pPr>
                    <w:jc w:val="center"/>
                    <w:rPr>
                      <w:rFonts w:hint="eastAsia" w:ascii="Times New Roman" w:hAnsi="Times New Roman" w:eastAsia="宋体"/>
                      <w:sz w:val="21"/>
                      <w:szCs w:val="21"/>
                      <w:lang w:val="en-US" w:eastAsia="en-US"/>
                    </w:rPr>
                  </w:pPr>
                  <w:r>
                    <w:rPr>
                      <w:rFonts w:hint="eastAsia" w:ascii="Times New Roman" w:hAnsi="Times New Roman" w:eastAsia="宋体"/>
                      <w:sz w:val="21"/>
                      <w:szCs w:val="21"/>
                    </w:rPr>
                    <w:t>危险固废</w:t>
                  </w:r>
                </w:p>
              </w:tc>
              <w:tc>
                <w:tcPr>
                  <w:tcW w:w="1190"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rPr>
                    <w:t>0.01</w:t>
                  </w:r>
                </w:p>
              </w:tc>
              <w:tc>
                <w:tcPr>
                  <w:tcW w:w="3024" w:type="dxa"/>
                  <w:vMerge w:val="continue"/>
                  <w:noWrap w:val="0"/>
                  <w:vAlign w:val="center"/>
                </w:tcPr>
                <w:p>
                  <w:pPr>
                    <w:jc w:val="center"/>
                    <w:rPr>
                      <w:rFonts w:hint="eastAsia" w:ascii="Times New Roman" w:hAnsi="Times New Roman" w:eastAsia="宋体"/>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2140" w:type="dxa"/>
                  <w:noWrap w:val="0"/>
                  <w:vAlign w:val="center"/>
                </w:tcPr>
                <w:p>
                  <w:pPr>
                    <w:jc w:val="center"/>
                    <w:rPr>
                      <w:rFonts w:hint="eastAsia" w:ascii="Times New Roman" w:hAnsi="Times New Roman" w:eastAsia="宋体"/>
                      <w:sz w:val="21"/>
                      <w:szCs w:val="21"/>
                    </w:rPr>
                  </w:pPr>
                  <w:r>
                    <w:rPr>
                      <w:rFonts w:hint="eastAsia" w:ascii="Times New Roman" w:hAnsi="Times New Roman" w:eastAsia="宋体"/>
                      <w:sz w:val="21"/>
                      <w:szCs w:val="21"/>
                    </w:rPr>
                    <w:t>生活垃圾</w:t>
                  </w:r>
                </w:p>
              </w:tc>
              <w:tc>
                <w:tcPr>
                  <w:tcW w:w="96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w:t>
                  </w:r>
                </w:p>
              </w:tc>
              <w:tc>
                <w:tcPr>
                  <w:tcW w:w="1190"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0.6</w:t>
                  </w:r>
                </w:p>
              </w:tc>
              <w:tc>
                <w:tcPr>
                  <w:tcW w:w="3024"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交由环卫部门清运处理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c>
                <w:tcPr>
                  <w:tcW w:w="214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rPr>
                    <w:t>不</w:t>
                  </w:r>
                  <w:r>
                    <w:rPr>
                      <w:rFonts w:hint="eastAsia" w:ascii="Times New Roman" w:hAnsi="Times New Roman" w:eastAsia="宋体"/>
                      <w:sz w:val="21"/>
                      <w:szCs w:val="21"/>
                      <w:lang w:eastAsia="zh-CN"/>
                    </w:rPr>
                    <w:t>合格</w:t>
                  </w:r>
                  <w:r>
                    <w:rPr>
                      <w:rFonts w:hint="eastAsia" w:ascii="Times New Roman" w:hAnsi="Times New Roman" w:eastAsia="宋体"/>
                      <w:sz w:val="21"/>
                      <w:szCs w:val="21"/>
                    </w:rPr>
                    <w:t>涂膜玻璃</w:t>
                  </w:r>
                </w:p>
              </w:tc>
              <w:tc>
                <w:tcPr>
                  <w:tcW w:w="96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rPr>
                    <w:t>一般固废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3024"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收集后外售物资回收部门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w:t>
                  </w:r>
                </w:p>
              </w:tc>
              <w:tc>
                <w:tcPr>
                  <w:tcW w:w="214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rPr>
                    <w:t>废包装材料</w:t>
                  </w:r>
                </w:p>
              </w:tc>
              <w:tc>
                <w:tcPr>
                  <w:tcW w:w="96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一般固废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0.5</w:t>
                  </w:r>
                </w:p>
              </w:tc>
              <w:tc>
                <w:tcPr>
                  <w:tcW w:w="3024"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外售废旧资源回收站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w:t>
                  </w:r>
                </w:p>
              </w:tc>
              <w:tc>
                <w:tcPr>
                  <w:tcW w:w="214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预处理池</w:t>
                  </w:r>
                  <w:r>
                    <w:rPr>
                      <w:rFonts w:hint="eastAsia" w:ascii="Times New Roman" w:hAnsi="Times New Roman" w:eastAsia="宋体"/>
                      <w:sz w:val="21"/>
                      <w:szCs w:val="21"/>
                    </w:rPr>
                    <w:t>污泥</w:t>
                  </w:r>
                </w:p>
              </w:tc>
              <w:tc>
                <w:tcPr>
                  <w:tcW w:w="960" w:type="dxa"/>
                  <w:noWrap w:val="0"/>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一般固废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0.18</w:t>
                  </w:r>
                </w:p>
              </w:tc>
              <w:tc>
                <w:tcPr>
                  <w:tcW w:w="3024"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定期清掏，交由环卫部门清运处理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2140" w:type="dxa"/>
                  <w:noWrap w:val="0"/>
                  <w:vAlign w:val="center"/>
                </w:tcPr>
                <w:p>
                  <w:pPr>
                    <w:jc w:val="center"/>
                    <w:rPr>
                      <w:rFonts w:hint="eastAsia" w:ascii="Times New Roman" w:hAnsi="Times New Roman" w:eastAsia="宋体"/>
                      <w:sz w:val="21"/>
                      <w:szCs w:val="21"/>
                      <w:lang w:eastAsia="zh-CN"/>
                    </w:rPr>
                  </w:pPr>
                  <w:r>
                    <w:rPr>
                      <w:rFonts w:hint="eastAsia"/>
                      <w:sz w:val="21"/>
                      <w:szCs w:val="21"/>
                      <w:lang w:eastAsia="zh-CN"/>
                    </w:rPr>
                    <w:t>沉淀池沉渣</w:t>
                  </w:r>
                </w:p>
              </w:tc>
              <w:tc>
                <w:tcPr>
                  <w:tcW w:w="960" w:type="dxa"/>
                  <w:noWrap w:val="0"/>
                  <w:vAlign w:val="center"/>
                </w:tcPr>
                <w:p>
                  <w:pPr>
                    <w:jc w:val="center"/>
                    <w:rPr>
                      <w:rFonts w:hint="eastAsia" w:ascii="Times New Roman" w:hAnsi="Times New Roman" w:eastAsia="宋体"/>
                      <w:sz w:val="21"/>
                      <w:szCs w:val="21"/>
                      <w:lang w:eastAsia="zh-CN"/>
                    </w:rPr>
                  </w:pPr>
                  <w:r>
                    <w:rPr>
                      <w:rFonts w:hint="eastAsia"/>
                      <w:sz w:val="21"/>
                      <w:szCs w:val="21"/>
                      <w:lang w:eastAsia="zh-CN"/>
                    </w:rPr>
                    <w:t>一般固废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0.1</w:t>
                  </w:r>
                </w:p>
              </w:tc>
              <w:tc>
                <w:tcPr>
                  <w:tcW w:w="3024"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定期清掏，交由环卫部门清运处理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2140"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rPr>
                    <w:t>废离子交换树脂</w:t>
                  </w:r>
                </w:p>
              </w:tc>
              <w:tc>
                <w:tcPr>
                  <w:tcW w:w="960"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rPr>
                    <w:t>一般固废</w:t>
                  </w:r>
                </w:p>
              </w:tc>
              <w:tc>
                <w:tcPr>
                  <w:tcW w:w="119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0.1</w:t>
                  </w:r>
                </w:p>
              </w:tc>
              <w:tc>
                <w:tcPr>
                  <w:tcW w:w="3024" w:type="dxa"/>
                  <w:noWrap w:val="0"/>
                  <w:vAlign w:val="center"/>
                </w:tcPr>
                <w:p>
                  <w:pPr>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numPr>
                      <w:ilvl w:val="0"/>
                      <w:numId w:val="0"/>
                    </w:numPr>
                    <w:adjustRightInd w:val="0"/>
                    <w:snapToGrid w:val="0"/>
                    <w:ind w:left="210" w:leftChars="0"/>
                    <w:jc w:val="both"/>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2140" w:type="dxa"/>
                  <w:noWrap w:val="0"/>
                  <w:vAlign w:val="center"/>
                </w:tcPr>
                <w:p>
                  <w:pPr>
                    <w:jc w:val="center"/>
                    <w:rPr>
                      <w:rFonts w:hint="eastAsia" w:ascii="Times New Roman" w:hAnsi="Times New Roman" w:eastAsia="宋体"/>
                      <w:sz w:val="21"/>
                      <w:szCs w:val="21"/>
                      <w:lang w:eastAsia="zh-CN"/>
                    </w:rPr>
                  </w:pPr>
                  <w:r>
                    <w:rPr>
                      <w:rFonts w:hint="eastAsia"/>
                      <w:sz w:val="21"/>
                      <w:szCs w:val="21"/>
                      <w:lang w:eastAsia="zh-CN"/>
                    </w:rPr>
                    <w:t>空气过滤器滤料</w:t>
                  </w:r>
                </w:p>
              </w:tc>
              <w:tc>
                <w:tcPr>
                  <w:tcW w:w="960" w:type="dxa"/>
                  <w:noWrap w:val="0"/>
                  <w:vAlign w:val="center"/>
                </w:tcPr>
                <w:p>
                  <w:pPr>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lang w:eastAsia="zh-CN"/>
                    </w:rPr>
                    <w:t>一般固废</w:t>
                  </w:r>
                </w:p>
              </w:tc>
              <w:tc>
                <w:tcPr>
                  <w:tcW w:w="1190" w:type="dxa"/>
                  <w:noWrap w:val="0"/>
                  <w:vAlign w:val="center"/>
                </w:tcPr>
                <w:p>
                  <w:pPr>
                    <w:jc w:val="center"/>
                    <w:rPr>
                      <w:rFonts w:hint="default" w:ascii="Times New Roman" w:hAnsi="Times New Roman" w:eastAsia="宋体" w:cs="黑体"/>
                      <w:kern w:val="2"/>
                      <w:sz w:val="21"/>
                      <w:szCs w:val="21"/>
                      <w:lang w:val="en-US" w:eastAsia="zh-CN" w:bidi="ar-SA"/>
                    </w:rPr>
                  </w:pPr>
                  <w:r>
                    <w:rPr>
                      <w:rFonts w:hint="eastAsia"/>
                      <w:sz w:val="21"/>
                      <w:szCs w:val="21"/>
                      <w:lang w:val="en-US" w:eastAsia="zh-CN"/>
                    </w:rPr>
                    <w:t>0.02</w:t>
                  </w:r>
                </w:p>
              </w:tc>
              <w:tc>
                <w:tcPr>
                  <w:tcW w:w="3024" w:type="dxa"/>
                  <w:noWrap w:val="0"/>
                  <w:vAlign w:val="center"/>
                </w:tcPr>
                <w:p>
                  <w:pPr>
                    <w:jc w:val="center"/>
                    <w:rPr>
                      <w:rFonts w:hint="eastAsia" w:ascii="Times New Roman" w:hAnsi="Times New Roman" w:eastAsia="宋体" w:cs="黑体"/>
                      <w:kern w:val="2"/>
                      <w:sz w:val="21"/>
                      <w:szCs w:val="21"/>
                      <w:lang w:val="en-US" w:eastAsia="zh-CN" w:bidi="ar-SA"/>
                    </w:rPr>
                  </w:pPr>
                  <w:r>
                    <w:rPr>
                      <w:rFonts w:hint="eastAsia" w:ascii="Times New Roman" w:hAnsi="Times New Roman" w:eastAsia="宋体"/>
                      <w:sz w:val="21"/>
                      <w:szCs w:val="21"/>
                      <w:lang w:val="en-US" w:eastAsia="zh-CN"/>
                    </w:rPr>
                    <w:t>厂家回收</w:t>
                  </w:r>
                </w:p>
              </w:tc>
            </w:tr>
          </w:tbl>
          <w:p>
            <w:pPr>
              <w:spacing w:line="360" w:lineRule="auto"/>
              <w:ind w:firstLine="361" w:firstLineChars="150"/>
              <w:rPr>
                <w:b/>
                <w:sz w:val="24"/>
                <w:szCs w:val="24"/>
              </w:rPr>
            </w:pPr>
            <w:r>
              <w:rPr>
                <w:rFonts w:hint="eastAsia"/>
                <w:b/>
                <w:sz w:val="24"/>
                <w:szCs w:val="24"/>
              </w:rPr>
              <w:t>（</w:t>
            </w:r>
            <w:r>
              <w:rPr>
                <w:rFonts w:hint="eastAsia"/>
                <w:b/>
                <w:sz w:val="24"/>
                <w:szCs w:val="24"/>
                <w:lang w:val="en-US" w:eastAsia="zh-CN"/>
              </w:rPr>
              <w:t>4</w:t>
            </w:r>
            <w:r>
              <w:rPr>
                <w:rFonts w:hint="eastAsia"/>
                <w:b/>
                <w:sz w:val="24"/>
                <w:szCs w:val="24"/>
              </w:rPr>
              <w:t>）环境管理要求</w:t>
            </w:r>
          </w:p>
          <w:p>
            <w:pPr>
              <w:spacing w:line="360" w:lineRule="auto"/>
              <w:ind w:firstLine="482" w:firstLineChars="200"/>
              <w:rPr>
                <w:sz w:val="24"/>
                <w:szCs w:val="24"/>
              </w:rPr>
            </w:pPr>
            <w:r>
              <w:rPr>
                <w:rFonts w:hint="eastAsia"/>
                <w:b/>
                <w:sz w:val="24"/>
                <w:szCs w:val="24"/>
              </w:rPr>
              <w:t>储存要求</w:t>
            </w:r>
            <w:r>
              <w:rPr>
                <w:rFonts w:hint="eastAsia"/>
                <w:sz w:val="24"/>
                <w:szCs w:val="24"/>
              </w:rPr>
              <w:t>：危险废物应分类收集储存在危废暂存间，按照《危险废物识别标志设置技术规范》（HJ1276</w:t>
            </w:r>
            <w:r>
              <w:rPr>
                <w:sz w:val="24"/>
                <w:szCs w:val="24"/>
              </w:rPr>
              <w:t>-</w:t>
            </w:r>
            <w:r>
              <w:rPr>
                <w:rFonts w:hint="eastAsia"/>
                <w:sz w:val="24"/>
                <w:szCs w:val="24"/>
              </w:rPr>
              <w:t>2022）设置警示标识</w:t>
            </w:r>
            <w:r>
              <w:rPr>
                <w:rFonts w:hint="eastAsia"/>
                <w:sz w:val="24"/>
                <w:szCs w:val="24"/>
                <w:lang w:eastAsia="zh-CN"/>
              </w:rPr>
              <w:t>；按照《危险废物管理计划和台账制度技术导则（HJ1259-2022）》相关要求，</w:t>
            </w:r>
            <w:r>
              <w:rPr>
                <w:rFonts w:hint="eastAsia"/>
                <w:sz w:val="24"/>
                <w:szCs w:val="24"/>
              </w:rPr>
              <w:t>由专人负责管理</w:t>
            </w:r>
            <w:r>
              <w:rPr>
                <w:rFonts w:hint="eastAsia"/>
                <w:sz w:val="24"/>
                <w:szCs w:val="24"/>
                <w:lang w:eastAsia="zh-CN"/>
              </w:rPr>
              <w:t>，制定管理计划和台账</w:t>
            </w:r>
            <w:r>
              <w:rPr>
                <w:rFonts w:hint="eastAsia"/>
                <w:sz w:val="24"/>
                <w:szCs w:val="24"/>
              </w:rPr>
              <w:t>。</w:t>
            </w:r>
            <w:r>
              <w:rPr>
                <w:rFonts w:cs="Times New Roman"/>
                <w:sz w:val="24"/>
                <w:szCs w:val="24"/>
              </w:rPr>
              <w:t>危险废物贮存必须严格按照《危险废物贮存污染控制标准》（GB18597-2023）</w:t>
            </w:r>
            <w:r>
              <w:rPr>
                <w:rFonts w:hint="eastAsia" w:cs="Times New Roman"/>
                <w:sz w:val="24"/>
                <w:szCs w:val="24"/>
              </w:rPr>
              <w:t>的</w:t>
            </w:r>
            <w:r>
              <w:rPr>
                <w:rFonts w:cs="Times New Roman"/>
                <w:sz w:val="24"/>
                <w:szCs w:val="24"/>
              </w:rPr>
              <w:t>要求执行</w:t>
            </w:r>
            <w:r>
              <w:rPr>
                <w:rFonts w:hint="eastAsia"/>
                <w:sz w:val="24"/>
                <w:szCs w:val="24"/>
              </w:rPr>
              <w:t>：</w:t>
            </w:r>
          </w:p>
          <w:p>
            <w:pPr>
              <w:spacing w:line="360" w:lineRule="auto"/>
              <w:ind w:firstLine="482" w:firstLineChars="200"/>
              <w:rPr>
                <w:rFonts w:cs="Times New Roman"/>
                <w:b/>
                <w:bCs/>
                <w:sz w:val="24"/>
                <w:szCs w:val="24"/>
              </w:rPr>
            </w:pPr>
            <w:r>
              <w:rPr>
                <w:rFonts w:hint="eastAsia" w:cs="Times New Roman"/>
                <w:b/>
                <w:bCs/>
                <w:sz w:val="24"/>
                <w:szCs w:val="24"/>
              </w:rPr>
              <w:t>1）贮存设施污染控制要求</w:t>
            </w:r>
          </w:p>
          <w:p>
            <w:pPr>
              <w:spacing w:line="360" w:lineRule="auto"/>
              <w:ind w:firstLine="480" w:firstLineChars="200"/>
              <w:rPr>
                <w:rFonts w:cs="Times New Roman"/>
                <w:sz w:val="24"/>
                <w:szCs w:val="24"/>
              </w:rPr>
            </w:pPr>
            <w:r>
              <w:rPr>
                <w:rFonts w:hint="eastAsia" w:cs="Times New Roman"/>
                <w:sz w:val="24"/>
                <w:szCs w:val="24"/>
              </w:rPr>
              <w:t>①贮存设施应根据危险废物的形态、物理化学性质、包装形式和污染物迁移途径，采取必要的防风、防晒、防雨、防漏、防渗、防腐以及其他环境污染防治措施，不应露天堆放危险废物。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rFonts w:cs="Times New Roman"/>
                <w:sz w:val="24"/>
                <w:szCs w:val="24"/>
              </w:rPr>
            </w:pPr>
            <w:r>
              <w:rPr>
                <w:rFonts w:hint="eastAsia" w:cs="Times New Roman"/>
                <w:sz w:val="24"/>
                <w:szCs w:val="24"/>
              </w:rPr>
              <w:t>②贮存设施应根据危险废物的类别、数量、形态、物理化学性质和污染防治等要求设置必要的贮存分区，避免不相容的危险废物接触、混合。</w:t>
            </w:r>
          </w:p>
          <w:p>
            <w:pPr>
              <w:spacing w:line="360" w:lineRule="auto"/>
              <w:ind w:firstLine="480" w:firstLineChars="200"/>
              <w:rPr>
                <w:rFonts w:cs="Times New Roman"/>
                <w:sz w:val="24"/>
                <w:szCs w:val="24"/>
              </w:rPr>
            </w:pPr>
            <w:r>
              <w:rPr>
                <w:rFonts w:hint="eastAsia" w:cs="Times New Roman"/>
                <w:sz w:val="24"/>
                <w:szCs w:val="24"/>
              </w:rPr>
              <w:t>③贮存设施或贮存分区内地面、墙面裙脚、堵截泄漏的围堰、接触危险废物的隔板和墙体等应采用坚固的材料建造，表面无裂缝。</w:t>
            </w:r>
          </w:p>
          <w:p>
            <w:pPr>
              <w:spacing w:line="360" w:lineRule="auto"/>
              <w:ind w:firstLine="480" w:firstLineChars="200"/>
              <w:rPr>
                <w:rFonts w:cs="Times New Roman"/>
                <w:sz w:val="24"/>
                <w:szCs w:val="24"/>
              </w:rPr>
            </w:pPr>
            <w:r>
              <w:rPr>
                <w:rFonts w:hint="eastAsia" w:cs="Times New Roman"/>
                <w:sz w:val="24"/>
                <w:szCs w:val="24"/>
              </w:rPr>
              <w:t>④贮存设施地面与裙脚应采取表面防渗措施；表面防渗材料应与所接触的物料或污染物相容，可采用抗渗混凝土、高密度聚乙烯膜、钠基膨润土防水毯或其他防渗性能等效的材料。</w:t>
            </w:r>
          </w:p>
          <w:p>
            <w:pPr>
              <w:spacing w:line="360" w:lineRule="auto"/>
              <w:ind w:firstLine="480" w:firstLineChars="200"/>
              <w:rPr>
                <w:rFonts w:cs="Times New Roman"/>
                <w:sz w:val="24"/>
                <w:szCs w:val="24"/>
              </w:rPr>
            </w:pPr>
            <w:r>
              <w:rPr>
                <w:rFonts w:hint="eastAsia" w:cs="Times New Roman"/>
                <w:sz w:val="24"/>
                <w:szCs w:val="24"/>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cs="Times New Roman"/>
                <w:sz w:val="24"/>
                <w:szCs w:val="24"/>
              </w:rPr>
            </w:pPr>
            <w:r>
              <w:rPr>
                <w:rFonts w:hint="eastAsia" w:cs="Times New Roman"/>
                <w:sz w:val="24"/>
                <w:szCs w:val="24"/>
              </w:rPr>
              <w:t>⑥贮存设施应采取技术和管理措施防止无关人员进入。</w:t>
            </w:r>
          </w:p>
          <w:p>
            <w:pPr>
              <w:spacing w:line="360" w:lineRule="auto"/>
              <w:ind w:firstLine="482" w:firstLineChars="200"/>
              <w:rPr>
                <w:rFonts w:cs="Times New Roman"/>
                <w:b/>
                <w:bCs/>
                <w:sz w:val="24"/>
                <w:szCs w:val="24"/>
              </w:rPr>
            </w:pPr>
            <w:r>
              <w:rPr>
                <w:rFonts w:cs="Times New Roman"/>
                <w:b/>
                <w:bCs/>
                <w:sz w:val="24"/>
                <w:szCs w:val="24"/>
              </w:rPr>
              <w:t>2</w:t>
            </w:r>
            <w:r>
              <w:rPr>
                <w:rFonts w:hint="eastAsia" w:cs="Times New Roman"/>
                <w:b/>
                <w:bCs/>
                <w:sz w:val="24"/>
                <w:szCs w:val="24"/>
              </w:rPr>
              <w:t>）容器和包装物污染控制要求</w:t>
            </w:r>
          </w:p>
          <w:p>
            <w:pPr>
              <w:spacing w:line="360" w:lineRule="auto"/>
              <w:ind w:firstLine="480" w:firstLineChars="200"/>
              <w:rPr>
                <w:rFonts w:cs="Times New Roman"/>
                <w:sz w:val="24"/>
                <w:szCs w:val="24"/>
              </w:rPr>
            </w:pPr>
            <w:r>
              <w:rPr>
                <w:rFonts w:hint="eastAsia" w:cs="Times New Roman"/>
                <w:sz w:val="24"/>
                <w:szCs w:val="24"/>
              </w:rPr>
              <w:t>①容器和包装物材质、内衬应与盛装的危险废物相容。</w:t>
            </w:r>
          </w:p>
          <w:p>
            <w:pPr>
              <w:spacing w:line="360" w:lineRule="auto"/>
              <w:ind w:firstLine="480" w:firstLineChars="200"/>
              <w:rPr>
                <w:rFonts w:cs="Times New Roman"/>
                <w:sz w:val="24"/>
                <w:szCs w:val="24"/>
              </w:rPr>
            </w:pPr>
            <w:r>
              <w:rPr>
                <w:rFonts w:hint="eastAsia" w:cs="Times New Roman"/>
                <w:sz w:val="24"/>
                <w:szCs w:val="24"/>
              </w:rPr>
              <w:t>②针对不同类别、形态、物理化学性质的危险废物，其容器和包装物应满足相应的防渗、防漏、防腐和强度等要求。</w:t>
            </w:r>
          </w:p>
          <w:p>
            <w:pPr>
              <w:spacing w:line="360" w:lineRule="auto"/>
              <w:ind w:firstLine="480" w:firstLineChars="200"/>
              <w:rPr>
                <w:rFonts w:cs="Times New Roman"/>
                <w:sz w:val="24"/>
                <w:szCs w:val="24"/>
              </w:rPr>
            </w:pPr>
            <w:r>
              <w:rPr>
                <w:rFonts w:hint="eastAsia" w:cs="Times New Roman"/>
                <w:sz w:val="24"/>
                <w:szCs w:val="24"/>
              </w:rPr>
              <w:t>③硬质容器和包装物及其支护结构堆叠码放时不应有明显变形，无破损泄漏。</w:t>
            </w:r>
          </w:p>
          <w:p>
            <w:pPr>
              <w:spacing w:line="360" w:lineRule="auto"/>
              <w:ind w:firstLine="480" w:firstLineChars="200"/>
              <w:rPr>
                <w:rFonts w:cs="Times New Roman"/>
                <w:sz w:val="24"/>
                <w:szCs w:val="24"/>
              </w:rPr>
            </w:pPr>
            <w:r>
              <w:rPr>
                <w:rFonts w:hint="eastAsia" w:cs="Times New Roman"/>
                <w:sz w:val="24"/>
                <w:szCs w:val="24"/>
              </w:rPr>
              <w:t>④柔性容器和包装物堆叠码放时应封口严密，无破损泄漏。</w:t>
            </w:r>
          </w:p>
          <w:p>
            <w:pPr>
              <w:spacing w:line="360" w:lineRule="auto"/>
              <w:ind w:firstLine="480" w:firstLineChars="200"/>
              <w:rPr>
                <w:rFonts w:cs="Times New Roman"/>
                <w:sz w:val="24"/>
                <w:szCs w:val="24"/>
              </w:rPr>
            </w:pPr>
            <w:r>
              <w:rPr>
                <w:rFonts w:hint="eastAsia" w:cs="Times New Roman"/>
                <w:sz w:val="24"/>
                <w:szCs w:val="24"/>
              </w:rPr>
              <w:t>⑤使用容器盛装液态、半固态危险废物时，容器内部应留有适当的空间，以适应因温度变化等可能引发的收缩和膨胀，防止其导致容器渗漏或永久变形。</w:t>
            </w:r>
          </w:p>
          <w:p>
            <w:pPr>
              <w:spacing w:line="360" w:lineRule="auto"/>
              <w:ind w:firstLine="480" w:firstLineChars="200"/>
              <w:rPr>
                <w:rFonts w:cs="Times New Roman"/>
                <w:sz w:val="24"/>
                <w:szCs w:val="24"/>
              </w:rPr>
            </w:pPr>
            <w:r>
              <w:rPr>
                <w:rFonts w:hint="eastAsia" w:cs="Times New Roman"/>
                <w:sz w:val="24"/>
                <w:szCs w:val="24"/>
              </w:rPr>
              <w:t>⑥容器和包装物外表面应保持清洁。</w:t>
            </w:r>
          </w:p>
          <w:p>
            <w:pPr>
              <w:spacing w:line="360" w:lineRule="auto"/>
              <w:ind w:firstLine="482" w:firstLineChars="200"/>
              <w:rPr>
                <w:rFonts w:cs="Times New Roman"/>
                <w:b/>
                <w:bCs/>
                <w:sz w:val="24"/>
                <w:szCs w:val="24"/>
              </w:rPr>
            </w:pPr>
            <w:r>
              <w:rPr>
                <w:rFonts w:cs="Times New Roman"/>
                <w:b/>
                <w:bCs/>
                <w:sz w:val="24"/>
                <w:szCs w:val="24"/>
              </w:rPr>
              <w:t>3</w:t>
            </w:r>
            <w:r>
              <w:rPr>
                <w:rFonts w:hint="eastAsia" w:cs="Times New Roman"/>
                <w:b/>
                <w:bCs/>
                <w:sz w:val="24"/>
                <w:szCs w:val="24"/>
              </w:rPr>
              <w:t>）贮存设施运行环境管理要求</w:t>
            </w:r>
          </w:p>
          <w:p>
            <w:pPr>
              <w:spacing w:line="360" w:lineRule="auto"/>
              <w:ind w:firstLine="480" w:firstLineChars="200"/>
              <w:rPr>
                <w:rFonts w:cs="Times New Roman"/>
                <w:sz w:val="24"/>
                <w:szCs w:val="24"/>
              </w:rPr>
            </w:pPr>
            <w:r>
              <w:rPr>
                <w:rFonts w:hint="eastAsia" w:cs="Times New Roman"/>
                <w:sz w:val="24"/>
                <w:szCs w:val="24"/>
              </w:rPr>
              <w:t>①危险废物存入贮存设施前应对危险废物类别和特性与危险废物标签等危险废物识别标志的一致性进行核验，不一致的或类别、特性不明的不应存入。</w:t>
            </w:r>
          </w:p>
          <w:p>
            <w:pPr>
              <w:spacing w:line="360" w:lineRule="auto"/>
              <w:ind w:firstLine="480" w:firstLineChars="200"/>
              <w:rPr>
                <w:rFonts w:cs="Times New Roman"/>
                <w:sz w:val="24"/>
                <w:szCs w:val="24"/>
              </w:rPr>
            </w:pPr>
            <w:r>
              <w:rPr>
                <w:rFonts w:hint="eastAsia" w:cs="Times New Roman"/>
                <w:sz w:val="24"/>
                <w:szCs w:val="24"/>
              </w:rPr>
              <w:t>②应定期检查危险废物的贮存状况，及时清理贮存设施地面，更换破损泄漏的危险废物贮存容器和包装物，保证堆存危险废物的防雨、防风、防扬尘等设施功能完好。</w:t>
            </w:r>
          </w:p>
          <w:p>
            <w:pPr>
              <w:spacing w:line="360" w:lineRule="auto"/>
              <w:ind w:firstLine="480" w:firstLineChars="200"/>
              <w:rPr>
                <w:rFonts w:cs="Times New Roman"/>
                <w:sz w:val="24"/>
                <w:szCs w:val="24"/>
              </w:rPr>
            </w:pPr>
            <w:r>
              <w:rPr>
                <w:rFonts w:hint="eastAsia" w:cs="Times New Roman"/>
                <w:sz w:val="24"/>
                <w:szCs w:val="24"/>
              </w:rPr>
              <w:t>③作业设备及车辆等结束作业离开贮存设施时，应对其残留的危险废物进行清理，清理的废物或清洗废水应收集处理。</w:t>
            </w:r>
          </w:p>
          <w:p>
            <w:pPr>
              <w:spacing w:line="360" w:lineRule="auto"/>
              <w:ind w:firstLine="480" w:firstLineChars="200"/>
              <w:rPr>
                <w:rFonts w:cs="Times New Roman"/>
                <w:sz w:val="24"/>
                <w:szCs w:val="24"/>
              </w:rPr>
            </w:pPr>
            <w:r>
              <w:rPr>
                <w:rFonts w:hint="eastAsia" w:cs="Times New Roman"/>
                <w:sz w:val="24"/>
                <w:szCs w:val="24"/>
              </w:rPr>
              <w:t>④贮存设施运行期间，应按国家有关标准和规定建立危险废物管理台账并保存。</w:t>
            </w:r>
          </w:p>
          <w:p>
            <w:pPr>
              <w:spacing w:line="360" w:lineRule="auto"/>
              <w:ind w:firstLine="480" w:firstLineChars="200"/>
              <w:rPr>
                <w:rFonts w:cs="Times New Roman"/>
                <w:sz w:val="24"/>
                <w:szCs w:val="24"/>
              </w:rPr>
            </w:pPr>
            <w:r>
              <w:rPr>
                <w:rFonts w:hint="eastAsia" w:cs="Times New Roman"/>
                <w:sz w:val="24"/>
                <w:szCs w:val="24"/>
              </w:rPr>
              <w:t>⑤贮存设施所有者或运营者应建立贮存设施环境管理制度、管理人员岗位职责制度、设施运行操作制度、人员岗位培训制度等。</w:t>
            </w:r>
          </w:p>
          <w:p>
            <w:pPr>
              <w:spacing w:line="360" w:lineRule="auto"/>
              <w:ind w:firstLine="480" w:firstLineChars="200"/>
              <w:rPr>
                <w:rFonts w:cs="Times New Roman"/>
                <w:sz w:val="24"/>
                <w:szCs w:val="24"/>
              </w:rPr>
            </w:pPr>
            <w:r>
              <w:rPr>
                <w:rFonts w:hint="eastAsia" w:cs="Times New Roman"/>
                <w:sz w:val="24"/>
                <w:szCs w:val="24"/>
              </w:rPr>
              <w:t>⑥贮存设施所有者或运营者应依据国家土壤和地下水污染防治的有关规定，结合贮存设施特点建立土壤和地下水污染隐患排查制度，并定期开展隐患排查；发现隐患应及时采取措施消除隐患，并建立档案。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cs="Times New Roman"/>
                <w:sz w:val="24"/>
                <w:szCs w:val="24"/>
              </w:rPr>
            </w:pPr>
            <w:r>
              <w:rPr>
                <w:rFonts w:hint="eastAsia" w:cs="Times New Roman"/>
                <w:sz w:val="24"/>
                <w:szCs w:val="24"/>
              </w:rPr>
              <w:t>⑦贮存设施所有者或运营者应建立贮存设施全部档案，包括设计、施工、验收、运行、监测和环境应急等，应按国家有关档案管理的法律法规进行整理和归档。</w:t>
            </w:r>
          </w:p>
          <w:p>
            <w:pPr>
              <w:spacing w:line="360" w:lineRule="auto"/>
              <w:ind w:firstLine="482" w:firstLineChars="200"/>
              <w:rPr>
                <w:rFonts w:cs="Times New Roman"/>
                <w:b/>
                <w:bCs/>
                <w:sz w:val="24"/>
                <w:szCs w:val="24"/>
              </w:rPr>
            </w:pPr>
            <w:r>
              <w:rPr>
                <w:rFonts w:cs="Times New Roman"/>
                <w:b/>
                <w:bCs/>
                <w:sz w:val="24"/>
                <w:szCs w:val="24"/>
              </w:rPr>
              <w:t>4</w:t>
            </w:r>
            <w:r>
              <w:rPr>
                <w:rFonts w:hint="eastAsia" w:cs="Times New Roman"/>
                <w:b/>
                <w:bCs/>
                <w:sz w:val="24"/>
                <w:szCs w:val="24"/>
              </w:rPr>
              <w:t>）环境应急要求</w:t>
            </w:r>
          </w:p>
          <w:p>
            <w:pPr>
              <w:spacing w:line="360" w:lineRule="auto"/>
              <w:ind w:firstLine="480" w:firstLineChars="200"/>
              <w:rPr>
                <w:rFonts w:cs="Times New Roman"/>
                <w:sz w:val="24"/>
                <w:szCs w:val="24"/>
              </w:rPr>
            </w:pPr>
            <w:r>
              <w:rPr>
                <w:rFonts w:hint="eastAsia" w:cs="Times New Roman"/>
                <w:sz w:val="24"/>
                <w:szCs w:val="24"/>
              </w:rPr>
              <w:t>①贮存设施所有者或运营者应按照国家有关规定编制突发环境事件应急预案，定期开展必要的培训和环境应急演练，并做好培训、演练记录。</w:t>
            </w:r>
          </w:p>
          <w:p>
            <w:pPr>
              <w:spacing w:line="360" w:lineRule="auto"/>
              <w:ind w:firstLine="480" w:firstLineChars="200"/>
              <w:rPr>
                <w:rFonts w:cs="Times New Roman"/>
                <w:sz w:val="24"/>
                <w:szCs w:val="24"/>
              </w:rPr>
            </w:pPr>
            <w:r>
              <w:rPr>
                <w:rFonts w:hint="eastAsia" w:cs="Times New Roman"/>
                <w:sz w:val="24"/>
                <w:szCs w:val="24"/>
              </w:rPr>
              <w:t>②贮存设施所有者或运营者应配备满足其突发环境事件应急要求的应急人员、装备和物资，并应设置应急照明系统。</w:t>
            </w:r>
          </w:p>
          <w:p>
            <w:pPr>
              <w:spacing w:line="360" w:lineRule="auto"/>
              <w:ind w:firstLine="480" w:firstLineChars="200"/>
              <w:rPr>
                <w:sz w:val="24"/>
                <w:szCs w:val="24"/>
              </w:rPr>
            </w:pPr>
            <w:r>
              <w:rPr>
                <w:rFonts w:hint="eastAsia" w:cs="Times New Roman"/>
                <w:sz w:val="24"/>
                <w:szCs w:val="24"/>
              </w:rPr>
              <w:t>③相关部门发布自然灾害或恶劣天气预警后，贮存设施所有者或运营者应启动相应防控措施，若有必要可将危险废物转移至其他具有防护条件的地点贮存</w:t>
            </w:r>
            <w:r>
              <w:rPr>
                <w:rFonts w:hint="eastAsia"/>
                <w:sz w:val="24"/>
                <w:szCs w:val="24"/>
              </w:rPr>
              <w:t>。</w:t>
            </w:r>
          </w:p>
          <w:p>
            <w:pPr>
              <w:spacing w:line="360" w:lineRule="auto"/>
              <w:ind w:firstLine="482" w:firstLineChars="200"/>
              <w:rPr>
                <w:sz w:val="24"/>
                <w:szCs w:val="24"/>
              </w:rPr>
            </w:pPr>
            <w:r>
              <w:rPr>
                <w:rFonts w:hint="eastAsia"/>
                <w:b/>
                <w:sz w:val="24"/>
                <w:szCs w:val="24"/>
              </w:rPr>
              <w:t>转运要求</w:t>
            </w:r>
            <w:r>
              <w:rPr>
                <w:rFonts w:hint="eastAsia"/>
                <w:sz w:val="24"/>
                <w:szCs w:val="24"/>
              </w:rPr>
              <w:t>：危险废物转运必须严格落实《危险废物转移联单管理办法》的规定，按要求填写危险废物转移联单，并严格落实以下要求：</w:t>
            </w:r>
          </w:p>
          <w:p>
            <w:pPr>
              <w:spacing w:line="360" w:lineRule="auto"/>
              <w:ind w:firstLine="480" w:firstLineChars="200"/>
              <w:rPr>
                <w:sz w:val="24"/>
                <w:szCs w:val="24"/>
              </w:rPr>
            </w:pPr>
            <w:r>
              <w:rPr>
                <w:rFonts w:hint="eastAsia"/>
                <w:sz w:val="24"/>
                <w:szCs w:val="24"/>
              </w:rPr>
              <w:t>①危险废物运输应由持有危险废物经营许可证的单位按照其许可证的经营范围组织实施，并取得交通运输部门颁发的危险货物运输资质。</w:t>
            </w:r>
          </w:p>
          <w:p>
            <w:pPr>
              <w:spacing w:line="360" w:lineRule="auto"/>
              <w:ind w:firstLine="480" w:firstLineChars="200"/>
              <w:rPr>
                <w:sz w:val="24"/>
                <w:szCs w:val="24"/>
              </w:rPr>
            </w:pPr>
            <w:r>
              <w:rPr>
                <w:rFonts w:hint="eastAsia"/>
                <w:sz w:val="24"/>
                <w:szCs w:val="24"/>
              </w:rPr>
              <w:t>②危险废物运输单位必须采取防扬散、防流失、防渗漏或其他防止污染环境的措施，并遵守国家有关危险货物运输管理的规定。</w:t>
            </w:r>
          </w:p>
          <w:p>
            <w:pPr>
              <w:spacing w:line="360" w:lineRule="auto"/>
              <w:ind w:firstLine="480" w:firstLineChars="200"/>
              <w:jc w:val="center"/>
              <w:rPr>
                <w:sz w:val="24"/>
                <w:szCs w:val="24"/>
              </w:rPr>
            </w:pPr>
            <w:r>
              <w:rPr>
                <w:rFonts w:hint="eastAsia"/>
                <w:sz w:val="24"/>
                <w:szCs w:val="24"/>
              </w:rPr>
              <w:t>③运输危险废物的车辆必须是危险货物运输车辆，并按《道路运输危险货物车辆标志》（GB13392-2005）设置车辆标志，不得将危险废物与旅客在同一运输工具载运。</w:t>
            </w:r>
          </w:p>
          <w:p>
            <w:pPr>
              <w:spacing w:line="360" w:lineRule="auto"/>
              <w:ind w:firstLine="480" w:firstLineChars="200"/>
              <w:rPr>
                <w:sz w:val="24"/>
                <w:szCs w:val="24"/>
              </w:rPr>
            </w:pPr>
            <w:r>
              <w:rPr>
                <w:rFonts w:hint="eastAsia"/>
                <w:sz w:val="24"/>
                <w:szCs w:val="24"/>
              </w:rPr>
              <w:t>④危险废物公路运输应按照《道路危险货物运输管理规定》（交通运输部令2013年第2号）、《危险货物道路运输规则》（JT/T617-2018）以及《汽车运输、装卸危险货物作业规程》（JT 618-2004）的有关要求执行。</w:t>
            </w:r>
          </w:p>
          <w:p>
            <w:pPr>
              <w:spacing w:line="360" w:lineRule="auto"/>
              <w:ind w:firstLine="480" w:firstLineChars="200"/>
              <w:rPr>
                <w:sz w:val="24"/>
                <w:szCs w:val="24"/>
              </w:rPr>
            </w:pPr>
            <w:r>
              <w:rPr>
                <w:rFonts w:hint="eastAsia"/>
                <w:sz w:val="24"/>
                <w:szCs w:val="24"/>
              </w:rPr>
              <w:t>⑤危险废物装卸人员应熟悉废物的危险特性，并配备适当的个人防护装备；卸载区应配备必要的消防设备和设施，并设置明显的指示标志；装卸区应设置隔离设施，液态废物卸载区应设置收集槽和缓冲罐。</w:t>
            </w:r>
          </w:p>
          <w:p>
            <w:pPr>
              <w:spacing w:line="360" w:lineRule="auto"/>
              <w:ind w:firstLine="480" w:firstLineChars="200"/>
              <w:rPr>
                <w:sz w:val="24"/>
                <w:szCs w:val="24"/>
              </w:rPr>
            </w:pPr>
            <w:r>
              <w:rPr>
                <w:rFonts w:hint="eastAsia"/>
                <w:sz w:val="24"/>
                <w:szCs w:val="24"/>
              </w:rPr>
              <w:t>综上所述，本项目严格落实本环评中提出的各类废物处置措施，落实危险废物储存和转运要求，可防止因处置不当出现的环境二次污染。</w:t>
            </w:r>
          </w:p>
          <w:p>
            <w:pPr>
              <w:spacing w:line="360" w:lineRule="auto"/>
              <w:ind w:firstLine="482" w:firstLineChars="200"/>
              <w:rPr>
                <w:rFonts w:hint="eastAsia" w:eastAsia="宋体"/>
                <w:b/>
                <w:sz w:val="24"/>
                <w:szCs w:val="24"/>
                <w:lang w:eastAsia="zh-CN"/>
              </w:rPr>
            </w:pPr>
            <w:r>
              <w:rPr>
                <w:b/>
                <w:sz w:val="24"/>
                <w:szCs w:val="24"/>
              </w:rPr>
              <w:t>5</w:t>
            </w:r>
            <w:r>
              <w:rPr>
                <w:rFonts w:hint="eastAsia"/>
                <w:b/>
                <w:sz w:val="24"/>
                <w:szCs w:val="24"/>
              </w:rPr>
              <w:t>、地下水</w:t>
            </w:r>
            <w:r>
              <w:rPr>
                <w:rFonts w:hint="eastAsia"/>
                <w:b/>
                <w:sz w:val="24"/>
                <w:szCs w:val="24"/>
                <w:lang w:eastAsia="zh-CN"/>
              </w:rPr>
              <w:t>、土壤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本项目不需开展地下水</w:t>
            </w:r>
            <w:r>
              <w:rPr>
                <w:rFonts w:hint="eastAsia" w:ascii="Times New Roman" w:hAnsi="Times New Roman" w:cs="Times New Roman"/>
                <w:color w:val="auto"/>
                <w:sz w:val="24"/>
                <w:szCs w:val="24"/>
                <w:lang w:eastAsia="zh-CN"/>
              </w:rPr>
              <w:t>、土壤</w:t>
            </w:r>
            <w:r>
              <w:rPr>
                <w:rFonts w:ascii="Times New Roman" w:hAnsi="Times New Roman" w:cs="Times New Roman"/>
                <w:color w:val="auto"/>
                <w:sz w:val="24"/>
                <w:szCs w:val="24"/>
                <w:lang w:eastAsia="zh-CN"/>
              </w:rPr>
              <w:t>环境影响评价，本次环评仅对地下水</w:t>
            </w:r>
            <w:r>
              <w:rPr>
                <w:rFonts w:hint="eastAsia" w:ascii="Times New Roman" w:hAnsi="Times New Roman" w:cs="Times New Roman"/>
                <w:color w:val="auto"/>
                <w:sz w:val="24"/>
                <w:szCs w:val="24"/>
                <w:lang w:eastAsia="zh-CN"/>
              </w:rPr>
              <w:t>、土壤</w:t>
            </w:r>
            <w:r>
              <w:rPr>
                <w:rFonts w:ascii="Times New Roman" w:hAnsi="Times New Roman" w:cs="Times New Roman"/>
                <w:color w:val="auto"/>
                <w:sz w:val="24"/>
                <w:szCs w:val="24"/>
                <w:lang w:eastAsia="zh-CN"/>
              </w:rPr>
              <w:t>防治措施作简要说明。</w:t>
            </w:r>
          </w:p>
          <w:p>
            <w:pPr>
              <w:widowControl/>
              <w:autoSpaceDE/>
              <w:autoSpaceDN/>
              <w:snapToGrid w:val="0"/>
              <w:spacing w:line="360" w:lineRule="auto"/>
              <w:ind w:firstLine="482" w:firstLineChars="200"/>
              <w:rPr>
                <w:rFonts w:ascii="Times New Roman" w:hAnsi="Times New Roman" w:cs="Times New Roman"/>
                <w:b/>
                <w:bCs/>
                <w:color w:val="auto"/>
                <w:kern w:val="2"/>
                <w:sz w:val="24"/>
                <w:szCs w:val="24"/>
                <w:lang w:eastAsia="zh-CN"/>
              </w:rPr>
            </w:pPr>
            <w:r>
              <w:rPr>
                <w:rFonts w:hint="eastAsia" w:ascii="Times New Roman" w:hAnsi="Times New Roman" w:cs="Times New Roman"/>
                <w:b/>
                <w:bCs/>
                <w:color w:val="auto"/>
                <w:kern w:val="2"/>
                <w:sz w:val="24"/>
                <w:szCs w:val="24"/>
                <w:lang w:eastAsia="zh-CN"/>
              </w:rPr>
              <w:t>（1）</w:t>
            </w:r>
            <w:r>
              <w:rPr>
                <w:rFonts w:ascii="Times New Roman" w:hAnsi="Times New Roman" w:cs="Times New Roman"/>
                <w:b/>
                <w:bCs/>
                <w:color w:val="auto"/>
                <w:kern w:val="2"/>
                <w:sz w:val="24"/>
                <w:szCs w:val="24"/>
                <w:lang w:eastAsia="zh-CN"/>
              </w:rPr>
              <w:t>地下水环境影响分析</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本工程可能造成对地下水和土壤污染来源主要为纳米有机涂料储存、使用过程中的跑冒滴漏从而对地下水和土壤环境造成不利影响。</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正常状况下，本项目选用优质设备和管件，并加强日常管理和维修维护工作，可有效防止和减少跑冒滴漏现象的发生。同时，本项目厂区按照分区防渗要求进行防渗处理，各污染防治区分别满足不同等级的防渗技术要求，可有效阻止污染物下渗。根据同类型项目的运行管理经验，在采取源头和分区防控措施的基础上，正常状况下不应有物料暴露而发生渗漏至地下的情景发生。</w:t>
            </w:r>
          </w:p>
          <w:p>
            <w:pPr>
              <w:autoSpaceDE/>
              <w:autoSpaceDN/>
              <w:spacing w:line="360" w:lineRule="auto"/>
              <w:ind w:firstLine="482" w:firstLineChars="200"/>
              <w:rPr>
                <w:rFonts w:ascii="Times New Roman" w:hAnsi="Times New Roman" w:cs="Times New Roman"/>
                <w:b/>
                <w:bCs/>
                <w:color w:val="auto"/>
                <w:kern w:val="2"/>
                <w:sz w:val="24"/>
                <w:szCs w:val="24"/>
                <w:lang w:eastAsia="zh-CN"/>
              </w:rPr>
            </w:pPr>
            <w:r>
              <w:rPr>
                <w:rFonts w:hint="eastAsia" w:ascii="Times New Roman" w:hAnsi="Times New Roman" w:cs="Times New Roman"/>
                <w:b/>
                <w:bCs/>
                <w:color w:val="auto"/>
                <w:kern w:val="2"/>
                <w:sz w:val="24"/>
                <w:szCs w:val="24"/>
                <w:lang w:eastAsia="zh-CN"/>
              </w:rPr>
              <w:t>A、</w:t>
            </w:r>
            <w:r>
              <w:rPr>
                <w:rFonts w:ascii="Times New Roman" w:hAnsi="Times New Roman" w:cs="Times New Roman"/>
                <w:b/>
                <w:bCs/>
                <w:color w:val="auto"/>
                <w:kern w:val="2"/>
                <w:sz w:val="24"/>
                <w:szCs w:val="24"/>
                <w:lang w:eastAsia="zh-CN"/>
              </w:rPr>
              <w:t>源头控制</w:t>
            </w:r>
          </w:p>
          <w:p>
            <w:pPr>
              <w:autoSpaceDE/>
              <w:autoSpaceDN/>
              <w:spacing w:line="360" w:lineRule="auto"/>
              <w:ind w:firstLine="480" w:firstLineChars="200"/>
              <w:rPr>
                <w:rFonts w:ascii="Times New Roman" w:hAnsi="Times New Roman" w:cs="Times New Roman"/>
                <w:color w:val="auto"/>
                <w:kern w:val="2"/>
                <w:sz w:val="24"/>
                <w:szCs w:val="24"/>
                <w:u w:val="single"/>
                <w:lang w:eastAsia="zh-CN"/>
              </w:rPr>
            </w:pPr>
            <w:r>
              <w:rPr>
                <w:rFonts w:hint="eastAsia" w:ascii="Times New Roman" w:hAnsi="Times New Roman" w:cs="Times New Roman"/>
                <w:color w:val="auto"/>
                <w:kern w:val="2"/>
                <w:sz w:val="24"/>
                <w:szCs w:val="24"/>
                <w:lang w:eastAsia="zh-CN"/>
              </w:rPr>
              <w:t>项目应根据国家现行相关规范加强环境管理，采取防止和降低污染物跑、冒、滴、漏的措施。正常运营过程中应加强控制及处理机修过程中污染物跑、冒、滴、漏，同时应加强对防渗工程的检查，若发现防渗密封材料老化或损坏，应及时维修更换。</w:t>
            </w:r>
          </w:p>
          <w:p>
            <w:pPr>
              <w:autoSpaceDE/>
              <w:autoSpaceDN/>
              <w:spacing w:line="360" w:lineRule="auto"/>
              <w:ind w:firstLine="482" w:firstLineChars="200"/>
              <w:rPr>
                <w:rFonts w:ascii="Times New Roman" w:hAnsi="Times New Roman" w:cs="Times New Roman"/>
                <w:color w:val="auto"/>
                <w:kern w:val="2"/>
                <w:sz w:val="24"/>
                <w:szCs w:val="24"/>
                <w:lang w:eastAsia="zh-CN"/>
              </w:rPr>
            </w:pPr>
            <w:r>
              <w:rPr>
                <w:rFonts w:hint="eastAsia" w:ascii="Times New Roman" w:hAnsi="Times New Roman" w:cs="Times New Roman"/>
                <w:b/>
                <w:bCs/>
                <w:color w:val="auto"/>
                <w:kern w:val="2"/>
                <w:sz w:val="24"/>
                <w:szCs w:val="24"/>
                <w:lang w:eastAsia="zh-CN"/>
              </w:rPr>
              <w:t>B、</w:t>
            </w:r>
            <w:r>
              <w:rPr>
                <w:rFonts w:ascii="Times New Roman" w:hAnsi="Times New Roman" w:cs="Times New Roman"/>
                <w:b/>
                <w:bCs/>
                <w:color w:val="auto"/>
                <w:kern w:val="2"/>
                <w:sz w:val="24"/>
                <w:szCs w:val="24"/>
                <w:lang w:eastAsia="zh-CN"/>
              </w:rPr>
              <w:t>分区防渗处理</w:t>
            </w:r>
          </w:p>
          <w:p>
            <w:pPr>
              <w:autoSpaceDE/>
              <w:autoSpaceDN/>
              <w:spacing w:line="360" w:lineRule="auto"/>
              <w:ind w:firstLine="516" w:firstLineChars="215"/>
              <w:jc w:val="both"/>
              <w:rPr>
                <w:rFonts w:ascii="Times New Roman" w:hAnsi="Times New Roman" w:cs="Times New Roman"/>
                <w:color w:val="auto"/>
                <w:kern w:val="2"/>
                <w:sz w:val="24"/>
                <w:szCs w:val="24"/>
                <w:lang w:eastAsia="zh-CN"/>
              </w:rPr>
            </w:pPr>
            <w:r>
              <w:rPr>
                <w:rFonts w:ascii="Times New Roman" w:hAnsi="Times New Roman" w:cs="Times New Roman"/>
                <w:color w:val="auto"/>
                <w:kern w:val="2"/>
                <w:sz w:val="24"/>
                <w:szCs w:val="24"/>
                <w:lang w:eastAsia="zh-CN"/>
              </w:rPr>
              <w:t>在总体布局上，严格区分重点防渗区、一般防渗区和简单防渗区。其中，重点防渗区包括</w:t>
            </w:r>
            <w:r>
              <w:rPr>
                <w:rFonts w:hint="eastAsia" w:ascii="Times New Roman" w:hAnsi="Times New Roman" w:cs="Times New Roman"/>
                <w:color w:val="auto"/>
                <w:kern w:val="2"/>
                <w:sz w:val="24"/>
                <w:szCs w:val="24"/>
                <w:lang w:eastAsia="zh-CN"/>
              </w:rPr>
              <w:t>危废暂存间；</w:t>
            </w:r>
            <w:r>
              <w:rPr>
                <w:rFonts w:ascii="Times New Roman" w:hAnsi="Times New Roman" w:cs="Times New Roman"/>
                <w:color w:val="auto"/>
                <w:kern w:val="2"/>
                <w:sz w:val="24"/>
                <w:szCs w:val="24"/>
                <w:lang w:eastAsia="zh-CN"/>
              </w:rPr>
              <w:t>一般防渗区</w:t>
            </w:r>
            <w:r>
              <w:rPr>
                <w:rFonts w:hint="eastAsia" w:ascii="Times New Roman" w:hAnsi="Times New Roman" w:cs="Times New Roman"/>
                <w:color w:val="auto"/>
                <w:kern w:val="2"/>
                <w:sz w:val="24"/>
                <w:szCs w:val="24"/>
                <w:lang w:eastAsia="zh-CN"/>
              </w:rPr>
              <w:t>包括隔热剂储存间（丁基胶等暂存间）、预处理池、机修间、1#加工车间、2#加工车间、镀膜车间；</w:t>
            </w:r>
            <w:r>
              <w:rPr>
                <w:rFonts w:ascii="Times New Roman" w:hAnsi="Times New Roman" w:cs="Times New Roman"/>
                <w:color w:val="auto"/>
                <w:kern w:val="2"/>
                <w:sz w:val="24"/>
                <w:szCs w:val="24"/>
                <w:lang w:eastAsia="zh-CN"/>
              </w:rPr>
              <w:t>简单防渗区</w:t>
            </w:r>
            <w:r>
              <w:rPr>
                <w:rFonts w:hint="eastAsia" w:ascii="Times New Roman" w:hAnsi="Times New Roman" w:cs="Times New Roman"/>
                <w:color w:val="auto"/>
                <w:kern w:val="2"/>
                <w:sz w:val="24"/>
                <w:szCs w:val="24"/>
                <w:lang w:eastAsia="zh-CN"/>
              </w:rPr>
              <w:t>，主要为综合办公楼、食堂就餐区、辅助车间、过道、一般固废暂存间。</w:t>
            </w:r>
            <w:r>
              <w:rPr>
                <w:rFonts w:ascii="Times New Roman" w:hAnsi="Times New Roman" w:cs="Times New Roman"/>
                <w:color w:val="auto"/>
                <w:kern w:val="2"/>
                <w:sz w:val="24"/>
                <w:szCs w:val="24"/>
                <w:lang w:eastAsia="zh-CN"/>
              </w:rPr>
              <w:t>防渗内容汇总见下表。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表4-1</w:t>
            </w:r>
            <w:r>
              <w:rPr>
                <w:rFonts w:hint="eastAsia" w:cs="黑体"/>
                <w:b/>
                <w:bCs/>
                <w:color w:val="auto"/>
                <w:kern w:val="2"/>
                <w:sz w:val="21"/>
                <w:szCs w:val="22"/>
                <w:shd w:val="clear" w:color="auto" w:fill="auto"/>
                <w:lang w:val="en-US" w:eastAsia="zh-CN" w:bidi="ar-SA"/>
              </w:rPr>
              <w:t>7</w:t>
            </w:r>
            <w:r>
              <w:rPr>
                <w:rFonts w:hint="eastAsia" w:ascii="Times New Roman" w:hAnsi="Times New Roman" w:eastAsia="宋体" w:cs="黑体"/>
                <w:b/>
                <w:bCs/>
                <w:color w:val="auto"/>
                <w:kern w:val="2"/>
                <w:sz w:val="21"/>
                <w:szCs w:val="22"/>
                <w:shd w:val="clear" w:color="auto" w:fill="auto"/>
                <w:lang w:val="en-US" w:eastAsia="zh-CN" w:bidi="ar-SA"/>
              </w:rPr>
              <w:t xml:space="preserve">   地下水污染分区防治措施一览表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2"/>
              <w:gridCol w:w="1454"/>
              <w:gridCol w:w="4472"/>
              <w:gridCol w:w="130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noWrap/>
                  <w:vAlign w:val="center"/>
                </w:tcPr>
                <w:p>
                  <w:pPr>
                    <w:adjustRightIn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防渗级别</w:t>
                  </w:r>
                </w:p>
              </w:tc>
              <w:tc>
                <w:tcPr>
                  <w:tcW w:w="902" w:type="pct"/>
                  <w:noWrap/>
                  <w:vAlign w:val="center"/>
                </w:tcPr>
                <w:p>
                  <w:pPr>
                    <w:adjustRightIn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区域名称</w:t>
                  </w:r>
                </w:p>
              </w:tc>
              <w:tc>
                <w:tcPr>
                  <w:tcW w:w="2776" w:type="pct"/>
                  <w:noWrap/>
                  <w:vAlign w:val="center"/>
                </w:tcPr>
                <w:p>
                  <w:pPr>
                    <w:adjustRightInd w:val="0"/>
                    <w:jc w:val="center"/>
                    <w:rPr>
                      <w:rFonts w:ascii="Times New Roman" w:hAnsi="Times New Roman" w:cs="Times New Roman"/>
                      <w:b/>
                      <w:bCs/>
                      <w:color w:val="auto"/>
                      <w:sz w:val="21"/>
                      <w:szCs w:val="21"/>
                    </w:rPr>
                  </w:pPr>
                  <w:r>
                    <w:rPr>
                      <w:rFonts w:hint="eastAsia" w:cs="Times New Roman"/>
                      <w:b/>
                      <w:bCs/>
                      <w:color w:val="auto"/>
                      <w:sz w:val="21"/>
                      <w:szCs w:val="21"/>
                      <w:lang w:eastAsia="zh-CN"/>
                    </w:rPr>
                    <w:t>采取</w:t>
                  </w:r>
                  <w:r>
                    <w:rPr>
                      <w:rFonts w:ascii="Times New Roman" w:hAnsi="Times New Roman" w:cs="Times New Roman"/>
                      <w:b/>
                      <w:bCs/>
                      <w:color w:val="auto"/>
                      <w:sz w:val="21"/>
                      <w:szCs w:val="21"/>
                    </w:rPr>
                    <w:t>治理措施</w:t>
                  </w:r>
                </w:p>
              </w:tc>
              <w:tc>
                <w:tcPr>
                  <w:tcW w:w="809" w:type="pct"/>
                  <w:noWrap/>
                  <w:vAlign w:val="center"/>
                </w:tcPr>
                <w:p>
                  <w:pPr>
                    <w:adjustRightInd w:val="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noWrap/>
                  <w:vAlign w:val="center"/>
                </w:tcPr>
                <w:p>
                  <w:pPr>
                    <w:adjustRightIn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重点防渗区</w:t>
                  </w:r>
                </w:p>
              </w:tc>
              <w:tc>
                <w:tcPr>
                  <w:tcW w:w="902" w:type="pct"/>
                  <w:noWrap/>
                  <w:vAlign w:val="center"/>
                </w:tcPr>
                <w:p>
                  <w:pPr>
                    <w:adjustRightIn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危废暂存间</w:t>
                  </w:r>
                </w:p>
              </w:tc>
              <w:tc>
                <w:tcPr>
                  <w:tcW w:w="2776" w:type="pct"/>
                  <w:noWrap/>
                  <w:vAlign w:val="center"/>
                </w:tcPr>
                <w:p>
                  <w:pPr>
                    <w:adjustRightInd w:val="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shd w:val="clear" w:color="auto" w:fill="FFFFFF"/>
                      <w:lang w:eastAsia="zh-CN"/>
                    </w:rPr>
                    <w:t>等效黏土防渗层≥6m</w:t>
                  </w:r>
                  <w:r>
                    <w:rPr>
                      <w:rFonts w:ascii="Times New Roman" w:hAnsi="Times New Roman" w:cs="Times New Roman"/>
                      <w:color w:val="auto"/>
                      <w:sz w:val="21"/>
                      <w:szCs w:val="21"/>
                      <w:shd w:val="clear" w:color="auto" w:fill="FFFFFF"/>
                      <w:lang w:eastAsia="zh-CN"/>
                    </w:rPr>
                    <w:t>（渗透系数≤10</w:t>
                  </w:r>
                  <w:r>
                    <w:rPr>
                      <w:rFonts w:ascii="Times New Roman" w:hAnsi="Times New Roman" w:cs="Times New Roman"/>
                      <w:color w:val="auto"/>
                      <w:sz w:val="21"/>
                      <w:szCs w:val="21"/>
                      <w:shd w:val="clear" w:color="auto" w:fill="FFFFFF"/>
                      <w:vertAlign w:val="superscript"/>
                      <w:lang w:eastAsia="zh-CN"/>
                    </w:rPr>
                    <w:t>-7</w:t>
                  </w:r>
                  <w:r>
                    <w:rPr>
                      <w:rFonts w:ascii="Times New Roman" w:hAnsi="Times New Roman" w:cs="Times New Roman"/>
                      <w:color w:val="auto"/>
                      <w:sz w:val="21"/>
                      <w:szCs w:val="21"/>
                      <w:shd w:val="clear" w:color="auto" w:fill="FFFFFF"/>
                      <w:lang w:eastAsia="zh-CN"/>
                    </w:rPr>
                    <w:t>厘米/秒），或2毫米厚</w:t>
                  </w:r>
                  <w:r>
                    <w:rPr>
                      <w:rFonts w:ascii="Times New Roman" w:hAnsi="Times New Roman" w:cs="Times New Roman"/>
                      <w:color w:val="auto"/>
                    </w:rPr>
                    <w:fldChar w:fldCharType="begin"/>
                  </w:r>
                  <w:r>
                    <w:rPr>
                      <w:rFonts w:ascii="Times New Roman" w:hAnsi="Times New Roman" w:cs="Times New Roman"/>
                      <w:color w:val="auto"/>
                      <w:lang w:eastAsia="zh-CN"/>
                    </w:rPr>
                    <w:instrText xml:space="preserve"> HYPERLINK "https://baike.baidu.com/item/%E9%AB%98%E5%AF%86%E5%BA%A6%E8%81%9A%E4%B9%99%E7%83%AF" \t "https://baike.baidu.com/item/%E5%8D%B1%E9%99%A9%E5%BA%9F%E7%89%A9%E8%B4%AE%E5%AD%98%E6%B1%A1%E6%9F%93%E6%8E%A7%E5%88%B6%E6%A0%87%E5%87%86/_blank" </w:instrText>
                  </w:r>
                  <w:r>
                    <w:rPr>
                      <w:rFonts w:ascii="Times New Roman" w:hAnsi="Times New Roman" w:cs="Times New Roman"/>
                      <w:color w:val="auto"/>
                    </w:rPr>
                    <w:fldChar w:fldCharType="separate"/>
                  </w:r>
                  <w:r>
                    <w:rPr>
                      <w:rStyle w:val="27"/>
                      <w:rFonts w:ascii="Times New Roman" w:hAnsi="Times New Roman" w:cs="Times New Roman"/>
                      <w:color w:val="auto"/>
                      <w:sz w:val="21"/>
                      <w:szCs w:val="21"/>
                      <w:u w:val="none"/>
                      <w:shd w:val="clear" w:color="auto" w:fill="FFFFFF"/>
                      <w:lang w:eastAsia="zh-CN"/>
                    </w:rPr>
                    <w:t>高密度聚乙烯</w:t>
                  </w:r>
                  <w:r>
                    <w:rPr>
                      <w:rFonts w:ascii="Times New Roman" w:hAnsi="Times New Roman" w:cs="Times New Roman"/>
                      <w:color w:val="auto"/>
                      <w:sz w:val="21"/>
                      <w:szCs w:val="21"/>
                      <w:shd w:val="clear" w:color="auto" w:fill="FFFFFF"/>
                    </w:rPr>
                    <w:fldChar w:fldCharType="end"/>
                  </w:r>
                  <w:r>
                    <w:rPr>
                      <w:rFonts w:ascii="Times New Roman" w:hAnsi="Times New Roman" w:cs="Times New Roman"/>
                      <w:color w:val="auto"/>
                      <w:sz w:val="21"/>
                      <w:szCs w:val="21"/>
                      <w:shd w:val="clear" w:color="auto" w:fill="FFFFFF"/>
                      <w:lang w:eastAsia="zh-CN"/>
                    </w:rPr>
                    <w:t>，或至少2毫米厚的其它人工材料，渗透系数</w:t>
                  </w:r>
                  <w:r>
                    <w:rPr>
                      <w:rFonts w:ascii="Times New Roman" w:hAnsi="Times New Roman" w:cs="Times New Roman"/>
                      <w:color w:val="auto"/>
                      <w:sz w:val="21"/>
                      <w:szCs w:val="21"/>
                      <w:lang w:eastAsia="zh-CN"/>
                    </w:rPr>
                    <w:t>K&lt;1</w:t>
                  </w:r>
                  <w:r>
                    <w:rPr>
                      <w:rFonts w:ascii="Times New Roman" w:hAnsi="Times New Roman" w:cs="Times New Roman"/>
                      <w:bCs/>
                      <w:color w:val="auto"/>
                      <w:sz w:val="21"/>
                      <w:szCs w:val="21"/>
                      <w:lang w:eastAsia="zh-CN"/>
                    </w:rPr>
                    <w:t>×</w:t>
                  </w:r>
                  <w:r>
                    <w:rPr>
                      <w:rFonts w:ascii="Times New Roman" w:hAnsi="Times New Roman" w:cs="Times New Roman"/>
                      <w:color w:val="auto"/>
                      <w:sz w:val="21"/>
                      <w:szCs w:val="21"/>
                      <w:lang w:eastAsia="zh-CN"/>
                    </w:rPr>
                    <w:t>10</w:t>
                  </w:r>
                  <w:r>
                    <w:rPr>
                      <w:rFonts w:ascii="Times New Roman" w:hAnsi="Times New Roman" w:cs="Times New Roman"/>
                      <w:color w:val="auto"/>
                      <w:sz w:val="21"/>
                      <w:szCs w:val="21"/>
                      <w:vertAlign w:val="superscript"/>
                      <w:lang w:eastAsia="zh-CN"/>
                    </w:rPr>
                    <w:t>-10</w:t>
                  </w:r>
                  <w:r>
                    <w:rPr>
                      <w:rFonts w:ascii="Times New Roman" w:hAnsi="Times New Roman" w:cs="Times New Roman"/>
                      <w:color w:val="auto"/>
                      <w:sz w:val="21"/>
                      <w:szCs w:val="21"/>
                      <w:lang w:eastAsia="zh-CN"/>
                    </w:rPr>
                    <w:t>cm/s。项目</w:t>
                  </w:r>
                  <w:r>
                    <w:rPr>
                      <w:rFonts w:hint="eastAsia" w:ascii="Times New Roman" w:hAnsi="Times New Roman" w:cs="Times New Roman"/>
                      <w:color w:val="auto"/>
                      <w:sz w:val="21"/>
                      <w:szCs w:val="21"/>
                      <w:lang w:eastAsia="zh-CN"/>
                    </w:rPr>
                    <w:t>已</w:t>
                  </w:r>
                  <w:r>
                    <w:rPr>
                      <w:rFonts w:ascii="Times New Roman" w:hAnsi="Times New Roman" w:cs="Times New Roman"/>
                      <w:color w:val="auto"/>
                      <w:sz w:val="21"/>
                      <w:szCs w:val="21"/>
                      <w:lang w:eastAsia="zh-CN"/>
                    </w:rPr>
                    <w:t>采取“2mm厚环氧树脂地坪”防渗措施，危险固废分类桶装后放置于不锈钢防渗托盘内，可有效防止危险物质渗入地下。</w:t>
                  </w:r>
                  <w:r>
                    <w:rPr>
                      <w:rFonts w:ascii="Times New Roman" w:hAnsi="Times New Roman" w:cs="Times New Roman"/>
                      <w:bCs/>
                      <w:color w:val="auto"/>
                      <w:sz w:val="21"/>
                      <w:szCs w:val="26"/>
                      <w:lang w:eastAsia="zh-CN"/>
                    </w:rPr>
                    <w:t>该区域满足</w:t>
                  </w:r>
                  <w:r>
                    <w:rPr>
                      <w:rFonts w:ascii="Times New Roman" w:hAnsi="Times New Roman" w:cs="Times New Roman"/>
                      <w:color w:val="auto"/>
                      <w:sz w:val="21"/>
                      <w:szCs w:val="21"/>
                      <w:lang w:eastAsia="zh-CN"/>
                    </w:rPr>
                    <w:t>重点防渗技术要求</w:t>
                  </w:r>
                </w:p>
              </w:tc>
              <w:tc>
                <w:tcPr>
                  <w:tcW w:w="809" w:type="pct"/>
                  <w:noWrap/>
                  <w:vAlign w:val="center"/>
                </w:tcPr>
                <w:p>
                  <w:pPr>
                    <w:adjustRightInd w:val="0"/>
                    <w:jc w:val="center"/>
                    <w:rPr>
                      <w:rFonts w:hint="eastAsia" w:ascii="Times New Roman" w:hAnsi="Times New Roman" w:cs="Times New Roman"/>
                      <w:color w:val="auto"/>
                      <w:sz w:val="21"/>
                      <w:szCs w:val="21"/>
                      <w:shd w:val="clear" w:color="auto" w:fill="FFFFFF"/>
                      <w:lang w:eastAsia="zh-CN"/>
                    </w:rPr>
                  </w:pPr>
                  <w:r>
                    <w:rPr>
                      <w:rFonts w:hint="eastAsia" w:cs="Times New Roman"/>
                      <w:color w:val="auto"/>
                      <w:sz w:val="21"/>
                      <w:szCs w:val="21"/>
                      <w:shd w:val="clear" w:color="auto" w:fill="FFFFFF"/>
                      <w:lang w:eastAsia="zh-CN"/>
                    </w:rPr>
                    <w:t>已建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vMerge w:val="restart"/>
                  <w:noWrap/>
                  <w:vAlign w:val="center"/>
                </w:tcPr>
                <w:p>
                  <w:pPr>
                    <w:adjustRightIn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一般防渗区</w:t>
                  </w:r>
                </w:p>
              </w:tc>
              <w:tc>
                <w:tcPr>
                  <w:tcW w:w="902" w:type="pct"/>
                  <w:noWrap/>
                  <w:vAlign w:val="center"/>
                </w:tcPr>
                <w:p>
                  <w:pPr>
                    <w:adjustRightInd w:val="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丁基胶等暂存间</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预处理池</w:t>
                  </w:r>
                  <w:r>
                    <w:rPr>
                      <w:rFonts w:hint="eastAsia" w:cs="Times New Roman"/>
                      <w:color w:val="auto"/>
                      <w:sz w:val="21"/>
                      <w:szCs w:val="21"/>
                      <w:lang w:eastAsia="zh-CN"/>
                    </w:rPr>
                    <w:t>、机修间、1#加工车间、</w:t>
                  </w:r>
                  <w:r>
                    <w:rPr>
                      <w:rFonts w:hint="eastAsia"/>
                      <w:lang w:val="en-US" w:eastAsia="zh-CN"/>
                    </w:rPr>
                    <w:t>2#加工车间</w:t>
                  </w:r>
                </w:p>
              </w:tc>
              <w:tc>
                <w:tcPr>
                  <w:tcW w:w="2776" w:type="pct"/>
                  <w:noWrap/>
                  <w:vAlign w:val="center"/>
                </w:tcPr>
                <w:p>
                  <w:pPr>
                    <w:adjustRightInd w:val="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进行防渗混凝土铺设，达到</w:t>
                  </w:r>
                  <w:r>
                    <w:rPr>
                      <w:rFonts w:hint="eastAsia" w:ascii="Times New Roman" w:hAnsi="Times New Roman" w:cs="Times New Roman"/>
                      <w:color w:val="auto"/>
                      <w:sz w:val="21"/>
                      <w:szCs w:val="21"/>
                      <w:shd w:val="clear" w:color="auto" w:fill="FFFFFF"/>
                      <w:lang w:eastAsia="zh-CN"/>
                    </w:rPr>
                    <w:t>等效黏土防渗层≥1.5m</w:t>
                  </w:r>
                  <w:r>
                    <w:rPr>
                      <w:rFonts w:ascii="Times New Roman" w:hAnsi="Times New Roman" w:cs="Times New Roman"/>
                      <w:color w:val="auto"/>
                      <w:sz w:val="21"/>
                      <w:szCs w:val="21"/>
                      <w:shd w:val="clear" w:color="auto" w:fill="FFFFFF"/>
                      <w:lang w:eastAsia="zh-CN"/>
                    </w:rPr>
                    <w:t>（渗透系数≤10</w:t>
                  </w:r>
                  <w:r>
                    <w:rPr>
                      <w:rFonts w:ascii="Times New Roman" w:hAnsi="Times New Roman" w:cs="Times New Roman"/>
                      <w:color w:val="auto"/>
                      <w:sz w:val="21"/>
                      <w:szCs w:val="21"/>
                      <w:shd w:val="clear" w:color="auto" w:fill="FFFFFF"/>
                      <w:vertAlign w:val="superscript"/>
                      <w:lang w:eastAsia="zh-CN"/>
                    </w:rPr>
                    <w:t>-7</w:t>
                  </w:r>
                  <w:r>
                    <w:rPr>
                      <w:rFonts w:ascii="Times New Roman" w:hAnsi="Times New Roman" w:cs="Times New Roman"/>
                      <w:color w:val="auto"/>
                      <w:sz w:val="21"/>
                      <w:szCs w:val="21"/>
                      <w:shd w:val="clear" w:color="auto" w:fill="FFFFFF"/>
                      <w:lang w:eastAsia="zh-CN"/>
                    </w:rPr>
                    <w:t>厘米/秒）</w:t>
                  </w:r>
                </w:p>
              </w:tc>
              <w:tc>
                <w:tcPr>
                  <w:tcW w:w="809" w:type="pct"/>
                  <w:noWrap/>
                  <w:vAlign w:val="center"/>
                </w:tcPr>
                <w:p>
                  <w:pPr>
                    <w:adjustRightInd w:val="0"/>
                    <w:jc w:val="center"/>
                    <w:rPr>
                      <w:rFonts w:hint="eastAsia" w:ascii="Times New Roman" w:hAnsi="Times New Roman" w:cs="Times New Roman"/>
                      <w:color w:val="auto"/>
                      <w:sz w:val="21"/>
                      <w:szCs w:val="21"/>
                      <w:lang w:eastAsia="zh-CN"/>
                    </w:rPr>
                  </w:pPr>
                  <w:r>
                    <w:rPr>
                      <w:rFonts w:hint="eastAsia" w:cs="Times New Roman"/>
                      <w:color w:val="auto"/>
                      <w:sz w:val="21"/>
                      <w:szCs w:val="21"/>
                      <w:shd w:val="clear" w:color="auto" w:fill="FFFFFF"/>
                      <w:lang w:eastAsia="zh-CN"/>
                    </w:rPr>
                    <w:t>已建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vMerge w:val="continue"/>
                  <w:noWrap/>
                  <w:vAlign w:val="center"/>
                </w:tcPr>
                <w:p>
                  <w:pPr>
                    <w:adjustRightInd w:val="0"/>
                    <w:jc w:val="center"/>
                    <w:rPr>
                      <w:rFonts w:ascii="Times New Roman" w:hAnsi="Times New Roman" w:cs="Times New Roman"/>
                      <w:b/>
                      <w:bCs/>
                      <w:color w:val="auto"/>
                      <w:sz w:val="21"/>
                      <w:szCs w:val="21"/>
                    </w:rPr>
                  </w:pPr>
                </w:p>
              </w:tc>
              <w:tc>
                <w:tcPr>
                  <w:tcW w:w="902" w:type="pct"/>
                  <w:noWrap/>
                  <w:vAlign w:val="center"/>
                </w:tcPr>
                <w:p>
                  <w:pPr>
                    <w:adjustRightInd w:val="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隔热剂储存间</w:t>
                  </w:r>
                </w:p>
              </w:tc>
              <w:tc>
                <w:tcPr>
                  <w:tcW w:w="2776" w:type="pct"/>
                  <w:noWrap/>
                  <w:vAlign w:val="center"/>
                </w:tcPr>
                <w:p>
                  <w:pPr>
                    <w:adjustRightInd w:val="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进行防渗混凝土铺设，达到</w:t>
                  </w:r>
                  <w:r>
                    <w:rPr>
                      <w:rFonts w:hint="eastAsia" w:ascii="Times New Roman" w:hAnsi="Times New Roman" w:cs="Times New Roman"/>
                      <w:color w:val="auto"/>
                      <w:sz w:val="21"/>
                      <w:szCs w:val="21"/>
                      <w:shd w:val="clear" w:color="auto" w:fill="FFFFFF"/>
                      <w:lang w:eastAsia="zh-CN"/>
                    </w:rPr>
                    <w:t>等效黏土防渗层≥1.5m</w:t>
                  </w:r>
                  <w:r>
                    <w:rPr>
                      <w:rFonts w:ascii="Times New Roman" w:hAnsi="Times New Roman" w:cs="Times New Roman"/>
                      <w:color w:val="auto"/>
                      <w:sz w:val="21"/>
                      <w:szCs w:val="21"/>
                      <w:shd w:val="clear" w:color="auto" w:fill="FFFFFF"/>
                      <w:lang w:eastAsia="zh-CN"/>
                    </w:rPr>
                    <w:t>（渗透系数≤10</w:t>
                  </w:r>
                  <w:r>
                    <w:rPr>
                      <w:rFonts w:ascii="Times New Roman" w:hAnsi="Times New Roman" w:cs="Times New Roman"/>
                      <w:color w:val="auto"/>
                      <w:sz w:val="21"/>
                      <w:szCs w:val="21"/>
                      <w:shd w:val="clear" w:color="auto" w:fill="FFFFFF"/>
                      <w:vertAlign w:val="superscript"/>
                      <w:lang w:eastAsia="zh-CN"/>
                    </w:rPr>
                    <w:t>-7</w:t>
                  </w:r>
                  <w:r>
                    <w:rPr>
                      <w:rFonts w:ascii="Times New Roman" w:hAnsi="Times New Roman" w:cs="Times New Roman"/>
                      <w:color w:val="auto"/>
                      <w:sz w:val="21"/>
                      <w:szCs w:val="21"/>
                      <w:shd w:val="clear" w:color="auto" w:fill="FFFFFF"/>
                      <w:lang w:eastAsia="zh-CN"/>
                    </w:rPr>
                    <w:t>厘米/秒）</w:t>
                  </w:r>
                </w:p>
              </w:tc>
              <w:tc>
                <w:tcPr>
                  <w:tcW w:w="809" w:type="pct"/>
                  <w:noWrap/>
                  <w:vAlign w:val="center"/>
                </w:tcPr>
                <w:p>
                  <w:pPr>
                    <w:adjustRightInd w:val="0"/>
                    <w:jc w:val="center"/>
                    <w:rPr>
                      <w:rFonts w:hint="eastAsia" w:cs="Times New Roman"/>
                      <w:color w:val="auto"/>
                      <w:sz w:val="21"/>
                      <w:szCs w:val="21"/>
                      <w:shd w:val="clear" w:color="auto" w:fill="FFFFFF"/>
                      <w:lang w:eastAsia="zh-CN"/>
                    </w:rPr>
                  </w:pPr>
                  <w:r>
                    <w:rPr>
                      <w:rFonts w:hint="eastAsia" w:cs="Times New Roman"/>
                      <w:color w:val="auto"/>
                      <w:sz w:val="21"/>
                      <w:szCs w:val="21"/>
                      <w:shd w:val="clear" w:color="auto" w:fill="FFFFFF"/>
                      <w:lang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vMerge w:val="continue"/>
                  <w:noWrap/>
                  <w:vAlign w:val="center"/>
                </w:tcPr>
                <w:p>
                  <w:pPr>
                    <w:adjustRightInd w:val="0"/>
                    <w:jc w:val="center"/>
                    <w:rPr>
                      <w:rFonts w:ascii="Times New Roman" w:hAnsi="Times New Roman" w:cs="Times New Roman"/>
                      <w:b/>
                      <w:bCs/>
                      <w:color w:val="auto"/>
                      <w:sz w:val="21"/>
                      <w:szCs w:val="21"/>
                    </w:rPr>
                  </w:pPr>
                </w:p>
              </w:tc>
              <w:tc>
                <w:tcPr>
                  <w:tcW w:w="902" w:type="pct"/>
                  <w:noWrap/>
                  <w:vAlign w:val="center"/>
                </w:tcPr>
                <w:p>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lang w:val="en-US" w:eastAsia="zh-CN"/>
                    </w:rPr>
                    <w:t>镀膜车间</w:t>
                  </w:r>
                </w:p>
              </w:tc>
              <w:tc>
                <w:tcPr>
                  <w:tcW w:w="2776" w:type="pct"/>
                  <w:noWrap/>
                  <w:vAlign w:val="center"/>
                </w:tcPr>
                <w:p>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进行防渗混凝土铺设，达到</w:t>
                  </w:r>
                  <w:r>
                    <w:rPr>
                      <w:rFonts w:hint="eastAsia" w:ascii="Times New Roman" w:hAnsi="Times New Roman" w:cs="Times New Roman"/>
                      <w:color w:val="auto"/>
                      <w:sz w:val="21"/>
                      <w:szCs w:val="21"/>
                      <w:shd w:val="clear" w:color="auto" w:fill="FFFFFF"/>
                      <w:lang w:eastAsia="zh-CN"/>
                    </w:rPr>
                    <w:t>等效黏土防渗层≥1.5m</w:t>
                  </w:r>
                  <w:r>
                    <w:rPr>
                      <w:rFonts w:ascii="Times New Roman" w:hAnsi="Times New Roman" w:cs="Times New Roman"/>
                      <w:color w:val="auto"/>
                      <w:sz w:val="21"/>
                      <w:szCs w:val="21"/>
                      <w:shd w:val="clear" w:color="auto" w:fill="FFFFFF"/>
                      <w:lang w:eastAsia="zh-CN"/>
                    </w:rPr>
                    <w:t>（渗透系数≤10</w:t>
                  </w:r>
                  <w:r>
                    <w:rPr>
                      <w:rFonts w:ascii="Times New Roman" w:hAnsi="Times New Roman" w:cs="Times New Roman"/>
                      <w:color w:val="auto"/>
                      <w:sz w:val="21"/>
                      <w:szCs w:val="21"/>
                      <w:shd w:val="clear" w:color="auto" w:fill="FFFFFF"/>
                      <w:vertAlign w:val="superscript"/>
                      <w:lang w:eastAsia="zh-CN"/>
                    </w:rPr>
                    <w:t>-7</w:t>
                  </w:r>
                  <w:r>
                    <w:rPr>
                      <w:rFonts w:ascii="Times New Roman" w:hAnsi="Times New Roman" w:cs="Times New Roman"/>
                      <w:color w:val="auto"/>
                      <w:sz w:val="21"/>
                      <w:szCs w:val="21"/>
                      <w:shd w:val="clear" w:color="auto" w:fill="FFFFFF"/>
                      <w:lang w:eastAsia="zh-CN"/>
                    </w:rPr>
                    <w:t>厘米/秒）</w:t>
                  </w:r>
                </w:p>
              </w:tc>
              <w:tc>
                <w:tcPr>
                  <w:tcW w:w="809" w:type="pct"/>
                  <w:noWrap/>
                  <w:vAlign w:val="center"/>
                </w:tcPr>
                <w:p>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vMerge w:val="continue"/>
                  <w:noWrap/>
                  <w:vAlign w:val="center"/>
                </w:tcPr>
                <w:p>
                  <w:pPr>
                    <w:adjustRightInd w:val="0"/>
                    <w:jc w:val="center"/>
                    <w:rPr>
                      <w:rFonts w:ascii="Times New Roman" w:hAnsi="Times New Roman" w:cs="Times New Roman"/>
                      <w:b/>
                      <w:bCs/>
                      <w:color w:val="auto"/>
                      <w:sz w:val="21"/>
                      <w:szCs w:val="21"/>
                    </w:rPr>
                  </w:pPr>
                </w:p>
              </w:tc>
              <w:tc>
                <w:tcPr>
                  <w:tcW w:w="902" w:type="pct"/>
                  <w:noWrap/>
                  <w:vAlign w:val="center"/>
                </w:tcPr>
                <w:p>
                  <w:pPr>
                    <w:adjustRightInd w:val="0"/>
                    <w:jc w:val="center"/>
                    <w:rPr>
                      <w:rFonts w:hint="eastAsia" w:ascii="Times New Roman" w:hAnsi="Times New Roman" w:cs="Times New Roman"/>
                      <w:color w:val="auto"/>
                      <w:sz w:val="21"/>
                      <w:szCs w:val="21"/>
                      <w:lang w:eastAsia="zh-CN"/>
                    </w:rPr>
                  </w:pPr>
                  <w:r>
                    <w:rPr>
                      <w:rFonts w:hint="eastAsia" w:cs="Times New Roman"/>
                      <w:color w:val="auto"/>
                      <w:sz w:val="21"/>
                      <w:szCs w:val="21"/>
                      <w:lang w:eastAsia="zh-CN"/>
                    </w:rPr>
                    <w:t>沉淀池</w:t>
                  </w:r>
                </w:p>
              </w:tc>
              <w:tc>
                <w:tcPr>
                  <w:tcW w:w="2776" w:type="pct"/>
                  <w:noWrap/>
                  <w:vAlign w:val="center"/>
                </w:tcPr>
                <w:p>
                  <w:pPr>
                    <w:adjustRightInd w:val="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进行防渗混凝土铺设，达到</w:t>
                  </w:r>
                  <w:r>
                    <w:rPr>
                      <w:rFonts w:hint="eastAsia" w:ascii="Times New Roman" w:hAnsi="Times New Roman" w:cs="Times New Roman"/>
                      <w:color w:val="auto"/>
                      <w:sz w:val="21"/>
                      <w:szCs w:val="21"/>
                      <w:shd w:val="clear" w:color="auto" w:fill="FFFFFF"/>
                      <w:lang w:eastAsia="zh-CN"/>
                    </w:rPr>
                    <w:t>等效黏土防渗层≥1.5m</w:t>
                  </w:r>
                  <w:r>
                    <w:rPr>
                      <w:rFonts w:ascii="Times New Roman" w:hAnsi="Times New Roman" w:cs="Times New Roman"/>
                      <w:color w:val="auto"/>
                      <w:sz w:val="21"/>
                      <w:szCs w:val="21"/>
                      <w:shd w:val="clear" w:color="auto" w:fill="FFFFFF"/>
                      <w:lang w:eastAsia="zh-CN"/>
                    </w:rPr>
                    <w:t>（渗透系数≤10</w:t>
                  </w:r>
                  <w:r>
                    <w:rPr>
                      <w:rFonts w:ascii="Times New Roman" w:hAnsi="Times New Roman" w:cs="Times New Roman"/>
                      <w:color w:val="auto"/>
                      <w:sz w:val="21"/>
                      <w:szCs w:val="21"/>
                      <w:shd w:val="clear" w:color="auto" w:fill="FFFFFF"/>
                      <w:vertAlign w:val="superscript"/>
                      <w:lang w:eastAsia="zh-CN"/>
                    </w:rPr>
                    <w:t>-7</w:t>
                  </w:r>
                  <w:r>
                    <w:rPr>
                      <w:rFonts w:ascii="Times New Roman" w:hAnsi="Times New Roman" w:cs="Times New Roman"/>
                      <w:color w:val="auto"/>
                      <w:sz w:val="21"/>
                      <w:szCs w:val="21"/>
                      <w:shd w:val="clear" w:color="auto" w:fill="FFFFFF"/>
                      <w:lang w:eastAsia="zh-CN"/>
                    </w:rPr>
                    <w:t>厘米/秒）</w:t>
                  </w:r>
                </w:p>
              </w:tc>
              <w:tc>
                <w:tcPr>
                  <w:tcW w:w="809" w:type="pct"/>
                  <w:noWrap/>
                  <w:vAlign w:val="center"/>
                </w:tcPr>
                <w:p>
                  <w:pPr>
                    <w:adjustRightInd w:val="0"/>
                    <w:jc w:val="center"/>
                    <w:rPr>
                      <w:rFonts w:hint="eastAsia" w:ascii="Times New Roman" w:hAnsi="Times New Roman" w:cs="Times New Roman"/>
                      <w:color w:val="auto"/>
                      <w:sz w:val="21"/>
                      <w:szCs w:val="21"/>
                      <w:lang w:eastAsia="zh-CN"/>
                    </w:rPr>
                  </w:pPr>
                  <w:r>
                    <w:rPr>
                      <w:rFonts w:hint="eastAsia" w:cs="Times New Roman"/>
                      <w:color w:val="auto"/>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10" w:type="pct"/>
                  <w:noWrap/>
                  <w:vAlign w:val="center"/>
                </w:tcPr>
                <w:p>
                  <w:pPr>
                    <w:adjustRightIn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简单防渗区</w:t>
                  </w:r>
                </w:p>
              </w:tc>
              <w:tc>
                <w:tcPr>
                  <w:tcW w:w="902" w:type="pct"/>
                  <w:noWrap/>
                  <w:vAlign w:val="center"/>
                </w:tcPr>
                <w:p>
                  <w:pPr>
                    <w:adjustRightInd w:val="0"/>
                    <w:jc w:val="center"/>
                    <w:rPr>
                      <w:rFonts w:ascii="Times New Roman" w:hAnsi="Times New Roman" w:cs="Times New Roman"/>
                      <w:color w:val="auto"/>
                      <w:sz w:val="21"/>
                      <w:szCs w:val="21"/>
                    </w:rPr>
                  </w:pPr>
                  <w:r>
                    <w:rPr>
                      <w:rFonts w:hint="eastAsia" w:cs="Times New Roman"/>
                      <w:color w:val="auto"/>
                      <w:sz w:val="21"/>
                      <w:szCs w:val="21"/>
                      <w:lang w:eastAsia="zh-CN"/>
                    </w:rPr>
                    <w:t>综合办公楼、食堂就餐区、辅助车间</w:t>
                  </w:r>
                  <w:r>
                    <w:rPr>
                      <w:rFonts w:ascii="Times New Roman" w:hAnsi="Times New Roman" w:cs="Times New Roman"/>
                      <w:color w:val="auto"/>
                      <w:sz w:val="21"/>
                      <w:szCs w:val="21"/>
                    </w:rPr>
                    <w:t>、过道</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一般固废暂存间</w:t>
                  </w:r>
                </w:p>
              </w:tc>
              <w:tc>
                <w:tcPr>
                  <w:tcW w:w="2776" w:type="pct"/>
                  <w:noWrap/>
                  <w:vAlign w:val="center"/>
                </w:tcPr>
                <w:p>
                  <w:pPr>
                    <w:adjustRightIn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铺设防渗混凝土进行硬化，满足简单防渗技术要求</w:t>
                  </w:r>
                </w:p>
              </w:tc>
              <w:tc>
                <w:tcPr>
                  <w:tcW w:w="809" w:type="pct"/>
                  <w:noWrap/>
                  <w:vAlign w:val="center"/>
                </w:tcPr>
                <w:p>
                  <w:pPr>
                    <w:adjustRightInd w:val="0"/>
                    <w:jc w:val="center"/>
                    <w:rPr>
                      <w:rFonts w:ascii="Times New Roman" w:hAnsi="Times New Roman" w:cs="Times New Roman"/>
                      <w:color w:val="auto"/>
                      <w:sz w:val="21"/>
                      <w:szCs w:val="21"/>
                      <w:lang w:eastAsia="zh-CN"/>
                    </w:rPr>
                  </w:pPr>
                  <w:r>
                    <w:rPr>
                      <w:rFonts w:hint="eastAsia" w:cs="Times New Roman"/>
                      <w:color w:val="auto"/>
                      <w:sz w:val="21"/>
                      <w:szCs w:val="21"/>
                      <w:lang w:eastAsia="zh-CN"/>
                    </w:rPr>
                    <w:t>已建</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baseline"/>
              <w:rPr>
                <w:rFonts w:ascii="Times New Roman" w:hAnsi="Times New Roman" w:cs="Times New Roman"/>
                <w:b/>
                <w:color w:val="auto"/>
                <w:kern w:val="2"/>
                <w:sz w:val="24"/>
                <w:szCs w:val="24"/>
                <w:lang w:eastAsia="zh-CN"/>
              </w:rPr>
            </w:pPr>
            <w:r>
              <w:rPr>
                <w:rFonts w:ascii="Times New Roman" w:hAnsi="Times New Roman" w:cs="Times New Roman"/>
                <w:b/>
                <w:color w:val="auto"/>
                <w:kern w:val="2"/>
                <w:sz w:val="24"/>
                <w:szCs w:val="24"/>
                <w:lang w:eastAsia="zh-CN"/>
              </w:rPr>
              <w:t>地下水污染防治其他管理要求</w:t>
            </w:r>
            <w:r>
              <w:rPr>
                <w:rFonts w:hint="eastAsia" w:ascii="Times New Roman" w:hAnsi="Times New Roman" w:cs="Times New Roman"/>
                <w:b/>
                <w:color w:val="auto"/>
                <w:kern w:val="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rPr>
                <w:rFonts w:ascii="Times New Roman" w:hAnsi="Times New Roman" w:cs="Times New Roman"/>
                <w:color w:val="auto"/>
                <w:kern w:val="2"/>
                <w:sz w:val="21"/>
                <w:szCs w:val="20"/>
                <w:lang w:eastAsia="zh-CN"/>
              </w:rPr>
            </w:pPr>
            <w:r>
              <w:rPr>
                <w:rFonts w:ascii="Times New Roman" w:hAnsi="Times New Roman" w:cs="Times New Roman"/>
                <w:color w:val="auto"/>
                <w:kern w:val="2"/>
                <w:sz w:val="21"/>
                <w:szCs w:val="20"/>
                <w:lang w:eastAsia="zh-CN"/>
              </w:rPr>
              <w:t>①</w:t>
            </w:r>
            <w:r>
              <w:rPr>
                <w:rFonts w:hint="eastAsia" w:ascii="Times New Roman" w:hAnsi="Times New Roman" w:cs="Times New Roman"/>
                <w:color w:val="auto"/>
                <w:kern w:val="2"/>
                <w:sz w:val="21"/>
                <w:szCs w:val="20"/>
                <w:lang w:eastAsia="zh-CN"/>
              </w:rPr>
              <w:t xml:space="preserve"> </w:t>
            </w:r>
            <w:r>
              <w:rPr>
                <w:rFonts w:ascii="Times New Roman" w:hAnsi="Times New Roman" w:cs="Times New Roman"/>
                <w:color w:val="auto"/>
                <w:sz w:val="24"/>
                <w:szCs w:val="20"/>
                <w:lang w:eastAsia="zh-CN"/>
              </w:rPr>
              <w:t>杜绝生产过程中液体跑、冒、滴、漏等，并定期进行检漏监测及检修；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rPr>
                <w:rFonts w:ascii="Times New Roman" w:hAnsi="Times New Roman" w:cs="Times New Roman"/>
                <w:bCs/>
                <w:color w:val="auto"/>
                <w:kern w:val="2"/>
                <w:sz w:val="24"/>
                <w:szCs w:val="20"/>
                <w:lang w:eastAsia="zh-CN"/>
              </w:rPr>
            </w:pPr>
            <w:r>
              <w:rPr>
                <w:rFonts w:ascii="Times New Roman" w:hAnsi="Times New Roman" w:cs="Times New Roman"/>
                <w:color w:val="auto"/>
                <w:kern w:val="2"/>
                <w:sz w:val="21"/>
                <w:szCs w:val="20"/>
                <w:lang w:eastAsia="zh-CN"/>
              </w:rPr>
              <w:t>②</w:t>
            </w:r>
            <w:r>
              <w:rPr>
                <w:rFonts w:hint="eastAsia" w:ascii="Times New Roman" w:hAnsi="Times New Roman" w:cs="Times New Roman"/>
                <w:color w:val="auto"/>
                <w:kern w:val="2"/>
                <w:sz w:val="21"/>
                <w:szCs w:val="20"/>
                <w:lang w:eastAsia="zh-CN"/>
              </w:rPr>
              <w:t xml:space="preserve"> </w:t>
            </w:r>
            <w:r>
              <w:rPr>
                <w:rFonts w:ascii="Times New Roman" w:hAnsi="Times New Roman" w:cs="Times New Roman"/>
                <w:bCs/>
                <w:color w:val="auto"/>
                <w:kern w:val="2"/>
                <w:sz w:val="24"/>
                <w:szCs w:val="20"/>
                <w:lang w:eastAsia="zh-CN"/>
              </w:rPr>
              <w:t>加强项目区的污水、固废管理，确保不发生渗漏，避免污水、固废进入地下水体。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rFonts w:ascii="Times New Roman" w:hAnsi="Times New Roman" w:cs="Times New Roman"/>
                <w:color w:val="auto"/>
                <w:sz w:val="24"/>
                <w:szCs w:val="20"/>
                <w:lang w:eastAsia="zh-CN"/>
              </w:rPr>
            </w:pPr>
            <w:r>
              <w:rPr>
                <w:rFonts w:ascii="Times New Roman" w:hAnsi="Times New Roman" w:cs="Times New Roman"/>
                <w:color w:val="auto"/>
                <w:sz w:val="24"/>
                <w:szCs w:val="20"/>
                <w:lang w:eastAsia="zh-CN"/>
              </w:rPr>
              <w:t>③</w:t>
            </w:r>
            <w:r>
              <w:rPr>
                <w:rFonts w:hint="eastAsia" w:ascii="Times New Roman" w:hAnsi="Times New Roman" w:cs="Times New Roman"/>
                <w:color w:val="auto"/>
                <w:sz w:val="24"/>
                <w:szCs w:val="20"/>
                <w:lang w:eastAsia="zh-CN"/>
              </w:rPr>
              <w:t xml:space="preserve"> </w:t>
            </w:r>
            <w:r>
              <w:rPr>
                <w:rFonts w:ascii="Times New Roman" w:hAnsi="Times New Roman" w:cs="Times New Roman"/>
                <w:color w:val="auto"/>
                <w:sz w:val="24"/>
                <w:szCs w:val="20"/>
                <w:lang w:eastAsia="zh-CN"/>
              </w:rPr>
              <w:t>制定地下水风险事故应急预案，事故状态确保防控体系的有效运行。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ascii="Times New Roman" w:hAnsi="Times New Roman" w:cs="Times New Roman"/>
                <w:color w:val="auto"/>
                <w:sz w:val="24"/>
                <w:szCs w:val="20"/>
                <w:lang w:eastAsia="zh-CN"/>
              </w:rPr>
            </w:pPr>
            <w:r>
              <w:rPr>
                <w:rFonts w:ascii="Times New Roman" w:hAnsi="Times New Roman" w:cs="Times New Roman"/>
                <w:color w:val="auto"/>
                <w:sz w:val="24"/>
                <w:szCs w:val="20"/>
                <w:lang w:eastAsia="zh-CN"/>
              </w:rPr>
              <w:t>④</w:t>
            </w:r>
            <w:r>
              <w:rPr>
                <w:rFonts w:hint="eastAsia" w:ascii="Times New Roman" w:hAnsi="Times New Roman" w:cs="Times New Roman"/>
                <w:color w:val="auto"/>
                <w:sz w:val="24"/>
                <w:szCs w:val="20"/>
                <w:lang w:eastAsia="zh-CN"/>
              </w:rPr>
              <w:t xml:space="preserve"> </w:t>
            </w:r>
            <w:r>
              <w:rPr>
                <w:rFonts w:ascii="Times New Roman" w:hAnsi="Times New Roman" w:cs="Times New Roman"/>
                <w:color w:val="auto"/>
                <w:sz w:val="24"/>
                <w:szCs w:val="20"/>
                <w:lang w:eastAsia="zh-CN"/>
              </w:rPr>
              <w:t>项目防渗工程须定期进行检漏监测。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ascii="Times New Roman" w:hAnsi="Times New Roman" w:cs="Times New Roman"/>
                <w:color w:val="auto"/>
                <w:sz w:val="24"/>
                <w:szCs w:val="20"/>
                <w:lang w:eastAsia="zh-CN"/>
              </w:rPr>
            </w:pPr>
            <w:r>
              <w:rPr>
                <w:rFonts w:ascii="Times New Roman" w:hAnsi="Times New Roman" w:cs="Times New Roman"/>
                <w:color w:val="auto"/>
                <w:sz w:val="24"/>
                <w:szCs w:val="20"/>
                <w:lang w:eastAsia="zh-CN"/>
              </w:rPr>
              <w:t>项目采取以上措施进行治理后对地下水环境影响很小。</w:t>
            </w:r>
          </w:p>
          <w:p>
            <w:pPr>
              <w:spacing w:line="360" w:lineRule="auto"/>
              <w:ind w:left="420" w:leftChars="200"/>
              <w:rPr>
                <w:rFonts w:ascii="Times New Roman" w:hAnsi="Times New Roman" w:cs="Times New Roman"/>
                <w:b/>
                <w:bCs/>
                <w:color w:val="auto"/>
                <w:kern w:val="2"/>
                <w:sz w:val="24"/>
                <w:szCs w:val="24"/>
                <w:lang w:eastAsia="zh-CN"/>
              </w:rPr>
            </w:pPr>
            <w:r>
              <w:rPr>
                <w:rFonts w:hint="eastAsia" w:ascii="Times New Roman" w:hAnsi="Times New Roman" w:cs="Times New Roman"/>
                <w:b/>
                <w:bCs/>
                <w:color w:val="auto"/>
                <w:kern w:val="2"/>
                <w:sz w:val="24"/>
                <w:szCs w:val="24"/>
                <w:lang w:eastAsia="zh-CN"/>
              </w:rPr>
              <w:t>（2）土壤</w:t>
            </w:r>
            <w:r>
              <w:rPr>
                <w:rFonts w:ascii="Times New Roman" w:hAnsi="Times New Roman" w:cs="Times New Roman"/>
                <w:b/>
                <w:bCs/>
                <w:color w:val="auto"/>
                <w:kern w:val="2"/>
                <w:sz w:val="24"/>
                <w:szCs w:val="24"/>
                <w:lang w:eastAsia="zh-CN"/>
              </w:rPr>
              <w:t>环境影响分析</w:t>
            </w:r>
          </w:p>
          <w:p>
            <w:pPr>
              <w:adjustRightInd w:val="0"/>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cs="Times New Roman"/>
                <w:color w:val="auto"/>
                <w:sz w:val="24"/>
                <w:szCs w:val="20"/>
                <w:lang w:eastAsia="zh-CN"/>
              </w:rPr>
              <w:t>本项目固废得到合理处置，</w:t>
            </w:r>
            <w:r>
              <w:rPr>
                <w:rFonts w:ascii="Times New Roman" w:hAnsi="Times New Roman" w:cs="Times New Roman"/>
                <w:color w:val="auto"/>
                <w:sz w:val="24"/>
                <w:szCs w:val="20"/>
                <w:lang w:eastAsia="zh-CN"/>
              </w:rPr>
              <w:t>通过采取本环评提出的分区防渗措施后，项目对</w:t>
            </w:r>
            <w:r>
              <w:rPr>
                <w:rFonts w:hint="eastAsia" w:ascii="Times New Roman" w:hAnsi="Times New Roman" w:cs="Times New Roman"/>
                <w:color w:val="auto"/>
                <w:sz w:val="24"/>
                <w:szCs w:val="20"/>
                <w:lang w:eastAsia="zh-CN"/>
              </w:rPr>
              <w:t>土壤</w:t>
            </w:r>
            <w:r>
              <w:rPr>
                <w:rFonts w:ascii="Times New Roman" w:hAnsi="Times New Roman" w:cs="Times New Roman"/>
                <w:color w:val="auto"/>
                <w:sz w:val="24"/>
                <w:szCs w:val="20"/>
                <w:lang w:eastAsia="zh-CN"/>
              </w:rPr>
              <w:t>基本不会造成影响。</w:t>
            </w:r>
          </w:p>
          <w:p>
            <w:pPr>
              <w:spacing w:line="360" w:lineRule="auto"/>
              <w:ind w:firstLine="482" w:firstLineChars="200"/>
              <w:rPr>
                <w:b/>
                <w:bCs/>
                <w:color w:val="auto"/>
                <w:sz w:val="24"/>
                <w:lang w:eastAsia="zh-CN"/>
              </w:rPr>
            </w:pPr>
            <w:r>
              <w:rPr>
                <w:rFonts w:ascii="Times New Roman" w:hAnsi="Times New Roman" w:cs="Times New Roman"/>
                <w:b/>
                <w:color w:val="auto"/>
                <w:kern w:val="2"/>
                <w:sz w:val="24"/>
                <w:szCs w:val="24"/>
                <w:lang w:eastAsia="zh-CN"/>
              </w:rPr>
              <w:t>综上所述，该项目在落实</w:t>
            </w:r>
            <w:r>
              <w:rPr>
                <w:rFonts w:ascii="Times New Roman" w:hAnsi="Times New Roman" w:cs="Times New Roman"/>
                <w:b/>
                <w:bCs/>
                <w:color w:val="auto"/>
                <w:kern w:val="2"/>
                <w:sz w:val="24"/>
                <w:szCs w:val="24"/>
                <w:lang w:eastAsia="zh-CN"/>
              </w:rPr>
              <w:t>上述地下水</w:t>
            </w:r>
            <w:r>
              <w:rPr>
                <w:rFonts w:hint="eastAsia" w:ascii="Times New Roman" w:hAnsi="Times New Roman" w:cs="Times New Roman"/>
                <w:b/>
                <w:bCs/>
                <w:color w:val="auto"/>
                <w:kern w:val="2"/>
                <w:sz w:val="24"/>
                <w:szCs w:val="24"/>
                <w:lang w:eastAsia="zh-CN"/>
              </w:rPr>
              <w:t>、土壤</w:t>
            </w:r>
            <w:r>
              <w:rPr>
                <w:rFonts w:ascii="Times New Roman" w:hAnsi="Times New Roman" w:cs="Times New Roman"/>
                <w:b/>
                <w:bCs/>
                <w:color w:val="auto"/>
                <w:kern w:val="2"/>
                <w:sz w:val="24"/>
                <w:szCs w:val="24"/>
                <w:lang w:eastAsia="zh-CN"/>
              </w:rPr>
              <w:t>污染防治经济且可行，项目不会对区域地下水环境产生明显不利影响，不会改变区域地下水环境质量功能等级。</w:t>
            </w:r>
          </w:p>
          <w:p>
            <w:pPr>
              <w:spacing w:line="360" w:lineRule="auto"/>
              <w:ind w:firstLine="482" w:firstLineChars="200"/>
              <w:rPr>
                <w:b/>
                <w:sz w:val="24"/>
                <w:szCs w:val="24"/>
                <w:highlight w:val="none"/>
              </w:rPr>
            </w:pPr>
            <w:r>
              <w:rPr>
                <w:rFonts w:hint="eastAsia"/>
                <w:b/>
                <w:sz w:val="24"/>
                <w:szCs w:val="24"/>
                <w:highlight w:val="none"/>
                <w:lang w:val="en-US" w:eastAsia="zh-CN"/>
              </w:rPr>
              <w:t>6</w:t>
            </w:r>
            <w:r>
              <w:rPr>
                <w:rFonts w:hint="eastAsia"/>
                <w:b/>
                <w:sz w:val="24"/>
                <w:szCs w:val="24"/>
                <w:highlight w:val="none"/>
              </w:rPr>
              <w:t>、环境风险</w:t>
            </w:r>
          </w:p>
          <w:p>
            <w:pPr>
              <w:adjustRightInd w:val="0"/>
              <w:snapToGrid w:val="0"/>
              <w:spacing w:line="360" w:lineRule="auto"/>
              <w:ind w:firstLine="480" w:firstLineChars="200"/>
              <w:rPr>
                <w:bCs/>
                <w:color w:val="000000" w:themeColor="text1"/>
                <w:sz w:val="24"/>
                <w:szCs w:val="20"/>
                <w14:textFill>
                  <w14:solidFill>
                    <w14:schemeClr w14:val="tx1"/>
                  </w14:solidFill>
                </w14:textFill>
              </w:rPr>
            </w:pPr>
            <w:r>
              <w:rPr>
                <w:bCs/>
                <w:color w:val="000000" w:themeColor="text1"/>
                <w:sz w:val="24"/>
                <w:szCs w:val="20"/>
                <w14:textFill>
                  <w14:solidFill>
                    <w14:schemeClr w14:val="tx1"/>
                  </w14:solidFill>
                </w14:textFill>
              </w:rPr>
              <w:t>环境风险是指由自发的自然原因和人类活动引发的，并通过环境介质（水、空气等）传播的，能对人类社会与自然环境产生破坏、损害乃至毁灭性作用的不幸事件发生的概率及其后果。建设项目环境风险评价是指拟建项目在建设和运营期间发生的、可预测的突发事件或事故（一般不包括人为破坏及自然灾害）引起有毒有害物质、易燃易爆等物质泄漏，或突发事件产生的新的有毒有害物质所造成的、对人身安全与环境的影响和损害进行评估，提出防范、应急与减缓措施。</w:t>
            </w:r>
          </w:p>
          <w:p>
            <w:pPr>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szCs w:val="20"/>
                <w14:textFill>
                  <w14:solidFill>
                    <w14:schemeClr w14:val="tx1"/>
                  </w14:solidFill>
                </w14:textFill>
              </w:rPr>
              <w:t>环境风险评价是环境影响评价领域中的一个重要组成部分，伴随着人们对环境危险及其灾害的认识日益增强和环境影响评价工作的深入开展，人们已经逐渐从正常事件转移到对偶然事件发生可能性的环境影响进行风险研究。</w:t>
            </w:r>
          </w:p>
          <w:p>
            <w:pPr>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szCs w:val="20"/>
                <w14:textFill>
                  <w14:solidFill>
                    <w14:schemeClr w14:val="tx1"/>
                  </w14:solidFill>
                </w14:textFill>
              </w:rPr>
              <w:t>环境风险评价的目的是分析和预测建设项目存在的潜在危险、有害因素，建设项目在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spacing w:line="360" w:lineRule="auto"/>
              <w:ind w:firstLine="426" w:firstLineChars="177"/>
              <w:rPr>
                <w:b/>
                <w:bCs/>
                <w:color w:val="000000" w:themeColor="text1"/>
                <w:sz w:val="24"/>
                <w:szCs w:val="20"/>
                <w14:textFill>
                  <w14:solidFill>
                    <w14:schemeClr w14:val="tx1"/>
                  </w14:solidFill>
                </w14:textFill>
              </w:rPr>
            </w:pPr>
            <w:r>
              <w:rPr>
                <w:rFonts w:hint="eastAsia"/>
                <w:b/>
                <w:bCs/>
                <w:color w:val="000000" w:themeColor="text1"/>
                <w:sz w:val="24"/>
                <w:szCs w:val="20"/>
                <w:lang w:eastAsia="zh-CN"/>
                <w14:textFill>
                  <w14:solidFill>
                    <w14:schemeClr w14:val="tx1"/>
                  </w14:solidFill>
                </w14:textFill>
              </w:rPr>
              <w:t>（</w:t>
            </w:r>
            <w:r>
              <w:rPr>
                <w:rFonts w:hint="eastAsia"/>
                <w:b/>
                <w:bCs/>
                <w:color w:val="000000" w:themeColor="text1"/>
                <w:sz w:val="24"/>
                <w:szCs w:val="20"/>
                <w:lang w:val="en-US" w:eastAsia="zh-CN"/>
                <w14:textFill>
                  <w14:solidFill>
                    <w14:schemeClr w14:val="tx1"/>
                  </w14:solidFill>
                </w14:textFill>
              </w:rPr>
              <w:t>1</w:t>
            </w:r>
            <w:r>
              <w:rPr>
                <w:rFonts w:hint="eastAsia"/>
                <w:b/>
                <w:bCs/>
                <w:color w:val="000000" w:themeColor="text1"/>
                <w:sz w:val="24"/>
                <w:szCs w:val="20"/>
                <w:lang w:eastAsia="zh-CN"/>
                <w14:textFill>
                  <w14:solidFill>
                    <w14:schemeClr w14:val="tx1"/>
                  </w14:solidFill>
                </w14:textFill>
              </w:rPr>
              <w:t>）</w:t>
            </w:r>
            <w:r>
              <w:rPr>
                <w:b/>
                <w:bCs/>
                <w:color w:val="000000" w:themeColor="text1"/>
                <w:sz w:val="24"/>
                <w:szCs w:val="20"/>
                <w14:textFill>
                  <w14:solidFill>
                    <w14:schemeClr w14:val="tx1"/>
                  </w14:solidFill>
                </w14:textFill>
              </w:rPr>
              <w:t>风险调查</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依据《建设项目风险评价技术导则》（HJT169-2018）--附录B 重点关注的危险物质及临界量，第“381  油类物质（矿物油类，如石油、汽油、柴油等；生物柴油等）”，临界量为2500t。本项目在生产过程中涉及油类物质机油。厂区内最大储量0.</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t。</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w:t>
            </w:r>
            <w:r>
              <w:rPr>
                <w:rFonts w:hint="eastAsia" w:cs="黑体"/>
                <w:b/>
                <w:bCs/>
                <w:color w:val="auto"/>
                <w:kern w:val="2"/>
                <w:sz w:val="21"/>
                <w:szCs w:val="22"/>
                <w:shd w:val="clear" w:color="auto" w:fill="auto"/>
                <w:lang w:val="en-US" w:eastAsia="zh-CN" w:bidi="ar-SA"/>
              </w:rPr>
              <w:t>18</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突发环境事件风险物质及临界量</w:t>
            </w:r>
          </w:p>
          <w:tbl>
            <w:tblPr>
              <w:tblStyle w:val="24"/>
              <w:tblW w:w="4996" w:type="pct"/>
              <w:jc w:val="center"/>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37"/>
              <w:gridCol w:w="2812"/>
              <w:gridCol w:w="1021"/>
              <w:gridCol w:w="1531"/>
              <w:gridCol w:w="2151"/>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3"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4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634"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951"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临界量/t</w:t>
                  </w:r>
                </w:p>
              </w:tc>
              <w:tc>
                <w:tcPr>
                  <w:tcW w:w="133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本项目最大存在量/t</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3"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381</w:t>
                  </w:r>
                </w:p>
              </w:tc>
              <w:tc>
                <w:tcPr>
                  <w:tcW w:w="174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油类物质（矿物油类，如石油、汽油、柴油等；生物柴油等）</w:t>
                  </w:r>
                </w:p>
              </w:tc>
              <w:tc>
                <w:tcPr>
                  <w:tcW w:w="634"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51"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2500</w:t>
                  </w:r>
                </w:p>
              </w:tc>
              <w:tc>
                <w:tcPr>
                  <w:tcW w:w="133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0.2</w:t>
                  </w:r>
                </w:p>
              </w:tc>
            </w:tr>
          </w:tbl>
          <w:p>
            <w:pPr>
              <w:spacing w:line="360" w:lineRule="auto"/>
              <w:ind w:firstLine="424" w:firstLineChars="177"/>
              <w:rPr>
                <w:bCs/>
                <w:color w:val="000000" w:themeColor="text1"/>
                <w:sz w:val="24"/>
                <w:szCs w:val="20"/>
                <w14:textFill>
                  <w14:solidFill>
                    <w14:schemeClr w14:val="tx1"/>
                  </w14:solidFill>
                </w14:textFill>
              </w:rPr>
            </w:pPr>
            <w:r>
              <w:rPr>
                <w:color w:val="000000" w:themeColor="text1"/>
                <w:sz w:val="24"/>
                <w14:textFill>
                  <w14:solidFill>
                    <w14:schemeClr w14:val="tx1"/>
                  </w14:solidFill>
                </w14:textFill>
              </w:rPr>
              <w:t>从</w:t>
            </w:r>
            <w:r>
              <w:rPr>
                <w:rFonts w:hint="eastAsia"/>
                <w:color w:val="000000" w:themeColor="text1"/>
                <w:sz w:val="24"/>
                <w:lang w:val="en-US" w:eastAsia="zh-CN"/>
                <w14:textFill>
                  <w14:solidFill>
                    <w14:schemeClr w14:val="tx1"/>
                  </w14:solidFill>
                </w14:textFill>
              </w:rPr>
              <w:t>上</w:t>
            </w:r>
            <w:r>
              <w:rPr>
                <w:color w:val="000000" w:themeColor="text1"/>
                <w:sz w:val="24"/>
                <w14:textFill>
                  <w14:solidFill>
                    <w14:schemeClr w14:val="tx1"/>
                  </w14:solidFill>
                </w14:textFill>
              </w:rPr>
              <w:t>表可以看出，本项目使用危险化学品存储量均较小，不构成重大危险源。</w:t>
            </w:r>
          </w:p>
          <w:p>
            <w:pPr>
              <w:spacing w:line="360" w:lineRule="auto"/>
              <w:ind w:firstLine="426" w:firstLineChars="177"/>
              <w:rPr>
                <w:b/>
                <w:bCs/>
                <w:color w:val="000000" w:themeColor="text1"/>
                <w:sz w:val="24"/>
                <w:szCs w:val="20"/>
                <w14:textFill>
                  <w14:solidFill>
                    <w14:schemeClr w14:val="tx1"/>
                  </w14:solidFill>
                </w14:textFill>
              </w:rPr>
            </w:pPr>
            <w:r>
              <w:rPr>
                <w:rFonts w:hint="eastAsia"/>
                <w:b/>
                <w:bCs/>
                <w:color w:val="000000" w:themeColor="text1"/>
                <w:sz w:val="24"/>
                <w:szCs w:val="20"/>
                <w:lang w:eastAsia="zh-CN"/>
                <w14:textFill>
                  <w14:solidFill>
                    <w14:schemeClr w14:val="tx1"/>
                  </w14:solidFill>
                </w14:textFill>
              </w:rPr>
              <w:t>（</w:t>
            </w:r>
            <w:r>
              <w:rPr>
                <w:rFonts w:hint="eastAsia"/>
                <w:b/>
                <w:bCs/>
                <w:color w:val="000000" w:themeColor="text1"/>
                <w:sz w:val="24"/>
                <w:szCs w:val="20"/>
                <w:lang w:val="en-US" w:eastAsia="zh-CN"/>
                <w14:textFill>
                  <w14:solidFill>
                    <w14:schemeClr w14:val="tx1"/>
                  </w14:solidFill>
                </w14:textFill>
              </w:rPr>
              <w:t>2</w:t>
            </w:r>
            <w:r>
              <w:rPr>
                <w:rFonts w:hint="eastAsia"/>
                <w:b/>
                <w:bCs/>
                <w:color w:val="000000" w:themeColor="text1"/>
                <w:sz w:val="24"/>
                <w:szCs w:val="20"/>
                <w:lang w:eastAsia="zh-CN"/>
                <w14:textFill>
                  <w14:solidFill>
                    <w14:schemeClr w14:val="tx1"/>
                  </w14:solidFill>
                </w14:textFill>
              </w:rPr>
              <w:t>）</w:t>
            </w:r>
            <w:r>
              <w:rPr>
                <w:b/>
                <w:bCs/>
                <w:color w:val="000000" w:themeColor="text1"/>
                <w:sz w:val="24"/>
                <w:szCs w:val="20"/>
                <w14:textFill>
                  <w14:solidFill>
                    <w14:schemeClr w14:val="tx1"/>
                  </w14:solidFill>
                </w14:textFill>
              </w:rPr>
              <w:t>风险潜势初判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当只涉及一种危险物质时，计算该物质的总量与其临界量比值，即为Q；</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当存在多种危险物质时，则按下式计算物质总量与其临界量比值（Q）：</w:t>
            </w:r>
          </w:p>
          <w:p>
            <w:pPr>
              <w:spacing w:line="360" w:lineRule="auto"/>
              <w:rPr>
                <w:color w:val="000000" w:themeColor="text1"/>
                <w:sz w:val="24"/>
                <w14:textFill>
                  <w14:solidFill>
                    <w14:schemeClr w14:val="tx1"/>
                  </w14:solidFill>
                </w14:textFill>
              </w:rPr>
            </w:pPr>
            <m:oMathPara>
              <m:oMath>
                <m:r>
                  <m:rPr>
                    <m:sty m:val="p"/>
                  </m:rPr>
                  <w:rPr>
                    <w:rFonts w:ascii="Cambria Math" w:hAnsi="Cambria Math"/>
                    <w:color w:val="000000" w:themeColor="text1"/>
                    <w:sz w:val="24"/>
                    <w14:textFill>
                      <w14:solidFill>
                        <w14:schemeClr w14:val="tx1"/>
                      </w14:solidFill>
                    </w14:textFill>
                  </w:rPr>
                  <m:t>Q=</m:t>
                </m:r>
                <m:f>
                  <m:fPr>
                    <m:ctrlPr>
                      <w:rPr>
                        <w:rFonts w:ascii="Cambria Math" w:hAnsi="Cambria Math"/>
                        <w:color w:val="000000" w:themeColor="text1"/>
                        <w:sz w:val="24"/>
                        <w14:textFill>
                          <w14:solidFill>
                            <w14:schemeClr w14:val="tx1"/>
                          </w14:solidFill>
                        </w14:textFill>
                      </w:rPr>
                    </m:ctrlPr>
                  </m:fPr>
                  <m:num>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1</m:t>
                        </m:r>
                        <m:ctrlPr>
                          <w:rPr>
                            <w:rFonts w:ascii="Cambria Math" w:hAnsi="Cambria Math"/>
                            <w:i/>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1</m:t>
                        </m:r>
                        <m:ctrlPr>
                          <w:rPr>
                            <w:rFonts w:ascii="Cambria Math" w:hAnsi="Cambria Math"/>
                            <w:i/>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w:rPr>
                    <w:rFonts w:ascii="Cambria Math" w:hAnsi="Cambria Math"/>
                    <w:color w:val="000000" w:themeColor="text1"/>
                    <w:sz w:val="24"/>
                    <w14:textFill>
                      <w14:solidFill>
                        <w14:schemeClr w14:val="tx1"/>
                      </w14:solidFill>
                    </w14:textFill>
                  </w:rPr>
                  <m:t>+</m:t>
                </m:r>
                <m:f>
                  <m:fPr>
                    <m:ctrlPr>
                      <w:rPr>
                        <w:rFonts w:ascii="Cambria Math" w:hAnsi="Cambria Math"/>
                        <w:color w:val="000000" w:themeColor="text1"/>
                        <w:sz w:val="24"/>
                        <w14:textFill>
                          <w14:solidFill>
                            <w14:schemeClr w14:val="tx1"/>
                          </w14:solidFill>
                        </w14:textFill>
                      </w:rPr>
                    </m:ctrlPr>
                  </m:fPr>
                  <m:num>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i/>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i/>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w:rPr>
                    <w:rFonts w:ascii="Cambria Math" w:hAnsi="Cambria Math"/>
                    <w:color w:val="000000" w:themeColor="text1"/>
                    <w:sz w:val="24"/>
                    <w14:textFill>
                      <w14:solidFill>
                        <w14:schemeClr w14:val="tx1"/>
                      </w14:solidFill>
                    </w14:textFill>
                  </w:rPr>
                  <m:t>+…</m:t>
                </m:r>
                <m:f>
                  <m:fPr>
                    <m:ctrlPr>
                      <w:rPr>
                        <w:rFonts w:ascii="Cambria Math" w:hAnsi="Cambria Math"/>
                        <w:color w:val="000000" w:themeColor="text1"/>
                        <w:sz w:val="24"/>
                        <w14:textFill>
                          <w14:solidFill>
                            <w14:schemeClr w14:val="tx1"/>
                          </w14:solidFill>
                        </w14:textFill>
                      </w:rPr>
                    </m:ctrlPr>
                  </m:fPr>
                  <m:num>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n</m:t>
                        </m:r>
                        <m:ctrlPr>
                          <w:rPr>
                            <w:rFonts w:ascii="Cambria Math" w:hAnsi="Cambria Math"/>
                            <w:i/>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Q</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n</m:t>
                        </m:r>
                        <m:ctrlPr>
                          <w:rPr>
                            <w:rFonts w:ascii="Cambria Math" w:hAnsi="Cambria Math"/>
                            <w:i/>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oMath>
            </m:oMathPara>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14:textFill>
                  <w14:solidFill>
                    <w14:schemeClr w14:val="tx1"/>
                  </w14:solidFill>
                </w14:textFill>
              </w:rPr>
              <w:t>——每种危险物质的最大存在总量，t；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14:textFill>
                  <w14:solidFill>
                    <w14:schemeClr w14:val="tx1"/>
                  </w14:solidFill>
                </w14:textFill>
              </w:rPr>
              <w:t>——每种危险物质的临界量，t；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当Q＜1时，该项目的风险潜势为I。</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本项目运营过程中涉及油类物质，油类物质最大存在总量为0.2t，油类物质临界量为2500t。即：</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m:oMathPara>
              <m:oMath>
                <m:r>
                  <m:rPr>
                    <m:sty m:val="p"/>
                  </m:rPr>
                  <w:rPr>
                    <w:rFonts w:hint="default" w:ascii="Cambria Math" w:hAnsi="Cambria Math" w:cs="Times New Roman"/>
                    <w:color w:val="000000" w:themeColor="text1"/>
                    <w:sz w:val="24"/>
                    <w14:textFill>
                      <w14:solidFill>
                        <w14:schemeClr w14:val="tx1"/>
                      </w14:solidFill>
                    </w14:textFill>
                  </w:rPr>
                  <m:t>Q=</m:t>
                </m:r>
                <m:f>
                  <m:fPr>
                    <m:ctrlPr>
                      <w:rPr>
                        <w:rFonts w:hint="default" w:ascii="Cambria Math" w:hAnsi="Cambria Math" w:cs="Times New Roman"/>
                        <w:color w:val="000000" w:themeColor="text1"/>
                        <w:sz w:val="24"/>
                        <w14:textFill>
                          <w14:solidFill>
                            <w14:schemeClr w14:val="tx1"/>
                          </w14:solidFill>
                        </w14:textFill>
                      </w:rPr>
                    </m:ctrlPr>
                  </m:fPr>
                  <m:num>
                    <m:r>
                      <m:rPr/>
                      <w:rPr>
                        <w:rFonts w:hint="default" w:ascii="Cambria Math" w:hAnsi="Cambria Math" w:cs="Times New Roman"/>
                        <w:color w:val="000000" w:themeColor="text1"/>
                        <w:sz w:val="24"/>
                        <w14:textFill>
                          <w14:solidFill>
                            <w14:schemeClr w14:val="tx1"/>
                          </w14:solidFill>
                        </w14:textFill>
                      </w:rPr>
                      <m:t>0.2</m:t>
                    </m:r>
                    <m:ctrlPr>
                      <w:rPr>
                        <w:rFonts w:hint="default" w:ascii="Cambria Math" w:hAnsi="Cambria Math" w:cs="Times New Roman"/>
                        <w:color w:val="000000" w:themeColor="text1"/>
                        <w:sz w:val="24"/>
                        <w14:textFill>
                          <w14:solidFill>
                            <w14:schemeClr w14:val="tx1"/>
                          </w14:solidFill>
                        </w14:textFill>
                      </w:rPr>
                    </m:ctrlPr>
                  </m:num>
                  <m:den>
                    <m:r>
                      <m:rPr/>
                      <w:rPr>
                        <w:rFonts w:hint="default" w:ascii="Cambria Math" w:hAnsi="Cambria Math" w:cs="Times New Roman"/>
                        <w:color w:val="000000" w:themeColor="text1"/>
                        <w:sz w:val="24"/>
                        <w14:textFill>
                          <w14:solidFill>
                            <w14:schemeClr w14:val="tx1"/>
                          </w14:solidFill>
                        </w14:textFill>
                      </w:rPr>
                      <m:t>2500</m:t>
                    </m:r>
                    <m:ctrlPr>
                      <w:rPr>
                        <w:rFonts w:hint="default" w:ascii="Cambria Math" w:hAnsi="Cambria Math" w:cs="Times New Roman"/>
                        <w:color w:val="000000" w:themeColor="text1"/>
                        <w:sz w:val="24"/>
                        <w14:textFill>
                          <w14:solidFill>
                            <w14:schemeClr w14:val="tx1"/>
                          </w14:solidFill>
                        </w14:textFill>
                      </w:rPr>
                    </m:ctrlPr>
                  </m:den>
                </m:f>
                <m:r>
                  <m:rPr/>
                  <w:rPr>
                    <w:rFonts w:hint="default" w:ascii="Cambria Math" w:hAnsi="Cambria Math" w:cs="Times New Roman"/>
                    <w:color w:val="000000" w:themeColor="text1"/>
                    <w:sz w:val="24"/>
                    <w14:textFill>
                      <w14:solidFill>
                        <w14:schemeClr w14:val="tx1"/>
                      </w14:solidFill>
                    </w14:textFill>
                  </w:rPr>
                  <m:t>=0.00008&lt;1</m:t>
                </m:r>
              </m:oMath>
            </m:oMathPara>
          </w:p>
          <w:p>
            <w:pPr>
              <w:spacing w:line="360" w:lineRule="auto"/>
              <w:ind w:firstLine="424" w:firstLineChars="177"/>
              <w:rPr>
                <w:bCs/>
                <w:color w:val="000000" w:themeColor="text1"/>
                <w:sz w:val="24"/>
                <w:szCs w:val="20"/>
                <w14:textFill>
                  <w14:solidFill>
                    <w14:schemeClr w14:val="tx1"/>
                  </w14:solidFill>
                </w14:textFill>
              </w:rPr>
            </w:pPr>
            <w:r>
              <w:rPr>
                <w:color w:val="000000" w:themeColor="text1"/>
                <w:sz w:val="24"/>
                <w14:textFill>
                  <w14:solidFill>
                    <w14:schemeClr w14:val="tx1"/>
                  </w14:solidFill>
                </w14:textFill>
              </w:rPr>
              <w:t>因此，本项目风险潜势为I。</w:t>
            </w:r>
          </w:p>
          <w:p>
            <w:pPr>
              <w:spacing w:line="360" w:lineRule="auto"/>
              <w:ind w:firstLine="426" w:firstLineChars="177"/>
              <w:rPr>
                <w:b/>
                <w:bCs/>
                <w:color w:val="000000" w:themeColor="text1"/>
                <w:sz w:val="24"/>
                <w:szCs w:val="20"/>
                <w14:textFill>
                  <w14:solidFill>
                    <w14:schemeClr w14:val="tx1"/>
                  </w14:solidFill>
                </w14:textFill>
              </w:rPr>
            </w:pPr>
            <w:r>
              <w:rPr>
                <w:rFonts w:hint="eastAsia"/>
                <w:b/>
                <w:bCs/>
                <w:color w:val="000000" w:themeColor="text1"/>
                <w:sz w:val="24"/>
                <w:szCs w:val="20"/>
                <w:lang w:eastAsia="zh-CN"/>
                <w14:textFill>
                  <w14:solidFill>
                    <w14:schemeClr w14:val="tx1"/>
                  </w14:solidFill>
                </w14:textFill>
              </w:rPr>
              <w:t>（</w:t>
            </w:r>
            <w:r>
              <w:rPr>
                <w:rFonts w:hint="eastAsia"/>
                <w:b/>
                <w:bCs/>
                <w:color w:val="000000" w:themeColor="text1"/>
                <w:sz w:val="24"/>
                <w:szCs w:val="20"/>
                <w:lang w:val="en-US" w:eastAsia="zh-CN"/>
                <w14:textFill>
                  <w14:solidFill>
                    <w14:schemeClr w14:val="tx1"/>
                  </w14:solidFill>
                </w14:textFill>
              </w:rPr>
              <w:t>3</w:t>
            </w:r>
            <w:r>
              <w:rPr>
                <w:rFonts w:hint="eastAsia"/>
                <w:b/>
                <w:bCs/>
                <w:color w:val="000000" w:themeColor="text1"/>
                <w:sz w:val="24"/>
                <w:szCs w:val="20"/>
                <w:lang w:eastAsia="zh-CN"/>
                <w14:textFill>
                  <w14:solidFill>
                    <w14:schemeClr w14:val="tx1"/>
                  </w14:solidFill>
                </w14:textFill>
              </w:rPr>
              <w:t>）</w:t>
            </w:r>
            <w:r>
              <w:rPr>
                <w:b/>
                <w:bCs/>
                <w:color w:val="000000" w:themeColor="text1"/>
                <w:sz w:val="24"/>
                <w:szCs w:val="20"/>
                <w14:textFill>
                  <w14:solidFill>
                    <w14:schemeClr w14:val="tx1"/>
                  </w14:solidFill>
                </w14:textFill>
              </w:rPr>
              <w:t>评价等级确定</w:t>
            </w:r>
          </w:p>
          <w:p>
            <w:pPr>
              <w:widowControl/>
              <w:spacing w:line="360" w:lineRule="auto"/>
              <w:ind w:firstLine="480"/>
              <w:rPr>
                <w:color w:val="000000" w:themeColor="text1"/>
                <w:kern w:val="0"/>
                <w:sz w:val="24"/>
                <w:szCs w:val="21"/>
                <w14:textFill>
                  <w14:solidFill>
                    <w14:schemeClr w14:val="tx1"/>
                  </w14:solidFill>
                </w14:textFill>
              </w:rPr>
            </w:pPr>
            <w:r>
              <w:rPr>
                <w:color w:val="000000" w:themeColor="text1"/>
                <w:kern w:val="0"/>
                <w:sz w:val="24"/>
                <w:szCs w:val="24"/>
                <w14:textFill>
                  <w14:solidFill>
                    <w14:schemeClr w14:val="tx1"/>
                  </w14:solidFill>
                </w14:textFill>
              </w:rPr>
              <w:t>根据《建设项目环境风险评价技术导则》（HJ169-2018）的要求，环境风险评价工作级别划分依据见</w:t>
            </w:r>
            <w:r>
              <w:rPr>
                <w:rFonts w:hint="eastAsia"/>
                <w:color w:val="000000" w:themeColor="text1"/>
                <w:kern w:val="0"/>
                <w:sz w:val="24"/>
                <w:szCs w:val="24"/>
                <w:lang w:val="en-US" w:eastAsia="zh-CN"/>
                <w14:textFill>
                  <w14:solidFill>
                    <w14:schemeClr w14:val="tx1"/>
                  </w14:solidFill>
                </w14:textFill>
              </w:rPr>
              <w:t>下</w:t>
            </w:r>
            <w:r>
              <w:rPr>
                <w:color w:val="000000" w:themeColor="text1"/>
                <w:kern w:val="0"/>
                <w:sz w:val="24"/>
                <w:szCs w:val="24"/>
                <w14:textFill>
                  <w14:solidFill>
                    <w14:schemeClr w14:val="tx1"/>
                  </w14:solidFill>
                </w14:textFill>
              </w:rPr>
              <w:t>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w:t>
            </w:r>
            <w:r>
              <w:rPr>
                <w:rFonts w:hint="eastAsia" w:cs="黑体"/>
                <w:b/>
                <w:bCs/>
                <w:color w:val="auto"/>
                <w:kern w:val="2"/>
                <w:sz w:val="21"/>
                <w:szCs w:val="22"/>
                <w:shd w:val="clear" w:color="auto" w:fill="auto"/>
                <w:lang w:val="en-US" w:eastAsia="zh-CN" w:bidi="ar-SA"/>
              </w:rPr>
              <w:t>19</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评价工作级别划分</w:t>
            </w:r>
          </w:p>
          <w:tbl>
            <w:tblPr>
              <w:tblStyle w:val="24"/>
              <w:tblW w:w="4998" w:type="pct"/>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68"/>
              <w:gridCol w:w="1656"/>
              <w:gridCol w:w="1591"/>
              <w:gridCol w:w="1607"/>
              <w:gridCol w:w="163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74" w:type="pct"/>
                  <w:tcBorders>
                    <w:top w:val="single" w:color="auto" w:sz="12" w:space="0"/>
                    <w:tl2br w:val="nil"/>
                  </w:tcBorders>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环境风险潜势</w:t>
                  </w:r>
                </w:p>
              </w:tc>
              <w:tc>
                <w:tcPr>
                  <w:tcW w:w="1028" w:type="pct"/>
                  <w:tcBorders>
                    <w:top w:val="single" w:color="auto" w:sz="12" w:space="0"/>
                  </w:tcBorders>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IV、IV</w:t>
                  </w:r>
                  <w:r>
                    <w:rPr>
                      <w:color w:val="000000" w:themeColor="text1"/>
                      <w:szCs w:val="24"/>
                      <w:vertAlign w:val="superscript"/>
                      <w14:textFill>
                        <w14:solidFill>
                          <w14:schemeClr w14:val="tx1"/>
                        </w14:solidFill>
                      </w14:textFill>
                    </w:rPr>
                    <w:t>+</w:t>
                  </w:r>
                </w:p>
              </w:tc>
              <w:tc>
                <w:tcPr>
                  <w:tcW w:w="988" w:type="pct"/>
                  <w:tcBorders>
                    <w:top w:val="single" w:color="auto" w:sz="12" w:space="0"/>
                  </w:tcBorders>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III</w:t>
                  </w:r>
                </w:p>
              </w:tc>
              <w:tc>
                <w:tcPr>
                  <w:tcW w:w="997" w:type="pct"/>
                  <w:tcBorders>
                    <w:top w:val="single" w:color="auto" w:sz="12" w:space="0"/>
                  </w:tcBorders>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II</w:t>
                  </w:r>
                </w:p>
              </w:tc>
              <w:tc>
                <w:tcPr>
                  <w:tcW w:w="1011" w:type="pct"/>
                  <w:tcBorders>
                    <w:top w:val="single" w:color="auto" w:sz="12" w:space="0"/>
                  </w:tcBorders>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I</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74" w:type="pct"/>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评价工作等级</w:t>
                  </w:r>
                </w:p>
              </w:tc>
              <w:tc>
                <w:tcPr>
                  <w:tcW w:w="1028" w:type="pct"/>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一</w:t>
                  </w:r>
                </w:p>
              </w:tc>
              <w:tc>
                <w:tcPr>
                  <w:tcW w:w="988" w:type="pct"/>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二</w:t>
                  </w:r>
                </w:p>
              </w:tc>
              <w:tc>
                <w:tcPr>
                  <w:tcW w:w="997" w:type="pct"/>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三</w:t>
                  </w:r>
                </w:p>
              </w:tc>
              <w:tc>
                <w:tcPr>
                  <w:tcW w:w="1011" w:type="pct"/>
                  <w:vAlign w:val="center"/>
                </w:tcPr>
                <w:p>
                  <w:pPr>
                    <w:widowControl/>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简单分析</w:t>
                  </w:r>
                  <w:r>
                    <w:rPr>
                      <w:color w:val="000000" w:themeColor="text1"/>
                      <w:szCs w:val="24"/>
                      <w:vertAlign w:val="superscript"/>
                      <w14:textFill>
                        <w14:solidFill>
                          <w14:schemeClr w14:val="tx1"/>
                        </w14:solidFill>
                      </w14:textFill>
                    </w:rPr>
                    <w:t>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5"/>
                  <w:tcBorders>
                    <w:bottom w:val="single" w:color="auto" w:sz="12" w:space="0"/>
                  </w:tcBorders>
                  <w:vAlign w:val="center"/>
                </w:tcPr>
                <w:p>
                  <w:pPr>
                    <w:widowControl/>
                    <w:jc w:val="left"/>
                    <w:rPr>
                      <w:color w:val="000000" w:themeColor="text1"/>
                      <w:szCs w:val="24"/>
                      <w14:textFill>
                        <w14:solidFill>
                          <w14:schemeClr w14:val="tx1"/>
                        </w14:solidFill>
                      </w14:textFill>
                    </w:rPr>
                  </w:pPr>
                  <w:r>
                    <w:rPr>
                      <w:color w:val="000000" w:themeColor="text1"/>
                      <w:szCs w:val="24"/>
                      <w:vertAlign w:val="superscript"/>
                      <w14:textFill>
                        <w14:solidFill>
                          <w14:schemeClr w14:val="tx1"/>
                        </w14:solidFill>
                      </w14:textFill>
                    </w:rPr>
                    <w:t>a</w:t>
                  </w:r>
                  <w:r>
                    <w:rPr>
                      <w:color w:val="000000" w:themeColor="text1"/>
                      <w:szCs w:val="24"/>
                      <w14:textFill>
                        <w14:solidFill>
                          <w14:schemeClr w14:val="tx1"/>
                        </w14:solidFill>
                      </w14:textFill>
                    </w:rPr>
                    <w:t>是相对于详细评价工作内容而言，在描述危险物质、环境影响途经、环境危害后果、风险防范措施等方面给出定性的说明。</w:t>
                  </w:r>
                </w:p>
              </w:tc>
            </w:tr>
          </w:tbl>
          <w:p>
            <w:pPr>
              <w:spacing w:line="360" w:lineRule="auto"/>
              <w:ind w:firstLine="424" w:firstLineChars="177"/>
              <w:rPr>
                <w:b/>
                <w:bCs/>
                <w:color w:val="000000" w:themeColor="text1"/>
                <w:sz w:val="24"/>
                <w:szCs w:val="20"/>
                <w14:textFill>
                  <w14:solidFill>
                    <w14:schemeClr w14:val="tx1"/>
                  </w14:solidFill>
                </w14:textFill>
              </w:rPr>
            </w:pPr>
            <w:r>
              <w:rPr>
                <w:color w:val="000000" w:themeColor="text1"/>
                <w:kern w:val="0"/>
                <w:sz w:val="24"/>
                <w:szCs w:val="24"/>
                <w14:textFill>
                  <w14:solidFill>
                    <w14:schemeClr w14:val="tx1"/>
                  </w14:solidFill>
                </w14:textFill>
              </w:rPr>
              <w:t>本项目风险潜势为I，因此风险评价工作级别定为简单分析。</w:t>
            </w:r>
          </w:p>
          <w:p>
            <w:pPr>
              <w:spacing w:line="360" w:lineRule="auto"/>
              <w:ind w:firstLine="426" w:firstLineChars="177"/>
              <w:rPr>
                <w:b/>
                <w:bCs/>
                <w:color w:val="000000" w:themeColor="text1"/>
                <w:sz w:val="24"/>
                <w:szCs w:val="20"/>
                <w14:textFill>
                  <w14:solidFill>
                    <w14:schemeClr w14:val="tx1"/>
                  </w14:solidFill>
                </w14:textFill>
              </w:rPr>
            </w:pPr>
            <w:r>
              <w:rPr>
                <w:rFonts w:hint="eastAsia"/>
                <w:b/>
                <w:bCs/>
                <w:color w:val="000000" w:themeColor="text1"/>
                <w:sz w:val="24"/>
                <w:szCs w:val="20"/>
                <w:lang w:eastAsia="zh-CN"/>
                <w14:textFill>
                  <w14:solidFill>
                    <w14:schemeClr w14:val="tx1"/>
                  </w14:solidFill>
                </w14:textFill>
              </w:rPr>
              <w:t>（</w:t>
            </w:r>
            <w:r>
              <w:rPr>
                <w:rFonts w:hint="eastAsia"/>
                <w:b/>
                <w:bCs/>
                <w:color w:val="000000" w:themeColor="text1"/>
                <w:sz w:val="24"/>
                <w:szCs w:val="20"/>
                <w:lang w:val="en-US" w:eastAsia="zh-CN"/>
                <w14:textFill>
                  <w14:solidFill>
                    <w14:schemeClr w14:val="tx1"/>
                  </w14:solidFill>
                </w14:textFill>
              </w:rPr>
              <w:t>4</w:t>
            </w:r>
            <w:r>
              <w:rPr>
                <w:rFonts w:hint="eastAsia"/>
                <w:b/>
                <w:bCs/>
                <w:color w:val="000000" w:themeColor="text1"/>
                <w:sz w:val="24"/>
                <w:szCs w:val="20"/>
                <w:lang w:eastAsia="zh-CN"/>
                <w14:textFill>
                  <w14:solidFill>
                    <w14:schemeClr w14:val="tx1"/>
                  </w14:solidFill>
                </w14:textFill>
              </w:rPr>
              <w:t>）</w:t>
            </w:r>
            <w:r>
              <w:rPr>
                <w:b/>
                <w:bCs/>
                <w:color w:val="000000" w:themeColor="text1"/>
                <w:sz w:val="24"/>
                <w:szCs w:val="20"/>
                <w14:textFill>
                  <w14:solidFill>
                    <w14:schemeClr w14:val="tx1"/>
                  </w14:solidFill>
                </w14:textFill>
              </w:rPr>
              <w:t>环境风险识别</w:t>
            </w:r>
          </w:p>
          <w:p>
            <w:pPr>
              <w:spacing w:line="360" w:lineRule="auto"/>
              <w:ind w:firstLine="470" w:firstLineChars="196"/>
              <w:jc w:val="left"/>
              <w:rPr>
                <w:color w:val="000000" w:themeColor="text1"/>
                <w:sz w:val="24"/>
                <w:szCs w:val="24"/>
                <w14:textFill>
                  <w14:solidFill>
                    <w14:schemeClr w14:val="tx1"/>
                  </w14:solidFill>
                </w14:textFill>
              </w:rPr>
            </w:pPr>
            <w:r>
              <w:rPr>
                <w:bCs/>
                <w:color w:val="000000" w:themeColor="text1"/>
                <w:sz w:val="24"/>
                <w:szCs w:val="20"/>
                <w14:textFill>
                  <w14:solidFill>
                    <w14:schemeClr w14:val="tx1"/>
                  </w14:solidFill>
                </w14:textFill>
              </w:rPr>
              <w:t>根据《国家危险废物名录（</w:t>
            </w:r>
            <w:r>
              <w:rPr>
                <w:rFonts w:hint="eastAsia"/>
                <w:bCs/>
                <w:color w:val="000000" w:themeColor="text1"/>
                <w:sz w:val="24"/>
                <w:szCs w:val="20"/>
                <w:lang w:val="en-US" w:eastAsia="zh-CN"/>
                <w14:textFill>
                  <w14:solidFill>
                    <w14:schemeClr w14:val="tx1"/>
                  </w14:solidFill>
                </w14:textFill>
              </w:rPr>
              <w:t>2021</w:t>
            </w:r>
            <w:r>
              <w:rPr>
                <w:bCs/>
                <w:color w:val="000000" w:themeColor="text1"/>
                <w:sz w:val="24"/>
                <w:szCs w:val="20"/>
                <w14:textFill>
                  <w14:solidFill>
                    <w14:schemeClr w14:val="tx1"/>
                  </w14:solidFill>
                </w14:textFill>
              </w:rPr>
              <w:t>年版）》，项目在生产加工过程中产生的</w:t>
            </w:r>
            <w:r>
              <w:rPr>
                <w:bCs/>
                <w:color w:val="000000" w:themeColor="text1"/>
                <w:sz w:val="24"/>
                <w:szCs w:val="24"/>
                <w14:textFill>
                  <w14:solidFill>
                    <w14:schemeClr w14:val="tx1"/>
                  </w14:solidFill>
                </w14:textFill>
              </w:rPr>
              <w:t>废胶桶、废活性炭、废机油及沾油废物均属于危险废物</w:t>
            </w:r>
            <w:r>
              <w:rPr>
                <w:bCs/>
                <w:color w:val="000000" w:themeColor="text1"/>
                <w:sz w:val="24"/>
                <w:szCs w:val="20"/>
                <w14:textFill>
                  <w14:solidFill>
                    <w14:schemeClr w14:val="tx1"/>
                  </w14:solidFill>
                </w14:textFill>
              </w:rPr>
              <w:t>。根据危险废物管理规定，危险废物应交由有资质的废物处理单位集中处置。以便于处置和防止危险废物的二次污染，应根据《危险废物贮存污染控制标准》</w:t>
            </w:r>
            <w:r>
              <w:rPr>
                <w:rFonts w:hint="eastAsia"/>
                <w:bCs/>
                <w:color w:val="000000" w:themeColor="text1"/>
                <w:sz w:val="24"/>
                <w:szCs w:val="20"/>
                <w14:textFill>
                  <w14:solidFill>
                    <w14:schemeClr w14:val="tx1"/>
                  </w14:solidFill>
                </w14:textFill>
              </w:rPr>
              <w:t>（GB18597-2023）</w:t>
            </w:r>
            <w:r>
              <w:rPr>
                <w:bCs/>
                <w:color w:val="000000" w:themeColor="text1"/>
                <w:sz w:val="24"/>
                <w:szCs w:val="20"/>
                <w14:textFill>
                  <w14:solidFill>
                    <w14:schemeClr w14:val="tx1"/>
                  </w14:solidFill>
                </w14:textFill>
              </w:rPr>
              <w:t>在厂区或指定地点建设危险废物暂存设施，定期交由资质单位处理。故项目产生的</w:t>
            </w:r>
            <w:r>
              <w:rPr>
                <w:bCs/>
                <w:color w:val="000000" w:themeColor="text1"/>
                <w:sz w:val="24"/>
                <w:szCs w:val="24"/>
                <w14:textFill>
                  <w14:solidFill>
                    <w14:schemeClr w14:val="tx1"/>
                  </w14:solidFill>
                </w14:textFill>
              </w:rPr>
              <w:t>废胶桶、废活性炭、废机油及沾油废物</w:t>
            </w:r>
            <w:r>
              <w:rPr>
                <w:bCs/>
                <w:color w:val="000000" w:themeColor="text1"/>
                <w:sz w:val="24"/>
                <w:szCs w:val="20"/>
                <w14:textFill>
                  <w14:solidFill>
                    <w14:schemeClr w14:val="tx1"/>
                  </w14:solidFill>
                </w14:textFill>
              </w:rPr>
              <w:t>，由公司集中收集</w:t>
            </w:r>
            <w:r>
              <w:rPr>
                <w:color w:val="000000" w:themeColor="text1"/>
                <w:sz w:val="24"/>
                <w:szCs w:val="24"/>
                <w14:textFill>
                  <w14:solidFill>
                    <w14:schemeClr w14:val="tx1"/>
                  </w14:solidFill>
                </w14:textFill>
              </w:rPr>
              <w:t>暂存于项目厂区内危废暂存间（</w:t>
            </w:r>
            <w:r>
              <w:rPr>
                <w:rFonts w:hint="eastAsia"/>
                <w:color w:val="000000" w:themeColor="text1"/>
                <w:sz w:val="24"/>
                <w:szCs w:val="24"/>
                <w:lang w:eastAsia="zh-CN"/>
                <w14:textFill>
                  <w14:solidFill>
                    <w14:schemeClr w14:val="tx1"/>
                  </w14:solidFill>
                </w14:textFill>
              </w:rPr>
              <w:t>项目</w:t>
            </w:r>
            <w:r>
              <w:rPr>
                <w:rFonts w:hint="eastAsia"/>
                <w:color w:val="000000" w:themeColor="text1"/>
                <w:sz w:val="24"/>
                <w:szCs w:val="24"/>
                <w14:textFill>
                  <w14:solidFill>
                    <w14:schemeClr w14:val="tx1"/>
                  </w14:solidFill>
                </w14:textFill>
              </w:rPr>
              <w:t>西</w:t>
            </w:r>
            <w:r>
              <w:rPr>
                <w:rFonts w:hint="eastAsia"/>
                <w:color w:val="000000" w:themeColor="text1"/>
                <w:sz w:val="24"/>
                <w:szCs w:val="24"/>
                <w:lang w:eastAsia="zh-CN"/>
                <w14:textFill>
                  <w14:solidFill>
                    <w14:schemeClr w14:val="tx1"/>
                  </w14:solidFill>
                </w14:textFill>
              </w:rPr>
              <w:t>北</w:t>
            </w:r>
            <w:r>
              <w:rPr>
                <w:rFonts w:hint="eastAsia"/>
                <w:color w:val="000000" w:themeColor="text1"/>
                <w:sz w:val="24"/>
                <w:szCs w:val="24"/>
                <w14:textFill>
                  <w14:solidFill>
                    <w14:schemeClr w14:val="tx1"/>
                  </w14:solidFill>
                </w14:textFill>
              </w:rPr>
              <w:t>侧</w:t>
            </w:r>
            <w:r>
              <w:rPr>
                <w:color w:val="000000" w:themeColor="text1"/>
                <w:sz w:val="24"/>
                <w:szCs w:val="24"/>
                <w14:textFill>
                  <w14:solidFill>
                    <w14:schemeClr w14:val="tx1"/>
                  </w14:solidFill>
                </w14:textFill>
              </w:rPr>
              <w:t>，</w:t>
            </w:r>
            <w:r>
              <w:rPr>
                <w:rFonts w:hint="eastAsia"/>
                <w:bCs/>
                <w:color w:val="000000" w:themeColor="text1"/>
                <w:sz w:val="24"/>
                <w:szCs w:val="21"/>
                <w:lang w:val="en-US" w:eastAsia="zh-CN"/>
                <w14:textFill>
                  <w14:solidFill>
                    <w14:schemeClr w14:val="tx1"/>
                  </w14:solidFill>
                </w14:textFill>
              </w:rPr>
              <w:t>15</w:t>
            </w:r>
            <w:r>
              <w:rPr>
                <w:bCs/>
                <w:color w:val="000000" w:themeColor="text1"/>
                <w:sz w:val="24"/>
                <w:szCs w:val="21"/>
                <w14:textFill>
                  <w14:solidFill>
                    <w14:schemeClr w14:val="tx1"/>
                  </w14:solidFill>
                </w14:textFill>
              </w:rPr>
              <w:t>m</w:t>
            </w:r>
            <w:r>
              <w:rPr>
                <w:bCs/>
                <w:color w:val="000000" w:themeColor="text1"/>
                <w:sz w:val="24"/>
                <w:szCs w:val="21"/>
                <w:vertAlign w:val="superscript"/>
                <w14:textFill>
                  <w14:solidFill>
                    <w14:schemeClr w14:val="tx1"/>
                  </w14:solidFill>
                </w14:textFill>
              </w:rPr>
              <w:t>2</w:t>
            </w:r>
            <w:r>
              <w:rPr>
                <w:color w:val="000000" w:themeColor="text1"/>
                <w:sz w:val="24"/>
                <w:szCs w:val="24"/>
                <w14:textFill>
                  <w14:solidFill>
                    <w14:schemeClr w14:val="tx1"/>
                  </w14:solidFill>
                </w14:textFill>
              </w:rPr>
              <w:t>），定期交由有资质单位处置。</w:t>
            </w:r>
            <w:r>
              <w:rPr>
                <w:bCs/>
                <w:color w:val="000000" w:themeColor="text1"/>
                <w:sz w:val="24"/>
                <w:szCs w:val="20"/>
                <w14:textFill>
                  <w14:solidFill>
                    <w14:schemeClr w14:val="tx1"/>
                  </w14:solidFill>
                </w14:textFill>
              </w:rPr>
              <w:t>不得排放</w:t>
            </w:r>
            <w:r>
              <w:rPr>
                <w:color w:val="000000" w:themeColor="text1"/>
                <w:sz w:val="24"/>
                <w:szCs w:val="24"/>
                <w14:textFill>
                  <w14:solidFill>
                    <w14:schemeClr w14:val="tx1"/>
                  </w14:solidFill>
                </w14:textFill>
              </w:rPr>
              <w:t>。</w:t>
            </w:r>
          </w:p>
          <w:p>
            <w:pPr>
              <w:spacing w:line="360" w:lineRule="auto"/>
              <w:ind w:firstLine="470" w:firstLineChars="196"/>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查资料知，以上危险废物主要危害因素是具有一定的毒性及易燃性，根据《突发环境事件风险物质及临界量清单》，进行项目原辅材料辨识，项目场区内主要环境风险物质为</w:t>
            </w:r>
            <w:r>
              <w:rPr>
                <w:rFonts w:hint="eastAsia"/>
                <w:color w:val="000000" w:themeColor="text1"/>
                <w:sz w:val="24"/>
                <w14:textFill>
                  <w14:solidFill>
                    <w14:schemeClr w14:val="tx1"/>
                  </w14:solidFill>
                </w14:textFill>
              </w:rPr>
              <w:t>油类</w:t>
            </w:r>
            <w:r>
              <w:rPr>
                <w:color w:val="000000" w:themeColor="text1"/>
                <w:sz w:val="24"/>
                <w14:textFill>
                  <w14:solidFill>
                    <w14:schemeClr w14:val="tx1"/>
                  </w14:solidFill>
                </w14:textFill>
              </w:rPr>
              <w:t>物质等，均未达到临界量。项目生产过程应根据《危化品安全管理条例》、 《常用化学危险品贮存通则》、 《仓库防火安全管理规则》等进行临时储存和使用，将环境风险控制在最低限度。根据项目使用的危险物质种类和特性， 项目可能产生的环境风险为易燃危险化学品可能引发的泄漏和火灾引发的次生环境风险、废水/废气事故排放。</w:t>
            </w:r>
          </w:p>
          <w:p>
            <w:pPr>
              <w:spacing w:line="360" w:lineRule="auto"/>
              <w:ind w:firstLine="472" w:firstLineChars="196"/>
              <w:jc w:val="left"/>
              <w:rPr>
                <w:b/>
                <w:color w:val="000000" w:themeColor="text1"/>
                <w:sz w:val="24"/>
                <w14:textFill>
                  <w14:solidFill>
                    <w14:schemeClr w14:val="tx1"/>
                  </w14:solidFill>
                </w14:textFill>
              </w:rPr>
            </w:pPr>
            <w:r>
              <w:rPr>
                <w:rFonts w:hint="eastAsia"/>
                <w:b/>
                <w:color w:val="000000" w:themeColor="text1"/>
                <w:sz w:val="24"/>
                <w:lang w:eastAsia="zh-CN"/>
                <w14:textFill>
                  <w14:solidFill>
                    <w14:schemeClr w14:val="tx1"/>
                  </w14:solidFill>
                </w14:textFill>
              </w:rPr>
              <w:t>（</w:t>
            </w:r>
            <w:r>
              <w:rPr>
                <w:rFonts w:hint="eastAsia"/>
                <w:b/>
                <w:color w:val="000000" w:themeColor="text1"/>
                <w:sz w:val="24"/>
                <w:lang w:val="en-US" w:eastAsia="zh-CN"/>
                <w14:textFill>
                  <w14:solidFill>
                    <w14:schemeClr w14:val="tx1"/>
                  </w14:solidFill>
                </w14:textFill>
              </w:rPr>
              <w:t>5</w:t>
            </w:r>
            <w:r>
              <w:rPr>
                <w:rFonts w:hint="eastAsia"/>
                <w:b/>
                <w:color w:val="000000" w:themeColor="text1"/>
                <w:sz w:val="24"/>
                <w:lang w:eastAsia="zh-CN"/>
                <w14:textFill>
                  <w14:solidFill>
                    <w14:schemeClr w14:val="tx1"/>
                  </w14:solidFill>
                </w14:textFill>
              </w:rPr>
              <w:t>）</w:t>
            </w:r>
            <w:r>
              <w:rPr>
                <w:b/>
                <w:color w:val="000000" w:themeColor="text1"/>
                <w:sz w:val="24"/>
                <w14:textFill>
                  <w14:solidFill>
                    <w14:schemeClr w14:val="tx1"/>
                  </w14:solidFill>
                </w14:textFill>
              </w:rPr>
              <w:t>环境风险事故防范措施</w:t>
            </w:r>
          </w:p>
          <w:p>
            <w:pPr>
              <w:spacing w:line="360" w:lineRule="auto"/>
              <w:ind w:firstLine="472" w:firstLineChars="196"/>
              <w:jc w:val="left"/>
              <w:rPr>
                <w:b/>
                <w:color w:val="000000" w:themeColor="text1"/>
                <w:sz w:val="24"/>
                <w14:textFill>
                  <w14:solidFill>
                    <w14:schemeClr w14:val="tx1"/>
                  </w14:solidFill>
                </w14:textFill>
              </w:rPr>
            </w:pPr>
            <w:r>
              <w:rPr>
                <w:b/>
                <w:bCs/>
                <w:color w:val="000000" w:themeColor="text1"/>
                <w:sz w:val="24"/>
                <w:szCs w:val="24"/>
                <w14:textFill>
                  <w14:solidFill>
                    <w14:schemeClr w14:val="tx1"/>
                  </w14:solidFill>
                </w14:textFill>
              </w:rPr>
              <w:t>本项目主要采取的风险防范措施如下：</w:t>
            </w:r>
          </w:p>
          <w:p>
            <w:pPr>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1</w:t>
            </w:r>
            <w:r>
              <w:rPr>
                <w:b/>
                <w:color w:val="000000" w:themeColor="text1"/>
                <w:sz w:val="24"/>
                <w14:textFill>
                  <w14:solidFill>
                    <w14:schemeClr w14:val="tx1"/>
                  </w14:solidFill>
                </w14:textFill>
              </w:rPr>
              <w:t>）危险化学品泄漏的风险防范</w:t>
            </w:r>
          </w:p>
          <w:p>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根据危险废物管理规定，危险废物应交由有资质的废物处理单位集中处置。为便于处置和防止危险废物的二次污染，应根据《危险废物贮存污染控制标准》 </w:t>
            </w:r>
            <w:r>
              <w:rPr>
                <w:rFonts w:hint="eastAsia"/>
                <w:color w:val="000000" w:themeColor="text1"/>
                <w:sz w:val="24"/>
                <w:szCs w:val="24"/>
                <w:lang w:eastAsia="zh-CN"/>
                <w14:textFill>
                  <w14:solidFill>
                    <w14:schemeClr w14:val="tx1"/>
                  </w14:solidFill>
                </w14:textFill>
              </w:rPr>
              <w:t>（</w:t>
            </w:r>
            <w:r>
              <w:rPr>
                <w:rFonts w:hint="eastAsia" w:ascii="Times New Roman" w:hAnsi="Times New Roman" w:cs="Times New Roman"/>
                <w:color w:val="auto"/>
                <w:sz w:val="24"/>
                <w:lang w:eastAsia="zh-CN"/>
              </w:rPr>
              <w:t>GB18597-2023</w:t>
            </w:r>
            <w:r>
              <w:rPr>
                <w:rFonts w:hint="eastAsia" w:cs="Times New Roman"/>
                <w:color w:val="auto"/>
                <w:sz w:val="24"/>
                <w:lang w:eastAsia="zh-CN"/>
              </w:rPr>
              <w:t>）</w:t>
            </w:r>
            <w:r>
              <w:rPr>
                <w:color w:val="000000" w:themeColor="text1"/>
                <w:sz w:val="24"/>
                <w:szCs w:val="24"/>
                <w14:textFill>
                  <w14:solidFill>
                    <w14:schemeClr w14:val="tx1"/>
                  </w14:solidFill>
                </w14:textFill>
              </w:rPr>
              <w:t>在厂区或指定地点建设危险废物暂存设施，定期交有资质单位处理。本项目废油收集后，由公司定期统一回收，交由有资质的专业公司处理，不得排放。</w:t>
            </w:r>
          </w:p>
          <w:p>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为保证厂内暂存的危险废物不对环境产生污染，依据《危险废物贮存污染控制标准》</w:t>
            </w:r>
            <w:r>
              <w:rPr>
                <w:rFonts w:hint="eastAsia"/>
                <w:color w:val="000000" w:themeColor="text1"/>
                <w:sz w:val="24"/>
                <w:szCs w:val="24"/>
                <w:lang w:eastAsia="zh-CN"/>
                <w14:textFill>
                  <w14:solidFill>
                    <w14:schemeClr w14:val="tx1"/>
                  </w14:solidFill>
                </w14:textFill>
              </w:rPr>
              <w:t>（</w:t>
            </w:r>
            <w:r>
              <w:rPr>
                <w:rFonts w:hint="eastAsia" w:ascii="Times New Roman" w:hAnsi="Times New Roman" w:cs="Times New Roman"/>
                <w:color w:val="auto"/>
                <w:sz w:val="24"/>
                <w:lang w:eastAsia="zh-CN"/>
              </w:rPr>
              <w:t>GB18597-2023</w:t>
            </w:r>
            <w:r>
              <w:rPr>
                <w:rFonts w:hint="eastAsia" w:cs="Times New Roman"/>
                <w:color w:val="auto"/>
                <w:sz w:val="24"/>
                <w:lang w:eastAsia="zh-CN"/>
              </w:rPr>
              <w:t>）</w:t>
            </w:r>
            <w:r>
              <w:rPr>
                <w:color w:val="000000" w:themeColor="text1"/>
                <w:sz w:val="24"/>
                <w:szCs w:val="24"/>
                <w14:textFill>
                  <w14:solidFill>
                    <w14:schemeClr w14:val="tx1"/>
                  </w14:solidFill>
                </w14:textFill>
              </w:rPr>
              <w:t>及相关国家及地方法律法规，提出如下安全措施：</w:t>
            </w:r>
          </w:p>
          <w:p>
            <w:pPr>
              <w:spacing w:line="360" w:lineRule="auto"/>
              <w:ind w:firstLine="470" w:firstLineChars="196"/>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①</w:t>
            </w:r>
            <w:r>
              <w:rPr>
                <w:color w:val="000000" w:themeColor="text1"/>
                <w:sz w:val="24"/>
                <w:szCs w:val="24"/>
                <w14:textFill>
                  <w14:solidFill>
                    <w14:schemeClr w14:val="tx1"/>
                  </w14:solidFill>
                </w14:textFill>
              </w:rPr>
              <w:t>采取室内贮存方式，设置环境保护图形标志和警示标志。</w:t>
            </w:r>
          </w:p>
          <w:p>
            <w:pPr>
              <w:spacing w:line="360" w:lineRule="auto"/>
              <w:ind w:firstLine="470" w:firstLineChars="196"/>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②收集后，放入相应的容器内，禁止一般废物与危险废物混放，不相容的危险废物分开存放并设有隔离间隔断。危废暂存间设置10cm重点防渗围堰，防止危险废物中废机油等液态物质外泄。</w:t>
            </w:r>
          </w:p>
          <w:p>
            <w:pPr>
              <w:spacing w:line="360" w:lineRule="auto"/>
              <w:ind w:firstLine="470" w:firstLineChars="196"/>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③</w:t>
            </w:r>
            <w:r>
              <w:rPr>
                <w:color w:val="000000" w:themeColor="text1"/>
                <w:sz w:val="24"/>
                <w:szCs w:val="24"/>
                <w14:textFill>
                  <w14:solidFill>
                    <w14:schemeClr w14:val="tx1"/>
                  </w14:solidFill>
                </w14:textFill>
              </w:rPr>
              <w:t>收集的容器放置在隔架上，其底部与地面相距一定距离，以保持地面干燥，盛装在容器内的同类危险废物可以堆叠存放。</w:t>
            </w:r>
          </w:p>
          <w:p>
            <w:pPr>
              <w:spacing w:line="360" w:lineRule="auto"/>
              <w:ind w:firstLine="470" w:firstLineChars="196"/>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④</w:t>
            </w:r>
            <w:r>
              <w:rPr>
                <w:color w:val="000000" w:themeColor="text1"/>
                <w:sz w:val="24"/>
                <w:szCs w:val="24"/>
                <w14:textFill>
                  <w14:solidFill>
                    <w14:schemeClr w14:val="tx1"/>
                  </w14:solidFill>
                </w14:textFill>
              </w:rPr>
              <w:t>所使用的材料要与危险废物相容。</w:t>
            </w:r>
          </w:p>
          <w:p>
            <w:pPr>
              <w:spacing w:line="360" w:lineRule="auto"/>
              <w:ind w:firstLine="470" w:firstLineChars="196"/>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⑤</w:t>
            </w:r>
            <w:r>
              <w:rPr>
                <w:color w:val="000000" w:themeColor="text1"/>
                <w:sz w:val="24"/>
                <w:szCs w:val="24"/>
                <w14:textFill>
                  <w14:solidFill>
                    <w14:schemeClr w14:val="tx1"/>
                  </w14:solidFill>
                </w14:textFill>
              </w:rPr>
              <w:t>建立档案制度，对暂存的废物种类、数量、特性、包装容器类别、存放库位、存入日期、运出日期等详细记录在案并长期保存。建立定期巡查、维护制度。</w:t>
            </w:r>
          </w:p>
          <w:p>
            <w:pPr>
              <w:spacing w:line="360" w:lineRule="auto"/>
              <w:ind w:firstLine="472" w:firstLineChars="196"/>
              <w:jc w:val="left"/>
              <w:rPr>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w:t>
            </w:r>
            <w:r>
              <w:rPr>
                <w:b/>
                <w:color w:val="000000" w:themeColor="text1"/>
                <w:sz w:val="24"/>
                <w:szCs w:val="24"/>
                <w14:textFill>
                  <w14:solidFill>
                    <w14:schemeClr w14:val="tx1"/>
                  </w14:solidFill>
                </w14:textFill>
              </w:rPr>
              <w:t>）</w:t>
            </w:r>
            <w:r>
              <w:rPr>
                <w:b/>
                <w:color w:val="000000" w:themeColor="text1"/>
                <w:sz w:val="24"/>
                <w14:textFill>
                  <w14:solidFill>
                    <w14:schemeClr w14:val="tx1"/>
                  </w14:solidFill>
                </w14:textFill>
              </w:rPr>
              <w:t>火灾引发的次生环境风险防范</w:t>
            </w:r>
          </w:p>
          <w:p>
            <w:pPr>
              <w:adjustRightInd w:val="0"/>
              <w:spacing w:line="360" w:lineRule="auto"/>
              <w:ind w:firstLine="480" w:firstLineChars="200"/>
              <w:rPr>
                <w:color w:val="000000" w:themeColor="text1"/>
                <w:sz w:val="24"/>
                <w:szCs w:val="24"/>
                <w14:textFill>
                  <w14:solidFill>
                    <w14:schemeClr w14:val="tx1"/>
                  </w14:solidFill>
                </w14:textFill>
              </w:rPr>
            </w:pPr>
            <w:r>
              <w:rPr>
                <w:bCs/>
                <w:color w:val="000000" w:themeColor="text1"/>
                <w:sz w:val="24"/>
                <w:szCs w:val="20"/>
                <w14:textFill>
                  <w14:solidFill>
                    <w14:schemeClr w14:val="tx1"/>
                  </w14:solidFill>
                </w14:textFill>
              </w:rPr>
              <w:t>电路老化或厂区储存原料遇明火等原因可能引发火灾，</w:t>
            </w:r>
            <w:r>
              <w:rPr>
                <w:color w:val="000000" w:themeColor="text1"/>
                <w:sz w:val="24"/>
                <w:szCs w:val="24"/>
                <w14:textFill>
                  <w14:solidFill>
                    <w14:schemeClr w14:val="tx1"/>
                  </w14:solidFill>
                </w14:textFill>
              </w:rPr>
              <w:t>燃烧的主要危害方式是火焰的直接作用，火焰除对作业人员造成直接伤害外，还可使建筑物的结构强度降低，造成建筑物破坏、倒塌，在一定条件下还有可能引起燃烧转爆轰，造成二次、更大范围的爆炸危害。此外，燃烧产物一般主要为C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、CO等，燃烧产物特别是烟雾也会对周围人员造成危害。烟雾中含有大量的CO等有毒气体，能使人窒息死亡，同时烟雾刺激眼睛，造成人员伤害。</w:t>
            </w:r>
          </w:p>
          <w:p>
            <w:pPr>
              <w:adjustRightInd w:val="0"/>
              <w:spacing w:line="360" w:lineRule="auto"/>
              <w:ind w:firstLine="482" w:firstLineChars="200"/>
              <w:rPr>
                <w:b/>
                <w:color w:val="000000" w:themeColor="text1"/>
                <w:sz w:val="24"/>
                <w:szCs w:val="20"/>
                <w14:textFill>
                  <w14:solidFill>
                    <w14:schemeClr w14:val="tx1"/>
                  </w14:solidFill>
                </w14:textFill>
              </w:rPr>
            </w:pPr>
            <w:r>
              <w:rPr>
                <w:rFonts w:hint="eastAsia"/>
                <w:b/>
                <w:color w:val="000000" w:themeColor="text1"/>
                <w:sz w:val="24"/>
                <w:szCs w:val="20"/>
                <w:lang w:val="en-US" w:eastAsia="zh-CN"/>
                <w14:textFill>
                  <w14:solidFill>
                    <w14:schemeClr w14:val="tx1"/>
                  </w14:solidFill>
                </w14:textFill>
              </w:rPr>
              <w:t>3）其他</w:t>
            </w:r>
            <w:r>
              <w:rPr>
                <w:b/>
                <w:color w:val="000000" w:themeColor="text1"/>
                <w:sz w:val="24"/>
                <w:szCs w:val="20"/>
                <w14:textFill>
                  <w14:solidFill>
                    <w14:schemeClr w14:val="tx1"/>
                  </w14:solidFill>
                </w14:textFill>
              </w:rPr>
              <w:t>风险防范措施：</w:t>
            </w:r>
          </w:p>
          <w:p>
            <w:pPr>
              <w:spacing w:line="360" w:lineRule="auto"/>
              <w:ind w:firstLine="430"/>
              <w:rPr>
                <w:color w:val="000000" w:themeColor="text1"/>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①</w:t>
            </w:r>
            <w:r>
              <w:rPr>
                <w:color w:val="000000" w:themeColor="text1"/>
                <w:sz w:val="24"/>
                <w:szCs w:val="24"/>
                <w14:textFill>
                  <w14:solidFill>
                    <w14:schemeClr w14:val="tx1"/>
                  </w14:solidFill>
                </w14:textFill>
              </w:rPr>
              <w:t>生产厂房、易燃物品贮存区须确保全面通风、配备相应品种和数量的消防器材，预留必要的安全间距，远离火种和热源，防止阳光直射。</w:t>
            </w:r>
          </w:p>
          <w:p>
            <w:pPr>
              <w:autoSpaceDE w:val="0"/>
              <w:autoSpaceDN w:val="0"/>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lang w:val="en-US" w:eastAsia="zh-CN"/>
                <w14:textFill>
                  <w14:solidFill>
                    <w14:schemeClr w14:val="tx1"/>
                  </w14:solidFill>
                </w14:textFill>
              </w:rPr>
              <w:t>②</w:t>
            </w:r>
            <w:r>
              <w:rPr>
                <w:color w:val="000000" w:themeColor="text1"/>
                <w:sz w:val="24"/>
                <w14:textFill>
                  <w14:solidFill>
                    <w14:schemeClr w14:val="tx1"/>
                  </w14:solidFill>
                </w14:textFill>
              </w:rPr>
              <w:t>严格执行《建筑设计防火规范》（GB50016-2014）等相关要求，按有关安全规定配备使用、有效和足够的消防器材，以便能在起火之处迅速扑灭；消防设施、器材，由专人管理，负责检查、维修、保养、更换和添置，保证完好有效，严禁圈占、埋压和挪用。配备消防器材和消防设施；标示明确，使用方便；在厂房配备二氧化碳灭火器熄灭小型火灾。同时在电气设备火灾易发处配备干粉灭火器</w:t>
            </w:r>
          </w:p>
          <w:p>
            <w:pPr>
              <w:autoSpaceDE w:val="0"/>
              <w:autoSpaceDN w:val="0"/>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③</w:t>
            </w:r>
            <w:r>
              <w:rPr>
                <w:color w:val="000000" w:themeColor="text1"/>
                <w:sz w:val="24"/>
                <w:szCs w:val="24"/>
                <w14:textFill>
                  <w14:solidFill>
                    <w14:schemeClr w14:val="tx1"/>
                  </w14:solidFill>
                </w14:textFill>
              </w:rPr>
              <w:t>严格按照生产管理制度执行，定期检查库房和危废暂存间，发现有危险废物泄漏以及设备损坏，立即采取措施。</w:t>
            </w:r>
          </w:p>
          <w:p>
            <w:pPr>
              <w:autoSpaceDE w:val="0"/>
              <w:autoSpaceDN w:val="0"/>
              <w:adjustRightInd w:val="0"/>
              <w:snapToGri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④</w:t>
            </w:r>
            <w:r>
              <w:rPr>
                <w:color w:val="000000" w:themeColor="text1"/>
                <w:kern w:val="0"/>
                <w:sz w:val="24"/>
                <w:szCs w:val="24"/>
                <w14:textFill>
                  <w14:solidFill>
                    <w14:schemeClr w14:val="tx1"/>
                  </w14:solidFill>
                </w14:textFill>
              </w:rPr>
              <w:t>开展安全教育。新职工上岗前必须进行厂级、车间级、班组级三级安全教育。对新职工进行安全教育的内容包括劳动安全法律、法规，通用安全技术，本厂安全制度、工伤事故的案例，还要进行岗位安全操作规程、劳动安全防护用品的正确使用方法等内容的教育。企业的管理人员在任职时，也应接受安全教育。</w:t>
            </w:r>
          </w:p>
          <w:p>
            <w:pPr>
              <w:autoSpaceDE w:val="0"/>
              <w:autoSpaceDN w:val="0"/>
              <w:adjustRightInd w:val="0"/>
              <w:snapToGri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⑤</w:t>
            </w:r>
            <w:r>
              <w:rPr>
                <w:color w:val="000000" w:themeColor="text1"/>
                <w:kern w:val="0"/>
                <w:sz w:val="24"/>
                <w:szCs w:val="24"/>
                <w14:textFill>
                  <w14:solidFill>
                    <w14:schemeClr w14:val="tx1"/>
                  </w14:solidFill>
                </w14:textFill>
              </w:rPr>
              <w:t>设置安全监察员。生产过程的每一个班组、每一道工序都应当设安全员，安全员的主要职责是监督检查安全生产情况，有权制止和责令改正不安全的行为和现象，对存在的重大事故隐患及时向有关部门和负责人报告，并参加事故的调查、处理等。</w:t>
            </w:r>
          </w:p>
          <w:p>
            <w:pPr>
              <w:autoSpaceDE w:val="0"/>
              <w:autoSpaceDN w:val="0"/>
              <w:adjustRightInd w:val="0"/>
              <w:snapToGri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⑥</w:t>
            </w:r>
            <w:r>
              <w:rPr>
                <w:color w:val="000000" w:themeColor="text1"/>
                <w:kern w:val="0"/>
                <w:sz w:val="24"/>
                <w:szCs w:val="24"/>
                <w14:textFill>
                  <w14:solidFill>
                    <w14:schemeClr w14:val="tx1"/>
                  </w14:solidFill>
                </w14:textFill>
              </w:rPr>
              <w:t>建立健全安全生产制度。安全制度是企业经营发展的保障，是防患于未然的基础。各个工序要结合实际情况，制订制度，对安全生产的内容能量化的要量化分析， 推行安全目标管理责任制，签订责任书。各个不同的工作岗位要有不同的安全操作规程。张贴在工作现场，经常对照检查。要推行安全生产的互相监督，发现苗头及时提醒。要建立安全生产的统计、报告制度，将统计情况及时公布。</w:t>
            </w:r>
          </w:p>
          <w:p>
            <w:pPr>
              <w:adjustRightInd w:val="0"/>
              <w:spacing w:line="360" w:lineRule="auto"/>
              <w:ind w:firstLine="482" w:firstLineChars="200"/>
              <w:rPr>
                <w:b/>
                <w:color w:val="000000" w:themeColor="text1"/>
                <w:sz w:val="24"/>
                <w:szCs w:val="20"/>
                <w14:textFill>
                  <w14:solidFill>
                    <w14:schemeClr w14:val="tx1"/>
                  </w14:solidFill>
                </w14:textFill>
              </w:rPr>
            </w:pPr>
            <w:r>
              <w:rPr>
                <w:rFonts w:hint="eastAsia"/>
                <w:b/>
                <w:color w:val="000000" w:themeColor="text1"/>
                <w:sz w:val="24"/>
                <w:szCs w:val="20"/>
                <w:lang w:val="en-US" w:eastAsia="zh-CN"/>
                <w14:textFill>
                  <w14:solidFill>
                    <w14:schemeClr w14:val="tx1"/>
                  </w14:solidFill>
                </w14:textFill>
              </w:rPr>
              <w:t>4）</w:t>
            </w:r>
            <w:r>
              <w:rPr>
                <w:b/>
                <w:color w:val="000000" w:themeColor="text1"/>
                <w:sz w:val="24"/>
                <w:szCs w:val="20"/>
                <w14:textFill>
                  <w14:solidFill>
                    <w14:schemeClr w14:val="tx1"/>
                  </w14:solidFill>
                </w14:textFill>
              </w:rPr>
              <w:t>发生火灾事故时应急救援措施：</w:t>
            </w:r>
          </w:p>
          <w:p>
            <w:pPr>
              <w:adjustRightInd w:val="0"/>
              <w:spacing w:line="360" w:lineRule="auto"/>
              <w:ind w:firstLine="48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①</w:t>
            </w:r>
            <w:r>
              <w:rPr>
                <w:color w:val="000000" w:themeColor="text1"/>
                <w:sz w:val="24"/>
                <w:szCs w:val="20"/>
                <w14:textFill>
                  <w14:solidFill>
                    <w14:schemeClr w14:val="tx1"/>
                  </w14:solidFill>
                </w14:textFill>
              </w:rPr>
              <w:t>若现场火势较小，在场人员应立即采用配备的干粉灭火器或砂等消防器具进行灭火，并向主管生产的经理报告现场情况。</w:t>
            </w:r>
          </w:p>
          <w:p>
            <w:pPr>
              <w:adjustRightInd w:val="0"/>
              <w:spacing w:line="360" w:lineRule="auto"/>
              <w:ind w:firstLine="48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②</w:t>
            </w:r>
            <w:r>
              <w:rPr>
                <w:color w:val="000000" w:themeColor="text1"/>
                <w:sz w:val="24"/>
                <w:szCs w:val="20"/>
                <w14:textFill>
                  <w14:solidFill>
                    <w14:schemeClr w14:val="tx1"/>
                  </w14:solidFill>
                </w14:textFill>
              </w:rPr>
              <w:t>若现场火势较大，在场人员无法控制住火势，有可能发生爆炸危险时，在场人员应立即派人拨打火警电话119，请专业消防队员前往灭火，同时将上述情况向上级报告。</w:t>
            </w:r>
          </w:p>
          <w:p>
            <w:pPr>
              <w:adjustRightInd w:val="0"/>
              <w:spacing w:line="360" w:lineRule="auto"/>
              <w:ind w:firstLine="480" w:firstLineChars="20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③</w:t>
            </w:r>
            <w:r>
              <w:rPr>
                <w:color w:val="000000" w:themeColor="text1"/>
                <w:sz w:val="24"/>
                <w:szCs w:val="20"/>
                <w14:textFill>
                  <w14:solidFill>
                    <w14:schemeClr w14:val="tx1"/>
                  </w14:solidFill>
                </w14:textFill>
              </w:rPr>
              <w:t>撤离、疏散事故可能波及区域内的其他人员，同时将伤员转移至安全区域，并对伤者进行急救，将事故区域内的危险品、易燃物品及设备等转移至安全区域。</w:t>
            </w:r>
          </w:p>
          <w:p>
            <w:pPr>
              <w:adjustRightInd w:val="0"/>
              <w:spacing w:line="360" w:lineRule="auto"/>
              <w:ind w:firstLine="480" w:firstLineChars="20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④</w:t>
            </w:r>
            <w:r>
              <w:rPr>
                <w:color w:val="000000" w:themeColor="text1"/>
                <w:sz w:val="24"/>
                <w:szCs w:val="20"/>
                <w14:textFill>
                  <w14:solidFill>
                    <w14:schemeClr w14:val="tx1"/>
                  </w14:solidFill>
                </w14:textFill>
              </w:rPr>
              <w:t xml:space="preserve">协助、配合医护人员抢救伤员，将伤员送上救护车；为消防队员指出最近的消防水源。  </w:t>
            </w:r>
          </w:p>
          <w:p>
            <w:pPr>
              <w:adjustRightInd w:val="0"/>
              <w:spacing w:line="360" w:lineRule="auto"/>
              <w:ind w:firstLine="480" w:firstLineChars="20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⑤</w:t>
            </w:r>
            <w:r>
              <w:rPr>
                <w:color w:val="000000" w:themeColor="text1"/>
                <w:sz w:val="24"/>
                <w:szCs w:val="20"/>
                <w14:textFill>
                  <w14:solidFill>
                    <w14:schemeClr w14:val="tx1"/>
                  </w14:solidFill>
                </w14:textFill>
              </w:rPr>
              <w:t xml:space="preserve">协助消防队员灭火，阻止事故蔓延扩大，用警戒旗、绳封闭事故可能波及区域，并竖起“此处危险、禁止入内”的警告标志，夜间应使用声光报警设备发出信号，避免无关人员进入此区域。  </w:t>
            </w:r>
          </w:p>
          <w:p>
            <w:pPr>
              <w:spacing w:line="360" w:lineRule="auto"/>
              <w:ind w:firstLine="470" w:firstLineChars="196"/>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t>事故处理结束后，应急救援组对事故区域进行必要的整理，按《事故调查程序》规定，组织或协合上级主管部门对事故进行调查、处理，并对调查及处理情况作书面记录备案，并向上级主管部门提交事故记录或报告的复印件。</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5</w:t>
            </w:r>
            <w:r>
              <w:rPr>
                <w:b/>
                <w:color w:val="000000" w:themeColor="text1"/>
                <w:kern w:val="0"/>
                <w:sz w:val="24"/>
                <w14:textFill>
                  <w14:solidFill>
                    <w14:schemeClr w14:val="tx1"/>
                  </w14:solidFill>
                </w14:textFill>
              </w:rPr>
              <w:t>）事故废气排放风险防范措施</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①</w:t>
            </w:r>
            <w:r>
              <w:rPr>
                <w:color w:val="000000" w:themeColor="text1"/>
                <w:sz w:val="24"/>
                <w14:textFill>
                  <w14:solidFill>
                    <w14:schemeClr w14:val="tx1"/>
                  </w14:solidFill>
                </w14:textFill>
              </w:rPr>
              <w:t>定期检</w:t>
            </w:r>
            <w:r>
              <w:rPr>
                <w:color w:val="000000" w:themeColor="text1"/>
                <w:kern w:val="0"/>
                <w:sz w:val="24"/>
                <w14:textFill>
                  <w14:solidFill>
                    <w14:schemeClr w14:val="tx1"/>
                  </w14:solidFill>
                </w14:textFill>
              </w:rPr>
              <w:t>测各项废气处理装置</w:t>
            </w:r>
            <w:r>
              <w:rPr>
                <w:color w:val="000000" w:themeColor="text1"/>
                <w:sz w:val="24"/>
                <w14:textFill>
                  <w14:solidFill>
                    <w14:schemeClr w14:val="tx1"/>
                  </w14:solidFill>
                </w14:textFill>
              </w:rPr>
              <w:t xml:space="preserve">，发现净化处理效率降低或设备有损耗立即停机检查维修。 </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②</w:t>
            </w:r>
            <w:r>
              <w:rPr>
                <w:color w:val="000000" w:themeColor="text1"/>
                <w:sz w:val="24"/>
                <w14:textFill>
                  <w14:solidFill>
                    <w14:schemeClr w14:val="tx1"/>
                  </w14:solidFill>
                </w14:textFill>
              </w:rPr>
              <w:t>为确保排气效率和效果，单位须指定专人每周对排气设施（即风机+排气筒）进行维护保养和检查。</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color w:val="000000" w:themeColor="text1"/>
                <w:sz w:val="24"/>
                <w14:textFill>
                  <w14:solidFill>
                    <w14:schemeClr w14:val="tx1"/>
                  </w14:solidFill>
                </w14:textFill>
              </w:rPr>
              <w:t>指派专人每周针对废气排放状况以及相关设备与设施进行检查，并将检查结果记录于《废气设施点检表》。</w:t>
            </w:r>
          </w:p>
          <w:p>
            <w:pPr>
              <w:spacing w:line="360" w:lineRule="auto"/>
              <w:ind w:firstLine="472" w:firstLineChars="196"/>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）事故废水排放风险防范措施</w:t>
            </w:r>
          </w:p>
          <w:p>
            <w:pPr>
              <w:adjustRightInd w:val="0"/>
              <w:snapToGrid w:val="0"/>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本项目事故废水主要为火灾产生的事故废水和沉淀池因池体开裂等原因造成生产废水未经治理排放。</w:t>
            </w:r>
            <w:r>
              <w:rPr>
                <w:rFonts w:hint="eastAsia"/>
                <w:color w:val="000000" w:themeColor="text1"/>
                <w:sz w:val="24"/>
                <w:lang w:val="en-US" w:eastAsia="zh-CN"/>
                <w14:textFill>
                  <w14:solidFill>
                    <w14:schemeClr w14:val="tx1"/>
                  </w14:solidFill>
                </w14:textFill>
              </w:rPr>
              <w:t>拟在</w:t>
            </w:r>
            <w:r>
              <w:rPr>
                <w:color w:val="000000" w:themeColor="text1"/>
                <w:sz w:val="24"/>
                <w14:textFill>
                  <w14:solidFill>
                    <w14:schemeClr w14:val="tx1"/>
                  </w14:solidFill>
                </w14:textFill>
              </w:rPr>
              <w:t>厂区</w:t>
            </w:r>
            <w:r>
              <w:rPr>
                <w:rFonts w:hint="eastAsia"/>
                <w:color w:val="000000" w:themeColor="text1"/>
                <w:sz w:val="24"/>
                <w14:textFill>
                  <w14:solidFill>
                    <w14:schemeClr w14:val="tx1"/>
                  </w14:solidFill>
                </w14:textFill>
              </w:rPr>
              <w:t>西北角</w:t>
            </w:r>
            <w:r>
              <w:rPr>
                <w:color w:val="000000" w:themeColor="text1"/>
                <w:sz w:val="24"/>
                <w14:textFill>
                  <w14:solidFill>
                    <w14:schemeClr w14:val="tx1"/>
                  </w14:solidFill>
                </w14:textFill>
              </w:rPr>
              <w:t>内设置一个</w:t>
            </w:r>
            <w:r>
              <w:rPr>
                <w:rFonts w:hint="eastAsia"/>
                <w:color w:val="000000" w:themeColor="text1"/>
                <w:sz w:val="24"/>
                <w:lang w:val="en-US" w:eastAsia="zh-CN"/>
                <w14:textFill>
                  <w14:solidFill>
                    <w14:schemeClr w14:val="tx1"/>
                  </w14:solidFill>
                </w14:textFill>
              </w:rPr>
              <w:t>容积为80m</w:t>
            </w:r>
            <w:r>
              <w:rPr>
                <w:rFonts w:hint="eastAsia"/>
                <w:color w:val="000000" w:themeColor="text1"/>
                <w:sz w:val="24"/>
                <w:vertAlign w:val="superscript"/>
                <w:lang w:val="en-US" w:eastAsia="zh-CN"/>
                <w14:textFill>
                  <w14:solidFill>
                    <w14:schemeClr w14:val="tx1"/>
                  </w14:solidFill>
                </w14:textFill>
              </w:rPr>
              <w:t>3</w:t>
            </w:r>
            <w:r>
              <w:rPr>
                <w:color w:val="000000" w:themeColor="text1"/>
                <w:sz w:val="24"/>
                <w14:textFill>
                  <w14:solidFill>
                    <w14:schemeClr w14:val="tx1"/>
                  </w14:solidFill>
                </w14:textFill>
              </w:rPr>
              <w:t>的事故应急池收集事故废水，因事故火灾废水主要成分为一般杂质悬浮物，生产废水主要成分为SS，所以，消防废水、事故废水经</w:t>
            </w: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西北角设置的</w:t>
            </w:r>
            <w:r>
              <w:rPr>
                <w:rFonts w:hint="eastAsia"/>
                <w:color w:val="000000" w:themeColor="text1"/>
                <w:sz w:val="24"/>
                <w:lang w:val="en-US" w:eastAsia="zh-CN"/>
                <w14:textFill>
                  <w14:solidFill>
                    <w14:schemeClr w14:val="tx1"/>
                  </w14:solidFill>
                </w14:textFill>
              </w:rPr>
              <w:t>80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事故应急池收集沉淀后回用于生产过程湿法作业，对外环境影响轻微。</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）储存和操作要求</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hint="eastAsia"/>
                <w:color w:val="000000" w:themeColor="text1"/>
                <w:kern w:val="0"/>
                <w:sz w:val="24"/>
                <w:szCs w:val="24"/>
                <w:lang w:eastAsia="zh-CN"/>
                <w14:textFill>
                  <w14:solidFill>
                    <w14:schemeClr w14:val="tx1"/>
                  </w14:solidFill>
                </w14:textFill>
              </w:rPr>
              <w:t>UV蓝色纳米隔热剂</w:t>
            </w:r>
            <w:r>
              <w:rPr>
                <w:color w:val="000000" w:themeColor="text1"/>
                <w:sz w:val="24"/>
                <w14:textFill>
                  <w14:solidFill>
                    <w14:schemeClr w14:val="tx1"/>
                  </w14:solidFill>
                </w14:textFill>
              </w:rPr>
              <w:t>不得露天储存，必须设有明显的标志，并按国家规定标准控制不同单位面积最大贮存限量；环评要求建设单位应结合项目正常生产需求，尽量减少厂内</w:t>
            </w:r>
            <w:r>
              <w:rPr>
                <w:rFonts w:hint="eastAsia"/>
                <w:color w:val="000000" w:themeColor="text1"/>
                <w:kern w:val="0"/>
                <w:sz w:val="24"/>
                <w:szCs w:val="24"/>
                <w:lang w:eastAsia="zh-CN"/>
                <w14:textFill>
                  <w14:solidFill>
                    <w14:schemeClr w14:val="tx1"/>
                  </w14:solidFill>
                </w14:textFill>
              </w:rPr>
              <w:t>UV蓝色纳米隔热剂</w:t>
            </w:r>
            <w:r>
              <w:rPr>
                <w:color w:val="000000" w:themeColor="text1"/>
                <w:sz w:val="24"/>
                <w14:textFill>
                  <w14:solidFill>
                    <w14:schemeClr w14:val="tx1"/>
                  </w14:solidFill>
                </w14:textFill>
              </w:rPr>
              <w:t>储存量，以满足项目生产所需为宜；</w:t>
            </w: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内存放时需</w:t>
            </w:r>
            <w:r>
              <w:rPr>
                <w:rFonts w:hint="eastAsia"/>
                <w:color w:val="000000" w:themeColor="text1"/>
                <w:sz w:val="24"/>
                <w14:textFill>
                  <w14:solidFill>
                    <w14:schemeClr w14:val="tx1"/>
                  </w14:solidFill>
                </w14:textFill>
              </w:rPr>
              <w:t>放置</w:t>
            </w:r>
            <w:r>
              <w:rPr>
                <w:color w:val="000000" w:themeColor="text1"/>
                <w:sz w:val="24"/>
                <w14:textFill>
                  <w14:solidFill>
                    <w14:schemeClr w14:val="tx1"/>
                  </w14:solidFill>
                </w14:textFill>
              </w:rPr>
              <w:t>于金属托盘上。</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危险废物妥善收集，临时堆存时间不得过长，堆存量不得超过规定要求，以防造成渗漏等二次污染或安全事故。按照安全生产规范暂存危废，避免或减轻由安全事故引发的环境风险；</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生产车间按照《建筑设计防火规范》进行设计，按照《建筑灭火器配置设计规范》（GBJ140-2017）之规定，应配置相应的灭火器类型（干粉灭火器等）与数量，并在火灾危险场所设置报警装置。</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）日常管理措施</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原料源必须有正规的渠道，有专门的运输车辆，要求押运人员持有押运证，并携带安全资料表，装卸过程要轻装轻放，避免撞击、重压和摩擦。</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加强安全、消防和环保管理，建立健全环保、安全、消防各项制度，设置环保、 安全、消防设施专职管理人员，保证设施正常运行或处于良好的状态。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加强安全教育，强化岗位责任制，杜绝事故隐患。</w:t>
            </w:r>
          </w:p>
          <w:p>
            <w:pPr>
              <w:spacing w:line="360" w:lineRule="auto"/>
              <w:ind w:firstLine="470" w:firstLineChars="196"/>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加强和强化安全检查和巡查体系的建立，定期、定点、定向的对公司所有存在安全隐患和环境风险隐患的设备设施进行安全排出和检查。对排查出的风险隐患要及时处理，并做相关的记录，以便做到风险防范有章可查。</w:t>
            </w:r>
          </w:p>
          <w:p>
            <w:pPr>
              <w:spacing w:line="360" w:lineRule="auto"/>
              <w:ind w:firstLine="472" w:firstLineChars="196"/>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）风险事故应急预案</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通过对污染事故的风险评价，有关部门单位应制定防止重大环境污染事故发生的工作计划、消除事故隐患的措施及应急处理办法。有重大环境污染事故隐患的单位还应建立紧急救援组织，确定重大事故管理和应急计划，一旦发生重大事故，能有效地组织救援。</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对于重大或不可接受的风险，建议结合HSE管理体系，制定应急响应方案，建立应急反应体系，当事件一旦发生时可迅速加以控制，使危害和损失降到尽可能低的程度。</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突发事故发生后，公司全体员工都负有接受应急救援任务的责任，由车间主任组织，管理人员、工程技术人员、工段长、班组长、安全员、修理工是事故应急救援的骨干力量。其任务主要是担负各类事故的应急救援及处置工作。</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针对本项目风险事故的特点，在对事故实施抢险救援的过程中，要注意做好以下工作：</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1）迅速组织事故发生地或险情威胁区域的群众撤离危险区域；</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2）封锁事故现场和危险区域，设置警示标志，同时设法保护周边重要生产、生活设施，防止引发次生的安全或环境事故；</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3）事故现场如有人员伤亡，立即动员、调集当地医疗卫生力量开展医疗卫生救援；</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4）按照事故应急救援装备保障方案紧急调集相关应急救援设备；</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5）掌握事故发生地气象信息，及时制定科学的事故抢救方案并组织实施；</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6）做好现场救援人员的安全防护工作，防止救援过程中发生二次伤亡；</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7）保护国家重要设施和目标，防止对江河、湖泊、交通干线等造成影响；</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8）必要时，宣传部参加事故现场应急救援指挥部工作，及时通报事故救援情况，协助地方人民政府做好事故现场新闻发布，正确引导媒体和公众舆论；</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9）事故现场得以控制，或已经采取了必要的措施保护公众免受危害，经现场应急救援指挥部批准，现场应急处置工作结束，应急救援队伍撤离现场。现场应急处置工作结束后，参加救援的部门和单位应认真核对参加应急救援人数，清点救援装备、器材；整理应急救援记录、图纸，写出救灾报告。项目的建设必然伴随着潜在的危害，如果安全措施水平高，则事故的概率必然会降低，但不会为零。一旦发生事故，需要采取工程应急措施，控制和减小事故危害。一旦有毒有害物质泄漏至环境，就需要实施社会救援，因此必须制定与该厂特点合适的应急预案。制定应急预案的标准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表4-2</w:t>
            </w:r>
            <w:r>
              <w:rPr>
                <w:rFonts w:hint="eastAsia" w:cs="黑体"/>
                <w:b/>
                <w:bCs/>
                <w:color w:val="auto"/>
                <w:kern w:val="2"/>
                <w:sz w:val="21"/>
                <w:szCs w:val="22"/>
                <w:shd w:val="clear" w:color="auto" w:fill="auto"/>
                <w:lang w:val="en-US" w:eastAsia="zh-CN" w:bidi="ar-SA"/>
              </w:rPr>
              <w:t>0</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突发事故应急预案内容及要求</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79"/>
              <w:gridCol w:w="2215"/>
              <w:gridCol w:w="516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序号</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项目</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内容及要求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应急计划区</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危险目标；环境保护目标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应急组织机构、人员</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厂区安全生产管理部门、地区应急组织机构、人员。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预案分级响应条件</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规定预案的级别及分级响应程序。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应急救援保障</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5</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报警、通讯联络方式</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规定应急状态下的报警通讯方式、通知方式和交通保障、管制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应急环境监测、抢险、救援及控制措施</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由专业队伍负责对事故现场进行侦察监测，对事故性质、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参数与后果进行评估，为指挥部门提供决策依据。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7</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应急检测、防护措施、清除泄漏措施和器材</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事故现场、邻近区域、控制防火区域，控制和清除污染措施及相应设备。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8</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人员紧急撤离、疏散，应急剂量控制、撤离组织计划</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事故现场、工厂邻近区、受事故影响的区域人员及公众对毒物应急剂量控制规定，撤离组织计划及救护，医疗救护与公众健康。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9</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事故应急救援关闭程序与恢复措施</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规定应急状态终止程序，事故现场善后处理，恢复措施，邻近区域解除事故警戒及善后恢复措施。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10</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应急培训计划</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应急计划制定后，平时安排人员培训与演练。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11</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公众教育和信息</w:t>
                  </w:r>
                </w:p>
              </w:tc>
              <w:tc>
                <w:tcPr>
                  <w:tcW w:w="60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对厂区邻近地区开展公众教育、培训和发布有关信息。</w:t>
                  </w:r>
                </w:p>
              </w:tc>
            </w:tr>
          </w:tbl>
          <w:p>
            <w:pPr>
              <w:spacing w:line="360" w:lineRule="auto"/>
              <w:ind w:firstLine="472" w:firstLineChars="196"/>
              <w:jc w:val="left"/>
              <w:rPr>
                <w:b/>
                <w:color w:val="000000" w:themeColor="text1"/>
                <w:sz w:val="24"/>
                <w:szCs w:val="24"/>
                <w14:textFill>
                  <w14:solidFill>
                    <w14:schemeClr w14:val="tx1"/>
                  </w14:solidFill>
                </w14:textFill>
              </w:rPr>
            </w:pPr>
            <w:r>
              <w:rPr>
                <w:rFonts w:hint="eastAsia"/>
                <w:b/>
                <w:color w:val="000000" w:themeColor="text1"/>
                <w:sz w:val="24"/>
                <w:szCs w:val="24"/>
                <w:lang w:eastAsia="zh-CN"/>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7</w:t>
            </w:r>
            <w:r>
              <w:rPr>
                <w:rFonts w:hint="eastAsia"/>
                <w:b/>
                <w:color w:val="000000" w:themeColor="text1"/>
                <w:sz w:val="24"/>
                <w:szCs w:val="24"/>
                <w:lang w:eastAsia="zh-CN"/>
                <w14:textFill>
                  <w14:solidFill>
                    <w14:schemeClr w14:val="tx1"/>
                  </w14:solidFill>
                </w14:textFill>
              </w:rPr>
              <w:t>）</w:t>
            </w:r>
            <w:r>
              <w:rPr>
                <w:b/>
                <w:color w:val="000000" w:themeColor="text1"/>
                <w:sz w:val="24"/>
                <w:szCs w:val="24"/>
                <w14:textFill>
                  <w14:solidFill>
                    <w14:schemeClr w14:val="tx1"/>
                  </w14:solidFill>
                </w14:textFill>
              </w:rPr>
              <w:t>环境风险结论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本项目的生产车间为非重大危险源。建设单位在按照以上风险防范措施后，可降低环境风险事故的发生概率，同时建立健全应急预案体系，一旦发生事故，将环境污染程度降到最低程度。</w:t>
            </w:r>
          </w:p>
          <w:p>
            <w:pPr>
              <w:spacing w:line="360" w:lineRule="auto"/>
              <w:ind w:firstLine="472" w:firstLineChars="196"/>
              <w:jc w:val="left"/>
              <w:rPr>
                <w:rFonts w:eastAsia="SimSun,Bold"/>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综上所述，本项目风险处于可接受水平，风险管理措施有效、可靠，从风险角度而</w:t>
            </w:r>
            <w:r>
              <w:rPr>
                <w:rFonts w:eastAsia="SimSun,Bold"/>
                <w:b/>
                <w:bCs/>
                <w:color w:val="000000" w:themeColor="text1"/>
                <w:sz w:val="24"/>
                <w14:textFill>
                  <w14:solidFill>
                    <w14:schemeClr w14:val="tx1"/>
                  </w14:solidFill>
                </w14:textFill>
              </w:rPr>
              <w:t>言是可行的。</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表4-2</w:t>
            </w:r>
            <w:r>
              <w:rPr>
                <w:rFonts w:hint="eastAsia" w:cs="黑体"/>
                <w:b/>
                <w:bCs/>
                <w:color w:val="auto"/>
                <w:kern w:val="2"/>
                <w:sz w:val="21"/>
                <w:szCs w:val="22"/>
                <w:shd w:val="clear" w:color="auto" w:fill="auto"/>
                <w:lang w:val="en-US" w:eastAsia="zh-CN" w:bidi="ar-SA"/>
              </w:rPr>
              <w:t>1</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建设项目环境风险简单分析内容表</w:t>
            </w:r>
          </w:p>
          <w:tbl>
            <w:tblPr>
              <w:tblStyle w:val="4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857"/>
              <w:gridCol w:w="2053"/>
              <w:gridCol w:w="754"/>
              <w:gridCol w:w="2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建设项目名称</w:t>
                  </w:r>
                </w:p>
              </w:tc>
              <w:tc>
                <w:tcPr>
                  <w:tcW w:w="3559" w:type="pct"/>
                  <w:gridSpan w:val="4"/>
                  <w:vAlign w:val="center"/>
                </w:tcPr>
                <w:p>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纳米涂膜玻璃生产项目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建设地点</w:t>
                  </w:r>
                </w:p>
              </w:tc>
              <w:tc>
                <w:tcPr>
                  <w:tcW w:w="532"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四川省</w:t>
                  </w:r>
                </w:p>
              </w:tc>
              <w:tc>
                <w:tcPr>
                  <w:tcW w:w="1274" w:type="pct"/>
                  <w:vAlign w:val="center"/>
                </w:tcPr>
                <w:p>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巴中市</w:t>
                  </w:r>
                </w:p>
              </w:tc>
              <w:tc>
                <w:tcPr>
                  <w:tcW w:w="1752" w:type="pct"/>
                  <w:gridSpan w:val="2"/>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巴中经济开发区中山北路17号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地理坐标</w:t>
                  </w:r>
                </w:p>
              </w:tc>
              <w:tc>
                <w:tcPr>
                  <w:tcW w:w="532"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经度</w:t>
                  </w:r>
                </w:p>
              </w:tc>
              <w:tc>
                <w:tcPr>
                  <w:tcW w:w="1274" w:type="pct"/>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106°53′14.02883″</w:t>
                  </w:r>
                </w:p>
              </w:tc>
              <w:tc>
                <w:tcPr>
                  <w:tcW w:w="468"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纬度</w:t>
                  </w:r>
                </w:p>
              </w:tc>
              <w:tc>
                <w:tcPr>
                  <w:tcW w:w="1283" w:type="pct"/>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31°51′37.08065″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主要危险物质及分布</w:t>
                  </w:r>
                </w:p>
              </w:tc>
              <w:tc>
                <w:tcPr>
                  <w:tcW w:w="3559" w:type="pct"/>
                  <w:gridSpan w:val="4"/>
                  <w:vAlign w:val="center"/>
                </w:tcPr>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本项目主要危险物质为油类物质，厂区内最大存在量为0.2t，存放于厂区内</w:t>
                  </w:r>
                  <w:r>
                    <w:rPr>
                      <w:rFonts w:hint="eastAsia"/>
                      <w:color w:val="000000" w:themeColor="text1"/>
                      <w:kern w:val="0"/>
                      <w:sz w:val="21"/>
                      <w:szCs w:val="21"/>
                      <w:lang w:val="en-US" w:eastAsia="zh-CN"/>
                      <w14:textFill>
                        <w14:solidFill>
                          <w14:schemeClr w14:val="tx1"/>
                        </w14:solidFill>
                      </w14:textFill>
                    </w:rPr>
                    <w:t>机修</w:t>
                  </w:r>
                  <w:r>
                    <w:rPr>
                      <w:color w:val="000000" w:themeColor="text1"/>
                      <w:kern w:val="0"/>
                      <w:sz w:val="21"/>
                      <w:szCs w:val="21"/>
                      <w14:textFill>
                        <w14:solidFill>
                          <w14:schemeClr w14:val="tx1"/>
                        </w14:solidFill>
                      </w14:textFill>
                    </w:rPr>
                    <w:t>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环境影响途经及危害后果</w:t>
                  </w:r>
                </w:p>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(大气、地表水、地下水等)</w:t>
                  </w:r>
                </w:p>
              </w:tc>
              <w:tc>
                <w:tcPr>
                  <w:tcW w:w="3559" w:type="pct"/>
                  <w:gridSpan w:val="4"/>
                  <w:vAlign w:val="center"/>
                </w:tcPr>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1：机油</w:t>
                  </w:r>
                  <w:r>
                    <w:rPr>
                      <w:rFonts w:hint="eastAsia"/>
                      <w:color w:val="000000" w:themeColor="text1"/>
                      <w:kern w:val="0"/>
                      <w:sz w:val="21"/>
                      <w:szCs w:val="21"/>
                      <w:lang w:val="en-US" w:eastAsia="zh-CN"/>
                      <w14:textFill>
                        <w14:solidFill>
                          <w14:schemeClr w14:val="tx1"/>
                        </w14:solidFill>
                      </w14:textFill>
                    </w:rPr>
                    <w:t>桶</w:t>
                  </w:r>
                  <w:r>
                    <w:rPr>
                      <w:color w:val="000000" w:themeColor="text1"/>
                      <w:kern w:val="0"/>
                      <w:sz w:val="21"/>
                      <w:szCs w:val="21"/>
                      <w14:textFill>
                        <w14:solidFill>
                          <w14:schemeClr w14:val="tx1"/>
                        </w14:solidFill>
                      </w14:textFill>
                    </w:rPr>
                    <w:t>破损渗漏可能引起土壤及地下水的污染；</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2：火灾</w:t>
                  </w:r>
                  <w:r>
                    <w:rPr>
                      <w:color w:val="000000" w:themeColor="text1"/>
                      <w:kern w:val="0"/>
                      <w:sz w:val="21"/>
                      <w:szCs w:val="24"/>
                      <w14:textFill>
                        <w14:solidFill>
                          <w14:schemeClr w14:val="tx1"/>
                        </w14:solidFill>
                      </w14:textFill>
                    </w:rPr>
                    <w:t>燃烧产物一般主要为CO</w:t>
                  </w:r>
                  <w:r>
                    <w:rPr>
                      <w:color w:val="000000" w:themeColor="text1"/>
                      <w:kern w:val="0"/>
                      <w:sz w:val="21"/>
                      <w:szCs w:val="24"/>
                      <w:vertAlign w:val="subscript"/>
                      <w14:textFill>
                        <w14:solidFill>
                          <w14:schemeClr w14:val="tx1"/>
                        </w14:solidFill>
                      </w14:textFill>
                    </w:rPr>
                    <w:t>2</w:t>
                  </w:r>
                  <w:r>
                    <w:rPr>
                      <w:color w:val="000000" w:themeColor="text1"/>
                      <w:kern w:val="0"/>
                      <w:sz w:val="21"/>
                      <w:szCs w:val="24"/>
                      <w14:textFill>
                        <w14:solidFill>
                          <w14:schemeClr w14:val="tx1"/>
                        </w14:solidFill>
                      </w14:textFill>
                    </w:rPr>
                    <w:t>、CO等，会对大气环境造成影响</w:t>
                  </w:r>
                  <w:r>
                    <w:rPr>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pct"/>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风险防范措施要求</w:t>
                  </w:r>
                </w:p>
              </w:tc>
              <w:tc>
                <w:tcPr>
                  <w:tcW w:w="3559" w:type="pct"/>
                  <w:gridSpan w:val="4"/>
                  <w:vAlign w:val="center"/>
                </w:tcPr>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一、危险化学品泄漏的风险防范</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采取室内贮存方式，设置环境保护图形标志和警示标志；（2）收集后，放入相应的容器内，禁止一般废物与危险废物混放，不相容的危险废物分开存放并设有隔离间隔断；（3）收集的容器放置在隔架上，其底部与地面相距一定距离，以保持地面干燥，盛装在容器内的同类危险废物可以堆叠存放；（4）所使用的材料要与危险废物相容；（5）建立档案制度，对暂存的废物种类、数量、特性、包装容器类别、存放库位、存入日期、运出日期等详细记录在案并长期保存。建立定期巡查、维护制度。</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二、火灾风险防范措施</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生产厂房、易燃物品贮存区须确保全面通风、配备相应品种和数量的消防器材，预留必要的安全间距，远离火种和热源，防止阳光直射；（2）严格按照生产管理制度执行，定期检查库房和危废暂存间，发现有危险废物泄漏以及设备损坏，立即采取措施；（3）开展安全教育；（4）设置安全监察员；（5）建立健全安全生产制度。</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三、废水废气事故排放</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（1）定期检测各项废气处理装置，发现净化处理效率降低或设备有损耗立即停机检查维修。 </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（2）为确保排气效率和效果，单位须指定专人每周对排气设施（即风机+排气筒）进行维护保养和检查。</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（3）指派专人每周针对废气排放状况以及相关设备与设施进行检查，并将检查结果记录于《废气设施点检表》。</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（4）如发现废气治理设施出现故障，立即停产，联系厂家维修，废气处理设置事故情况下厂区不得生产。</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（5）厂区内</w:t>
                  </w:r>
                  <w:r>
                    <w:rPr>
                      <w:color w:val="000000" w:themeColor="text1"/>
                      <w:kern w:val="0"/>
                      <w:sz w:val="20"/>
                      <w:szCs w:val="21"/>
                      <w14:textFill>
                        <w14:solidFill>
                          <w14:schemeClr w14:val="tx1"/>
                        </w14:solidFill>
                      </w14:textFill>
                    </w:rPr>
                    <w:t>设置一个容积</w:t>
                  </w:r>
                  <w:r>
                    <w:rPr>
                      <w:rFonts w:hint="eastAsia"/>
                      <w:color w:val="000000" w:themeColor="text1"/>
                      <w:kern w:val="0"/>
                      <w:sz w:val="21"/>
                      <w:szCs w:val="20"/>
                      <w:highlight w:val="none"/>
                      <w:lang w:val="en-US" w:eastAsia="zh-CN"/>
                      <w14:textFill>
                        <w14:solidFill>
                          <w14:schemeClr w14:val="tx1"/>
                        </w14:solidFill>
                      </w14:textFill>
                    </w:rPr>
                    <w:t>80</w:t>
                  </w:r>
                  <w:r>
                    <w:rPr>
                      <w:color w:val="000000" w:themeColor="text1"/>
                      <w:kern w:val="0"/>
                      <w:sz w:val="21"/>
                      <w:szCs w:val="20"/>
                      <w14:textFill>
                        <w14:solidFill>
                          <w14:schemeClr w14:val="tx1"/>
                        </w14:solidFill>
                      </w14:textFill>
                    </w:rPr>
                    <w:t>m</w:t>
                  </w:r>
                  <w:r>
                    <w:rPr>
                      <w:color w:val="000000" w:themeColor="text1"/>
                      <w:kern w:val="0"/>
                      <w:sz w:val="21"/>
                      <w:szCs w:val="20"/>
                      <w:vertAlign w:val="superscript"/>
                      <w14:textFill>
                        <w14:solidFill>
                          <w14:schemeClr w14:val="tx1"/>
                        </w14:solidFill>
                      </w14:textFill>
                    </w:rPr>
                    <w:t>3</w:t>
                  </w:r>
                  <w:r>
                    <w:rPr>
                      <w:color w:val="000000" w:themeColor="text1"/>
                      <w:kern w:val="0"/>
                      <w:sz w:val="21"/>
                      <w:szCs w:val="20"/>
                      <w14:textFill>
                        <w14:solidFill>
                          <w14:schemeClr w14:val="tx1"/>
                        </w14:solidFill>
                      </w14:textFill>
                    </w:rPr>
                    <w:t>的水池</w:t>
                  </w:r>
                  <w:r>
                    <w:rPr>
                      <w:color w:val="000000" w:themeColor="text1"/>
                      <w:kern w:val="0"/>
                      <w:sz w:val="21"/>
                      <w:szCs w:val="21"/>
                      <w14:textFill>
                        <w14:solidFill>
                          <w14:schemeClr w14:val="tx1"/>
                        </w14:solidFill>
                      </w14:textFill>
                    </w:rPr>
                    <w:t>作为事故废水应急收容设施收集事故废水。</w:t>
                  </w:r>
                </w:p>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四、制定项目突发环境风险事故应急预案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pPr>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填表说明：</w:t>
                  </w:r>
                </w:p>
                <w:p>
                  <w:pPr>
                    <w:ind w:firstLine="420" w:firstLineChars="200"/>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根据项目的特点，厂区内主要风险物质为油类物质，厂区内最大存在量为0.2t。项目环境风险类型主要包括危险化学品</w:t>
                  </w:r>
                  <w:r>
                    <w:rPr>
                      <w:rFonts w:hint="eastAsia"/>
                      <w:color w:val="000000" w:themeColor="text1"/>
                      <w:kern w:val="0"/>
                      <w:sz w:val="21"/>
                      <w:szCs w:val="21"/>
                      <w:lang w:eastAsia="zh-CN"/>
                      <w14:textFill>
                        <w14:solidFill>
                          <w14:schemeClr w14:val="tx1"/>
                        </w14:solidFill>
                      </w14:textFill>
                    </w:rPr>
                    <w:t>泄漏</w:t>
                  </w:r>
                  <w:r>
                    <w:rPr>
                      <w:color w:val="000000" w:themeColor="text1"/>
                      <w:kern w:val="0"/>
                      <w:sz w:val="21"/>
                      <w:szCs w:val="21"/>
                      <w14:textFill>
                        <w14:solidFill>
                          <w14:schemeClr w14:val="tx1"/>
                        </w14:solidFill>
                      </w14:textFill>
                    </w:rPr>
                    <w:t>及火灾引发的次生环境风险，但发生环境风险事故的概率较低，在落实好本项目环境风险防范措施的前提下，本项目环境风险值可控制在可接受水平范围内。</w:t>
                  </w:r>
                </w:p>
              </w:tc>
            </w:tr>
          </w:tbl>
          <w:p>
            <w:pPr>
              <w:numPr>
                <w:ilvl w:val="0"/>
                <w:numId w:val="7"/>
              </w:numPr>
              <w:spacing w:line="360" w:lineRule="auto"/>
              <w:ind w:firstLine="480" w:firstLineChars="20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433" w:type="pct"/>
            <w:vAlign w:val="center"/>
          </w:tcPr>
          <w:p>
            <w:pPr>
              <w:spacing w:line="360" w:lineRule="auto"/>
              <w:jc w:val="center"/>
              <w:rPr>
                <w:rFonts w:cs="Times New Roman"/>
                <w:sz w:val="24"/>
                <w:szCs w:val="24"/>
              </w:rPr>
            </w:pPr>
            <w:r>
              <w:rPr>
                <w:rFonts w:hint="eastAsia" w:cs="Times New Roman"/>
                <w:sz w:val="24"/>
                <w:szCs w:val="24"/>
              </w:rPr>
              <w:t>环保投资</w:t>
            </w:r>
          </w:p>
        </w:tc>
        <w:tc>
          <w:tcPr>
            <w:tcW w:w="4566" w:type="pct"/>
            <w:vAlign w:val="center"/>
          </w:tcPr>
          <w:p>
            <w:pPr>
              <w:spacing w:line="360" w:lineRule="auto"/>
              <w:ind w:firstLine="480" w:firstLineChars="200"/>
              <w:rPr>
                <w:sz w:val="24"/>
                <w:szCs w:val="24"/>
              </w:rPr>
            </w:pPr>
            <w:r>
              <w:rPr>
                <w:rFonts w:hint="eastAsia"/>
                <w:sz w:val="24"/>
                <w:szCs w:val="24"/>
              </w:rPr>
              <w:t>本项目总投资</w:t>
            </w:r>
            <w:r>
              <w:rPr>
                <w:rFonts w:hint="eastAsia"/>
                <w:sz w:val="24"/>
                <w:szCs w:val="24"/>
                <w:lang w:val="en-US" w:eastAsia="zh-CN"/>
              </w:rPr>
              <w:t>2800</w:t>
            </w:r>
            <w:r>
              <w:rPr>
                <w:sz w:val="24"/>
                <w:szCs w:val="24"/>
              </w:rPr>
              <w:t>万元</w:t>
            </w:r>
            <w:r>
              <w:rPr>
                <w:rFonts w:hint="eastAsia"/>
                <w:sz w:val="24"/>
                <w:szCs w:val="24"/>
              </w:rPr>
              <w:t>，环保投资约</w:t>
            </w:r>
            <w:r>
              <w:rPr>
                <w:rFonts w:hint="eastAsia"/>
                <w:sz w:val="24"/>
                <w:szCs w:val="24"/>
                <w:lang w:val="en-US" w:eastAsia="zh-CN"/>
              </w:rPr>
              <w:t>29</w:t>
            </w:r>
            <w:r>
              <w:rPr>
                <w:rFonts w:hint="eastAsia"/>
                <w:sz w:val="24"/>
                <w:szCs w:val="24"/>
              </w:rPr>
              <w:t>万元，占总投资的</w:t>
            </w:r>
            <w:r>
              <w:rPr>
                <w:rFonts w:hint="eastAsia" w:cs="Times New Roman"/>
                <w:sz w:val="24"/>
                <w:szCs w:val="24"/>
                <w:lang w:val="en-US" w:eastAsia="zh-CN"/>
              </w:rPr>
              <w:t>1.04</w:t>
            </w:r>
            <w:r>
              <w:rPr>
                <w:rFonts w:cs="Times New Roman"/>
                <w:sz w:val="24"/>
                <w:szCs w:val="24"/>
              </w:rPr>
              <w:t>%</w:t>
            </w:r>
            <w:r>
              <w:rPr>
                <w:rFonts w:hint="eastAsia"/>
                <w:sz w:val="24"/>
                <w:szCs w:val="24"/>
              </w:rPr>
              <w:t>，主要环保措施及投资估算见下表。</w:t>
            </w:r>
          </w:p>
          <w:p>
            <w:pPr>
              <w:pStyle w:val="5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黑体"/>
                <w:b/>
                <w:bCs/>
                <w:color w:val="auto"/>
                <w:kern w:val="2"/>
                <w:sz w:val="21"/>
                <w:szCs w:val="22"/>
                <w:shd w:val="clear" w:color="auto" w:fill="auto"/>
                <w:lang w:val="en-US" w:eastAsia="zh-CN" w:bidi="ar-SA"/>
              </w:rPr>
            </w:pPr>
            <w:r>
              <w:rPr>
                <w:rFonts w:hint="default" w:ascii="Times New Roman" w:hAnsi="Times New Roman" w:eastAsia="宋体" w:cs="黑体"/>
                <w:b/>
                <w:bCs/>
                <w:color w:val="auto"/>
                <w:kern w:val="2"/>
                <w:sz w:val="21"/>
                <w:szCs w:val="22"/>
                <w:shd w:val="clear" w:color="auto" w:fill="auto"/>
                <w:lang w:val="en-US" w:eastAsia="zh-CN" w:bidi="ar-SA"/>
              </w:rPr>
              <w:t>表4-2</w:t>
            </w:r>
            <w:r>
              <w:rPr>
                <w:rFonts w:hint="eastAsia" w:cs="黑体"/>
                <w:b/>
                <w:bCs/>
                <w:color w:val="auto"/>
                <w:kern w:val="2"/>
                <w:sz w:val="21"/>
                <w:szCs w:val="22"/>
                <w:shd w:val="clear" w:color="auto" w:fill="auto"/>
                <w:lang w:val="en-US" w:eastAsia="zh-CN" w:bidi="ar-SA"/>
              </w:rPr>
              <w:t>2</w:t>
            </w:r>
            <w:r>
              <w:rPr>
                <w:rFonts w:hint="default" w:ascii="Times New Roman" w:hAnsi="Times New Roman" w:eastAsia="宋体" w:cs="黑体"/>
                <w:b/>
                <w:bCs/>
                <w:color w:val="auto"/>
                <w:kern w:val="2"/>
                <w:sz w:val="21"/>
                <w:szCs w:val="22"/>
                <w:shd w:val="clear" w:color="auto" w:fill="auto"/>
                <w:lang w:val="en-US" w:eastAsia="zh-CN" w:bidi="ar-SA"/>
              </w:rPr>
              <w:t xml:space="preserve">  </w:t>
            </w:r>
            <w:r>
              <w:rPr>
                <w:rFonts w:hint="eastAsia" w:ascii="Times New Roman" w:hAnsi="Times New Roman" w:eastAsia="宋体" w:cs="黑体"/>
                <w:b/>
                <w:bCs/>
                <w:color w:val="auto"/>
                <w:kern w:val="2"/>
                <w:sz w:val="21"/>
                <w:szCs w:val="22"/>
                <w:shd w:val="clear" w:color="auto" w:fill="auto"/>
                <w:lang w:val="en-US" w:eastAsia="zh-CN" w:bidi="ar-SA"/>
              </w:rPr>
              <w:t>环保投资估算一览表</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6"/>
              <w:gridCol w:w="784"/>
              <w:gridCol w:w="5360"/>
              <w:gridCol w:w="12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394" w:type="pct"/>
                  <w:tcBorders>
                    <w:tl2br w:val="nil"/>
                    <w:tr2bl w:val="nil"/>
                  </w:tcBorders>
                  <w:vAlign w:val="center"/>
                </w:tcPr>
                <w:p>
                  <w:pPr>
                    <w:pStyle w:val="41"/>
                    <w:rPr>
                      <w:rFonts w:eastAsia="宋体"/>
                      <w:b/>
                      <w:bCs/>
                    </w:rPr>
                  </w:pPr>
                  <w:r>
                    <w:rPr>
                      <w:rFonts w:hint="eastAsia" w:eastAsia="宋体"/>
                      <w:b/>
                      <w:bCs/>
                    </w:rPr>
                    <w:t>时期</w:t>
                  </w:r>
                </w:p>
              </w:tc>
              <w:tc>
                <w:tcPr>
                  <w:tcW w:w="486" w:type="pct"/>
                  <w:tcBorders>
                    <w:tl2br w:val="nil"/>
                    <w:tr2bl w:val="nil"/>
                  </w:tcBorders>
                  <w:shd w:val="clear" w:color="auto" w:fill="auto"/>
                  <w:vAlign w:val="center"/>
                </w:tcPr>
                <w:p>
                  <w:pPr>
                    <w:pStyle w:val="41"/>
                    <w:rPr>
                      <w:b/>
                      <w:bCs/>
                    </w:rPr>
                  </w:pPr>
                  <w:r>
                    <w:rPr>
                      <w:rFonts w:eastAsia="宋体"/>
                      <w:b/>
                      <w:bCs/>
                    </w:rPr>
                    <w:t>类别</w:t>
                  </w:r>
                </w:p>
              </w:tc>
              <w:tc>
                <w:tcPr>
                  <w:tcW w:w="3325" w:type="pct"/>
                  <w:tcBorders>
                    <w:tl2br w:val="nil"/>
                    <w:tr2bl w:val="nil"/>
                  </w:tcBorders>
                  <w:shd w:val="clear" w:color="auto" w:fill="auto"/>
                  <w:vAlign w:val="center"/>
                </w:tcPr>
                <w:p>
                  <w:pPr>
                    <w:pStyle w:val="41"/>
                    <w:rPr>
                      <w:b/>
                      <w:bCs/>
                    </w:rPr>
                  </w:pPr>
                  <w:r>
                    <w:rPr>
                      <w:rFonts w:eastAsia="宋体"/>
                      <w:b/>
                      <w:bCs/>
                    </w:rPr>
                    <w:t>措施内容</w:t>
                  </w:r>
                </w:p>
              </w:tc>
              <w:tc>
                <w:tcPr>
                  <w:tcW w:w="793" w:type="pct"/>
                  <w:tcBorders>
                    <w:tl2br w:val="nil"/>
                    <w:tr2bl w:val="nil"/>
                  </w:tcBorders>
                  <w:shd w:val="clear" w:color="auto" w:fill="auto"/>
                  <w:vAlign w:val="center"/>
                </w:tcPr>
                <w:p>
                  <w:pPr>
                    <w:pStyle w:val="41"/>
                    <w:rPr>
                      <w:b/>
                      <w:bCs/>
                    </w:rPr>
                  </w:pPr>
                  <w:r>
                    <w:rPr>
                      <w:rFonts w:eastAsia="宋体"/>
                      <w:b/>
                      <w:bCs/>
                    </w:rPr>
                    <w:t>投资（万元）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restart"/>
                  <w:tcBorders>
                    <w:tl2br w:val="nil"/>
                    <w:tr2bl w:val="nil"/>
                  </w:tcBorders>
                  <w:vAlign w:val="center"/>
                </w:tcPr>
                <w:p>
                  <w:pPr>
                    <w:pStyle w:val="41"/>
                    <w:rPr>
                      <w:rFonts w:eastAsia="宋体"/>
                    </w:rPr>
                  </w:pPr>
                  <w:r>
                    <w:rPr>
                      <w:rFonts w:hint="eastAsia" w:eastAsia="宋体"/>
                    </w:rPr>
                    <w:t>施</w:t>
                  </w:r>
                </w:p>
                <w:p>
                  <w:pPr>
                    <w:pStyle w:val="41"/>
                    <w:rPr>
                      <w:rFonts w:eastAsia="宋体"/>
                    </w:rPr>
                  </w:pPr>
                  <w:r>
                    <w:rPr>
                      <w:rFonts w:hint="eastAsia" w:eastAsia="宋体"/>
                    </w:rPr>
                    <w:t>工</w:t>
                  </w:r>
                </w:p>
                <w:p>
                  <w:pPr>
                    <w:pStyle w:val="41"/>
                    <w:rPr>
                      <w:rFonts w:eastAsia="宋体"/>
                    </w:rPr>
                  </w:pPr>
                  <w:r>
                    <w:rPr>
                      <w:rFonts w:hint="eastAsia" w:eastAsia="宋体"/>
                    </w:rPr>
                    <w:t>期</w:t>
                  </w:r>
                </w:p>
              </w:tc>
              <w:tc>
                <w:tcPr>
                  <w:tcW w:w="486" w:type="pct"/>
                  <w:tcBorders>
                    <w:tl2br w:val="nil"/>
                    <w:tr2bl w:val="nil"/>
                  </w:tcBorders>
                  <w:shd w:val="clear" w:color="auto" w:fill="auto"/>
                  <w:vAlign w:val="center"/>
                </w:tcPr>
                <w:p>
                  <w:pPr>
                    <w:pStyle w:val="41"/>
                  </w:pPr>
                  <w:r>
                    <w:rPr>
                      <w:rFonts w:eastAsia="宋体"/>
                    </w:rPr>
                    <w:t>废气</w:t>
                  </w:r>
                </w:p>
                <w:p>
                  <w:pPr>
                    <w:pStyle w:val="41"/>
                    <w:rPr>
                      <w:rFonts w:eastAsia="宋体"/>
                    </w:rPr>
                  </w:pPr>
                  <w:r>
                    <w:rPr>
                      <w:rFonts w:eastAsia="宋体"/>
                    </w:rPr>
                    <w:t>治理</w:t>
                  </w:r>
                </w:p>
              </w:tc>
              <w:tc>
                <w:tcPr>
                  <w:tcW w:w="3325" w:type="pct"/>
                  <w:tcBorders>
                    <w:tl2br w:val="nil"/>
                    <w:tr2bl w:val="nil"/>
                  </w:tcBorders>
                  <w:shd w:val="clear" w:color="auto" w:fill="auto"/>
                  <w:vAlign w:val="center"/>
                </w:tcPr>
                <w:p>
                  <w:pPr>
                    <w:pStyle w:val="41"/>
                    <w:rPr>
                      <w:rFonts w:eastAsia="宋体"/>
                    </w:rPr>
                  </w:pPr>
                  <w:r>
                    <w:rPr>
                      <w:rFonts w:hint="eastAsia" w:eastAsia="宋体"/>
                    </w:rPr>
                    <w:t>施工现场设不低于2.5m高封闭围挡、设置雾状喷淋，主要道路硬化、设挡水带、排水沟、高压冲洗设施等，采取覆盖措施，车辆密闭运输等</w:t>
                  </w:r>
                </w:p>
              </w:tc>
              <w:tc>
                <w:tcPr>
                  <w:tcW w:w="793" w:type="pct"/>
                  <w:tcBorders>
                    <w:tl2br w:val="nil"/>
                    <w:tr2bl w:val="nil"/>
                  </w:tcBorders>
                  <w:shd w:val="clear" w:color="auto" w:fill="auto"/>
                  <w:vAlign w:val="center"/>
                </w:tcPr>
                <w:p>
                  <w:pPr>
                    <w:pStyle w:val="41"/>
                    <w:rPr>
                      <w:rFonts w:hint="eastAsia" w:eastAsiaTheme="minorEastAsia"/>
                      <w:lang w:eastAsia="zh-CN"/>
                    </w:rPr>
                  </w:pPr>
                  <w:r>
                    <w:rPr>
                      <w:rFonts w:hint="eastAsia" w:eastAsiaTheme="minor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vMerge w:val="restart"/>
                  <w:tcBorders>
                    <w:tl2br w:val="nil"/>
                    <w:tr2bl w:val="nil"/>
                  </w:tcBorders>
                  <w:shd w:val="clear" w:color="auto" w:fill="auto"/>
                  <w:vAlign w:val="center"/>
                </w:tcPr>
                <w:p>
                  <w:pPr>
                    <w:jc w:val="center"/>
                    <w:rPr>
                      <w:szCs w:val="21"/>
                    </w:rPr>
                  </w:pPr>
                  <w:r>
                    <w:rPr>
                      <w:rFonts w:hint="eastAsia"/>
                      <w:szCs w:val="21"/>
                    </w:rPr>
                    <w:t>废水</w:t>
                  </w:r>
                </w:p>
                <w:p>
                  <w:pPr>
                    <w:pStyle w:val="41"/>
                    <w:rPr>
                      <w:rFonts w:eastAsia="宋体"/>
                    </w:rPr>
                  </w:pPr>
                  <w:r>
                    <w:rPr>
                      <w:rFonts w:hint="eastAsia"/>
                    </w:rPr>
                    <w:t>治理</w:t>
                  </w:r>
                </w:p>
              </w:tc>
              <w:tc>
                <w:tcPr>
                  <w:tcW w:w="3325" w:type="pct"/>
                  <w:tcBorders>
                    <w:tl2br w:val="nil"/>
                    <w:tr2bl w:val="nil"/>
                  </w:tcBorders>
                  <w:shd w:val="clear" w:color="auto" w:fill="auto"/>
                  <w:vAlign w:val="center"/>
                </w:tcPr>
                <w:p>
                  <w:pPr>
                    <w:pStyle w:val="41"/>
                    <w:rPr>
                      <w:rFonts w:eastAsia="宋体"/>
                    </w:rPr>
                  </w:pPr>
                  <w:r>
                    <w:rPr>
                      <w:rFonts w:hint="eastAsia" w:eastAsia="宋体"/>
                    </w:rPr>
                    <w:t>生活污水设预处理池（容积</w:t>
                  </w:r>
                  <w:r>
                    <w:rPr>
                      <w:rFonts w:eastAsia="宋体"/>
                    </w:rPr>
                    <w:t>1</w:t>
                  </w:r>
                  <w:r>
                    <w:rPr>
                      <w:rFonts w:hint="eastAsia" w:eastAsia="宋体"/>
                      <w:lang w:val="en-US" w:eastAsia="zh-CN"/>
                    </w:rPr>
                    <w:t>6</w:t>
                  </w:r>
                  <w:r>
                    <w:rPr>
                      <w:rFonts w:hint="eastAsia" w:eastAsia="宋体"/>
                    </w:rPr>
                    <w:t>m</w:t>
                  </w:r>
                  <w:r>
                    <w:rPr>
                      <w:rFonts w:hint="eastAsia" w:eastAsia="宋体"/>
                      <w:vertAlign w:val="superscript"/>
                    </w:rPr>
                    <w:t>3</w:t>
                  </w:r>
                  <w:r>
                    <w:rPr>
                      <w:rFonts w:hint="eastAsia" w:eastAsia="宋体"/>
                    </w:rPr>
                    <w:t>）处理后排入园区污水管网</w:t>
                  </w:r>
                </w:p>
              </w:tc>
              <w:tc>
                <w:tcPr>
                  <w:tcW w:w="793" w:type="pct"/>
                  <w:tcBorders>
                    <w:tl2br w:val="nil"/>
                    <w:tr2bl w:val="nil"/>
                  </w:tcBorders>
                  <w:shd w:val="clear" w:color="auto" w:fill="auto"/>
                  <w:vAlign w:val="center"/>
                </w:tcPr>
                <w:p>
                  <w:pPr>
                    <w:pStyle w:val="41"/>
                    <w:rPr>
                      <w:rFonts w:hint="eastAsia" w:eastAsiaTheme="minorEastAsia"/>
                      <w:lang w:eastAsia="zh-CN"/>
                    </w:rPr>
                  </w:pPr>
                  <w:r>
                    <w:rPr>
                      <w:rFonts w:hint="eastAsia" w:eastAsiaTheme="minor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vMerge w:val="continue"/>
                  <w:tcBorders>
                    <w:tl2br w:val="nil"/>
                    <w:tr2bl w:val="nil"/>
                  </w:tcBorders>
                  <w:shd w:val="clear" w:color="auto" w:fill="auto"/>
                  <w:vAlign w:val="center"/>
                </w:tcPr>
                <w:p>
                  <w:pPr>
                    <w:pStyle w:val="41"/>
                    <w:rPr>
                      <w:rFonts w:eastAsia="宋体"/>
                    </w:rPr>
                  </w:pPr>
                </w:p>
              </w:tc>
              <w:tc>
                <w:tcPr>
                  <w:tcW w:w="3325" w:type="pct"/>
                  <w:tcBorders>
                    <w:tl2br w:val="nil"/>
                    <w:tr2bl w:val="nil"/>
                  </w:tcBorders>
                  <w:shd w:val="clear" w:color="auto" w:fill="auto"/>
                  <w:vAlign w:val="center"/>
                </w:tcPr>
                <w:p>
                  <w:pPr>
                    <w:pStyle w:val="41"/>
                    <w:rPr>
                      <w:rFonts w:eastAsia="宋体"/>
                    </w:rPr>
                  </w:pPr>
                  <w:r>
                    <w:rPr>
                      <w:rFonts w:eastAsia="宋体"/>
                    </w:rPr>
                    <w:t>设排水沟（沟宽×深≥300×300mm，排水坡度应大于3%）、三级沉淀池（池体容积≥4m³）和隔油设施（容积1m</w:t>
                  </w:r>
                  <w:r>
                    <w:rPr>
                      <w:rFonts w:eastAsia="宋体"/>
                      <w:vertAlign w:val="superscript"/>
                    </w:rPr>
                    <w:t>3</w:t>
                  </w:r>
                  <w:r>
                    <w:rPr>
                      <w:rFonts w:eastAsia="宋体"/>
                    </w:rPr>
                    <w:t>），施工废水全部回用</w:t>
                  </w:r>
                </w:p>
              </w:tc>
              <w:tc>
                <w:tcPr>
                  <w:tcW w:w="793" w:type="pct"/>
                  <w:tcBorders>
                    <w:tl2br w:val="nil"/>
                    <w:tr2bl w:val="nil"/>
                  </w:tcBorders>
                  <w:shd w:val="clear" w:color="auto" w:fill="auto"/>
                  <w:vAlign w:val="center"/>
                </w:tcPr>
                <w:p>
                  <w:pPr>
                    <w:pStyle w:val="41"/>
                    <w:rPr>
                      <w:rFonts w:hint="eastAsia" w:eastAsiaTheme="minorEastAsia"/>
                      <w:lang w:eastAsia="zh-CN"/>
                    </w:rPr>
                  </w:pPr>
                  <w:r>
                    <w:rPr>
                      <w:rFonts w:hint="eastAsia" w:eastAsiaTheme="minor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tcBorders>
                    <w:tl2br w:val="nil"/>
                    <w:tr2bl w:val="nil"/>
                  </w:tcBorders>
                  <w:shd w:val="clear" w:color="auto" w:fill="auto"/>
                  <w:vAlign w:val="center"/>
                </w:tcPr>
                <w:p>
                  <w:pPr>
                    <w:pStyle w:val="41"/>
                    <w:rPr>
                      <w:rFonts w:eastAsia="宋体"/>
                    </w:rPr>
                  </w:pPr>
                  <w:r>
                    <w:rPr>
                      <w:rFonts w:hint="eastAsia" w:eastAsia="宋体"/>
                    </w:rPr>
                    <w:t>噪声</w:t>
                  </w:r>
                </w:p>
                <w:p>
                  <w:pPr>
                    <w:pStyle w:val="41"/>
                    <w:rPr>
                      <w:rFonts w:eastAsia="宋体"/>
                    </w:rPr>
                  </w:pPr>
                  <w:r>
                    <w:rPr>
                      <w:rFonts w:hint="eastAsia" w:eastAsia="宋体"/>
                    </w:rPr>
                    <w:t>治理</w:t>
                  </w:r>
                </w:p>
              </w:tc>
              <w:tc>
                <w:tcPr>
                  <w:tcW w:w="3325" w:type="pct"/>
                  <w:tcBorders>
                    <w:tl2br w:val="nil"/>
                    <w:tr2bl w:val="nil"/>
                  </w:tcBorders>
                  <w:shd w:val="clear" w:color="auto" w:fill="auto"/>
                  <w:vAlign w:val="center"/>
                </w:tcPr>
                <w:p>
                  <w:pPr>
                    <w:pStyle w:val="41"/>
                    <w:rPr>
                      <w:rFonts w:eastAsia="宋体"/>
                    </w:rPr>
                  </w:pPr>
                  <w:r>
                    <w:rPr>
                      <w:rFonts w:hint="eastAsia" w:eastAsia="宋体"/>
                    </w:rPr>
                    <w:t>选低噪声施工工艺，文明施工，合理布局施工平面</w:t>
                  </w:r>
                </w:p>
              </w:tc>
              <w:tc>
                <w:tcPr>
                  <w:tcW w:w="793" w:type="pct"/>
                  <w:tcBorders>
                    <w:tl2br w:val="nil"/>
                    <w:tr2bl w:val="nil"/>
                  </w:tcBorders>
                  <w:shd w:val="clear" w:color="auto" w:fill="auto"/>
                  <w:vAlign w:val="center"/>
                </w:tcPr>
                <w:p>
                  <w:pPr>
                    <w:pStyle w:val="41"/>
                    <w:rPr>
                      <w:rFonts w:hint="eastAsia" w:eastAsiaTheme="minorEastAsia"/>
                      <w:lang w:eastAsia="zh-CN"/>
                    </w:rPr>
                  </w:pPr>
                  <w:r>
                    <w:rPr>
                      <w:rFonts w:hint="eastAsia" w:eastAsiaTheme="minor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tcBorders>
                    <w:tl2br w:val="nil"/>
                    <w:tr2bl w:val="nil"/>
                  </w:tcBorders>
                  <w:shd w:val="clear" w:color="auto" w:fill="auto"/>
                  <w:vAlign w:val="center"/>
                </w:tcPr>
                <w:p>
                  <w:pPr>
                    <w:pStyle w:val="41"/>
                    <w:rPr>
                      <w:rFonts w:eastAsia="宋体"/>
                    </w:rPr>
                  </w:pPr>
                  <w:r>
                    <w:rPr>
                      <w:rFonts w:hint="eastAsia" w:eastAsia="宋体"/>
                    </w:rPr>
                    <w:t>固废</w:t>
                  </w:r>
                </w:p>
                <w:p>
                  <w:pPr>
                    <w:pStyle w:val="41"/>
                    <w:rPr>
                      <w:rFonts w:eastAsia="宋体"/>
                    </w:rPr>
                  </w:pPr>
                  <w:r>
                    <w:rPr>
                      <w:rFonts w:hint="eastAsia" w:eastAsia="宋体"/>
                    </w:rPr>
                    <w:t>治理</w:t>
                  </w:r>
                </w:p>
              </w:tc>
              <w:tc>
                <w:tcPr>
                  <w:tcW w:w="3325" w:type="pct"/>
                  <w:tcBorders>
                    <w:tl2br w:val="nil"/>
                    <w:tr2bl w:val="nil"/>
                  </w:tcBorders>
                  <w:shd w:val="clear" w:color="auto" w:fill="auto"/>
                  <w:vAlign w:val="center"/>
                </w:tcPr>
                <w:p>
                  <w:pPr>
                    <w:pStyle w:val="41"/>
                    <w:rPr>
                      <w:rFonts w:eastAsia="宋体"/>
                    </w:rPr>
                  </w:pPr>
                  <w:r>
                    <w:rPr>
                      <w:rFonts w:hint="eastAsia" w:eastAsia="宋体"/>
                    </w:rPr>
                    <w:t>开挖土石方及时回填、覆土，建筑废物分类处置，生活垃圾日产日清，废包装料外售废旧资源回收站</w:t>
                  </w:r>
                </w:p>
              </w:tc>
              <w:tc>
                <w:tcPr>
                  <w:tcW w:w="793" w:type="pct"/>
                  <w:tcBorders>
                    <w:tl2br w:val="nil"/>
                    <w:tr2bl w:val="nil"/>
                  </w:tcBorders>
                  <w:shd w:val="clear" w:color="auto" w:fill="auto"/>
                  <w:vAlign w:val="center"/>
                </w:tcPr>
                <w:p>
                  <w:pPr>
                    <w:pStyle w:val="41"/>
                    <w:rPr>
                      <w:rFonts w:hint="eastAsia" w:eastAsiaTheme="minorEastAsia"/>
                      <w:lang w:eastAsia="zh-CN"/>
                    </w:rPr>
                  </w:pPr>
                  <w:r>
                    <w:rPr>
                      <w:rFonts w:hint="eastAsia" w:eastAsiaTheme="minor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394" w:type="pct"/>
                  <w:vMerge w:val="restart"/>
                  <w:tcBorders>
                    <w:tl2br w:val="nil"/>
                    <w:tr2bl w:val="nil"/>
                  </w:tcBorders>
                  <w:vAlign w:val="center"/>
                </w:tcPr>
                <w:p>
                  <w:pPr>
                    <w:pStyle w:val="41"/>
                    <w:rPr>
                      <w:rFonts w:eastAsia="宋体"/>
                    </w:rPr>
                  </w:pPr>
                  <w:r>
                    <w:rPr>
                      <w:rFonts w:hint="eastAsia" w:eastAsia="宋体"/>
                    </w:rPr>
                    <w:t>运</w:t>
                  </w:r>
                </w:p>
                <w:p>
                  <w:pPr>
                    <w:pStyle w:val="41"/>
                    <w:rPr>
                      <w:rFonts w:eastAsia="宋体"/>
                    </w:rPr>
                  </w:pPr>
                  <w:r>
                    <w:rPr>
                      <w:rFonts w:hint="eastAsia" w:eastAsia="宋体"/>
                    </w:rPr>
                    <w:t>营</w:t>
                  </w:r>
                </w:p>
                <w:p>
                  <w:pPr>
                    <w:pStyle w:val="41"/>
                    <w:rPr>
                      <w:rFonts w:eastAsia="宋体"/>
                    </w:rPr>
                  </w:pPr>
                  <w:r>
                    <w:rPr>
                      <w:rFonts w:hint="eastAsia" w:eastAsia="宋体"/>
                    </w:rPr>
                    <w:t>期</w:t>
                  </w:r>
                </w:p>
              </w:tc>
              <w:tc>
                <w:tcPr>
                  <w:tcW w:w="486" w:type="pct"/>
                  <w:vMerge w:val="restart"/>
                  <w:tcBorders>
                    <w:tl2br w:val="nil"/>
                    <w:tr2bl w:val="nil"/>
                  </w:tcBorders>
                  <w:shd w:val="clear" w:color="auto" w:fill="auto"/>
                  <w:vAlign w:val="center"/>
                </w:tcPr>
                <w:p>
                  <w:pPr>
                    <w:pStyle w:val="41"/>
                  </w:pPr>
                  <w:r>
                    <w:rPr>
                      <w:rFonts w:eastAsia="宋体"/>
                    </w:rPr>
                    <w:t>废</w:t>
                  </w:r>
                  <w:r>
                    <w:rPr>
                      <w:rFonts w:hint="eastAsia" w:eastAsia="宋体"/>
                    </w:rPr>
                    <w:t>气</w:t>
                  </w:r>
                </w:p>
                <w:p>
                  <w:pPr>
                    <w:pStyle w:val="41"/>
                    <w:rPr>
                      <w:rFonts w:eastAsia="宋体"/>
                    </w:rPr>
                  </w:pPr>
                  <w:r>
                    <w:rPr>
                      <w:rFonts w:eastAsia="宋体"/>
                    </w:rPr>
                    <w:t>治理</w:t>
                  </w:r>
                </w:p>
              </w:tc>
              <w:tc>
                <w:tcPr>
                  <w:tcW w:w="3325" w:type="pct"/>
                  <w:tcBorders>
                    <w:tl2br w:val="nil"/>
                    <w:tr2bl w:val="nil"/>
                  </w:tcBorders>
                  <w:shd w:val="clear" w:color="auto" w:fill="auto"/>
                  <w:vAlign w:val="center"/>
                </w:tcPr>
                <w:p>
                  <w:pPr>
                    <w:pStyle w:val="41"/>
                    <w:jc w:val="both"/>
                    <w:rPr>
                      <w:rFonts w:hint="default" w:eastAsia="宋体"/>
                      <w:lang w:val="en-US" w:eastAsia="zh-CN"/>
                    </w:rPr>
                  </w:pPr>
                  <w:r>
                    <w:rPr>
                      <w:rFonts w:hint="eastAsia" w:eastAsia="宋体"/>
                      <w:lang w:eastAsia="zh-CN"/>
                    </w:rPr>
                    <w:t>本项目有机废气经收集后通过“二级活性炭吸附”处理后，通过</w:t>
                  </w:r>
                  <w:r>
                    <w:rPr>
                      <w:rFonts w:hint="eastAsia" w:eastAsia="宋体"/>
                      <w:lang w:val="en-US" w:eastAsia="zh-CN"/>
                    </w:rPr>
                    <w:t>15m排气筒（DA001）排放；</w:t>
                  </w:r>
                </w:p>
              </w:tc>
              <w:tc>
                <w:tcPr>
                  <w:tcW w:w="793" w:type="pct"/>
                  <w:tcBorders>
                    <w:tl2br w:val="nil"/>
                    <w:tr2bl w:val="nil"/>
                  </w:tcBorders>
                  <w:shd w:val="clear" w:color="auto" w:fill="auto"/>
                  <w:vAlign w:val="center"/>
                </w:tcPr>
                <w:p>
                  <w:pPr>
                    <w:pStyle w:val="41"/>
                    <w:rPr>
                      <w:rFonts w:hint="default" w:eastAsiaTheme="minorEastAsia"/>
                      <w:lang w:val="en-US" w:eastAsia="zh-CN"/>
                    </w:rPr>
                  </w:pPr>
                  <w:r>
                    <w:rPr>
                      <w:rFonts w:hint="eastAsia" w:eastAsiaTheme="minorEastAsia"/>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hint="eastAsia" w:eastAsia="宋体"/>
                    </w:rPr>
                  </w:pPr>
                </w:p>
              </w:tc>
              <w:tc>
                <w:tcPr>
                  <w:tcW w:w="486" w:type="pct"/>
                  <w:vMerge w:val="continue"/>
                  <w:tcBorders>
                    <w:tl2br w:val="nil"/>
                    <w:tr2bl w:val="nil"/>
                  </w:tcBorders>
                  <w:shd w:val="clear" w:color="auto" w:fill="auto"/>
                  <w:vAlign w:val="center"/>
                </w:tcPr>
                <w:p>
                  <w:pPr>
                    <w:pStyle w:val="41"/>
                    <w:rPr>
                      <w:rFonts w:eastAsia="宋体"/>
                    </w:rPr>
                  </w:pPr>
                </w:p>
              </w:tc>
              <w:tc>
                <w:tcPr>
                  <w:tcW w:w="3325" w:type="pct"/>
                  <w:tcBorders>
                    <w:tl2br w:val="nil"/>
                    <w:tr2bl w:val="nil"/>
                  </w:tcBorders>
                  <w:shd w:val="clear" w:color="auto" w:fill="auto"/>
                  <w:vAlign w:val="center"/>
                </w:tcPr>
                <w:p>
                  <w:pPr>
                    <w:pStyle w:val="41"/>
                    <w:jc w:val="both"/>
                    <w:rPr>
                      <w:rFonts w:hint="eastAsia" w:eastAsia="宋体"/>
                      <w:lang w:eastAsia="zh-CN"/>
                    </w:rPr>
                  </w:pPr>
                  <w:r>
                    <w:rPr>
                      <w:rFonts w:hint="eastAsia" w:eastAsia="宋体"/>
                      <w:lang w:eastAsia="zh-CN"/>
                    </w:rPr>
                    <w:t>现有项目整改措施：中空玻璃生产线新增“集气罩</w:t>
                  </w:r>
                  <w:r>
                    <w:rPr>
                      <w:rFonts w:hint="eastAsia" w:eastAsia="宋体"/>
                      <w:lang w:val="en-US" w:eastAsia="zh-CN"/>
                    </w:rPr>
                    <w:t>+软帘+</w:t>
                  </w:r>
                  <w:r>
                    <w:rPr>
                      <w:rFonts w:hint="eastAsia" w:eastAsia="宋体"/>
                      <w:lang w:eastAsia="zh-CN"/>
                    </w:rPr>
                    <w:t>二级活性炭吸附”处理后，通过</w:t>
                  </w:r>
                  <w:r>
                    <w:rPr>
                      <w:rFonts w:hint="eastAsia" w:eastAsia="宋体"/>
                      <w:lang w:val="en-US" w:eastAsia="zh-CN"/>
                    </w:rPr>
                    <w:t>15m排气筒（DA002）排放；</w:t>
                  </w:r>
                </w:p>
              </w:tc>
              <w:tc>
                <w:tcPr>
                  <w:tcW w:w="793" w:type="pct"/>
                  <w:tcBorders>
                    <w:tl2br w:val="nil"/>
                    <w:tr2bl w:val="nil"/>
                  </w:tcBorders>
                  <w:shd w:val="clear" w:color="auto" w:fill="auto"/>
                  <w:vAlign w:val="center"/>
                </w:tcPr>
                <w:p>
                  <w:pPr>
                    <w:pStyle w:val="41"/>
                    <w:rPr>
                      <w:rFonts w:hint="default" w:eastAsiaTheme="minorEastAsia"/>
                      <w:lang w:val="en-US" w:eastAsia="zh-CN"/>
                    </w:rPr>
                  </w:pPr>
                  <w:r>
                    <w:rPr>
                      <w:rFonts w:hint="eastAsia" w:eastAsiaTheme="minorEastAsia"/>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tcBorders>
                    <w:tl2br w:val="nil"/>
                    <w:tr2bl w:val="nil"/>
                  </w:tcBorders>
                  <w:shd w:val="clear" w:color="auto" w:fill="auto"/>
                  <w:vAlign w:val="center"/>
                </w:tcPr>
                <w:p>
                  <w:pPr>
                    <w:pStyle w:val="41"/>
                  </w:pPr>
                  <w:r>
                    <w:rPr>
                      <w:rFonts w:eastAsia="宋体"/>
                    </w:rPr>
                    <w:t>废水</w:t>
                  </w:r>
                </w:p>
                <w:p>
                  <w:pPr>
                    <w:pStyle w:val="41"/>
                    <w:rPr>
                      <w:rFonts w:eastAsia="宋体"/>
                    </w:rPr>
                  </w:pPr>
                  <w:r>
                    <w:rPr>
                      <w:rFonts w:eastAsia="宋体"/>
                    </w:rPr>
                    <w:t>治理</w:t>
                  </w:r>
                </w:p>
              </w:tc>
              <w:tc>
                <w:tcPr>
                  <w:tcW w:w="3325" w:type="pct"/>
                  <w:tcBorders>
                    <w:tl2br w:val="nil"/>
                    <w:tr2bl w:val="nil"/>
                  </w:tcBorders>
                  <w:shd w:val="clear" w:color="auto" w:fill="auto"/>
                  <w:vAlign w:val="center"/>
                </w:tcPr>
                <w:p>
                  <w:pPr>
                    <w:pStyle w:val="41"/>
                    <w:rPr>
                      <w:rFonts w:hint="eastAsia" w:eastAsia="宋体"/>
                      <w:lang w:eastAsia="zh-CN"/>
                    </w:rPr>
                  </w:pPr>
                  <w:r>
                    <w:rPr>
                      <w:rFonts w:hint="eastAsia" w:eastAsia="宋体"/>
                      <w:lang w:eastAsia="zh-CN"/>
                    </w:rPr>
                    <w:t>依托一期项目已建</w:t>
                  </w:r>
                  <w:r>
                    <w:rPr>
                      <w:rFonts w:hint="eastAsia" w:eastAsia="宋体"/>
                    </w:rPr>
                    <w:t>预处理池（容积1</w:t>
                  </w:r>
                  <w:r>
                    <w:rPr>
                      <w:rFonts w:hint="eastAsia" w:eastAsia="宋体"/>
                      <w:lang w:val="en-US" w:eastAsia="zh-CN"/>
                    </w:rPr>
                    <w:t>6</w:t>
                  </w:r>
                  <w:r>
                    <w:rPr>
                      <w:rFonts w:hint="eastAsia" w:eastAsia="宋体"/>
                    </w:rPr>
                    <w:t>m</w:t>
                  </w:r>
                  <w:r>
                    <w:rPr>
                      <w:rFonts w:eastAsia="宋体"/>
                      <w:vertAlign w:val="superscript"/>
                    </w:rPr>
                    <w:t>3</w:t>
                  </w:r>
                  <w:r>
                    <w:rPr>
                      <w:rFonts w:hint="eastAsia" w:eastAsia="宋体"/>
                    </w:rPr>
                    <w:t>），配套雨、污水管网建设</w:t>
                  </w:r>
                  <w:r>
                    <w:rPr>
                      <w:rFonts w:hint="eastAsia" w:eastAsia="宋体"/>
                      <w:lang w:eastAsia="zh-CN"/>
                    </w:rPr>
                    <w:t>；本次扩建玻璃原片清洗废水新增一座沉淀池收集后，回用本项目玻璃清洗</w:t>
                  </w:r>
                </w:p>
              </w:tc>
              <w:tc>
                <w:tcPr>
                  <w:tcW w:w="793" w:type="pct"/>
                  <w:tcBorders>
                    <w:tl2br w:val="nil"/>
                    <w:tr2bl w:val="nil"/>
                  </w:tcBorders>
                  <w:shd w:val="clear" w:color="auto" w:fill="auto"/>
                  <w:vAlign w:val="center"/>
                </w:tcPr>
                <w:p>
                  <w:pPr>
                    <w:pStyle w:val="41"/>
                    <w:rPr>
                      <w:rFonts w:hint="eastAsia" w:eastAsiaTheme="minorEastAsia"/>
                      <w:lang w:eastAsia="zh-CN"/>
                    </w:rPr>
                  </w:pPr>
                  <w:r>
                    <w:rPr>
                      <w:rFonts w:hint="eastAsia" w:eastAsiaTheme="minorEastAsia"/>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tcBorders>
                    <w:tl2br w:val="nil"/>
                    <w:tr2bl w:val="nil"/>
                  </w:tcBorders>
                  <w:shd w:val="clear" w:color="auto" w:fill="auto"/>
                  <w:vAlign w:val="center"/>
                </w:tcPr>
                <w:p>
                  <w:pPr>
                    <w:pStyle w:val="41"/>
                    <w:rPr>
                      <w:rFonts w:eastAsia="宋体"/>
                    </w:rPr>
                  </w:pPr>
                  <w:r>
                    <w:rPr>
                      <w:rFonts w:eastAsia="宋体"/>
                    </w:rPr>
                    <w:t>噪声</w:t>
                  </w:r>
                </w:p>
                <w:p>
                  <w:pPr>
                    <w:pStyle w:val="41"/>
                    <w:rPr>
                      <w:rFonts w:eastAsia="宋体"/>
                    </w:rPr>
                  </w:pPr>
                  <w:r>
                    <w:rPr>
                      <w:rFonts w:eastAsia="宋体"/>
                    </w:rPr>
                    <w:t>治理</w:t>
                  </w:r>
                </w:p>
              </w:tc>
              <w:tc>
                <w:tcPr>
                  <w:tcW w:w="3325" w:type="pct"/>
                  <w:tcBorders>
                    <w:tl2br w:val="nil"/>
                    <w:tr2bl w:val="nil"/>
                  </w:tcBorders>
                  <w:shd w:val="clear" w:color="auto" w:fill="auto"/>
                  <w:vAlign w:val="center"/>
                </w:tcPr>
                <w:p>
                  <w:pPr>
                    <w:pStyle w:val="41"/>
                  </w:pPr>
                  <w:r>
                    <w:rPr>
                      <w:rFonts w:hint="eastAsia" w:eastAsia="宋体"/>
                    </w:rPr>
                    <w:t>选</w:t>
                  </w:r>
                  <w:r>
                    <w:rPr>
                      <w:rFonts w:eastAsia="宋体"/>
                    </w:rPr>
                    <w:t>低噪声设备</w:t>
                  </w:r>
                  <w:r>
                    <w:rPr>
                      <w:rFonts w:hint="eastAsia" w:eastAsia="宋体"/>
                    </w:rPr>
                    <w:t>，</w:t>
                  </w:r>
                  <w:r>
                    <w:rPr>
                      <w:rFonts w:eastAsia="宋体"/>
                    </w:rPr>
                    <w:t>采取基础减振</w:t>
                  </w:r>
                  <w:r>
                    <w:rPr>
                      <w:rFonts w:hint="eastAsia" w:eastAsia="宋体"/>
                    </w:rPr>
                    <w:t>、隔声、消声等措施</w:t>
                  </w:r>
                </w:p>
              </w:tc>
              <w:tc>
                <w:tcPr>
                  <w:tcW w:w="793" w:type="pct"/>
                  <w:tcBorders>
                    <w:tl2br w:val="nil"/>
                    <w:tr2bl w:val="nil"/>
                  </w:tcBorders>
                  <w:shd w:val="clear" w:color="auto" w:fill="auto"/>
                  <w:vAlign w:val="center"/>
                </w:tcPr>
                <w:p>
                  <w:pPr>
                    <w:pStyle w:val="41"/>
                    <w:rPr>
                      <w:rFonts w:eastAsiaTheme="minorEastAsia"/>
                    </w:rPr>
                  </w:pPr>
                  <w:r>
                    <w:rPr>
                      <w:rFonts w:eastAsiaTheme="minorEastAsia"/>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vMerge w:val="restart"/>
                  <w:tcBorders>
                    <w:tl2br w:val="nil"/>
                    <w:tr2bl w:val="nil"/>
                  </w:tcBorders>
                  <w:shd w:val="clear" w:color="auto" w:fill="auto"/>
                  <w:vAlign w:val="center"/>
                </w:tcPr>
                <w:p>
                  <w:pPr>
                    <w:pStyle w:val="41"/>
                  </w:pPr>
                  <w:r>
                    <w:rPr>
                      <w:rFonts w:eastAsia="宋体"/>
                    </w:rPr>
                    <w:t>固废</w:t>
                  </w:r>
                </w:p>
                <w:p>
                  <w:pPr>
                    <w:pStyle w:val="41"/>
                    <w:rPr>
                      <w:rFonts w:eastAsia="宋体"/>
                    </w:rPr>
                  </w:pPr>
                  <w:r>
                    <w:rPr>
                      <w:rFonts w:eastAsia="宋体"/>
                    </w:rPr>
                    <w:t>治理</w:t>
                  </w:r>
                </w:p>
              </w:tc>
              <w:tc>
                <w:tcPr>
                  <w:tcW w:w="3325" w:type="pct"/>
                  <w:tcBorders>
                    <w:tl2br w:val="nil"/>
                    <w:tr2bl w:val="nil"/>
                  </w:tcBorders>
                  <w:shd w:val="clear" w:color="auto" w:fill="auto"/>
                  <w:vAlign w:val="center"/>
                </w:tcPr>
                <w:p>
                  <w:pPr>
                    <w:jc w:val="center"/>
                    <w:rPr>
                      <w:rFonts w:cs="Times New Roman"/>
                    </w:rPr>
                  </w:pPr>
                  <w:r>
                    <w:rPr>
                      <w:rFonts w:hint="eastAsia" w:cs="Times New Roman"/>
                    </w:rPr>
                    <w:t>设若干生活垃圾收集桶，一般废物分类收集处置</w:t>
                  </w:r>
                </w:p>
              </w:tc>
              <w:tc>
                <w:tcPr>
                  <w:tcW w:w="793" w:type="pct"/>
                  <w:tcBorders>
                    <w:tl2br w:val="nil"/>
                    <w:tr2bl w:val="nil"/>
                  </w:tcBorders>
                  <w:shd w:val="clear" w:color="auto" w:fill="auto"/>
                  <w:vAlign w:val="center"/>
                </w:tcPr>
                <w:p>
                  <w:pPr>
                    <w:jc w:val="center"/>
                    <w:rPr>
                      <w:rFonts w:eastAsiaTheme="minorEastAsia"/>
                    </w:rPr>
                  </w:pPr>
                  <w:r>
                    <w:rPr>
                      <w:rFonts w:eastAsiaTheme="minorEastAsia"/>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vMerge w:val="continue"/>
                  <w:tcBorders>
                    <w:tl2br w:val="nil"/>
                    <w:tr2bl w:val="nil"/>
                  </w:tcBorders>
                  <w:shd w:val="clear" w:color="auto" w:fill="auto"/>
                  <w:vAlign w:val="center"/>
                </w:tcPr>
                <w:p>
                  <w:pPr>
                    <w:pStyle w:val="41"/>
                  </w:pPr>
                </w:p>
              </w:tc>
              <w:tc>
                <w:tcPr>
                  <w:tcW w:w="3325" w:type="pct"/>
                  <w:tcBorders>
                    <w:tl2br w:val="nil"/>
                    <w:tr2bl w:val="nil"/>
                  </w:tcBorders>
                  <w:shd w:val="clear" w:color="auto" w:fill="auto"/>
                  <w:vAlign w:val="center"/>
                </w:tcPr>
                <w:p>
                  <w:pPr>
                    <w:jc w:val="center"/>
                    <w:rPr>
                      <w:rFonts w:cs="Times New Roman"/>
                      <w:szCs w:val="21"/>
                    </w:rPr>
                  </w:pPr>
                  <w:r>
                    <w:rPr>
                      <w:rFonts w:hint="eastAsia" w:cs="Times New Roman"/>
                      <w:lang w:eastAsia="zh-CN"/>
                    </w:rPr>
                    <w:t>依托一期项目</w:t>
                  </w:r>
                  <w:r>
                    <w:rPr>
                      <w:rFonts w:hint="eastAsia" w:cs="Times New Roman"/>
                    </w:rPr>
                    <w:t>危废暂存间（</w:t>
                  </w:r>
                  <w:r>
                    <w:rPr>
                      <w:rFonts w:cs="Times New Roman"/>
                    </w:rPr>
                    <w:t>面积约</w:t>
                  </w:r>
                  <w:r>
                    <w:rPr>
                      <w:rFonts w:hint="eastAsia" w:cs="Times New Roman"/>
                      <w:lang w:val="en-US" w:eastAsia="zh-CN"/>
                    </w:rPr>
                    <w:t>15</w:t>
                  </w:r>
                  <w:r>
                    <w:rPr>
                      <w:rFonts w:cs="Times New Roman"/>
                    </w:rPr>
                    <w:t>m</w:t>
                  </w:r>
                  <w:r>
                    <w:rPr>
                      <w:rFonts w:cs="Times New Roman"/>
                      <w:vertAlign w:val="superscript"/>
                    </w:rPr>
                    <w:t>2</w:t>
                  </w:r>
                  <w:r>
                    <w:rPr>
                      <w:rFonts w:cs="Times New Roman"/>
                    </w:rPr>
                    <w:t>）</w:t>
                  </w:r>
                  <w:r>
                    <w:rPr>
                      <w:rFonts w:hint="eastAsia" w:cs="Times New Roman"/>
                    </w:rPr>
                    <w:t>，落实“防风、防雨、防晒、防渗漏”措施和标识标牌，交由具资质单位处置</w:t>
                  </w:r>
                </w:p>
              </w:tc>
              <w:tc>
                <w:tcPr>
                  <w:tcW w:w="793" w:type="pct"/>
                  <w:tcBorders>
                    <w:tl2br w:val="nil"/>
                    <w:tr2bl w:val="nil"/>
                  </w:tcBorders>
                  <w:shd w:val="clear" w:color="auto" w:fill="auto"/>
                  <w:vAlign w:val="center"/>
                </w:tcPr>
                <w:p>
                  <w:pPr>
                    <w:jc w:val="center"/>
                    <w:rPr>
                      <w:rFonts w:cs="Times New Roman"/>
                      <w:szCs w:val="21"/>
                    </w:rPr>
                  </w:pPr>
                  <w:r>
                    <w:rPr>
                      <w:rFonts w:eastAsiaTheme="minorEastAsia"/>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jc w:val="center"/>
                    <w:rPr>
                      <w:rFonts w:cs="Times New Roman"/>
                      <w:szCs w:val="21"/>
                    </w:rPr>
                  </w:pPr>
                </w:p>
              </w:tc>
              <w:tc>
                <w:tcPr>
                  <w:tcW w:w="486" w:type="pct"/>
                  <w:tcBorders>
                    <w:tl2br w:val="nil"/>
                    <w:tr2bl w:val="nil"/>
                  </w:tcBorders>
                  <w:shd w:val="clear" w:color="auto" w:fill="auto"/>
                  <w:vAlign w:val="center"/>
                </w:tcPr>
                <w:p>
                  <w:pPr>
                    <w:jc w:val="center"/>
                    <w:rPr>
                      <w:rFonts w:cs="Times New Roman"/>
                      <w:szCs w:val="21"/>
                    </w:rPr>
                  </w:pPr>
                  <w:r>
                    <w:rPr>
                      <w:rFonts w:cs="Times New Roman"/>
                      <w:szCs w:val="21"/>
                      <w:highlight w:val="none"/>
                    </w:rPr>
                    <w:t>地下水污染</w:t>
                  </w:r>
                </w:p>
              </w:tc>
              <w:tc>
                <w:tcPr>
                  <w:tcW w:w="3325"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重点防渗区为：危废暂存间，危废暂存间已采取“2mm厚环氧树脂地坪或其他人工等效材料”等防渗措施后，确保防渗层满足渗透系数K&lt;1×10</w:t>
                  </w:r>
                  <w:r>
                    <w:rPr>
                      <w:rFonts w:hint="eastAsia" w:ascii="Times New Roman" w:hAnsi="Times New Roman" w:eastAsia="宋体" w:cs="Times New Roman"/>
                      <w:kern w:val="2"/>
                      <w:sz w:val="21"/>
                      <w:szCs w:val="21"/>
                      <w:vertAlign w:val="superscript"/>
                      <w:lang w:val="en-US" w:eastAsia="zh-CN" w:bidi="ar-SA"/>
                    </w:rPr>
                    <w:t>-l0</w:t>
                  </w:r>
                  <w:r>
                    <w:rPr>
                      <w:rFonts w:hint="eastAsia" w:ascii="Times New Roman" w:hAnsi="Times New Roman" w:eastAsia="宋体" w:cs="Times New Roman"/>
                      <w:kern w:val="2"/>
                      <w:sz w:val="21"/>
                      <w:szCs w:val="21"/>
                      <w:lang w:val="en-US" w:eastAsia="zh-CN" w:bidi="ar-SA"/>
                    </w:rPr>
                    <w:t>cm/s。危废间地面设置不锈钢防渗托盘，使危险固废桶装后放置于不锈钢防渗托盘。</w:t>
                  </w:r>
                </w:p>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一般防渗区为：包括隔热剂储存间、预处理池、一般固废暂存间等。一般防渗区能满足各单元等效黏土层≥1.5m、渗透系数≤10</w:t>
                  </w:r>
                  <w:r>
                    <w:rPr>
                      <w:rFonts w:hint="eastAsia" w:ascii="Times New Roman" w:hAnsi="Times New Roman" w:eastAsia="宋体" w:cs="Times New Roman"/>
                      <w:kern w:val="2"/>
                      <w:sz w:val="21"/>
                      <w:szCs w:val="21"/>
                      <w:vertAlign w:val="superscript"/>
                      <w:lang w:val="en-US" w:eastAsia="zh-CN" w:bidi="ar-SA"/>
                    </w:rPr>
                    <w:t>-7</w:t>
                  </w:r>
                  <w:r>
                    <w:rPr>
                      <w:rFonts w:hint="eastAsia" w:ascii="Times New Roman" w:hAnsi="Times New Roman" w:eastAsia="宋体" w:cs="Times New Roman"/>
                      <w:kern w:val="2"/>
                      <w:sz w:val="21"/>
                      <w:szCs w:val="21"/>
                      <w:lang w:val="en-US" w:eastAsia="zh-CN" w:bidi="ar-SA"/>
                    </w:rPr>
                    <w:t>cm/s，满足一般防渗技术要求。</w:t>
                  </w:r>
                </w:p>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简单防渗区：办公区域、过道等。现状已进行混凝土浇注硬化，满足简单防渗要求。</w:t>
                  </w:r>
                </w:p>
              </w:tc>
              <w:tc>
                <w:tcPr>
                  <w:tcW w:w="793" w:type="pct"/>
                  <w:tcBorders>
                    <w:tl2br w:val="nil"/>
                    <w:tr2bl w:val="nil"/>
                  </w:tcBorders>
                  <w:shd w:val="clear" w:color="auto" w:fill="auto"/>
                  <w:vAlign w:val="center"/>
                </w:tcPr>
                <w:p>
                  <w:pPr>
                    <w:jc w:val="center"/>
                    <w:rPr>
                      <w:rFonts w:hint="eastAsia" w:eastAsia="宋体" w:cs="Times New Roman"/>
                      <w:szCs w:val="21"/>
                      <w:lang w:eastAsia="zh-CN"/>
                    </w:rPr>
                  </w:pPr>
                  <w:r>
                    <w:rPr>
                      <w:rFonts w:hint="eastAsia" w:cs="Times New Roman"/>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4" w:type="pct"/>
                  <w:vMerge w:val="continue"/>
                  <w:tcBorders>
                    <w:tl2br w:val="nil"/>
                    <w:tr2bl w:val="nil"/>
                  </w:tcBorders>
                  <w:vAlign w:val="center"/>
                </w:tcPr>
                <w:p>
                  <w:pPr>
                    <w:pStyle w:val="41"/>
                    <w:rPr>
                      <w:rFonts w:eastAsia="宋体"/>
                    </w:rPr>
                  </w:pPr>
                </w:p>
              </w:tc>
              <w:tc>
                <w:tcPr>
                  <w:tcW w:w="486" w:type="pct"/>
                  <w:tcBorders>
                    <w:tl2br w:val="nil"/>
                    <w:tr2bl w:val="nil"/>
                  </w:tcBorders>
                  <w:shd w:val="clear" w:color="auto" w:fill="auto"/>
                  <w:vAlign w:val="center"/>
                </w:tcPr>
                <w:p>
                  <w:pPr>
                    <w:pStyle w:val="41"/>
                    <w:rPr>
                      <w:rFonts w:eastAsia="宋体"/>
                    </w:rPr>
                  </w:pPr>
                  <w:r>
                    <w:rPr>
                      <w:rFonts w:eastAsia="宋体"/>
                    </w:rPr>
                    <w:t>环境</w:t>
                  </w:r>
                </w:p>
                <w:p>
                  <w:pPr>
                    <w:pStyle w:val="41"/>
                    <w:rPr>
                      <w:rFonts w:eastAsia="宋体"/>
                    </w:rPr>
                  </w:pPr>
                  <w:r>
                    <w:rPr>
                      <w:rFonts w:eastAsia="宋体"/>
                    </w:rPr>
                    <w:t>监测</w:t>
                  </w:r>
                </w:p>
              </w:tc>
              <w:tc>
                <w:tcPr>
                  <w:tcW w:w="3325" w:type="pct"/>
                  <w:tcBorders>
                    <w:tl2br w:val="nil"/>
                    <w:tr2bl w:val="nil"/>
                  </w:tcBorders>
                  <w:shd w:val="clear" w:color="auto" w:fill="auto"/>
                  <w:vAlign w:val="center"/>
                </w:tcPr>
                <w:p>
                  <w:pPr>
                    <w:jc w:val="center"/>
                    <w:rPr>
                      <w:rFonts w:cs="Times New Roman"/>
                      <w:szCs w:val="21"/>
                    </w:rPr>
                  </w:pPr>
                  <w:r>
                    <w:rPr>
                      <w:rFonts w:hint="eastAsia" w:cs="Times New Roman"/>
                      <w:szCs w:val="21"/>
                    </w:rPr>
                    <w:t>制定</w:t>
                  </w:r>
                  <w:r>
                    <w:rPr>
                      <w:rFonts w:cs="Times New Roman"/>
                      <w:szCs w:val="21"/>
                    </w:rPr>
                    <w:t>自行监测方案</w:t>
                  </w:r>
                  <w:r>
                    <w:rPr>
                      <w:rFonts w:hint="eastAsia" w:cs="Times New Roman"/>
                      <w:szCs w:val="21"/>
                    </w:rPr>
                    <w:t>，</w:t>
                  </w:r>
                  <w:r>
                    <w:rPr>
                      <w:rFonts w:cs="Times New Roman"/>
                      <w:szCs w:val="21"/>
                    </w:rPr>
                    <w:t>定期开展污染源监测</w:t>
                  </w:r>
                </w:p>
              </w:tc>
              <w:tc>
                <w:tcPr>
                  <w:tcW w:w="793" w:type="pct"/>
                  <w:tcBorders>
                    <w:tl2br w:val="nil"/>
                    <w:tr2bl w:val="nil"/>
                  </w:tcBorders>
                  <w:shd w:val="clear" w:color="auto" w:fill="auto"/>
                  <w:vAlign w:val="center"/>
                </w:tcPr>
                <w:p>
                  <w:pPr>
                    <w:jc w:val="center"/>
                    <w:rPr>
                      <w:rFonts w:hint="eastAsia" w:eastAsia="宋体" w:cs="Times New Roman"/>
                      <w:szCs w:val="21"/>
                      <w:lang w:eastAsia="zh-CN"/>
                    </w:rPr>
                  </w:pPr>
                  <w:r>
                    <w:rPr>
                      <w:rFonts w:hint="eastAsia" w:cs="Times New Roman"/>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206" w:type="pct"/>
                  <w:gridSpan w:val="3"/>
                  <w:tcBorders>
                    <w:tl2br w:val="nil"/>
                    <w:tr2bl w:val="nil"/>
                  </w:tcBorders>
                  <w:vAlign w:val="center"/>
                </w:tcPr>
                <w:p>
                  <w:pPr>
                    <w:jc w:val="center"/>
                    <w:rPr>
                      <w:rFonts w:cs="Times New Roman"/>
                      <w:szCs w:val="21"/>
                    </w:rPr>
                  </w:pPr>
                  <w:r>
                    <w:rPr>
                      <w:rFonts w:hint="eastAsia" w:cs="Times New Roman"/>
                      <w:szCs w:val="21"/>
                    </w:rPr>
                    <w:t>合计</w:t>
                  </w:r>
                </w:p>
              </w:tc>
              <w:tc>
                <w:tcPr>
                  <w:tcW w:w="793" w:type="pct"/>
                  <w:tcBorders>
                    <w:tl2br w:val="nil"/>
                    <w:tr2bl w:val="nil"/>
                  </w:tcBorders>
                  <w:shd w:val="clear" w:color="auto" w:fill="auto"/>
                  <w:vAlign w:val="center"/>
                </w:tcPr>
                <w:p>
                  <w:pPr>
                    <w:jc w:val="center"/>
                    <w:rPr>
                      <w:rFonts w:hint="default" w:eastAsia="宋体" w:cs="Times New Roman"/>
                      <w:szCs w:val="21"/>
                      <w:lang w:val="en-US" w:eastAsia="zh-CN"/>
                    </w:rPr>
                  </w:pPr>
                  <w:r>
                    <w:rPr>
                      <w:rFonts w:hint="eastAsia" w:cs="Times New Roman"/>
                      <w:szCs w:val="21"/>
                      <w:lang w:val="en-US" w:eastAsia="zh-CN"/>
                    </w:rPr>
                    <w:t>29</w:t>
                  </w:r>
                </w:p>
              </w:tc>
            </w:tr>
          </w:tbl>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eastAsia"/>
                <w:b/>
                <w:sz w:val="24"/>
                <w:szCs w:val="24"/>
                <w:lang w:val="en-US" w:eastAsia="zh-CN"/>
              </w:rPr>
            </w:pPr>
          </w:p>
          <w:p>
            <w:pPr>
              <w:spacing w:line="360" w:lineRule="auto"/>
              <w:rPr>
                <w:rFonts w:hint="default" w:eastAsia="宋体"/>
                <w:b/>
                <w:sz w:val="24"/>
                <w:szCs w:val="24"/>
                <w:lang w:val="en-US" w:eastAsia="zh-CN"/>
              </w:rPr>
            </w:pPr>
          </w:p>
        </w:tc>
      </w:tr>
    </w:tbl>
    <w:p>
      <w:pPr>
        <w:rPr>
          <w:rFonts w:ascii="宋体" w:hAnsi="宋体"/>
          <w:sz w:val="28"/>
          <w:szCs w:val="28"/>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0"/>
        <w:jc w:val="center"/>
        <w:rPr>
          <w:rFonts w:ascii="黑体" w:hAnsi="黑体" w:eastAsia="黑体"/>
          <w:b w:val="0"/>
          <w:sz w:val="30"/>
          <w:szCs w:val="30"/>
        </w:rPr>
      </w:pPr>
      <w:bookmarkStart w:id="12" w:name="_Toc127864090"/>
      <w:r>
        <w:rPr>
          <w:rFonts w:hint="eastAsia" w:ascii="黑体" w:hAnsi="黑体" w:eastAsia="黑体"/>
          <w:b w:val="0"/>
          <w:sz w:val="30"/>
          <w:szCs w:val="30"/>
        </w:rPr>
        <w:t>五、环境保护措施监督检查清单</w:t>
      </w:r>
      <w:bookmarkEnd w:id="12"/>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763"/>
        <w:gridCol w:w="1120"/>
        <w:gridCol w:w="2331"/>
        <w:gridCol w:w="3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8" w:type="pct"/>
            <w:vAlign w:val="center"/>
          </w:tcPr>
          <w:p>
            <w:pPr>
              <w:jc w:val="right"/>
              <w:rPr>
                <w:rFonts w:cs="Times New Roman" w:eastAsiaTheme="minorEastAsia"/>
                <w:b/>
                <w:bCs/>
                <w:sz w:val="24"/>
                <w:szCs w:val="24"/>
              </w:rPr>
            </w:pPr>
            <w:r>
              <w:rPr>
                <w:rFonts w:cs="Times New Roman" w:eastAsiaTheme="minorEastAsia"/>
                <w:b/>
                <w:bCs/>
                <w:sz w:val="24"/>
                <w:szCs w:val="24"/>
              </w:rPr>
              <w:t>内容</w:t>
            </w:r>
          </w:p>
          <w:p>
            <w:pPr>
              <w:rPr>
                <w:rFonts w:cs="Times New Roman" w:eastAsiaTheme="minorEastAsia"/>
                <w:b/>
                <w:bCs/>
                <w:sz w:val="24"/>
                <w:szCs w:val="24"/>
              </w:rPr>
            </w:pPr>
            <w:r>
              <w:rPr>
                <w:rFonts w:hint="eastAsia" w:cs="Times New Roman" w:eastAsiaTheme="minorEastAsia"/>
                <w:b/>
                <w:bCs/>
                <w:sz w:val="24"/>
                <w:szCs w:val="24"/>
              </w:rPr>
              <w:t>要素</w:t>
            </w:r>
          </w:p>
        </w:tc>
        <w:tc>
          <w:tcPr>
            <w:tcW w:w="972" w:type="pct"/>
            <w:vAlign w:val="center"/>
          </w:tcPr>
          <w:p>
            <w:pPr>
              <w:jc w:val="center"/>
              <w:rPr>
                <w:rFonts w:cs="Times New Roman" w:eastAsiaTheme="minorEastAsia"/>
                <w:b/>
                <w:bCs/>
                <w:sz w:val="24"/>
                <w:szCs w:val="24"/>
              </w:rPr>
            </w:pPr>
            <w:r>
              <w:rPr>
                <w:rFonts w:cs="Times New Roman" w:eastAsiaTheme="minorEastAsia"/>
                <w:b/>
                <w:bCs/>
                <w:sz w:val="24"/>
                <w:szCs w:val="24"/>
              </w:rPr>
              <w:t>排放口</w:t>
            </w:r>
            <w:r>
              <w:rPr>
                <w:rFonts w:hint="eastAsia" w:cs="Times New Roman" w:eastAsiaTheme="minorEastAsia"/>
                <w:b/>
                <w:bCs/>
                <w:sz w:val="24"/>
                <w:szCs w:val="24"/>
              </w:rPr>
              <w:t>（</w:t>
            </w:r>
            <w:r>
              <w:rPr>
                <w:rFonts w:cs="Times New Roman" w:eastAsiaTheme="minorEastAsia"/>
                <w:b/>
                <w:bCs/>
                <w:sz w:val="24"/>
                <w:szCs w:val="24"/>
              </w:rPr>
              <w:t>编号</w:t>
            </w:r>
            <w:r>
              <w:rPr>
                <w:rFonts w:hint="eastAsia" w:cs="Times New Roman" w:eastAsiaTheme="minorEastAsia"/>
                <w:b/>
                <w:bCs/>
                <w:sz w:val="24"/>
                <w:szCs w:val="24"/>
              </w:rPr>
              <w:t>、</w:t>
            </w:r>
            <w:r>
              <w:rPr>
                <w:rFonts w:cs="Times New Roman" w:eastAsiaTheme="minorEastAsia"/>
                <w:b/>
                <w:bCs/>
                <w:sz w:val="24"/>
                <w:szCs w:val="24"/>
              </w:rPr>
              <w:t>名称</w:t>
            </w:r>
            <w:r>
              <w:rPr>
                <w:rFonts w:hint="eastAsia" w:cs="Times New Roman" w:eastAsiaTheme="minorEastAsia"/>
                <w:b/>
                <w:bCs/>
                <w:sz w:val="24"/>
                <w:szCs w:val="24"/>
              </w:rPr>
              <w:t>）/污染源</w:t>
            </w:r>
          </w:p>
        </w:tc>
        <w:tc>
          <w:tcPr>
            <w:tcW w:w="618" w:type="pct"/>
            <w:vAlign w:val="center"/>
          </w:tcPr>
          <w:p>
            <w:pPr>
              <w:jc w:val="center"/>
              <w:rPr>
                <w:rFonts w:cs="Times New Roman" w:eastAsiaTheme="minorEastAsia"/>
                <w:b/>
                <w:bCs/>
                <w:sz w:val="24"/>
                <w:szCs w:val="24"/>
              </w:rPr>
            </w:pPr>
            <w:r>
              <w:rPr>
                <w:rFonts w:cs="Times New Roman" w:eastAsiaTheme="minorEastAsia"/>
                <w:b/>
                <w:bCs/>
                <w:sz w:val="24"/>
                <w:szCs w:val="24"/>
              </w:rPr>
              <w:t>污染物项目</w:t>
            </w:r>
          </w:p>
        </w:tc>
        <w:tc>
          <w:tcPr>
            <w:tcW w:w="1286" w:type="pct"/>
            <w:vAlign w:val="center"/>
          </w:tcPr>
          <w:p>
            <w:pPr>
              <w:jc w:val="center"/>
              <w:rPr>
                <w:rFonts w:cs="Times New Roman" w:eastAsiaTheme="minorEastAsia"/>
                <w:b/>
                <w:bCs/>
                <w:sz w:val="24"/>
                <w:szCs w:val="24"/>
              </w:rPr>
            </w:pPr>
            <w:r>
              <w:rPr>
                <w:rFonts w:cs="Times New Roman" w:eastAsiaTheme="minorEastAsia"/>
                <w:b/>
                <w:bCs/>
                <w:sz w:val="24"/>
                <w:szCs w:val="24"/>
              </w:rPr>
              <w:t>环境保护措施</w:t>
            </w:r>
          </w:p>
        </w:tc>
        <w:tc>
          <w:tcPr>
            <w:tcW w:w="1704" w:type="pct"/>
            <w:vAlign w:val="center"/>
          </w:tcPr>
          <w:p>
            <w:pPr>
              <w:jc w:val="center"/>
              <w:rPr>
                <w:rFonts w:cs="Times New Roman" w:eastAsiaTheme="minorEastAsia"/>
                <w:b/>
                <w:bCs/>
                <w:sz w:val="24"/>
                <w:szCs w:val="24"/>
              </w:rPr>
            </w:pPr>
            <w:r>
              <w:rPr>
                <w:rFonts w:hint="eastAsia" w:cs="Times New Roman" w:eastAsiaTheme="minorEastAsia"/>
                <w:b/>
                <w:bCs/>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8" w:type="pct"/>
            <w:vMerge w:val="restart"/>
            <w:vAlign w:val="center"/>
          </w:tcPr>
          <w:p>
            <w:pPr>
              <w:jc w:val="center"/>
              <w:rPr>
                <w:rFonts w:cs="Times New Roman" w:eastAsiaTheme="minorEastAsia"/>
                <w:sz w:val="24"/>
                <w:szCs w:val="24"/>
              </w:rPr>
            </w:pPr>
            <w:r>
              <w:rPr>
                <w:rFonts w:cs="Times New Roman" w:eastAsiaTheme="minorEastAsia"/>
                <w:sz w:val="24"/>
                <w:szCs w:val="24"/>
              </w:rPr>
              <w:t>大气环境</w:t>
            </w:r>
          </w:p>
        </w:tc>
        <w:tc>
          <w:tcPr>
            <w:tcW w:w="972" w:type="pct"/>
            <w:vAlign w:val="center"/>
          </w:tcPr>
          <w:p>
            <w:pPr>
              <w:jc w:val="center"/>
              <w:rPr>
                <w:rFonts w:hint="default" w:ascii="Times New Roman" w:hAnsi="Times New Roman" w:eastAsia="宋体" w:cs="黑体"/>
                <w:kern w:val="2"/>
                <w:sz w:val="24"/>
                <w:szCs w:val="24"/>
                <w:lang w:val="en-US" w:eastAsia="zh-CN" w:bidi="ar-SA"/>
              </w:rPr>
            </w:pPr>
            <w:r>
              <w:rPr>
                <w:rFonts w:hint="eastAsia"/>
                <w:sz w:val="24"/>
                <w:szCs w:val="24"/>
                <w:lang w:val="en-US" w:eastAsia="zh-CN"/>
              </w:rPr>
              <w:t>DA001</w:t>
            </w:r>
          </w:p>
        </w:tc>
        <w:tc>
          <w:tcPr>
            <w:tcW w:w="618" w:type="pct"/>
            <w:vAlign w:val="center"/>
          </w:tcPr>
          <w:p>
            <w:pPr>
              <w:jc w:val="center"/>
              <w:rPr>
                <w:rFonts w:ascii="Times New Roman" w:hAnsi="Times New Roman" w:cs="Times New Roman" w:eastAsiaTheme="minorEastAsia"/>
                <w:kern w:val="2"/>
                <w:sz w:val="24"/>
                <w:szCs w:val="24"/>
                <w:lang w:val="en-US" w:eastAsia="zh-CN" w:bidi="ar-SA"/>
              </w:rPr>
            </w:pPr>
            <w:r>
              <w:rPr>
                <w:rFonts w:hint="eastAsia"/>
                <w:sz w:val="24"/>
                <w:szCs w:val="24"/>
                <w:lang w:val="en-US" w:eastAsia="zh-CN"/>
              </w:rPr>
              <w:t>VOC</w:t>
            </w:r>
            <w:r>
              <w:rPr>
                <w:rFonts w:hint="eastAsia"/>
                <w:sz w:val="24"/>
                <w:szCs w:val="24"/>
                <w:vertAlign w:val="subscript"/>
                <w:lang w:val="en-US" w:eastAsia="zh-CN"/>
              </w:rPr>
              <w:t>S</w:t>
            </w:r>
          </w:p>
        </w:tc>
        <w:tc>
          <w:tcPr>
            <w:tcW w:w="1286" w:type="pct"/>
            <w:vAlign w:val="center"/>
          </w:tcPr>
          <w:p>
            <w:pPr>
              <w:jc w:val="center"/>
              <w:rPr>
                <w:rFonts w:hint="default" w:eastAsia="宋体" w:cs="Times New Roman"/>
                <w:sz w:val="24"/>
                <w:szCs w:val="24"/>
                <w:lang w:val="en-US" w:eastAsia="zh-CN"/>
              </w:rPr>
            </w:pPr>
            <w:r>
              <w:rPr>
                <w:rFonts w:hint="eastAsia" w:cs="Times New Roman"/>
                <w:sz w:val="24"/>
                <w:szCs w:val="24"/>
                <w:lang w:val="en-US" w:eastAsia="zh-CN"/>
              </w:rPr>
              <w:t>集气罩+软帘收集</w:t>
            </w:r>
            <w:r>
              <w:rPr>
                <w:rFonts w:hint="eastAsia"/>
                <w:sz w:val="24"/>
                <w:szCs w:val="24"/>
                <w:lang w:eastAsia="zh-CN"/>
              </w:rPr>
              <w:t>进入二级活性炭吸附装置处理后，通过</w:t>
            </w:r>
            <w:r>
              <w:rPr>
                <w:rFonts w:hint="eastAsia"/>
                <w:sz w:val="24"/>
                <w:szCs w:val="24"/>
                <w:lang w:val="en-US" w:eastAsia="zh-CN"/>
              </w:rPr>
              <w:t>15m高排气筒（DA001）排放；</w:t>
            </w:r>
          </w:p>
        </w:tc>
        <w:tc>
          <w:tcPr>
            <w:tcW w:w="1704" w:type="pct"/>
            <w:vAlign w:val="center"/>
          </w:tcPr>
          <w:p>
            <w:pPr>
              <w:jc w:val="center"/>
              <w:rPr>
                <w:rFonts w:cs="Times New Roman" w:eastAsiaTheme="minorEastAsia"/>
                <w:sz w:val="24"/>
                <w:szCs w:val="24"/>
              </w:rPr>
            </w:pPr>
            <w:r>
              <w:rPr>
                <w:rFonts w:hint="eastAsia" w:cs="Times New Roman" w:eastAsiaTheme="minorEastAsia"/>
                <w:sz w:val="24"/>
                <w:szCs w:val="24"/>
              </w:rPr>
              <w:t>《四川省固定污染源大气挥发性有机物排放标准》（DB51/2377-2017）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Merge w:val="continue"/>
            <w:vAlign w:val="center"/>
          </w:tcPr>
          <w:p>
            <w:pPr>
              <w:jc w:val="center"/>
              <w:rPr>
                <w:rFonts w:cs="Times New Roman" w:eastAsiaTheme="minorEastAsia"/>
                <w:sz w:val="24"/>
                <w:szCs w:val="24"/>
              </w:rPr>
            </w:pPr>
          </w:p>
        </w:tc>
        <w:tc>
          <w:tcPr>
            <w:tcW w:w="972" w:type="pct"/>
            <w:vAlign w:val="center"/>
          </w:tcPr>
          <w:p>
            <w:pPr>
              <w:jc w:val="center"/>
              <w:rPr>
                <w:rFonts w:hint="eastAsia"/>
                <w:sz w:val="24"/>
                <w:szCs w:val="24"/>
                <w:lang w:val="en-US" w:eastAsia="zh-CN"/>
              </w:rPr>
            </w:pPr>
            <w:r>
              <w:rPr>
                <w:rFonts w:hint="eastAsia"/>
                <w:sz w:val="24"/>
                <w:szCs w:val="24"/>
                <w:lang w:val="en-US" w:eastAsia="zh-CN"/>
              </w:rPr>
              <w:t>DA002</w:t>
            </w:r>
          </w:p>
          <w:p>
            <w:pPr>
              <w:jc w:val="center"/>
              <w:rPr>
                <w:rFonts w:hint="default"/>
                <w:sz w:val="24"/>
                <w:szCs w:val="24"/>
                <w:lang w:val="en-US" w:eastAsia="zh-CN"/>
              </w:rPr>
            </w:pPr>
            <w:r>
              <w:rPr>
                <w:rFonts w:hint="eastAsia"/>
                <w:sz w:val="24"/>
                <w:szCs w:val="24"/>
                <w:lang w:val="en-US" w:eastAsia="zh-CN"/>
              </w:rPr>
              <w:t>（现有项目）</w:t>
            </w:r>
          </w:p>
        </w:tc>
        <w:tc>
          <w:tcPr>
            <w:tcW w:w="618" w:type="pct"/>
            <w:vAlign w:val="center"/>
          </w:tcPr>
          <w:p>
            <w:pPr>
              <w:jc w:val="center"/>
              <w:rPr>
                <w:rFonts w:hint="eastAsia" w:ascii="Times New Roman" w:hAnsi="Times New Roman" w:cs="Times New Roman" w:eastAsiaTheme="minorEastAsia"/>
                <w:kern w:val="2"/>
                <w:sz w:val="24"/>
                <w:szCs w:val="24"/>
                <w:lang w:val="en-US" w:eastAsia="zh-CN" w:bidi="ar-SA"/>
              </w:rPr>
            </w:pPr>
            <w:r>
              <w:rPr>
                <w:rFonts w:hint="eastAsia"/>
                <w:sz w:val="24"/>
                <w:szCs w:val="24"/>
                <w:lang w:val="en-US" w:eastAsia="zh-CN"/>
              </w:rPr>
              <w:t>VOC</w:t>
            </w:r>
            <w:r>
              <w:rPr>
                <w:rFonts w:hint="eastAsia"/>
                <w:sz w:val="24"/>
                <w:szCs w:val="24"/>
                <w:vertAlign w:val="subscript"/>
                <w:lang w:val="en-US" w:eastAsia="zh-CN"/>
              </w:rPr>
              <w:t>S</w:t>
            </w:r>
          </w:p>
        </w:tc>
        <w:tc>
          <w:tcPr>
            <w:tcW w:w="1286" w:type="pct"/>
            <w:vAlign w:val="center"/>
          </w:tcPr>
          <w:p>
            <w:pPr>
              <w:jc w:val="center"/>
              <w:rPr>
                <w:rFonts w:hint="eastAsia" w:ascii="Times New Roman" w:hAnsi="Times New Roman" w:eastAsia="宋体" w:cs="Times New Roman"/>
                <w:kern w:val="2"/>
                <w:sz w:val="24"/>
                <w:szCs w:val="24"/>
                <w:lang w:val="en-US" w:eastAsia="zh-CN" w:bidi="ar-SA"/>
              </w:rPr>
            </w:pPr>
            <w:r>
              <w:rPr>
                <w:rFonts w:hint="eastAsia" w:cs="Times New Roman"/>
                <w:sz w:val="24"/>
                <w:szCs w:val="24"/>
                <w:lang w:val="en-US" w:eastAsia="zh-CN"/>
              </w:rPr>
              <w:t>集气罩+软帘收集</w:t>
            </w:r>
            <w:r>
              <w:rPr>
                <w:rFonts w:hint="eastAsia"/>
                <w:sz w:val="24"/>
                <w:szCs w:val="24"/>
                <w:lang w:eastAsia="zh-CN"/>
              </w:rPr>
              <w:t>进入二级活性炭吸附装置处理后，通过</w:t>
            </w:r>
            <w:r>
              <w:rPr>
                <w:rFonts w:hint="eastAsia"/>
                <w:sz w:val="24"/>
                <w:szCs w:val="24"/>
                <w:lang w:val="en-US" w:eastAsia="zh-CN"/>
              </w:rPr>
              <w:t>15m高排气筒（DA002）排放；</w:t>
            </w:r>
          </w:p>
        </w:tc>
        <w:tc>
          <w:tcPr>
            <w:tcW w:w="1704" w:type="pct"/>
            <w:vAlign w:val="center"/>
          </w:tcPr>
          <w:p>
            <w:pPr>
              <w:jc w:val="center"/>
              <w:rPr>
                <w:rFonts w:hint="eastAsia" w:ascii="Times New Roman" w:hAnsi="Times New Roman" w:cs="Times New Roman" w:eastAsiaTheme="minorEastAsia"/>
                <w:kern w:val="2"/>
                <w:sz w:val="24"/>
                <w:szCs w:val="24"/>
                <w:lang w:val="en-US" w:eastAsia="zh-CN" w:bidi="ar-SA"/>
              </w:rPr>
            </w:pPr>
            <w:r>
              <w:rPr>
                <w:rFonts w:hint="eastAsia" w:cs="Times New Roman" w:eastAsiaTheme="minorEastAsia"/>
                <w:sz w:val="24"/>
                <w:szCs w:val="24"/>
              </w:rPr>
              <w:t>《四川省固定污染源大气挥发性有机物排放标准》（DB51/2377-2017）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8" w:type="pct"/>
            <w:vMerge w:val="continue"/>
            <w:vAlign w:val="center"/>
          </w:tcPr>
          <w:p>
            <w:pPr>
              <w:jc w:val="center"/>
              <w:rPr>
                <w:rFonts w:cs="Times New Roman" w:eastAsiaTheme="minorEastAsia"/>
                <w:sz w:val="24"/>
                <w:szCs w:val="24"/>
              </w:rPr>
            </w:pPr>
          </w:p>
        </w:tc>
        <w:tc>
          <w:tcPr>
            <w:tcW w:w="972" w:type="pct"/>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无组织废气</w:t>
            </w:r>
          </w:p>
        </w:tc>
        <w:tc>
          <w:tcPr>
            <w:tcW w:w="618" w:type="pct"/>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sz w:val="24"/>
                <w:szCs w:val="24"/>
                <w:lang w:val="en-US" w:eastAsia="zh-CN"/>
              </w:rPr>
              <w:t>VOC</w:t>
            </w:r>
            <w:r>
              <w:rPr>
                <w:rFonts w:hint="eastAsia"/>
                <w:sz w:val="24"/>
                <w:szCs w:val="24"/>
                <w:vertAlign w:val="subscript"/>
                <w:lang w:val="en-US" w:eastAsia="zh-CN"/>
              </w:rPr>
              <w:t>S</w:t>
            </w:r>
            <w:r>
              <w:rPr>
                <w:rFonts w:hint="default" w:ascii="Times New Roman" w:hAnsi="Times New Roman" w:eastAsia="宋体" w:cs="Times New Roman"/>
                <w:color w:val="auto"/>
                <w:sz w:val="24"/>
                <w:szCs w:val="24"/>
              </w:rPr>
              <w:t>、颗粒物</w:t>
            </w:r>
          </w:p>
        </w:tc>
        <w:tc>
          <w:tcPr>
            <w:tcW w:w="1286" w:type="pct"/>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加强废气收集、</w:t>
            </w:r>
            <w:r>
              <w:rPr>
                <w:rFonts w:hint="eastAsia" w:ascii="Times New Roman" w:hAnsi="Times New Roman" w:eastAsia="宋体" w:cs="Times New Roman"/>
                <w:color w:val="auto"/>
                <w:sz w:val="24"/>
                <w:szCs w:val="24"/>
                <w:lang w:eastAsia="zh-CN"/>
              </w:rPr>
              <w:t>车间</w:t>
            </w:r>
            <w:r>
              <w:rPr>
                <w:rFonts w:hint="default" w:ascii="Times New Roman" w:hAnsi="Times New Roman" w:eastAsia="宋体" w:cs="Times New Roman"/>
                <w:color w:val="auto"/>
                <w:sz w:val="24"/>
                <w:szCs w:val="24"/>
              </w:rPr>
              <w:t>密闭</w:t>
            </w:r>
          </w:p>
        </w:tc>
        <w:tc>
          <w:tcPr>
            <w:tcW w:w="1704" w:type="pct"/>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0"/>
                <w:sz w:val="24"/>
                <w:szCs w:val="24"/>
              </w:rPr>
              <w:t>《四川省固定污染源大气挥发性有机物排放标准》（DB51/2377-2017）</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sz w:val="24"/>
                <w:szCs w:val="24"/>
              </w:rPr>
              <w:t>《挥发性有机物无组织排放控制标准》（GB 37822-2019）</w:t>
            </w:r>
            <w:r>
              <w:rPr>
                <w:rFonts w:hint="default" w:ascii="Times New Roman" w:hAnsi="Times New Roman" w:cs="Times New Roman"/>
                <w:color w:val="auto"/>
                <w:kern w:val="0"/>
                <w:sz w:val="24"/>
                <w:szCs w:val="24"/>
              </w:rPr>
              <w:t>、</w:t>
            </w:r>
            <w:r>
              <w:rPr>
                <w:rFonts w:hint="default" w:ascii="Times New Roman" w:hAnsi="Times New Roman" w:cs="Times New Roman"/>
                <w:bCs/>
                <w:color w:val="auto"/>
                <w:sz w:val="24"/>
                <w:szCs w:val="24"/>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18" w:type="pct"/>
            <w:vMerge w:val="restart"/>
            <w:vAlign w:val="center"/>
          </w:tcPr>
          <w:p>
            <w:pPr>
              <w:jc w:val="center"/>
              <w:rPr>
                <w:rFonts w:cs="Times New Roman" w:eastAsiaTheme="minorEastAsia"/>
                <w:sz w:val="24"/>
                <w:szCs w:val="24"/>
              </w:rPr>
            </w:pPr>
            <w:r>
              <w:rPr>
                <w:rFonts w:cs="Times New Roman" w:eastAsiaTheme="minorEastAsia"/>
                <w:sz w:val="24"/>
                <w:szCs w:val="24"/>
              </w:rPr>
              <w:t>地表水环境</w:t>
            </w:r>
          </w:p>
        </w:tc>
        <w:tc>
          <w:tcPr>
            <w:tcW w:w="972" w:type="pct"/>
            <w:vAlign w:val="center"/>
          </w:tcPr>
          <w:p>
            <w:pPr>
              <w:jc w:val="center"/>
              <w:rPr>
                <w:rFonts w:hint="default" w:eastAsia="宋体"/>
                <w:sz w:val="24"/>
                <w:szCs w:val="24"/>
                <w:lang w:val="en-US" w:eastAsia="zh-CN"/>
              </w:rPr>
            </w:pPr>
            <w:r>
              <w:rPr>
                <w:rFonts w:hint="eastAsia"/>
                <w:sz w:val="24"/>
                <w:szCs w:val="24"/>
              </w:rPr>
              <w:t>玻璃原片清洗废水</w:t>
            </w:r>
          </w:p>
        </w:tc>
        <w:tc>
          <w:tcPr>
            <w:tcW w:w="618" w:type="pct"/>
            <w:vMerge w:val="restart"/>
            <w:vAlign w:val="center"/>
          </w:tcPr>
          <w:p>
            <w:pPr>
              <w:widowControl/>
              <w:spacing w:line="240" w:lineRule="auto"/>
              <w:jc w:val="center"/>
              <w:textAlignment w:val="center"/>
              <w:rPr>
                <w:rFonts w:hint="eastAsia" w:ascii="Times New Roman" w:hAnsi="Times New Roman" w:eastAsia="宋体" w:cs="宋体"/>
                <w:color w:val="auto"/>
                <w:sz w:val="24"/>
                <w:szCs w:val="24"/>
                <w:shd w:val="clear" w:color="auto" w:fill="auto"/>
              </w:rPr>
            </w:pPr>
            <w:r>
              <w:rPr>
                <w:rFonts w:hint="eastAsia" w:ascii="Times New Roman" w:hAnsi="Times New Roman" w:eastAsia="宋体" w:cs="宋体"/>
                <w:color w:val="auto"/>
                <w:sz w:val="24"/>
                <w:szCs w:val="24"/>
                <w:shd w:val="clear" w:color="auto" w:fill="auto"/>
              </w:rPr>
              <w:t>pH值</w:t>
            </w:r>
            <w:r>
              <w:rPr>
                <w:rFonts w:hint="eastAsia" w:ascii="Times New Roman" w:hAnsi="Times New Roman" w:eastAsia="宋体" w:cs="宋体"/>
                <w:color w:val="auto"/>
                <w:sz w:val="24"/>
                <w:szCs w:val="24"/>
                <w:shd w:val="clear" w:color="auto" w:fill="auto"/>
                <w:lang w:eastAsia="zh-CN"/>
              </w:rPr>
              <w:t>、</w:t>
            </w:r>
            <w:r>
              <w:rPr>
                <w:rFonts w:hint="eastAsia" w:ascii="Times New Roman" w:hAnsi="Times New Roman" w:eastAsia="宋体" w:cs="宋体"/>
                <w:color w:val="auto"/>
                <w:sz w:val="24"/>
                <w:szCs w:val="24"/>
                <w:shd w:val="clear" w:color="auto" w:fill="auto"/>
              </w:rPr>
              <w:t>COD、BOD5、SS、氨氮、</w:t>
            </w:r>
          </w:p>
          <w:p>
            <w:pPr>
              <w:jc w:val="center"/>
              <w:rPr>
                <w:sz w:val="24"/>
                <w:szCs w:val="24"/>
              </w:rPr>
            </w:pPr>
            <w:r>
              <w:rPr>
                <w:rFonts w:hint="eastAsia" w:ascii="Times New Roman" w:hAnsi="Times New Roman" w:eastAsia="宋体" w:cs="宋体"/>
                <w:color w:val="auto"/>
                <w:sz w:val="24"/>
                <w:szCs w:val="24"/>
                <w:shd w:val="clear" w:color="auto" w:fill="auto"/>
              </w:rPr>
              <w:t>总磷</w:t>
            </w:r>
          </w:p>
        </w:tc>
        <w:tc>
          <w:tcPr>
            <w:tcW w:w="1286" w:type="pct"/>
            <w:vAlign w:val="center"/>
          </w:tcPr>
          <w:p>
            <w:pPr>
              <w:jc w:val="center"/>
              <w:rPr>
                <w:sz w:val="24"/>
                <w:szCs w:val="24"/>
              </w:rPr>
            </w:pPr>
            <w:r>
              <w:rPr>
                <w:rFonts w:hint="eastAsia"/>
                <w:sz w:val="24"/>
                <w:szCs w:val="24"/>
                <w:lang w:val="en-US" w:eastAsia="zh-CN"/>
              </w:rPr>
              <w:t>本次扩建玻璃原片清洗废水新增一座沉淀池收集后，回用本项目玻璃清洗</w:t>
            </w:r>
          </w:p>
        </w:tc>
        <w:tc>
          <w:tcPr>
            <w:tcW w:w="1704" w:type="pct"/>
            <w:vAlign w:val="center"/>
          </w:tcPr>
          <w:p>
            <w:pPr>
              <w:jc w:val="center"/>
              <w:rPr>
                <w:rFonts w:cs="Times New Roman" w:eastAsiaTheme="minorEastAsia"/>
                <w:sz w:val="24"/>
                <w:szCs w:val="24"/>
              </w:rPr>
            </w:pPr>
            <w:r>
              <w:rPr>
                <w:rFonts w:hint="eastAsia"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18" w:type="pct"/>
            <w:vMerge w:val="continue"/>
            <w:vAlign w:val="center"/>
          </w:tcPr>
          <w:p>
            <w:pPr>
              <w:jc w:val="center"/>
              <w:rPr>
                <w:rFonts w:cs="Times New Roman" w:eastAsiaTheme="minorEastAsia"/>
                <w:sz w:val="24"/>
                <w:szCs w:val="24"/>
              </w:rPr>
            </w:pPr>
          </w:p>
        </w:tc>
        <w:tc>
          <w:tcPr>
            <w:tcW w:w="972" w:type="pct"/>
            <w:vAlign w:val="center"/>
          </w:tcPr>
          <w:p>
            <w:pPr>
              <w:jc w:val="center"/>
              <w:rPr>
                <w:rFonts w:hint="eastAsia"/>
                <w:sz w:val="24"/>
                <w:szCs w:val="24"/>
              </w:rPr>
            </w:pPr>
            <w:r>
              <w:rPr>
                <w:rFonts w:hint="eastAsia"/>
                <w:sz w:val="24"/>
                <w:szCs w:val="24"/>
              </w:rPr>
              <w:t>纯水机制备废水</w:t>
            </w:r>
          </w:p>
        </w:tc>
        <w:tc>
          <w:tcPr>
            <w:tcW w:w="618" w:type="pct"/>
            <w:vMerge w:val="continue"/>
            <w:vAlign w:val="center"/>
          </w:tcPr>
          <w:p>
            <w:pPr>
              <w:jc w:val="center"/>
              <w:rPr>
                <w:sz w:val="24"/>
                <w:szCs w:val="24"/>
              </w:rPr>
            </w:pPr>
          </w:p>
        </w:tc>
        <w:tc>
          <w:tcPr>
            <w:tcW w:w="1286" w:type="pct"/>
            <w:vMerge w:val="restart"/>
            <w:vAlign w:val="center"/>
          </w:tcPr>
          <w:p>
            <w:pPr>
              <w:jc w:val="center"/>
              <w:rPr>
                <w:sz w:val="24"/>
                <w:szCs w:val="24"/>
              </w:rPr>
            </w:pPr>
            <w:r>
              <w:rPr>
                <w:rFonts w:hint="eastAsia"/>
                <w:sz w:val="24"/>
                <w:szCs w:val="24"/>
              </w:rPr>
              <w:t>预处理池处理后排入园区污水管网</w:t>
            </w:r>
          </w:p>
        </w:tc>
        <w:tc>
          <w:tcPr>
            <w:tcW w:w="1704" w:type="pct"/>
            <w:vMerge w:val="restart"/>
            <w:vAlign w:val="center"/>
          </w:tcPr>
          <w:p>
            <w:pPr>
              <w:jc w:val="center"/>
              <w:rPr>
                <w:rFonts w:cs="Times New Roman" w:eastAsiaTheme="minorEastAsia"/>
                <w:sz w:val="24"/>
                <w:szCs w:val="24"/>
              </w:rPr>
            </w:pPr>
            <w:r>
              <w:rPr>
                <w:rFonts w:hint="eastAsia" w:cs="Times New Roman" w:eastAsiaTheme="minorEastAsia"/>
                <w:sz w:val="24"/>
                <w:szCs w:val="24"/>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18" w:type="pct"/>
            <w:vMerge w:val="continue"/>
            <w:vAlign w:val="center"/>
          </w:tcPr>
          <w:p>
            <w:pPr>
              <w:jc w:val="center"/>
              <w:rPr>
                <w:rFonts w:cs="Times New Roman" w:eastAsiaTheme="minorEastAsia"/>
                <w:sz w:val="24"/>
                <w:szCs w:val="24"/>
              </w:rPr>
            </w:pPr>
          </w:p>
        </w:tc>
        <w:tc>
          <w:tcPr>
            <w:tcW w:w="972" w:type="pct"/>
            <w:vAlign w:val="center"/>
          </w:tcPr>
          <w:p>
            <w:pPr>
              <w:jc w:val="center"/>
              <w:rPr>
                <w:rFonts w:hint="eastAsia" w:eastAsia="宋体"/>
                <w:sz w:val="24"/>
                <w:szCs w:val="24"/>
                <w:lang w:eastAsia="zh-CN"/>
              </w:rPr>
            </w:pPr>
            <w:r>
              <w:rPr>
                <w:rFonts w:hint="eastAsia"/>
                <w:sz w:val="24"/>
                <w:szCs w:val="24"/>
              </w:rPr>
              <w:t>生活污水</w:t>
            </w:r>
          </w:p>
        </w:tc>
        <w:tc>
          <w:tcPr>
            <w:tcW w:w="618" w:type="pct"/>
            <w:vMerge w:val="continue"/>
            <w:vAlign w:val="center"/>
          </w:tcPr>
          <w:p>
            <w:pPr>
              <w:rPr>
                <w:sz w:val="24"/>
                <w:szCs w:val="24"/>
              </w:rPr>
            </w:pPr>
          </w:p>
        </w:tc>
        <w:tc>
          <w:tcPr>
            <w:tcW w:w="1286" w:type="pct"/>
            <w:vMerge w:val="continue"/>
            <w:vAlign w:val="center"/>
          </w:tcPr>
          <w:p>
            <w:pPr>
              <w:jc w:val="center"/>
              <w:rPr>
                <w:sz w:val="24"/>
                <w:szCs w:val="24"/>
              </w:rPr>
            </w:pPr>
          </w:p>
        </w:tc>
        <w:tc>
          <w:tcPr>
            <w:tcW w:w="1704" w:type="pct"/>
            <w:vMerge w:val="continue"/>
            <w:vAlign w:val="center"/>
          </w:tcPr>
          <w:p>
            <w:pPr>
              <w:jc w:val="center"/>
              <w:rPr>
                <w:rFonts w:cs="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8" w:type="pct"/>
            <w:vAlign w:val="center"/>
          </w:tcPr>
          <w:p>
            <w:pPr>
              <w:jc w:val="center"/>
              <w:rPr>
                <w:rFonts w:cs="Times New Roman" w:eastAsiaTheme="minorEastAsia"/>
                <w:sz w:val="24"/>
                <w:szCs w:val="24"/>
              </w:rPr>
            </w:pPr>
            <w:r>
              <w:rPr>
                <w:rFonts w:cs="Times New Roman" w:eastAsiaTheme="minorEastAsia"/>
                <w:sz w:val="24"/>
                <w:szCs w:val="24"/>
              </w:rPr>
              <w:t>声环境</w:t>
            </w:r>
          </w:p>
        </w:tc>
        <w:tc>
          <w:tcPr>
            <w:tcW w:w="972" w:type="pct"/>
            <w:vAlign w:val="center"/>
          </w:tcPr>
          <w:p>
            <w:pPr>
              <w:jc w:val="center"/>
              <w:rPr>
                <w:rFonts w:cs="Times New Roman" w:eastAsiaTheme="minorEastAsia"/>
                <w:sz w:val="24"/>
                <w:szCs w:val="24"/>
              </w:rPr>
            </w:pPr>
            <w:r>
              <w:rPr>
                <w:rFonts w:hint="eastAsia" w:cs="Times New Roman" w:eastAsiaTheme="minorEastAsia"/>
                <w:sz w:val="24"/>
                <w:szCs w:val="24"/>
              </w:rPr>
              <w:t>生产设备</w:t>
            </w:r>
          </w:p>
        </w:tc>
        <w:tc>
          <w:tcPr>
            <w:tcW w:w="618" w:type="pct"/>
            <w:vAlign w:val="center"/>
          </w:tcPr>
          <w:p>
            <w:pPr>
              <w:jc w:val="center"/>
              <w:rPr>
                <w:rFonts w:cs="Times New Roman" w:eastAsiaTheme="minorEastAsia"/>
                <w:sz w:val="24"/>
                <w:szCs w:val="24"/>
              </w:rPr>
            </w:pPr>
            <w:r>
              <w:rPr>
                <w:rFonts w:cs="Times New Roman" w:eastAsiaTheme="minorEastAsia"/>
                <w:sz w:val="24"/>
                <w:szCs w:val="24"/>
              </w:rPr>
              <w:t>噪声</w:t>
            </w:r>
          </w:p>
        </w:tc>
        <w:tc>
          <w:tcPr>
            <w:tcW w:w="1286" w:type="pct"/>
            <w:vAlign w:val="center"/>
          </w:tcPr>
          <w:p>
            <w:pPr>
              <w:jc w:val="center"/>
              <w:rPr>
                <w:rFonts w:cs="Times New Roman" w:eastAsiaTheme="minorEastAsia"/>
                <w:sz w:val="24"/>
                <w:szCs w:val="24"/>
              </w:rPr>
            </w:pPr>
            <w:r>
              <w:rPr>
                <w:rFonts w:hint="eastAsia" w:cs="Times New Roman" w:eastAsiaTheme="minorEastAsia"/>
                <w:sz w:val="24"/>
                <w:szCs w:val="24"/>
              </w:rPr>
              <w:t>选低噪声设备，采取基础减振、消声、隔声措施</w:t>
            </w:r>
          </w:p>
        </w:tc>
        <w:tc>
          <w:tcPr>
            <w:tcW w:w="1704" w:type="pct"/>
            <w:vAlign w:val="center"/>
          </w:tcPr>
          <w:p>
            <w:pPr>
              <w:jc w:val="center"/>
              <w:rPr>
                <w:rFonts w:cs="Times New Roman" w:eastAsiaTheme="minorEastAsia"/>
                <w:sz w:val="24"/>
                <w:szCs w:val="24"/>
              </w:rPr>
            </w:pPr>
            <w:r>
              <w:rPr>
                <w:rFonts w:hint="eastAsia" w:cs="Times New Roman" w:eastAsiaTheme="minorEastAsia"/>
                <w:sz w:val="24"/>
                <w:szCs w:val="24"/>
              </w:rPr>
              <w:t>《工业企业厂界环境噪声排放标准》（GB12348-2008）3类标准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18" w:type="pct"/>
            <w:vAlign w:val="center"/>
          </w:tcPr>
          <w:p>
            <w:pPr>
              <w:jc w:val="center"/>
              <w:rPr>
                <w:rFonts w:cs="Times New Roman" w:eastAsiaTheme="minorEastAsia"/>
                <w:sz w:val="24"/>
                <w:szCs w:val="24"/>
              </w:rPr>
            </w:pPr>
            <w:r>
              <w:rPr>
                <w:rFonts w:hint="eastAsia" w:cs="Times New Roman" w:eastAsiaTheme="minorEastAsia"/>
                <w:sz w:val="24"/>
                <w:szCs w:val="24"/>
              </w:rPr>
              <w:t>电磁辐射</w:t>
            </w:r>
          </w:p>
        </w:tc>
        <w:tc>
          <w:tcPr>
            <w:tcW w:w="972" w:type="pct"/>
            <w:vAlign w:val="center"/>
          </w:tcPr>
          <w:p>
            <w:pPr>
              <w:jc w:val="center"/>
              <w:rPr>
                <w:rFonts w:cs="Times New Roman" w:eastAsiaTheme="minorEastAsia"/>
                <w:sz w:val="24"/>
                <w:szCs w:val="24"/>
              </w:rPr>
            </w:pPr>
            <w:r>
              <w:rPr>
                <w:rFonts w:hint="eastAsia" w:cs="Times New Roman" w:eastAsiaTheme="minorEastAsia"/>
                <w:sz w:val="24"/>
                <w:szCs w:val="24"/>
              </w:rPr>
              <w:t>/</w:t>
            </w:r>
          </w:p>
        </w:tc>
        <w:tc>
          <w:tcPr>
            <w:tcW w:w="618" w:type="pct"/>
            <w:vAlign w:val="center"/>
          </w:tcPr>
          <w:p>
            <w:pPr>
              <w:jc w:val="center"/>
              <w:rPr>
                <w:rFonts w:cs="Times New Roman" w:eastAsiaTheme="minorEastAsia"/>
                <w:sz w:val="24"/>
                <w:szCs w:val="24"/>
              </w:rPr>
            </w:pPr>
            <w:r>
              <w:rPr>
                <w:rFonts w:hint="eastAsia" w:cs="Times New Roman" w:eastAsiaTheme="minorEastAsia"/>
                <w:sz w:val="24"/>
                <w:szCs w:val="24"/>
              </w:rPr>
              <w:t>/</w:t>
            </w:r>
          </w:p>
        </w:tc>
        <w:tc>
          <w:tcPr>
            <w:tcW w:w="1286" w:type="pct"/>
            <w:vAlign w:val="center"/>
          </w:tcPr>
          <w:p>
            <w:pPr>
              <w:jc w:val="center"/>
              <w:rPr>
                <w:rFonts w:cs="Times New Roman" w:eastAsiaTheme="minorEastAsia"/>
                <w:sz w:val="24"/>
                <w:szCs w:val="24"/>
              </w:rPr>
            </w:pPr>
            <w:r>
              <w:rPr>
                <w:rFonts w:hint="eastAsia" w:cs="Times New Roman" w:eastAsiaTheme="minorEastAsia"/>
                <w:sz w:val="24"/>
                <w:szCs w:val="24"/>
              </w:rPr>
              <w:t>/</w:t>
            </w:r>
          </w:p>
        </w:tc>
        <w:tc>
          <w:tcPr>
            <w:tcW w:w="1704" w:type="pct"/>
            <w:vAlign w:val="center"/>
          </w:tcPr>
          <w:p>
            <w:pPr>
              <w:jc w:val="center"/>
              <w:rPr>
                <w:rFonts w:cs="Times New Roman" w:eastAsiaTheme="minorEastAsia"/>
                <w:sz w:val="24"/>
                <w:szCs w:val="24"/>
              </w:rPr>
            </w:pPr>
            <w:r>
              <w:rPr>
                <w:rFonts w:hint="eastAsia"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Align w:val="center"/>
          </w:tcPr>
          <w:p>
            <w:pPr>
              <w:jc w:val="center"/>
              <w:rPr>
                <w:rFonts w:cs="Times New Roman" w:eastAsiaTheme="minorEastAsia"/>
                <w:sz w:val="24"/>
                <w:szCs w:val="24"/>
              </w:rPr>
            </w:pPr>
            <w:r>
              <w:rPr>
                <w:rFonts w:hint="eastAsia" w:cs="Times New Roman" w:eastAsiaTheme="minorEastAsia"/>
                <w:sz w:val="24"/>
                <w:szCs w:val="24"/>
              </w:rPr>
              <w:t>固体废物</w:t>
            </w:r>
          </w:p>
        </w:tc>
        <w:tc>
          <w:tcPr>
            <w:tcW w:w="4581" w:type="pct"/>
            <w:gridSpan w:val="4"/>
            <w:vAlign w:val="center"/>
          </w:tcPr>
          <w:p>
            <w:pPr>
              <w:spacing w:line="360" w:lineRule="auto"/>
              <w:ind w:firstLine="480" w:firstLineChars="200"/>
              <w:rPr>
                <w:rFonts w:hint="eastAsia"/>
                <w:lang w:eastAsia="zh-CN"/>
              </w:rPr>
            </w:pPr>
            <w:r>
              <w:rPr>
                <w:rFonts w:hint="eastAsia" w:cs="Times New Roman" w:eastAsiaTheme="minorEastAsia"/>
                <w:sz w:val="24"/>
                <w:szCs w:val="24"/>
              </w:rPr>
              <w:t>生活垃圾分类收集后交环卫部门清运处理</w:t>
            </w:r>
            <w:r>
              <w:rPr>
                <w:rFonts w:hint="eastAsia" w:cs="Times New Roman" w:eastAsiaTheme="minorEastAsia"/>
                <w:sz w:val="24"/>
                <w:szCs w:val="24"/>
                <w:lang w:eastAsia="zh-CN"/>
              </w:rPr>
              <w:t>；不合格涂膜玻璃外售废旧资源回收站；废包装材料外售废旧资源回收站；预处理池污泥、沉淀池沉渣定期清掏，交由环卫部门清运处理；废离子交换树脂由厂家回收处理，不在项目场地内暂存；</w:t>
            </w:r>
            <w:r>
              <w:rPr>
                <w:rFonts w:hint="eastAsia" w:cs="Times New Roman" w:eastAsiaTheme="minorEastAsia"/>
                <w:sz w:val="24"/>
                <w:szCs w:val="24"/>
                <w:lang w:val="zh-CN" w:eastAsia="zh-CN"/>
              </w:rPr>
              <w:t>废活性炭、隔热剂及包装桶、废机油及废机油桶、含油棉纱及手套等危险废物，在危废暂存间暂存，然后交由有资质单位进行处置。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Align w:val="center"/>
          </w:tcPr>
          <w:p>
            <w:pPr>
              <w:jc w:val="center"/>
              <w:rPr>
                <w:rFonts w:hint="eastAsia" w:ascii="Times New Roman" w:hAnsi="Times New Roman" w:cs="Times New Roman" w:eastAsiaTheme="minorEastAsia"/>
                <w:kern w:val="2"/>
                <w:sz w:val="24"/>
                <w:szCs w:val="24"/>
                <w:lang w:val="en-US" w:eastAsia="zh-CN" w:bidi="ar-SA"/>
              </w:rPr>
            </w:pPr>
            <w:r>
              <w:rPr>
                <w:rFonts w:hint="eastAsia" w:cs="Times New Roman" w:eastAsiaTheme="minorEastAsia"/>
                <w:sz w:val="24"/>
                <w:szCs w:val="24"/>
              </w:rPr>
              <w:t>土壤及地下水污染防治措施</w:t>
            </w:r>
          </w:p>
        </w:tc>
        <w:tc>
          <w:tcPr>
            <w:tcW w:w="4581" w:type="pct"/>
            <w:gridSpan w:val="4"/>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both"/>
              <w:textAlignment w:val="auto"/>
              <w:rPr>
                <w:rFonts w:ascii="Times New Roman" w:hAnsi="Times New Roman" w:cs="Times New Roman"/>
                <w:color w:val="auto"/>
                <w:kern w:val="2"/>
                <w:sz w:val="24"/>
                <w:szCs w:val="24"/>
                <w:lang w:eastAsia="zh-CN"/>
              </w:rPr>
            </w:pPr>
            <w:r>
              <w:rPr>
                <w:rFonts w:ascii="Times New Roman" w:hAnsi="Times New Roman" w:cs="Times New Roman"/>
                <w:b/>
                <w:bCs/>
                <w:color w:val="auto"/>
                <w:kern w:val="2"/>
                <w:sz w:val="24"/>
                <w:szCs w:val="24"/>
                <w:lang w:eastAsia="zh-CN"/>
              </w:rPr>
              <w:t>重点防渗区：</w:t>
            </w:r>
            <w:r>
              <w:rPr>
                <w:rFonts w:hint="eastAsia" w:ascii="Times New Roman" w:hAnsi="Times New Roman" w:cs="Times New Roman"/>
                <w:color w:val="auto"/>
                <w:kern w:val="2"/>
                <w:sz w:val="24"/>
                <w:szCs w:val="24"/>
                <w:lang w:eastAsia="zh-CN"/>
              </w:rPr>
              <w:t>危废暂存间，危废暂存间已</w:t>
            </w:r>
            <w:r>
              <w:rPr>
                <w:rFonts w:ascii="Times New Roman" w:hAnsi="Times New Roman" w:cs="Times New Roman"/>
                <w:color w:val="auto"/>
                <w:kern w:val="2"/>
                <w:sz w:val="24"/>
                <w:szCs w:val="24"/>
                <w:lang w:eastAsia="zh-CN"/>
              </w:rPr>
              <w:t>采取“2mm厚环氧树脂地坪或其他人工等效材料”等防渗措施后，确保防渗层满足渗透系数K&lt;1</w:t>
            </w:r>
            <w:r>
              <w:rPr>
                <w:rFonts w:ascii="Times New Roman" w:hAnsi="Times New Roman" w:cs="Times New Roman"/>
                <w:bCs/>
                <w:color w:val="auto"/>
                <w:kern w:val="2"/>
                <w:sz w:val="24"/>
                <w:szCs w:val="24"/>
                <w:lang w:eastAsia="zh-CN"/>
              </w:rPr>
              <w:t>×</w:t>
            </w:r>
            <w:r>
              <w:rPr>
                <w:rFonts w:ascii="Times New Roman" w:hAnsi="Times New Roman" w:cs="Times New Roman"/>
                <w:color w:val="auto"/>
                <w:kern w:val="2"/>
                <w:sz w:val="24"/>
                <w:szCs w:val="24"/>
                <w:lang w:eastAsia="zh-CN"/>
              </w:rPr>
              <w:t>10</w:t>
            </w:r>
            <w:r>
              <w:rPr>
                <w:rFonts w:ascii="Times New Roman" w:hAnsi="Times New Roman" w:cs="Times New Roman"/>
                <w:color w:val="auto"/>
                <w:kern w:val="2"/>
                <w:sz w:val="24"/>
                <w:szCs w:val="24"/>
                <w:vertAlign w:val="superscript"/>
                <w:lang w:eastAsia="zh-CN"/>
              </w:rPr>
              <w:t>-l0</w:t>
            </w:r>
            <w:r>
              <w:rPr>
                <w:rFonts w:ascii="Times New Roman" w:hAnsi="Times New Roman" w:cs="Times New Roman"/>
                <w:color w:val="auto"/>
                <w:kern w:val="2"/>
                <w:sz w:val="24"/>
                <w:szCs w:val="24"/>
                <w:lang w:eastAsia="zh-CN"/>
              </w:rPr>
              <w:t>cm/s。</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2"/>
                <w:sz w:val="24"/>
                <w:szCs w:val="24"/>
                <w:lang w:eastAsia="zh-CN"/>
              </w:rPr>
            </w:pPr>
            <w:r>
              <w:rPr>
                <w:rFonts w:ascii="Times New Roman" w:hAnsi="Times New Roman" w:cs="Times New Roman"/>
                <w:color w:val="auto"/>
                <w:kern w:val="2"/>
                <w:sz w:val="24"/>
                <w:szCs w:val="24"/>
                <w:lang w:eastAsia="zh-CN"/>
              </w:rPr>
              <w:t>危废间地面设置不锈钢防渗托盘，使危险固废桶装后放置于不锈钢防渗托盘内，可有效防止危险物质渗入地下。</w:t>
            </w:r>
            <w:r>
              <w:rPr>
                <w:rFonts w:ascii="Times New Roman" w:hAnsi="Times New Roman" w:cs="Times New Roman"/>
                <w:bCs/>
                <w:color w:val="auto"/>
                <w:kern w:val="2"/>
                <w:sz w:val="24"/>
                <w:szCs w:val="24"/>
                <w:lang w:eastAsia="zh-CN"/>
              </w:rPr>
              <w:t>该区域满足</w:t>
            </w:r>
            <w:r>
              <w:rPr>
                <w:rFonts w:ascii="Times New Roman" w:hAnsi="Times New Roman" w:cs="Times New Roman"/>
                <w:color w:val="auto"/>
                <w:kern w:val="2"/>
                <w:sz w:val="24"/>
                <w:szCs w:val="24"/>
                <w:lang w:eastAsia="zh-CN"/>
              </w:rPr>
              <w:t>重点防渗技术要求。</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both"/>
              <w:textAlignment w:val="auto"/>
              <w:rPr>
                <w:rFonts w:ascii="Times New Roman" w:hAnsi="Times New Roman" w:cs="Times New Roman"/>
                <w:color w:val="auto"/>
                <w:kern w:val="2"/>
                <w:sz w:val="24"/>
                <w:szCs w:val="24"/>
                <w:lang w:eastAsia="zh-CN"/>
              </w:rPr>
            </w:pPr>
            <w:r>
              <w:rPr>
                <w:rFonts w:ascii="Times New Roman" w:hAnsi="Times New Roman" w:cs="Times New Roman"/>
                <w:b/>
                <w:bCs/>
                <w:color w:val="auto"/>
                <w:kern w:val="2"/>
                <w:sz w:val="24"/>
                <w:szCs w:val="24"/>
                <w:lang w:eastAsia="zh-CN"/>
              </w:rPr>
              <w:t>一般防渗区：</w:t>
            </w:r>
            <w:r>
              <w:rPr>
                <w:rFonts w:ascii="Times New Roman" w:hAnsi="Times New Roman" w:cs="Times New Roman"/>
                <w:color w:val="auto"/>
                <w:sz w:val="24"/>
                <w:szCs w:val="24"/>
                <w:lang w:eastAsia="zh-CN" w:bidi="ar"/>
              </w:rPr>
              <w:t>包括</w:t>
            </w:r>
            <w:r>
              <w:rPr>
                <w:rFonts w:hint="eastAsia" w:ascii="Times New Roman" w:hAnsi="Times New Roman" w:cs="Times New Roman"/>
                <w:color w:val="auto"/>
                <w:sz w:val="24"/>
                <w:szCs w:val="24"/>
                <w:lang w:eastAsia="zh-CN" w:bidi="ar"/>
              </w:rPr>
              <w:t>隔热剂储存间（丁基胶等暂存间）、预处理池、机修间、1#加工车间、</w:t>
            </w:r>
            <w:r>
              <w:rPr>
                <w:rFonts w:hint="eastAsia" w:ascii="Times New Roman" w:hAnsi="Times New Roman" w:cs="Times New Roman"/>
                <w:color w:val="auto"/>
                <w:sz w:val="24"/>
                <w:szCs w:val="24"/>
                <w:lang w:val="en-US" w:eastAsia="zh-CN" w:bidi="ar"/>
              </w:rPr>
              <w:t>2#加工车间、镀膜车间</w:t>
            </w:r>
            <w:r>
              <w:rPr>
                <w:rFonts w:hint="eastAsia" w:cs="Times New Roman"/>
                <w:color w:val="auto"/>
                <w:sz w:val="24"/>
                <w:szCs w:val="24"/>
                <w:lang w:val="en-US" w:eastAsia="zh-CN" w:bidi="ar"/>
              </w:rPr>
              <w:t>、沉淀池</w:t>
            </w:r>
            <w:r>
              <w:rPr>
                <w:rFonts w:ascii="Times New Roman" w:hAnsi="Times New Roman" w:cs="Times New Roman"/>
                <w:color w:val="auto"/>
                <w:sz w:val="24"/>
                <w:szCs w:val="24"/>
                <w:lang w:eastAsia="zh-CN" w:bidi="ar"/>
              </w:rPr>
              <w:t>等。一般防渗区能满足各单元等效黏土层≥1.5m、渗透系数≤10</w:t>
            </w:r>
            <w:r>
              <w:rPr>
                <w:rFonts w:ascii="Times New Roman" w:hAnsi="Times New Roman" w:cs="Times New Roman"/>
                <w:color w:val="auto"/>
                <w:sz w:val="24"/>
                <w:szCs w:val="24"/>
                <w:vertAlign w:val="superscript"/>
                <w:lang w:eastAsia="zh-CN" w:bidi="ar"/>
              </w:rPr>
              <w:t>-7</w:t>
            </w:r>
            <w:r>
              <w:rPr>
                <w:rFonts w:ascii="Times New Roman" w:hAnsi="Times New Roman" w:cs="Times New Roman"/>
                <w:color w:val="auto"/>
                <w:sz w:val="24"/>
                <w:szCs w:val="24"/>
                <w:lang w:eastAsia="zh-CN" w:bidi="ar"/>
              </w:rPr>
              <w:t>cm/s，</w:t>
            </w:r>
            <w:r>
              <w:rPr>
                <w:rFonts w:ascii="Times New Roman" w:hAnsi="Times New Roman" w:cs="Times New Roman"/>
                <w:color w:val="auto"/>
                <w:kern w:val="2"/>
                <w:sz w:val="24"/>
                <w:szCs w:val="24"/>
                <w:lang w:eastAsia="zh-CN"/>
              </w:rPr>
              <w:t>满足一般防渗技术要求。</w:t>
            </w:r>
          </w:p>
          <w:p>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kern w:val="2"/>
                <w:sz w:val="24"/>
                <w:szCs w:val="24"/>
                <w:lang w:val="en-US" w:eastAsia="zh-CN" w:bidi="ar-SA"/>
              </w:rPr>
            </w:pPr>
            <w:r>
              <w:rPr>
                <w:rFonts w:ascii="Times New Roman" w:hAnsi="Times New Roman" w:cs="Times New Roman"/>
                <w:b/>
                <w:bCs/>
                <w:color w:val="auto"/>
                <w:sz w:val="24"/>
                <w:szCs w:val="24"/>
                <w:lang w:eastAsia="zh-CN"/>
              </w:rPr>
              <w:t>简单防渗区：</w:t>
            </w:r>
            <w:r>
              <w:rPr>
                <w:rFonts w:hint="eastAsia" w:ascii="Times New Roman" w:hAnsi="Times New Roman" w:cs="Times New Roman"/>
                <w:b w:val="0"/>
                <w:bCs w:val="0"/>
                <w:color w:val="auto"/>
                <w:sz w:val="24"/>
                <w:szCs w:val="24"/>
                <w:lang w:eastAsia="zh-CN"/>
              </w:rPr>
              <w:t>综合办公楼、食堂就餐区、辅助车间</w:t>
            </w:r>
            <w:r>
              <w:rPr>
                <w:rFonts w:ascii="Times New Roman" w:hAnsi="Times New Roman" w:cs="Times New Roman"/>
                <w:b w:val="0"/>
                <w:bCs w:val="0"/>
                <w:color w:val="auto"/>
                <w:sz w:val="24"/>
                <w:szCs w:val="24"/>
                <w:lang w:eastAsia="zh-CN"/>
              </w:rPr>
              <w:t>、过道</w:t>
            </w:r>
            <w:r>
              <w:rPr>
                <w:rFonts w:hint="eastAsia" w:ascii="Times New Roman" w:hAnsi="Times New Roman" w:cs="Times New Roman"/>
                <w:b w:val="0"/>
                <w:bCs w:val="0"/>
                <w:color w:val="auto"/>
                <w:sz w:val="24"/>
                <w:szCs w:val="24"/>
                <w:lang w:eastAsia="zh-CN"/>
              </w:rPr>
              <w:t>、一般固废暂存间</w:t>
            </w:r>
            <w:r>
              <w:rPr>
                <w:rFonts w:ascii="Times New Roman" w:hAnsi="Times New Roman" w:cs="Times New Roman"/>
                <w:color w:val="auto"/>
                <w:sz w:val="24"/>
                <w:szCs w:val="24"/>
                <w:lang w:eastAsia="zh-CN"/>
              </w:rPr>
              <w:t>等。现状已进行</w:t>
            </w:r>
            <w:r>
              <w:rPr>
                <w:rFonts w:ascii="Times New Roman" w:hAnsi="Times New Roman" w:cs="Times New Roman"/>
                <w:color w:val="auto"/>
                <w:kern w:val="2"/>
                <w:sz w:val="24"/>
                <w:szCs w:val="24"/>
                <w:lang w:eastAsia="zh-CN"/>
              </w:rPr>
              <w:t>混凝土浇注硬化，</w:t>
            </w:r>
            <w:r>
              <w:rPr>
                <w:rFonts w:ascii="Times New Roman" w:hAnsi="Times New Roman" w:cs="Times New Roman"/>
                <w:color w:val="auto"/>
                <w:sz w:val="24"/>
                <w:szCs w:val="24"/>
                <w:lang w:eastAsia="zh-CN" w:bidi="ar"/>
              </w:rPr>
              <w:t>满足简单防渗要求。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8" w:type="pct"/>
            <w:vAlign w:val="center"/>
          </w:tcPr>
          <w:p>
            <w:pPr>
              <w:jc w:val="center"/>
              <w:rPr>
                <w:rFonts w:cs="Times New Roman" w:eastAsiaTheme="minorEastAsia"/>
                <w:sz w:val="24"/>
                <w:szCs w:val="24"/>
              </w:rPr>
            </w:pPr>
            <w:r>
              <w:rPr>
                <w:rFonts w:hint="eastAsia" w:cs="Times New Roman" w:eastAsiaTheme="minorEastAsia"/>
                <w:sz w:val="24"/>
                <w:szCs w:val="24"/>
              </w:rPr>
              <w:t>生态保护措施</w:t>
            </w:r>
          </w:p>
        </w:tc>
        <w:tc>
          <w:tcPr>
            <w:tcW w:w="4581" w:type="pct"/>
            <w:gridSpan w:val="4"/>
            <w:vAlign w:val="center"/>
          </w:tcPr>
          <w:p>
            <w:pPr>
              <w:jc w:val="center"/>
              <w:rPr>
                <w:rFonts w:cs="Times New Roman" w:eastAsiaTheme="minorEastAsia"/>
                <w:sz w:val="24"/>
                <w:szCs w:val="24"/>
              </w:rPr>
            </w:pPr>
            <w:r>
              <w:rPr>
                <w:rFonts w:hint="eastAsia" w:cs="Times New Roman"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8" w:type="pct"/>
            <w:vAlign w:val="center"/>
          </w:tcPr>
          <w:p>
            <w:pPr>
              <w:jc w:val="center"/>
              <w:rPr>
                <w:rFonts w:cs="Times New Roman" w:eastAsiaTheme="minorEastAsia"/>
                <w:sz w:val="24"/>
                <w:szCs w:val="24"/>
              </w:rPr>
            </w:pPr>
            <w:r>
              <w:rPr>
                <w:rFonts w:hint="eastAsia" w:cs="Times New Roman" w:eastAsiaTheme="minorEastAsia"/>
                <w:sz w:val="24"/>
                <w:szCs w:val="24"/>
              </w:rPr>
              <w:t>环境风险</w:t>
            </w:r>
          </w:p>
          <w:p>
            <w:pPr>
              <w:jc w:val="center"/>
              <w:rPr>
                <w:rFonts w:cs="Times New Roman" w:eastAsiaTheme="minorEastAsia"/>
                <w:sz w:val="24"/>
                <w:szCs w:val="24"/>
              </w:rPr>
            </w:pPr>
            <w:r>
              <w:rPr>
                <w:rFonts w:hint="eastAsia" w:cs="Times New Roman" w:eastAsiaTheme="minorEastAsia"/>
                <w:sz w:val="24"/>
                <w:szCs w:val="24"/>
              </w:rPr>
              <w:t>防范措施</w:t>
            </w:r>
          </w:p>
        </w:tc>
        <w:tc>
          <w:tcPr>
            <w:tcW w:w="4581" w:type="pct"/>
            <w:gridSpan w:val="4"/>
            <w:vAlign w:val="center"/>
          </w:tcPr>
          <w:p>
            <w:pPr>
              <w:pStyle w:val="94"/>
              <w:wordWrap w:val="0"/>
              <w:spacing w:before="120" w:beforeLines="50" w:line="360" w:lineRule="auto"/>
              <w:ind w:firstLine="480" w:firstLineChars="200"/>
              <w:jc w:val="left"/>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w:t>
            </w:r>
            <w:r>
              <w:rPr>
                <w:rFonts w:ascii="Times New Roman" w:hAnsi="Times New Roman" w:cs="Times New Roman"/>
                <w:color w:val="auto"/>
                <w:sz w:val="24"/>
                <w:szCs w:val="24"/>
                <w:lang w:eastAsia="zh-CN"/>
              </w:rPr>
              <w:t>项目按《建筑设计防火规范》（GB50016-20</w:t>
            </w:r>
            <w:r>
              <w:rPr>
                <w:rFonts w:hint="eastAsia" w:ascii="Times New Roman" w:hAnsi="Times New Roman" w:cs="Times New Roman"/>
                <w:color w:val="auto"/>
                <w:sz w:val="24"/>
                <w:szCs w:val="24"/>
                <w:lang w:eastAsia="zh-CN"/>
              </w:rPr>
              <w:t>14</w:t>
            </w:r>
            <w:r>
              <w:rPr>
                <w:rFonts w:ascii="Times New Roman" w:hAnsi="Times New Roman" w:cs="Times New Roman"/>
                <w:color w:val="auto"/>
                <w:sz w:val="24"/>
                <w:szCs w:val="24"/>
                <w:lang w:eastAsia="zh-CN"/>
              </w:rPr>
              <w:t>）要求进行</w:t>
            </w:r>
            <w:r>
              <w:rPr>
                <w:rFonts w:hint="eastAsia" w:ascii="Times New Roman" w:hAnsi="Times New Roman" w:cs="Times New Roman"/>
                <w:color w:val="auto"/>
                <w:sz w:val="24"/>
                <w:szCs w:val="24"/>
                <w:lang w:eastAsia="zh-CN"/>
              </w:rPr>
              <w:t>项目</w:t>
            </w:r>
            <w:r>
              <w:rPr>
                <w:rFonts w:ascii="Times New Roman" w:hAnsi="Times New Roman" w:cs="Times New Roman"/>
                <w:color w:val="auto"/>
                <w:sz w:val="24"/>
                <w:szCs w:val="24"/>
                <w:lang w:eastAsia="zh-CN"/>
              </w:rPr>
              <w:t>平面布置、建筑设计、建设消防供水保障系统，布置消防器材。</w:t>
            </w:r>
          </w:p>
          <w:p>
            <w:pPr>
              <w:pStyle w:val="94"/>
              <w:wordWrap w:val="0"/>
              <w:spacing w:line="360" w:lineRule="auto"/>
              <w:ind w:firstLine="480" w:firstLineChars="200"/>
              <w:jc w:val="left"/>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w:t>
            </w:r>
            <w:r>
              <w:rPr>
                <w:rFonts w:ascii="Times New Roman" w:hAnsi="Times New Roman" w:cs="Times New Roman"/>
                <w:color w:val="auto"/>
                <w:sz w:val="24"/>
                <w:szCs w:val="24"/>
                <w:lang w:eastAsia="zh-CN"/>
              </w:rPr>
              <w:t>加强岗位培训，落实安全生产责任制、落实各项安全技术措施</w:t>
            </w:r>
            <w:r>
              <w:rPr>
                <w:rFonts w:hint="eastAsia" w:ascii="Times New Roman" w:hAnsi="Times New Roman" w:cs="Times New Roman"/>
                <w:color w:val="auto"/>
                <w:sz w:val="24"/>
                <w:szCs w:val="24"/>
                <w:lang w:eastAsia="zh-CN"/>
              </w:rPr>
              <w:t>。</w:t>
            </w:r>
          </w:p>
          <w:p>
            <w:pPr>
              <w:pStyle w:val="94"/>
              <w:wordWrap w:val="0"/>
              <w:spacing w:line="360" w:lineRule="auto"/>
              <w:ind w:firstLine="480" w:firstLineChars="200"/>
              <w:jc w:val="left"/>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（3）</w:t>
            </w:r>
            <w:r>
              <w:rPr>
                <w:rFonts w:ascii="Times New Roman" w:hAnsi="Times New Roman" w:cs="Times New Roman"/>
                <w:color w:val="auto"/>
                <w:sz w:val="24"/>
                <w:szCs w:val="24"/>
                <w:lang w:eastAsia="zh-CN"/>
              </w:rPr>
              <w:t>危废暂存间按照《危险废物贮存污染控制标准》(GB18597-20</w:t>
            </w:r>
            <w:r>
              <w:rPr>
                <w:rFonts w:hint="eastAsia" w:cs="Times New Roman"/>
                <w:color w:val="auto"/>
                <w:sz w:val="24"/>
                <w:szCs w:val="24"/>
                <w:lang w:val="en-US" w:eastAsia="zh-CN"/>
              </w:rPr>
              <w:t>23</w:t>
            </w:r>
            <w:r>
              <w:rPr>
                <w:rFonts w:ascii="Times New Roman" w:hAnsi="Times New Roman" w:cs="Times New Roman"/>
                <w:color w:val="auto"/>
                <w:sz w:val="24"/>
                <w:szCs w:val="24"/>
                <w:lang w:eastAsia="zh-CN"/>
              </w:rPr>
              <w:t>)的管理规定，对暂存间做好</w:t>
            </w:r>
            <w:r>
              <w:rPr>
                <w:rFonts w:hint="eastAsia" w:cs="Times New Roman"/>
                <w:color w:val="auto"/>
                <w:sz w:val="24"/>
                <w:szCs w:val="24"/>
                <w:lang w:eastAsia="zh-CN"/>
              </w:rPr>
              <w:t>六</w:t>
            </w:r>
            <w:r>
              <w:rPr>
                <w:rFonts w:ascii="Times New Roman" w:hAnsi="Times New Roman" w:cs="Times New Roman"/>
                <w:color w:val="auto"/>
                <w:sz w:val="24"/>
                <w:szCs w:val="24"/>
                <w:lang w:eastAsia="zh-CN"/>
              </w:rPr>
              <w:t>防(</w:t>
            </w:r>
            <w:r>
              <w:rPr>
                <w:rFonts w:hint="eastAsia" w:ascii="Times New Roman" w:hAnsi="Times New Roman" w:cs="Times New Roman"/>
                <w:color w:val="auto"/>
                <w:sz w:val="24"/>
                <w:szCs w:val="24"/>
                <w:lang w:eastAsia="zh-CN"/>
              </w:rPr>
              <w:t>防风、防晒、防雨、防漏、防渗、防腐</w:t>
            </w:r>
            <w:r>
              <w:rPr>
                <w:rFonts w:ascii="Times New Roman" w:hAnsi="Times New Roman" w:cs="Times New Roman"/>
                <w:color w:val="auto"/>
                <w:sz w:val="24"/>
                <w:szCs w:val="24"/>
                <w:lang w:eastAsia="zh-CN"/>
              </w:rPr>
              <w:t>)措施，设有事故槽，以防药品泄漏后，造成二次污染。</w:t>
            </w:r>
          </w:p>
          <w:p>
            <w:pPr>
              <w:pStyle w:val="94"/>
              <w:wordWrap w:val="0"/>
              <w:spacing w:line="360" w:lineRule="auto"/>
              <w:ind w:firstLine="480" w:firstLineChars="200"/>
              <w:jc w:val="left"/>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（4）</w:t>
            </w:r>
            <w:r>
              <w:rPr>
                <w:rFonts w:ascii="Times New Roman" w:hAnsi="Times New Roman" w:cs="Times New Roman"/>
                <w:color w:val="auto"/>
                <w:sz w:val="24"/>
                <w:szCs w:val="24"/>
                <w:lang w:eastAsia="zh-CN"/>
              </w:rPr>
              <w:t>对危险废物的容器和包装物以及收集、贮存、运输、处置危险废物的设施、场所，必须设置危险废物识别标志；</w:t>
            </w:r>
          </w:p>
          <w:p>
            <w:pPr>
              <w:pStyle w:val="94"/>
              <w:wordWrap w:val="0"/>
              <w:spacing w:line="360" w:lineRule="auto"/>
              <w:ind w:firstLine="480" w:firstLineChars="200"/>
              <w:jc w:val="left"/>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（5）</w:t>
            </w:r>
            <w:r>
              <w:rPr>
                <w:rFonts w:ascii="Times New Roman" w:hAnsi="Times New Roman" w:cs="Times New Roman"/>
                <w:color w:val="auto"/>
                <w:sz w:val="24"/>
                <w:szCs w:val="24"/>
                <w:lang w:eastAsia="zh-CN"/>
              </w:rPr>
              <w:t>建立、健全危险品使用的安全管理规章制度，保证危险化学品的安全使用和管理。</w:t>
            </w:r>
          </w:p>
          <w:p>
            <w:pPr>
              <w:pStyle w:val="94"/>
              <w:wordWrap w:val="0"/>
              <w:spacing w:line="360" w:lineRule="auto"/>
              <w:ind w:firstLine="480" w:firstLineChars="200"/>
              <w:jc w:val="left"/>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在使用、储存场所应设置相应的安全设施。如储存条件、通风、明显的警示标准、足够的消防器材（泡沫灭火器和砂土等）等，防止事故的发生；</w:t>
            </w:r>
          </w:p>
          <w:p>
            <w:pPr>
              <w:pStyle w:val="94"/>
              <w:wordWrap w:val="0"/>
              <w:spacing w:line="360" w:lineRule="auto"/>
              <w:ind w:firstLine="480" w:firstLineChars="200"/>
              <w:jc w:val="left"/>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定期对职工进行安全教育，并做好安全记录。不定期进行安全检查，对发现安全隐患应及时整改，确保安全生产。</w:t>
            </w:r>
          </w:p>
          <w:p>
            <w:pPr>
              <w:ind w:firstLine="480" w:firstLineChars="200"/>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8</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加强风险管理并制定应急预案。</w:t>
            </w:r>
          </w:p>
          <w:p>
            <w:pPr>
              <w:rPr>
                <w:rFonts w:cs="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8" w:type="pct"/>
            <w:vAlign w:val="center"/>
          </w:tcPr>
          <w:p>
            <w:pPr>
              <w:spacing w:line="360" w:lineRule="auto"/>
              <w:jc w:val="center"/>
              <w:rPr>
                <w:rFonts w:cs="Times New Roman" w:eastAsiaTheme="minorEastAsia"/>
                <w:sz w:val="24"/>
                <w:szCs w:val="24"/>
              </w:rPr>
            </w:pPr>
            <w:r>
              <w:rPr>
                <w:rFonts w:hint="eastAsia" w:cs="Times New Roman" w:eastAsiaTheme="minorEastAsia"/>
                <w:sz w:val="24"/>
                <w:szCs w:val="24"/>
              </w:rPr>
              <w:t>其他环境</w:t>
            </w:r>
          </w:p>
          <w:p>
            <w:pPr>
              <w:spacing w:line="360" w:lineRule="auto"/>
              <w:jc w:val="center"/>
              <w:rPr>
                <w:rFonts w:hint="eastAsia" w:ascii="Times New Roman" w:hAnsi="Times New Roman" w:cs="Times New Roman" w:eastAsiaTheme="minorEastAsia"/>
                <w:kern w:val="2"/>
                <w:sz w:val="24"/>
                <w:szCs w:val="24"/>
                <w:lang w:val="en-US" w:eastAsia="zh-CN" w:bidi="ar-SA"/>
              </w:rPr>
            </w:pPr>
            <w:r>
              <w:rPr>
                <w:rFonts w:hint="eastAsia" w:cs="Times New Roman" w:eastAsiaTheme="minorEastAsia"/>
                <w:sz w:val="24"/>
                <w:szCs w:val="24"/>
              </w:rPr>
              <w:t>管理要求</w:t>
            </w:r>
          </w:p>
        </w:tc>
        <w:tc>
          <w:tcPr>
            <w:tcW w:w="4581"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sz w:val="24"/>
                <w:szCs w:val="24"/>
              </w:rPr>
            </w:pPr>
            <w:r>
              <w:rPr>
                <w:rFonts w:cs="Times New Roman"/>
                <w:b/>
                <w:sz w:val="24"/>
                <w:szCs w:val="24"/>
              </w:rPr>
              <w:t>1、</w:t>
            </w:r>
            <w:r>
              <w:rPr>
                <w:rFonts w:hint="eastAsia" w:cs="Times New Roman"/>
                <w:b/>
                <w:sz w:val="24"/>
                <w:szCs w:val="24"/>
              </w:rPr>
              <w:t>排污口规范化管理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eastAsiaTheme="minorEastAsia"/>
                <w:sz w:val="24"/>
                <w:szCs w:val="24"/>
              </w:rPr>
            </w:pPr>
            <w:r>
              <w:rPr>
                <w:rFonts w:hint="eastAsia" w:cs="Times New Roman" w:eastAsiaTheme="minorEastAsia"/>
                <w:sz w:val="24"/>
                <w:szCs w:val="24"/>
              </w:rPr>
              <w:t>根据《环境保护图形标志—排放口（源）》（GB15562.1-1995）、《环境保护图形标志—固体废物贮存（处置）场》（GB15562.2-1995）、《危险废物识别标志设置技术规范》（HJ1276-2022）和《国家环境保护总局办公厅关于印发排放口标志牌技术规格的通知》（环发〔2003〕95号）的要求，企业所有排放口（包括气、声、固体废物），必须按照“便于计量监测、便于日常现场监督检查”的原则和规范化要求，设置与之相适应的环境保护图形标志牌，绘制企业排污口分布图，对治理设施安装运行监控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eastAsiaTheme="minorEastAsia"/>
                <w:sz w:val="24"/>
                <w:szCs w:val="24"/>
              </w:rPr>
            </w:pPr>
            <w:r>
              <w:rPr>
                <w:rFonts w:hint="eastAsia" w:cs="Times New Roman" w:eastAsiaTheme="minorEastAsia"/>
                <w:sz w:val="24"/>
                <w:szCs w:val="24"/>
              </w:rPr>
              <w:t>排放一般污染物排污口（源），设置提示性标志牌，排放有毒有害等污染物的排污口设置警告性标志牌。标志牌设置位置在排污口附近且醒目处，高度为标志牌上缘离地面2m；排污口附近1m范围内有建筑物的，设平面式标志牌，无建筑物的设立式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eastAsiaTheme="minorEastAsia"/>
                <w:sz w:val="24"/>
                <w:szCs w:val="24"/>
              </w:rPr>
            </w:pPr>
            <w:r>
              <w:rPr>
                <w:rFonts w:hint="eastAsia" w:cs="Times New Roman" w:eastAsiaTheme="minorEastAsia"/>
                <w:sz w:val="24"/>
                <w:szCs w:val="24"/>
              </w:rPr>
              <w:t>规范化排污口的有关设置（如图形标志牌、监控装置等）属环保设施，排污单位必须负责日常的维护保养，任何单位和个人不得擅自拆除，如需变更的须报环境监管部门同意并办理变更手续。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sz w:val="24"/>
                <w:szCs w:val="24"/>
              </w:rPr>
            </w:pPr>
            <w:r>
              <w:rPr>
                <w:rFonts w:cs="Times New Roman"/>
                <w:b/>
                <w:sz w:val="24"/>
                <w:szCs w:val="24"/>
              </w:rPr>
              <w:t>2、</w:t>
            </w:r>
            <w:r>
              <w:rPr>
                <w:rFonts w:hint="eastAsia" w:cs="Times New Roman"/>
                <w:b/>
                <w:sz w:val="24"/>
                <w:szCs w:val="24"/>
              </w:rPr>
              <w:t>排污许可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eastAsiaTheme="minorEastAsia"/>
                <w:sz w:val="24"/>
                <w:szCs w:val="24"/>
              </w:rPr>
            </w:pPr>
            <w:r>
              <w:rPr>
                <w:rFonts w:hint="eastAsia" w:cs="Times New Roman" w:eastAsiaTheme="minorEastAsia"/>
                <w:sz w:val="24"/>
                <w:szCs w:val="24"/>
              </w:rPr>
              <w:t>根据《排污许可管理条例》和环境保护部办公厅《关于做好环境影响评价制度与排污许可制衔接相关工作的通知》（环办环评〔2017〕84号）的要求，建设单位应在投入使用并产生实际排污行为之前，依法按照《固定污染源排污许可分类管理名录（2019年版）》（生态环境部令第11号）和《排污许可证申请与核发技术规范》提交排污许可申请，申报排污许可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sz w:val="24"/>
                <w:szCs w:val="24"/>
              </w:rPr>
            </w:pPr>
            <w:r>
              <w:rPr>
                <w:rFonts w:cs="Times New Roman"/>
                <w:b/>
                <w:sz w:val="24"/>
                <w:szCs w:val="24"/>
              </w:rPr>
              <w:t>3、</w:t>
            </w:r>
            <w:r>
              <w:rPr>
                <w:rFonts w:hint="eastAsia" w:cs="Times New Roman"/>
                <w:b/>
                <w:sz w:val="24"/>
                <w:szCs w:val="24"/>
              </w:rPr>
              <w:t>环境管理与监测计划</w:t>
            </w:r>
          </w:p>
          <w:p>
            <w:pPr>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lang w:eastAsia="zh-CN"/>
                <w14:textFill>
                  <w14:solidFill>
                    <w14:schemeClr w14:val="tx1"/>
                  </w14:solidFill>
                </w14:textFill>
              </w:rPr>
              <w:t>）环境管理</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根据《建设项目环境保护设计规范》的要求，项目建成后应建立以专人负责环保工作、各职能部门各负其责的环境管理体系。建议企业设置环境保护管理科室，配专职环境管理人员。厂内环境管理机构如下：</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1）环境管理机构</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总经理：总经理是公司的法定负责人，也是控制污染、保护环境的法律负责人。环保机构：公司应有环保专职负责人，负责公司的环境管理工作。</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2）环境管理机构的职能</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color w:val="000000" w:themeColor="text1"/>
                <w:kern w:val="0"/>
                <w:sz w:val="24"/>
                <w:szCs w:val="24"/>
                <w14:textFill>
                  <w14:solidFill>
                    <w14:schemeClr w14:val="tx1"/>
                  </w14:solidFill>
                </w14:textFill>
              </w:rPr>
              <w:t>贯彻执行国家级地方环境保护的有关方针、政策、法规等。</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color w:val="000000" w:themeColor="text1"/>
                <w:kern w:val="0"/>
                <w:sz w:val="24"/>
                <w:szCs w:val="24"/>
                <w14:textFill>
                  <w14:solidFill>
                    <w14:schemeClr w14:val="tx1"/>
                  </w14:solidFill>
                </w14:textFill>
              </w:rPr>
              <w:t>结合企业实际，制定企业的环境管理计划和检测计划，并监督落实。</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color w:val="000000" w:themeColor="text1"/>
                <w:kern w:val="0"/>
                <w:sz w:val="24"/>
                <w:szCs w:val="24"/>
                <w14:textFill>
                  <w14:solidFill>
                    <w14:schemeClr w14:val="tx1"/>
                  </w14:solidFill>
                </w14:textFill>
              </w:rPr>
              <w:t>审定、落实并督促实施污染治理方案，监督企业污染治理资金的落实使用。</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color w:val="000000" w:themeColor="text1"/>
                <w:kern w:val="0"/>
                <w:sz w:val="24"/>
                <w:szCs w:val="24"/>
                <w14:textFill>
                  <w14:solidFill>
                    <w14:schemeClr w14:val="tx1"/>
                  </w14:solidFill>
                </w14:textFill>
              </w:rPr>
              <w:t>负责企业环境管理、污染源检测及各项环保设施正常运行的监督管理工作。</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color w:val="000000" w:themeColor="text1"/>
                <w:kern w:val="0"/>
                <w:sz w:val="24"/>
                <w:szCs w:val="24"/>
                <w14:textFill>
                  <w14:solidFill>
                    <w14:schemeClr w14:val="tx1"/>
                  </w14:solidFill>
                </w14:textFill>
              </w:rPr>
              <w:t>组织有关部门制定本企业环境管理办法和污染事故的应急措施。</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color w:val="000000" w:themeColor="text1"/>
                <w:kern w:val="0"/>
                <w:sz w:val="24"/>
                <w:szCs w:val="24"/>
                <w14:textFill>
                  <w14:solidFill>
                    <w14:schemeClr w14:val="tx1"/>
                  </w14:solidFill>
                </w14:textFill>
              </w:rPr>
              <w:t>协同上级环境管理部门检查企业的环境保护工作、污染治理设施的运行情况。定期对企业的污染情况进行分析总结，为环保设施的落实和更新改造提供可靠依据。建立企业污染源、污染物治理、排放浓度及总量等数据库。编制企业污染源监测的月报表、年报表及环境管理质量报告。</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⑦</w:t>
            </w:r>
            <w:r>
              <w:rPr>
                <w:color w:val="000000" w:themeColor="text1"/>
                <w:kern w:val="0"/>
                <w:sz w:val="24"/>
                <w:szCs w:val="24"/>
                <w14:textFill>
                  <w14:solidFill>
                    <w14:schemeClr w14:val="tx1"/>
                  </w14:solidFill>
                </w14:textFill>
              </w:rPr>
              <w:t>组织宣传教育，与企业内部有关部门共同大力普及企业职工的环境法规及环境科学知识，提高职工的环境保护意识。协同生产技术部门对生产设施进行技术改造，尽可能将污染控制在生产过程中。</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3）管理办法</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企业的环保治理已从终端治理转向过程控制。因此，环境管理工作也要更新观念，通过采用清洁生产工艺，加强生产控制，减少污染物的产生量入手，从根本上解决环境污染问题，做好各污染源排放点污染物浓度的测定工作，及时分析测定数据，掌握环境质量，为进一步搞好环保工作提供依据。只有公司领导重视，全公司上下对环境保护有强烈的责任感，强化环境管理，公司的环保工作才能上新台阶。</w:t>
            </w:r>
          </w:p>
          <w:p>
            <w:pPr>
              <w:adjustRightInd w:val="0"/>
              <w:spacing w:line="360" w:lineRule="auto"/>
              <w:ind w:firstLine="480" w:firstLineChars="200"/>
              <w:rPr>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w:t>
            </w:r>
            <w:r>
              <w:rPr>
                <w:rFonts w:hint="eastAsia"/>
                <w:b w:val="0"/>
                <w:bCs/>
                <w:color w:val="000000" w:themeColor="text1"/>
                <w:kern w:val="0"/>
                <w:sz w:val="24"/>
                <w:szCs w:val="24"/>
                <w:lang w:val="en-US" w:eastAsia="zh-CN"/>
                <w14:textFill>
                  <w14:solidFill>
                    <w14:schemeClr w14:val="tx1"/>
                  </w14:solidFill>
                </w14:textFill>
              </w:rPr>
              <w:t>2</w:t>
            </w:r>
            <w:r>
              <w:rPr>
                <w:rFonts w:hint="eastAsia"/>
                <w:b w:val="0"/>
                <w:bCs/>
                <w:color w:val="000000" w:themeColor="text1"/>
                <w:kern w:val="0"/>
                <w:sz w:val="24"/>
                <w:szCs w:val="24"/>
                <w:lang w:eastAsia="zh-CN"/>
                <w14:textFill>
                  <w14:solidFill>
                    <w14:schemeClr w14:val="tx1"/>
                  </w14:solidFill>
                </w14:textFill>
              </w:rPr>
              <w:t>）</w:t>
            </w:r>
            <w:r>
              <w:rPr>
                <w:b w:val="0"/>
                <w:bCs/>
                <w:color w:val="000000" w:themeColor="text1"/>
                <w:kern w:val="0"/>
                <w:sz w:val="24"/>
                <w:szCs w:val="24"/>
                <w14:textFill>
                  <w14:solidFill>
                    <w14:schemeClr w14:val="tx1"/>
                  </w14:solidFill>
                </w14:textFill>
              </w:rPr>
              <w:t>环境监测制度</w:t>
            </w:r>
          </w:p>
          <w:p>
            <w:pPr>
              <w:spacing w:line="360" w:lineRule="auto"/>
              <w:ind w:firstLine="480" w:firstLineChars="200"/>
              <w:rPr>
                <w:rFonts w:hint="eastAsia" w:ascii="Times New Roman" w:hAnsi="Times New Roman" w:cs="Times New Roman" w:eastAsiaTheme="minorEastAsia"/>
                <w:kern w:val="2"/>
                <w:sz w:val="24"/>
                <w:szCs w:val="24"/>
                <w:lang w:val="en-US" w:eastAsia="zh-CN" w:bidi="ar-SA"/>
              </w:rPr>
            </w:pPr>
            <w:r>
              <w:rPr>
                <w:color w:val="000000" w:themeColor="text1"/>
                <w:kern w:val="0"/>
                <w:sz w:val="24"/>
                <w:szCs w:val="24"/>
                <w14:textFill>
                  <w14:solidFill>
                    <w14:schemeClr w14:val="tx1"/>
                  </w14:solidFill>
                </w14:textFill>
              </w:rPr>
              <w:t>企业内部的环境监测是企业环境管理的耳目，是基本的手段和信息的基础，主要对企业生产过程中排放的污染物进行定期监测，判断环境质量，评价环保设施及其治理效果。为防止污染提供科学依据。</w:t>
            </w:r>
          </w:p>
        </w:tc>
      </w:tr>
    </w:tbl>
    <w:p>
      <w:pPr>
        <w:spacing w:line="360" w:lineRule="auto"/>
        <w:rPr>
          <w:b/>
          <w:sz w:val="28"/>
          <w:szCs w:val="28"/>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0"/>
        <w:jc w:val="center"/>
        <w:rPr>
          <w:rFonts w:ascii="黑体" w:hAnsi="黑体" w:eastAsia="黑体"/>
          <w:b w:val="0"/>
          <w:sz w:val="30"/>
          <w:szCs w:val="30"/>
        </w:rPr>
      </w:pPr>
      <w:bookmarkStart w:id="13" w:name="_Toc127864091"/>
      <w:r>
        <w:rPr>
          <w:rFonts w:hint="eastAsia" w:ascii="黑体" w:hAnsi="黑体" w:eastAsia="黑体"/>
          <w:b w:val="0"/>
          <w:sz w:val="30"/>
          <w:szCs w:val="30"/>
        </w:rPr>
        <w:t>六、结论</w:t>
      </w:r>
      <w:bookmarkEnd w:id="13"/>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shd w:val="clear" w:color="auto" w:fill="auto"/>
          </w:tcPr>
          <w:p>
            <w:pPr>
              <w:spacing w:line="360" w:lineRule="auto"/>
              <w:ind w:firstLine="480" w:firstLineChars="200"/>
              <w:rPr>
                <w:rFonts w:cs="Times New Roman"/>
                <w:sz w:val="24"/>
                <w:szCs w:val="24"/>
              </w:rPr>
            </w:pPr>
            <w:r>
              <w:rPr>
                <w:rFonts w:hint="eastAsia" w:cs="Times New Roman"/>
                <w:sz w:val="24"/>
                <w:szCs w:val="24"/>
              </w:rPr>
              <w:t>项目的建设符合国家现行产业政策，选址符合当地规划要求，通过采取的废气、污水、噪声、固废等污染防治措施技术，加强管理等措施，能降低项目运行对环境的影响。只要认真落实本报告中提出的各项污染防治对策措施，严格执行“三同时”制度，保证环境保护措施的有效运行，确保污染物稳定达标排放，并严格按照环评要求进行环境风险防范，从环保角度而言，本项目的建设是可行的。</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rPr>
                <w:rFonts w:cs="Times New Roman"/>
                <w:sz w:val="24"/>
                <w:szCs w:val="24"/>
              </w:rPr>
            </w:pPr>
          </w:p>
        </w:tc>
      </w:tr>
    </w:tbl>
    <w:p>
      <w:pPr>
        <w:rPr>
          <w:rFonts w:ascii="宋体" w:hAnsi="宋体"/>
          <w:sz w:val="24"/>
          <w:szCs w:val="24"/>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0"/>
        <w:rPr>
          <w:rFonts w:ascii="黑体" w:hAnsi="黑体" w:eastAsia="黑体"/>
          <w:b w:val="0"/>
          <w:sz w:val="30"/>
          <w:szCs w:val="30"/>
        </w:rPr>
      </w:pPr>
      <w:bookmarkStart w:id="14" w:name="_Toc127864092"/>
      <w:r>
        <w:rPr>
          <w:rFonts w:hint="eastAsia" w:ascii="黑体" w:hAnsi="黑体" w:eastAsia="黑体"/>
          <w:b w:val="0"/>
          <w:sz w:val="30"/>
          <w:szCs w:val="30"/>
        </w:rPr>
        <w:t>附表</w:t>
      </w:r>
      <w:bookmarkEnd w:id="14"/>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_GBK" w:hAnsi="宋体" w:eastAsia="方正小标宋_GBK"/>
          <w:sz w:val="36"/>
          <w:szCs w:val="36"/>
        </w:rPr>
      </w:pPr>
      <w:r>
        <w:rPr>
          <w:rFonts w:hint="eastAsia" w:ascii="方正小标宋_GBK" w:hAnsi="宋体" w:eastAsia="方正小标宋_GBK"/>
          <w:sz w:val="36"/>
          <w:szCs w:val="36"/>
        </w:rPr>
        <w:t>建设项目污染物排放量汇总表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50"/>
        <w:gridCol w:w="1136"/>
        <w:gridCol w:w="1674"/>
        <w:gridCol w:w="1301"/>
        <w:gridCol w:w="1843"/>
        <w:gridCol w:w="1843"/>
        <w:gridCol w:w="1701"/>
        <w:gridCol w:w="184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Align w:val="center"/>
          </w:tcPr>
          <w:p>
            <w:pPr>
              <w:jc w:val="right"/>
              <w:rPr>
                <w:rFonts w:ascii="黑体" w:hAnsi="黑体" w:eastAsia="黑体" w:cs="Times New Roman"/>
                <w:sz w:val="24"/>
                <w:szCs w:val="21"/>
              </w:rPr>
            </w:pPr>
            <w:r>
              <w:rPr>
                <w:rFonts w:hint="eastAsia" w:ascii="方正小标宋_GBK" w:hAnsi="宋体" w:eastAsia="方正小标宋_GBK"/>
                <w:sz w:val="24"/>
                <w:szCs w:val="36"/>
              </w:rPr>
              <mc:AlternateContent>
                <mc:Choice Requires="wps">
                  <w:drawing>
                    <wp:anchor distT="0" distB="0" distL="114300" distR="114300" simplePos="0" relativeHeight="251660288" behindDoc="0" locked="0" layoutInCell="1" allowOverlap="1">
                      <wp:simplePos x="0" y="0"/>
                      <wp:positionH relativeFrom="margin">
                        <wp:posOffset>-69215</wp:posOffset>
                      </wp:positionH>
                      <wp:positionV relativeFrom="paragraph">
                        <wp:posOffset>-1905</wp:posOffset>
                      </wp:positionV>
                      <wp:extent cx="790575" cy="600075"/>
                      <wp:effectExtent l="0" t="0" r="28575" b="28575"/>
                      <wp:wrapNone/>
                      <wp:docPr id="1" name="直接连接符 1"/>
                      <wp:cNvGraphicFramePr/>
                      <a:graphic xmlns:a="http://schemas.openxmlformats.org/drawingml/2006/main">
                        <a:graphicData uri="http://schemas.microsoft.com/office/word/2010/wordprocessingShape">
                          <wps:wsp>
                            <wps:cNvCnPr/>
                            <wps:spPr>
                              <a:xfrm>
                                <a:off x="0" y="0"/>
                                <a:ext cx="790575" cy="600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0.15pt;height:47.25pt;width:62.25pt;mso-position-horizontal-relative:margin;z-index:251660288;mso-width-relative:page;mso-height-relative:page;" filled="f" stroked="t" coordsize="21600,21600" o:gfxdata="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Nyq21wAAAAgBAAAPAAAAAAAA&#10;AAEAIAAAACIAAABkcnMvZG93bnJldi54bWxQSwECFAAUAAAACACHTuJAutYxOdoBAACeAwAADgAA&#10;AAAAAAABACAAAAAmAQAAZHJzL2Uyb0RvYy54bWxQSwUGAAAAAAYABgBZAQAAcgUAAAAA&#10;">
                      <v:fill on="f" focussize="0,0"/>
                      <v:stroke color="#000000 [3213]" joinstyle="round"/>
                      <v:imagedata o:title=""/>
                      <o:lock v:ext="edit" aspectratio="f"/>
                    </v:line>
                  </w:pict>
                </mc:Fallback>
              </mc:AlternateContent>
            </w:r>
            <w:r>
              <w:rPr>
                <w:rFonts w:ascii="黑体" w:hAnsi="黑体" w:eastAsia="黑体" w:cs="Times New Roman"/>
                <w:sz w:val="24"/>
                <w:szCs w:val="21"/>
              </w:rPr>
              <w:t>项目</w:t>
            </w:r>
          </w:p>
          <w:p>
            <w:pPr>
              <w:jc w:val="left"/>
              <w:rPr>
                <w:rFonts w:ascii="黑体" w:hAnsi="黑体" w:eastAsia="黑体" w:cs="Times New Roman"/>
                <w:sz w:val="24"/>
                <w:szCs w:val="21"/>
              </w:rPr>
            </w:pPr>
          </w:p>
          <w:p>
            <w:pPr>
              <w:jc w:val="left"/>
              <w:rPr>
                <w:rFonts w:ascii="黑体" w:hAnsi="黑体" w:eastAsia="黑体" w:cs="Times New Roman"/>
                <w:sz w:val="24"/>
                <w:szCs w:val="21"/>
              </w:rPr>
            </w:pPr>
            <w:r>
              <w:rPr>
                <w:rFonts w:ascii="黑体" w:hAnsi="黑体" w:eastAsia="黑体" w:cs="Times New Roman"/>
                <w:sz w:val="24"/>
                <w:szCs w:val="21"/>
              </w:rPr>
              <w:t>分类</w:t>
            </w:r>
          </w:p>
        </w:tc>
        <w:tc>
          <w:tcPr>
            <w:tcW w:w="1986" w:type="dxa"/>
            <w:gridSpan w:val="2"/>
            <w:vAlign w:val="center"/>
          </w:tcPr>
          <w:p>
            <w:pPr>
              <w:jc w:val="center"/>
              <w:rPr>
                <w:rFonts w:ascii="黑体" w:hAnsi="黑体" w:eastAsia="黑体" w:cs="Times New Roman"/>
                <w:sz w:val="24"/>
                <w:szCs w:val="21"/>
              </w:rPr>
            </w:pPr>
            <w:r>
              <w:rPr>
                <w:rFonts w:ascii="黑体" w:hAnsi="黑体" w:eastAsia="黑体" w:cs="Times New Roman"/>
                <w:sz w:val="24"/>
                <w:szCs w:val="21"/>
              </w:rPr>
              <w:t>污染物名称</w:t>
            </w:r>
          </w:p>
        </w:tc>
        <w:tc>
          <w:tcPr>
            <w:tcW w:w="1674" w:type="dxa"/>
            <w:vAlign w:val="center"/>
          </w:tcPr>
          <w:p>
            <w:pPr>
              <w:jc w:val="center"/>
              <w:rPr>
                <w:rFonts w:ascii="黑体" w:hAnsi="黑体" w:eastAsia="黑体" w:cs="Times New Roman"/>
                <w:sz w:val="24"/>
                <w:szCs w:val="21"/>
              </w:rPr>
            </w:pPr>
            <w:r>
              <w:rPr>
                <w:rFonts w:ascii="黑体" w:hAnsi="黑体" w:eastAsia="黑体" w:cs="Times New Roman"/>
                <w:sz w:val="24"/>
                <w:szCs w:val="21"/>
              </w:rPr>
              <w:t>现有工程</w:t>
            </w:r>
          </w:p>
          <w:p>
            <w:pPr>
              <w:jc w:val="center"/>
              <w:rPr>
                <w:rFonts w:ascii="黑体" w:hAnsi="黑体" w:eastAsia="黑体" w:cs="Times New Roman"/>
                <w:sz w:val="24"/>
                <w:szCs w:val="21"/>
              </w:rPr>
            </w:pPr>
            <w:r>
              <w:rPr>
                <w:rFonts w:ascii="黑体" w:hAnsi="黑体" w:eastAsia="黑体" w:cs="Times New Roman"/>
                <w:sz w:val="24"/>
                <w:szCs w:val="21"/>
              </w:rPr>
              <w:t>排放量（固体废物产生量）</w:t>
            </w:r>
            <w:r>
              <w:rPr>
                <w:rFonts w:hint="eastAsia" w:ascii="黑体" w:hAnsi="黑体" w:eastAsia="黑体" w:cs="宋体"/>
                <w:sz w:val="24"/>
                <w:szCs w:val="21"/>
              </w:rPr>
              <w:t>①</w:t>
            </w:r>
          </w:p>
        </w:tc>
        <w:tc>
          <w:tcPr>
            <w:tcW w:w="1301" w:type="dxa"/>
            <w:vAlign w:val="center"/>
          </w:tcPr>
          <w:p>
            <w:pPr>
              <w:jc w:val="center"/>
              <w:rPr>
                <w:rFonts w:ascii="黑体" w:hAnsi="黑体" w:eastAsia="黑体" w:cs="Times New Roman"/>
                <w:sz w:val="24"/>
                <w:szCs w:val="21"/>
              </w:rPr>
            </w:pPr>
            <w:r>
              <w:rPr>
                <w:rFonts w:ascii="黑体" w:hAnsi="黑体" w:eastAsia="黑体" w:cs="Times New Roman"/>
                <w:sz w:val="24"/>
                <w:szCs w:val="21"/>
              </w:rPr>
              <w:t>现有工程</w:t>
            </w:r>
          </w:p>
          <w:p>
            <w:pPr>
              <w:jc w:val="center"/>
              <w:rPr>
                <w:rFonts w:ascii="黑体" w:hAnsi="黑体" w:eastAsia="黑体" w:cs="Times New Roman"/>
                <w:sz w:val="24"/>
                <w:szCs w:val="21"/>
              </w:rPr>
            </w:pPr>
            <w:r>
              <w:rPr>
                <w:rFonts w:ascii="黑体" w:hAnsi="黑体" w:eastAsia="黑体" w:cs="Times New Roman"/>
                <w:sz w:val="24"/>
                <w:szCs w:val="21"/>
              </w:rPr>
              <w:t>许可排放量</w:t>
            </w:r>
            <w:r>
              <w:rPr>
                <w:rFonts w:hint="eastAsia" w:ascii="黑体" w:hAnsi="黑体" w:eastAsia="黑体" w:cs="宋体"/>
                <w:sz w:val="24"/>
                <w:szCs w:val="21"/>
              </w:rPr>
              <w:t>②</w:t>
            </w:r>
          </w:p>
        </w:tc>
        <w:tc>
          <w:tcPr>
            <w:tcW w:w="1843" w:type="dxa"/>
            <w:vAlign w:val="center"/>
          </w:tcPr>
          <w:p>
            <w:pPr>
              <w:jc w:val="center"/>
              <w:rPr>
                <w:rFonts w:ascii="黑体" w:hAnsi="黑体" w:eastAsia="黑体" w:cs="Times New Roman"/>
                <w:sz w:val="24"/>
                <w:szCs w:val="21"/>
              </w:rPr>
            </w:pPr>
            <w:r>
              <w:rPr>
                <w:rFonts w:ascii="黑体" w:hAnsi="黑体" w:eastAsia="黑体" w:cs="Times New Roman"/>
                <w:sz w:val="24"/>
                <w:szCs w:val="21"/>
              </w:rPr>
              <w:t>在建工程</w:t>
            </w:r>
          </w:p>
          <w:p>
            <w:pPr>
              <w:jc w:val="center"/>
              <w:rPr>
                <w:rFonts w:ascii="黑体" w:hAnsi="黑体" w:eastAsia="黑体" w:cs="Times New Roman"/>
                <w:sz w:val="24"/>
                <w:szCs w:val="21"/>
              </w:rPr>
            </w:pPr>
            <w:r>
              <w:rPr>
                <w:rFonts w:ascii="黑体" w:hAnsi="黑体" w:eastAsia="黑体" w:cs="Times New Roman"/>
                <w:sz w:val="24"/>
                <w:szCs w:val="21"/>
              </w:rPr>
              <w:t>排放量（固体废物产生量）</w:t>
            </w:r>
            <w:r>
              <w:rPr>
                <w:rFonts w:hint="eastAsia" w:ascii="黑体" w:hAnsi="黑体" w:eastAsia="黑体" w:cs="宋体"/>
                <w:sz w:val="24"/>
                <w:szCs w:val="21"/>
              </w:rPr>
              <w:t>③</w:t>
            </w:r>
          </w:p>
        </w:tc>
        <w:tc>
          <w:tcPr>
            <w:tcW w:w="1843" w:type="dxa"/>
            <w:vAlign w:val="center"/>
          </w:tcPr>
          <w:p>
            <w:pPr>
              <w:jc w:val="center"/>
              <w:rPr>
                <w:rFonts w:ascii="黑体" w:hAnsi="黑体" w:eastAsia="黑体" w:cs="Times New Roman"/>
                <w:sz w:val="24"/>
                <w:szCs w:val="21"/>
              </w:rPr>
            </w:pPr>
            <w:r>
              <w:rPr>
                <w:rFonts w:ascii="黑体" w:hAnsi="黑体" w:eastAsia="黑体" w:cs="Times New Roman"/>
                <w:sz w:val="24"/>
                <w:szCs w:val="21"/>
              </w:rPr>
              <w:t>本项目</w:t>
            </w:r>
          </w:p>
          <w:p>
            <w:pPr>
              <w:jc w:val="center"/>
              <w:rPr>
                <w:rFonts w:ascii="黑体" w:hAnsi="黑体" w:eastAsia="黑体" w:cs="Times New Roman"/>
                <w:sz w:val="24"/>
                <w:szCs w:val="21"/>
              </w:rPr>
            </w:pPr>
            <w:r>
              <w:rPr>
                <w:rFonts w:ascii="黑体" w:hAnsi="黑体" w:eastAsia="黑体" w:cs="Times New Roman"/>
                <w:sz w:val="24"/>
                <w:szCs w:val="21"/>
              </w:rPr>
              <w:t>排放量（固体废物产生量）</w:t>
            </w:r>
            <w:r>
              <w:rPr>
                <w:rFonts w:hint="eastAsia" w:ascii="黑体" w:hAnsi="黑体" w:eastAsia="黑体" w:cs="宋体"/>
                <w:sz w:val="24"/>
                <w:szCs w:val="21"/>
              </w:rPr>
              <w:t>④</w:t>
            </w:r>
          </w:p>
        </w:tc>
        <w:tc>
          <w:tcPr>
            <w:tcW w:w="1701" w:type="dxa"/>
            <w:vAlign w:val="center"/>
          </w:tcPr>
          <w:p>
            <w:pPr>
              <w:jc w:val="center"/>
              <w:rPr>
                <w:rFonts w:ascii="黑体" w:hAnsi="黑体" w:eastAsia="黑体" w:cs="Times New Roman"/>
                <w:sz w:val="24"/>
                <w:szCs w:val="21"/>
              </w:rPr>
            </w:pPr>
            <w:r>
              <w:rPr>
                <w:rFonts w:ascii="黑体" w:hAnsi="黑体" w:eastAsia="黑体" w:cs="Times New Roman"/>
                <w:sz w:val="24"/>
                <w:szCs w:val="21"/>
              </w:rPr>
              <w:t>以新带老削减量</w:t>
            </w:r>
          </w:p>
          <w:p>
            <w:pPr>
              <w:jc w:val="center"/>
              <w:rPr>
                <w:rFonts w:ascii="黑体" w:hAnsi="黑体" w:eastAsia="黑体" w:cs="Times New Roman"/>
                <w:sz w:val="24"/>
                <w:szCs w:val="21"/>
              </w:rPr>
            </w:pPr>
            <w:r>
              <w:rPr>
                <w:rFonts w:ascii="黑体" w:hAnsi="黑体" w:eastAsia="黑体" w:cs="Times New Roman"/>
                <w:sz w:val="24"/>
                <w:szCs w:val="21"/>
              </w:rPr>
              <w:t>（新建项目不填）</w:t>
            </w:r>
            <w:r>
              <w:rPr>
                <w:rFonts w:hint="eastAsia" w:ascii="黑体" w:hAnsi="黑体" w:eastAsia="黑体" w:cs="宋体"/>
                <w:sz w:val="24"/>
                <w:szCs w:val="21"/>
              </w:rPr>
              <w:t>⑤</w:t>
            </w:r>
          </w:p>
        </w:tc>
        <w:tc>
          <w:tcPr>
            <w:tcW w:w="1843" w:type="dxa"/>
            <w:vAlign w:val="center"/>
          </w:tcPr>
          <w:p>
            <w:pPr>
              <w:jc w:val="center"/>
              <w:rPr>
                <w:rFonts w:ascii="黑体" w:hAnsi="黑体" w:eastAsia="黑体" w:cs="Times New Roman"/>
                <w:sz w:val="24"/>
                <w:szCs w:val="21"/>
              </w:rPr>
            </w:pPr>
            <w:r>
              <w:rPr>
                <w:rFonts w:ascii="黑体" w:hAnsi="黑体" w:eastAsia="黑体" w:cs="Times New Roman"/>
                <w:sz w:val="24"/>
                <w:szCs w:val="21"/>
              </w:rPr>
              <w:t>本项目建成后</w:t>
            </w:r>
          </w:p>
          <w:p>
            <w:pPr>
              <w:rPr>
                <w:rFonts w:ascii="黑体" w:hAnsi="黑体" w:eastAsia="黑体" w:cs="Times New Roman"/>
                <w:sz w:val="24"/>
                <w:szCs w:val="21"/>
              </w:rPr>
            </w:pPr>
            <w:r>
              <w:rPr>
                <w:rFonts w:ascii="黑体" w:hAnsi="黑体" w:eastAsia="黑体" w:cs="Times New Roman"/>
                <w:sz w:val="24"/>
                <w:szCs w:val="21"/>
              </w:rPr>
              <w:t>全厂排放量（固体废物产生量）</w:t>
            </w:r>
            <w:r>
              <w:rPr>
                <w:rFonts w:hint="eastAsia" w:ascii="黑体" w:hAnsi="黑体" w:eastAsia="黑体" w:cs="宋体"/>
                <w:sz w:val="24"/>
                <w:szCs w:val="21"/>
              </w:rPr>
              <w:t>⑥</w:t>
            </w:r>
          </w:p>
        </w:tc>
        <w:tc>
          <w:tcPr>
            <w:tcW w:w="1098" w:type="dxa"/>
            <w:vAlign w:val="center"/>
          </w:tcPr>
          <w:p>
            <w:pPr>
              <w:jc w:val="center"/>
              <w:rPr>
                <w:rFonts w:ascii="黑体" w:hAnsi="黑体" w:eastAsia="黑体" w:cs="Times New Roman"/>
                <w:sz w:val="24"/>
                <w:szCs w:val="21"/>
              </w:rPr>
            </w:pPr>
            <w:r>
              <w:rPr>
                <w:rFonts w:ascii="黑体" w:hAnsi="黑体" w:eastAsia="黑体" w:cs="Times New Roman"/>
                <w:sz w:val="24"/>
                <w:szCs w:val="21"/>
              </w:rPr>
              <w:t>变化量</w:t>
            </w:r>
          </w:p>
          <w:p>
            <w:pPr>
              <w:jc w:val="center"/>
              <w:rPr>
                <w:rFonts w:ascii="黑体" w:hAnsi="黑体" w:eastAsia="黑体" w:cs="Times New Roman"/>
                <w:sz w:val="24"/>
                <w:szCs w:val="21"/>
              </w:rPr>
            </w:pPr>
            <w:r>
              <w:rPr>
                <w:rFonts w:hint="eastAsia" w:ascii="黑体" w:hAnsi="黑体" w:eastAsia="黑体" w:cs="宋体"/>
                <w:sz w:val="24"/>
                <w:szCs w:val="21"/>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pPr>
              <w:jc w:val="center"/>
              <w:rPr>
                <w:rFonts w:hint="eastAsia" w:eastAsia="宋体" w:cs="Times New Roman"/>
                <w:sz w:val="24"/>
                <w:szCs w:val="21"/>
                <w:lang w:eastAsia="zh-CN"/>
              </w:rPr>
            </w:pPr>
            <w:r>
              <w:rPr>
                <w:rFonts w:hint="eastAsia" w:cs="Times New Roman"/>
                <w:sz w:val="24"/>
                <w:szCs w:val="21"/>
                <w:lang w:eastAsia="zh-CN"/>
              </w:rPr>
              <w:t>废气</w:t>
            </w:r>
          </w:p>
        </w:tc>
        <w:tc>
          <w:tcPr>
            <w:tcW w:w="850" w:type="dxa"/>
            <w:vMerge w:val="restart"/>
            <w:vAlign w:val="center"/>
          </w:tcPr>
          <w:p>
            <w:pPr>
              <w:jc w:val="center"/>
              <w:rPr>
                <w:sz w:val="24"/>
                <w:szCs w:val="21"/>
                <w:highlight w:val="none"/>
              </w:rPr>
            </w:pPr>
            <w:r>
              <w:rPr>
                <w:rFonts w:hint="eastAsia"/>
                <w:sz w:val="24"/>
                <w:szCs w:val="21"/>
                <w:highlight w:val="none"/>
              </w:rPr>
              <w:t>VOCs</w:t>
            </w:r>
          </w:p>
        </w:tc>
        <w:tc>
          <w:tcPr>
            <w:tcW w:w="1136" w:type="dxa"/>
            <w:vAlign w:val="center"/>
          </w:tcPr>
          <w:p>
            <w:pPr>
              <w:jc w:val="center"/>
              <w:rPr>
                <w:rFonts w:hint="eastAsia" w:cs="黑体"/>
                <w:kern w:val="2"/>
                <w:sz w:val="24"/>
                <w:szCs w:val="21"/>
                <w:lang w:val="en-US" w:eastAsia="zh-CN" w:bidi="ar-SA"/>
              </w:rPr>
            </w:pPr>
            <w:r>
              <w:rPr>
                <w:rFonts w:hint="eastAsia" w:cs="黑体"/>
                <w:kern w:val="2"/>
                <w:sz w:val="24"/>
                <w:szCs w:val="21"/>
                <w:lang w:val="en-US" w:eastAsia="zh-CN" w:bidi="ar-SA"/>
              </w:rPr>
              <w:t>有组织</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0.54</w:t>
            </w:r>
          </w:p>
        </w:tc>
        <w:tc>
          <w:tcPr>
            <w:tcW w:w="1701" w:type="dxa"/>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2"/>
                <w:sz w:val="32"/>
                <w:szCs w:val="32"/>
                <w:highlight w:val="none"/>
                <w:lang w:val="en-US" w:eastAsia="zh-CN" w:bidi="ar-SA"/>
              </w:rPr>
            </w:pPr>
            <w:r>
              <w:rPr>
                <w:rFonts w:hint="eastAsia" w:cs="Times New Roman"/>
                <w:color w:val="auto"/>
                <w:sz w:val="24"/>
                <w:szCs w:val="24"/>
                <w:highlight w:val="none"/>
                <w:lang w:val="en-US" w:eastAsia="zh-CN"/>
              </w:rPr>
              <w:t>+0.8306</w:t>
            </w:r>
          </w:p>
        </w:tc>
        <w:tc>
          <w:tcPr>
            <w:tcW w:w="1843" w:type="dxa"/>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2"/>
                <w:sz w:val="40"/>
                <w:szCs w:val="40"/>
                <w:highlight w:val="none"/>
                <w:lang w:val="en-US" w:eastAsia="zh-CN" w:bidi="ar-SA"/>
              </w:rPr>
            </w:pPr>
            <w:r>
              <w:rPr>
                <w:rFonts w:hint="eastAsia" w:cs="Times New Roman"/>
                <w:bCs/>
                <w:color w:val="auto"/>
                <w:sz w:val="24"/>
                <w:szCs w:val="24"/>
                <w:highlight w:val="none"/>
                <w:lang w:val="en-US" w:eastAsia="zh-CN"/>
              </w:rPr>
              <w:t>1.3706</w:t>
            </w:r>
          </w:p>
        </w:tc>
        <w:tc>
          <w:tcPr>
            <w:tcW w:w="1098" w:type="dxa"/>
            <w:vAlign w:val="center"/>
          </w:tcPr>
          <w:p>
            <w:pPr>
              <w:pStyle w:val="2"/>
              <w:keepNext w:val="0"/>
              <w:keepLines w:val="0"/>
              <w:pageBreakBefore w:val="0"/>
              <w:tabs>
                <w:tab w:val="left" w:pos="3300"/>
              </w:tabs>
              <w:kinsoku/>
              <w:wordWrap/>
              <w:overflowPunct/>
              <w:topLinePunct w:val="0"/>
              <w:autoSpaceDE/>
              <w:autoSpaceDN/>
              <w:bidi w:val="0"/>
              <w:spacing w:after="0" w:line="240" w:lineRule="auto"/>
              <w:ind w:left="0" w:leftChars="0" w:firstLine="0" w:firstLineChars="0"/>
              <w:jc w:val="center"/>
              <w:rPr>
                <w:rFonts w:hint="default" w:ascii="Times New Roman" w:hAnsi="Times New Roman" w:eastAsia="宋体" w:cs="Times New Roman"/>
                <w:bCs/>
                <w:color w:val="auto"/>
                <w:kern w:val="2"/>
                <w:sz w:val="40"/>
                <w:szCs w:val="40"/>
                <w:highlight w:val="none"/>
                <w:lang w:val="en-US" w:eastAsia="zh-CN" w:bidi="ar-SA"/>
              </w:rPr>
            </w:pP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1.3706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850" w:type="dxa"/>
            <w:vMerge w:val="continue"/>
            <w:vAlign w:val="center"/>
          </w:tcPr>
          <w:p>
            <w:pPr>
              <w:jc w:val="center"/>
              <w:rPr>
                <w:sz w:val="24"/>
                <w:szCs w:val="21"/>
                <w:highlight w:val="none"/>
              </w:rPr>
            </w:pPr>
          </w:p>
        </w:tc>
        <w:tc>
          <w:tcPr>
            <w:tcW w:w="1136" w:type="dxa"/>
            <w:vAlign w:val="center"/>
          </w:tcPr>
          <w:p>
            <w:pPr>
              <w:jc w:val="center"/>
              <w:rPr>
                <w:rFonts w:hint="eastAsia" w:cs="黑体"/>
                <w:kern w:val="2"/>
                <w:sz w:val="24"/>
                <w:szCs w:val="21"/>
                <w:lang w:val="en-US" w:eastAsia="zh-CN" w:bidi="ar-SA"/>
              </w:rPr>
            </w:pPr>
            <w:r>
              <w:rPr>
                <w:rFonts w:hint="eastAsia" w:cs="黑体"/>
                <w:kern w:val="2"/>
                <w:sz w:val="24"/>
                <w:szCs w:val="21"/>
                <w:lang w:val="en-US" w:eastAsia="zh-CN" w:bidi="ar-SA"/>
              </w:rPr>
              <w:t>无组织</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9.2284</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0.6</w:t>
            </w:r>
          </w:p>
        </w:tc>
        <w:tc>
          <w:tcPr>
            <w:tcW w:w="1701" w:type="dxa"/>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2"/>
                <w:sz w:val="32"/>
                <w:szCs w:val="32"/>
                <w:highlight w:val="none"/>
                <w:lang w:val="en-US" w:eastAsia="zh-CN" w:bidi="ar-SA"/>
              </w:rPr>
            </w:pPr>
            <w:r>
              <w:rPr>
                <w:rFonts w:hint="eastAsia" w:cs="Times New Roman"/>
                <w:color w:val="auto"/>
                <w:sz w:val="24"/>
                <w:szCs w:val="24"/>
                <w:highlight w:val="none"/>
                <w:lang w:val="en-US" w:eastAsia="zh-CN"/>
              </w:rPr>
              <w:t>-8.3056</w:t>
            </w:r>
          </w:p>
        </w:tc>
        <w:tc>
          <w:tcPr>
            <w:tcW w:w="1843" w:type="dxa"/>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bCs/>
                <w:color w:val="auto"/>
                <w:kern w:val="2"/>
                <w:sz w:val="40"/>
                <w:szCs w:val="40"/>
                <w:highlight w:val="none"/>
                <w:lang w:val="en-US" w:eastAsia="zh-CN" w:bidi="ar-SA"/>
              </w:rPr>
            </w:pPr>
            <w:r>
              <w:rPr>
                <w:rFonts w:hint="eastAsia"/>
                <w:sz w:val="24"/>
                <w:szCs w:val="28"/>
                <w:lang w:val="en-US" w:eastAsia="zh-CN"/>
              </w:rPr>
              <w:t>1.5228</w:t>
            </w:r>
          </w:p>
        </w:tc>
        <w:tc>
          <w:tcPr>
            <w:tcW w:w="1098" w:type="dxa"/>
            <w:vAlign w:val="center"/>
          </w:tcPr>
          <w:p>
            <w:pPr>
              <w:pStyle w:val="2"/>
              <w:keepNext w:val="0"/>
              <w:keepLines w:val="0"/>
              <w:pageBreakBefore w:val="0"/>
              <w:tabs>
                <w:tab w:val="left" w:pos="3300"/>
              </w:tabs>
              <w:kinsoku/>
              <w:wordWrap/>
              <w:overflowPunct/>
              <w:topLinePunct w:val="0"/>
              <w:autoSpaceDE/>
              <w:autoSpaceDN/>
              <w:bidi w:val="0"/>
              <w:spacing w:after="0" w:line="240" w:lineRule="auto"/>
              <w:ind w:left="0" w:leftChars="0" w:firstLine="0" w:firstLineChars="0"/>
              <w:jc w:val="center"/>
              <w:rPr>
                <w:rFonts w:hint="default" w:ascii="Times New Roman" w:hAnsi="Times New Roman" w:eastAsia="宋体" w:cs="Times New Roman"/>
                <w:bCs/>
                <w:color w:val="auto"/>
                <w:kern w:val="2"/>
                <w:sz w:val="40"/>
                <w:szCs w:val="40"/>
                <w:highlight w:val="none"/>
                <w:lang w:val="en-US" w:eastAsia="zh-CN" w:bidi="ar-SA"/>
              </w:rPr>
            </w:pPr>
            <w:r>
              <w:rPr>
                <w:rFonts w:hint="eastAsia" w:cs="Times New Roman"/>
                <w:bCs/>
                <w:color w:val="auto"/>
                <w:sz w:val="24"/>
                <w:szCs w:val="24"/>
                <w:highlight w:val="none"/>
                <w:lang w:val="en-US" w:eastAsia="zh-CN"/>
              </w:rPr>
              <w:t>-7.7056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pPr>
              <w:jc w:val="center"/>
              <w:rPr>
                <w:rFonts w:cs="Times New Roman"/>
                <w:sz w:val="24"/>
                <w:szCs w:val="21"/>
              </w:rPr>
            </w:pPr>
            <w:r>
              <w:rPr>
                <w:rFonts w:cs="Times New Roman"/>
                <w:sz w:val="24"/>
                <w:szCs w:val="21"/>
              </w:rPr>
              <w:t>废水</w:t>
            </w:r>
          </w:p>
        </w:tc>
        <w:tc>
          <w:tcPr>
            <w:tcW w:w="1986" w:type="dxa"/>
            <w:gridSpan w:val="2"/>
            <w:vAlign w:val="center"/>
          </w:tcPr>
          <w:p>
            <w:pPr>
              <w:jc w:val="center"/>
              <w:rPr>
                <w:rFonts w:cs="Times New Roman"/>
                <w:sz w:val="24"/>
                <w:szCs w:val="21"/>
              </w:rPr>
            </w:pPr>
            <w:r>
              <w:rPr>
                <w:rFonts w:cs="Times New Roman"/>
                <w:sz w:val="24"/>
                <w:szCs w:val="21"/>
              </w:rPr>
              <w:t>废水量</w:t>
            </w:r>
          </w:p>
        </w:tc>
        <w:tc>
          <w:tcPr>
            <w:tcW w:w="167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969</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291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1260</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eastAsia" w:cs="Times New Roman"/>
                <w:i w:val="0"/>
                <w:iCs w:val="0"/>
                <w:color w:val="000000"/>
                <w:kern w:val="0"/>
                <w:sz w:val="24"/>
                <w:szCs w:val="21"/>
                <w:u w:val="none"/>
                <w:lang w:val="en-US" w:eastAsia="zh-CN" w:bidi="ar"/>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cs="Times New Roman"/>
                <w:sz w:val="24"/>
                <w:szCs w:val="21"/>
              </w:rPr>
            </w:pPr>
            <w:r>
              <w:rPr>
                <w:rFonts w:cs="Times New Roman"/>
                <w:sz w:val="24"/>
                <w:szCs w:val="21"/>
              </w:rPr>
              <w:t>COD</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0.034</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0.1455</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0.1795</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cs="Times New Roman"/>
                <w:sz w:val="24"/>
                <w:szCs w:val="21"/>
              </w:rPr>
            </w:pPr>
            <w:r>
              <w:rPr>
                <w:rFonts w:cs="Times New Roman"/>
                <w:sz w:val="24"/>
                <w:szCs w:val="21"/>
              </w:rPr>
              <w:t>NH</w:t>
            </w:r>
            <w:r>
              <w:rPr>
                <w:rFonts w:cs="Times New Roman"/>
                <w:sz w:val="24"/>
                <w:szCs w:val="21"/>
                <w:vertAlign w:val="subscript"/>
              </w:rPr>
              <w:t>3</w:t>
            </w:r>
            <w:r>
              <w:rPr>
                <w:rFonts w:hint="eastAsia" w:cs="Times New Roman"/>
                <w:sz w:val="24"/>
                <w:szCs w:val="21"/>
              </w:rPr>
              <w:t>-</w:t>
            </w:r>
            <w:r>
              <w:rPr>
                <w:rFonts w:cs="Times New Roman"/>
                <w:sz w:val="24"/>
                <w:szCs w:val="21"/>
              </w:rPr>
              <w:t>N</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0.0036</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0.0131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0.0167</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Align w:val="center"/>
          </w:tcPr>
          <w:p>
            <w:pPr>
              <w:jc w:val="center"/>
              <w:rPr>
                <w:rFonts w:hint="default" w:eastAsia="宋体" w:cs="Times New Roman"/>
                <w:sz w:val="24"/>
                <w:szCs w:val="21"/>
                <w:lang w:val="en-US" w:eastAsia="zh-CN"/>
              </w:rPr>
            </w:pPr>
            <w:r>
              <w:rPr>
                <w:rFonts w:hint="eastAsia" w:cs="Times New Roman"/>
                <w:sz w:val="24"/>
                <w:szCs w:val="21"/>
                <w:lang w:val="en-US" w:eastAsia="zh-CN"/>
              </w:rPr>
              <w:t>生活垃圾</w:t>
            </w:r>
          </w:p>
        </w:tc>
        <w:tc>
          <w:tcPr>
            <w:tcW w:w="1986" w:type="dxa"/>
            <w:gridSpan w:val="2"/>
            <w:vAlign w:val="center"/>
          </w:tcPr>
          <w:p>
            <w:pPr>
              <w:jc w:val="center"/>
              <w:rPr>
                <w:rFonts w:cs="Times New Roman"/>
                <w:sz w:val="24"/>
                <w:szCs w:val="21"/>
              </w:rPr>
            </w:pPr>
            <w:r>
              <w:rPr>
                <w:rFonts w:hint="eastAsia" w:cs="Times New Roman"/>
                <w:sz w:val="24"/>
                <w:szCs w:val="21"/>
                <w:lang w:val="en-US" w:eastAsia="zh-CN"/>
              </w:rPr>
              <w:t>生活垃圾</w:t>
            </w:r>
          </w:p>
        </w:tc>
        <w:tc>
          <w:tcPr>
            <w:tcW w:w="167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9</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0.6</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9.6</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pPr>
              <w:jc w:val="center"/>
              <w:rPr>
                <w:rFonts w:cs="Times New Roman"/>
                <w:sz w:val="24"/>
                <w:szCs w:val="21"/>
              </w:rPr>
            </w:pPr>
            <w:r>
              <w:rPr>
                <w:rFonts w:cs="Times New Roman"/>
                <w:sz w:val="24"/>
                <w:szCs w:val="21"/>
              </w:rPr>
              <w:t>一般工业</w:t>
            </w:r>
          </w:p>
          <w:p>
            <w:pPr>
              <w:jc w:val="center"/>
              <w:rPr>
                <w:rFonts w:cs="Times New Roman"/>
                <w:sz w:val="24"/>
                <w:szCs w:val="21"/>
              </w:rPr>
            </w:pPr>
            <w:r>
              <w:rPr>
                <w:rFonts w:cs="Times New Roman"/>
                <w:sz w:val="24"/>
                <w:szCs w:val="21"/>
              </w:rPr>
              <w:t>固体废物</w:t>
            </w: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铝条废边角料</w:t>
            </w:r>
          </w:p>
        </w:tc>
        <w:tc>
          <w:tcPr>
            <w:tcW w:w="167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0.5</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0.5</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废玻璃边角料</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300</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300</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废包装材料</w:t>
            </w:r>
          </w:p>
        </w:tc>
        <w:tc>
          <w:tcPr>
            <w:tcW w:w="167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1.4</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0.5</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1.9</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eastAsia" w:cs="Times New Roman"/>
                <w:i w:val="0"/>
                <w:iCs w:val="0"/>
                <w:color w:val="000000"/>
                <w:kern w:val="0"/>
                <w:sz w:val="24"/>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不合格产品</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60</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61</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废PVB胶片</w:t>
            </w:r>
          </w:p>
        </w:tc>
        <w:tc>
          <w:tcPr>
            <w:tcW w:w="167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0.01</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0.01</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沉淀池沉渣</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5</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5</w:t>
            </w:r>
            <w:r>
              <w:rPr>
                <w:rFonts w:hint="eastAsia" w:cs="Times New Roman"/>
                <w:i w:val="0"/>
                <w:iCs w:val="0"/>
                <w:color w:val="000000"/>
                <w:kern w:val="0"/>
                <w:sz w:val="24"/>
                <w:szCs w:val="21"/>
                <w:u w:val="none"/>
                <w:lang w:val="en-US" w:eastAsia="zh-CN" w:bidi="ar"/>
              </w:rPr>
              <w:t>.1</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预处理池污泥</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3</w:t>
            </w:r>
          </w:p>
        </w:tc>
        <w:tc>
          <w:tcPr>
            <w:tcW w:w="1301" w:type="dxa"/>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0.18</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3.18</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ascii="Times New Roman" w:hAnsi="Times New Roman" w:eastAsia="宋体" w:cs="Times New Roman"/>
                <w:kern w:val="2"/>
                <w:sz w:val="24"/>
                <w:szCs w:val="21"/>
                <w:lang w:val="en-US" w:eastAsia="zh-CN" w:bidi="ar-SA"/>
              </w:rPr>
            </w:pPr>
            <w:r>
              <w:rPr>
                <w:rFonts w:hint="eastAsia" w:cs="Times New Roman"/>
                <w:sz w:val="24"/>
                <w:szCs w:val="21"/>
                <w:lang w:val="en-US" w:eastAsia="zh-CN"/>
              </w:rPr>
              <w:t>废离子交换树脂</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c>
          <w:tcPr>
            <w:tcW w:w="1301"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r>
              <w:rPr>
                <w:rFonts w:hint="eastAsia" w:cs="Times New Roman"/>
                <w:i w:val="0"/>
                <w:iCs w:val="0"/>
                <w:color w:val="000000"/>
                <w:kern w:val="0"/>
                <w:sz w:val="24"/>
                <w:szCs w:val="21"/>
                <w:u w:val="none"/>
                <w:lang w:val="en-US" w:eastAsia="zh-CN" w:bidi="ar"/>
              </w:rPr>
              <w:t>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r>
              <w:rPr>
                <w:rFonts w:hint="eastAsia" w:cs="Times New Roman"/>
                <w:i w:val="0"/>
                <w:iCs w:val="0"/>
                <w:color w:val="000000"/>
                <w:kern w:val="0"/>
                <w:sz w:val="24"/>
                <w:szCs w:val="21"/>
                <w:u w:val="none"/>
                <w:lang w:val="en-US" w:eastAsia="zh-CN" w:bidi="ar"/>
              </w:rPr>
              <w:t>1</w:t>
            </w:r>
          </w:p>
        </w:tc>
        <w:tc>
          <w:tcPr>
            <w:tcW w:w="109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0.</w:t>
            </w:r>
            <w:r>
              <w:rPr>
                <w:rFonts w:hint="eastAsia" w:cs="Times New Roman"/>
                <w:i w:val="0"/>
                <w:iCs w:val="0"/>
                <w:color w:val="000000"/>
                <w:kern w:val="0"/>
                <w:sz w:val="24"/>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空气过滤器滤料</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p>
        </w:tc>
        <w:tc>
          <w:tcPr>
            <w:tcW w:w="1301"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r>
              <w:rPr>
                <w:rFonts w:hint="eastAsia" w:cs="Times New Roman"/>
                <w:i w:val="0"/>
                <w:iCs w:val="0"/>
                <w:color w:val="000000"/>
                <w:kern w:val="0"/>
                <w:sz w:val="24"/>
                <w:szCs w:val="21"/>
                <w:u w:val="none"/>
                <w:lang w:val="en-US" w:eastAsia="zh-CN" w:bidi="ar"/>
              </w:rPr>
              <w:t>02</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default" w:ascii="Times New Roman" w:hAnsi="Times New Roman" w:eastAsia="宋体" w:cs="Times New Roman"/>
                <w:i w:val="0"/>
                <w:iCs w:val="0"/>
                <w:color w:val="000000"/>
                <w:kern w:val="0"/>
                <w:sz w:val="24"/>
                <w:szCs w:val="21"/>
                <w:u w:val="none"/>
                <w:lang w:val="en-US" w:eastAsia="zh-CN" w:bidi="ar"/>
              </w:rPr>
              <w:t>0.</w:t>
            </w:r>
            <w:r>
              <w:rPr>
                <w:rFonts w:hint="eastAsia" w:cs="Times New Roman"/>
                <w:i w:val="0"/>
                <w:iCs w:val="0"/>
                <w:color w:val="000000"/>
                <w:kern w:val="0"/>
                <w:sz w:val="24"/>
                <w:szCs w:val="21"/>
                <w:u w:val="none"/>
                <w:lang w:val="en-US" w:eastAsia="zh-CN" w:bidi="ar"/>
              </w:rPr>
              <w:t>02</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0.</w:t>
            </w:r>
            <w:r>
              <w:rPr>
                <w:rFonts w:hint="eastAsia" w:cs="Times New Roman"/>
                <w:i w:val="0"/>
                <w:iCs w:val="0"/>
                <w:color w:val="000000"/>
                <w:kern w:val="0"/>
                <w:sz w:val="24"/>
                <w:szCs w:val="21"/>
                <w:u w:val="non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pPr>
              <w:jc w:val="center"/>
              <w:rPr>
                <w:rFonts w:cs="Times New Roman"/>
                <w:sz w:val="24"/>
                <w:szCs w:val="21"/>
              </w:rPr>
            </w:pPr>
            <w:r>
              <w:rPr>
                <w:rFonts w:cs="Times New Roman"/>
                <w:sz w:val="24"/>
                <w:szCs w:val="21"/>
              </w:rPr>
              <w:t>危险废物</w:t>
            </w: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含油棉纱及手套</w:t>
            </w:r>
            <w:r>
              <w:rPr>
                <w:rFonts w:hint="default" w:cs="Times New Roman"/>
                <w:sz w:val="24"/>
                <w:szCs w:val="21"/>
                <w:lang w:val="en-US" w:eastAsia="zh-CN"/>
              </w:rPr>
              <w:t xml:space="preserve"> </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0.01</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0.01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0.02</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default" w:cs="Times New Roman"/>
                <w:sz w:val="24"/>
                <w:szCs w:val="21"/>
                <w:lang w:val="en-US" w:eastAsia="zh-CN"/>
              </w:rPr>
              <w:t>废机油</w:t>
            </w:r>
            <w:r>
              <w:rPr>
                <w:rFonts w:hint="eastAsia" w:cs="Times New Roman"/>
                <w:sz w:val="24"/>
                <w:szCs w:val="21"/>
                <w:lang w:val="en-US" w:eastAsia="zh-CN"/>
              </w:rPr>
              <w:t>及废机油</w:t>
            </w:r>
            <w:r>
              <w:rPr>
                <w:rFonts w:hint="default" w:cs="Times New Roman"/>
                <w:sz w:val="24"/>
                <w:szCs w:val="21"/>
                <w:lang w:val="en-US" w:eastAsia="zh-CN"/>
              </w:rPr>
              <w:t>桶</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0.5</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0.01</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0.51</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default" w:ascii="Times New Roman" w:hAnsi="Times New Roman" w:eastAsia="宋体" w:cs="Times New Roman"/>
                <w:i w:val="0"/>
                <w:iCs w:val="0"/>
                <w:color w:val="000000"/>
                <w:kern w:val="0"/>
                <w:sz w:val="24"/>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default" w:cs="Times New Roman"/>
                <w:sz w:val="24"/>
                <w:szCs w:val="21"/>
                <w:lang w:val="en-US" w:eastAsia="zh-CN"/>
              </w:rPr>
              <w:t>废胶桶</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4</w:t>
            </w:r>
            <w:r>
              <w:rPr>
                <w:rFonts w:hint="default" w:ascii="Times New Roman" w:hAnsi="Times New Roman" w:eastAsia="宋体" w:cs="Times New Roman"/>
                <w:i w:val="0"/>
                <w:iCs w:val="0"/>
                <w:color w:val="000000"/>
                <w:kern w:val="0"/>
                <w:sz w:val="24"/>
                <w:szCs w:val="21"/>
                <w:u w:val="none"/>
                <w:lang w:val="en-US" w:eastAsia="zh-CN" w:bidi="ar"/>
              </w:rPr>
              <w:t>.0</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4.0</w:t>
            </w:r>
          </w:p>
        </w:tc>
        <w:tc>
          <w:tcPr>
            <w:tcW w:w="1098"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default" w:cs="Times New Roman"/>
                <w:sz w:val="24"/>
                <w:szCs w:val="21"/>
                <w:lang w:val="en-US" w:eastAsia="zh-CN"/>
              </w:rPr>
            </w:pPr>
            <w:r>
              <w:rPr>
                <w:rFonts w:hint="eastAsia" w:cs="Times New Roman"/>
                <w:sz w:val="24"/>
                <w:szCs w:val="21"/>
                <w:lang w:val="en-US" w:eastAsia="zh-CN"/>
              </w:rPr>
              <w:t>废活性炭</w:t>
            </w:r>
          </w:p>
        </w:tc>
        <w:tc>
          <w:tcPr>
            <w:tcW w:w="167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27</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cs="Times New Roman"/>
                <w:i w:val="0"/>
                <w:iCs w:val="0"/>
                <w:color w:val="000000"/>
                <w:kern w:val="0"/>
                <w:sz w:val="24"/>
                <w:szCs w:val="21"/>
                <w:u w:val="none"/>
                <w:lang w:val="en-US" w:eastAsia="zh-CN" w:bidi="ar"/>
              </w:rPr>
              <w:t>27</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w:t>
            </w:r>
            <w:r>
              <w:rPr>
                <w:rFonts w:hint="eastAsia" w:cs="Times New Roman"/>
                <w:i w:val="0"/>
                <w:iCs w:val="0"/>
                <w:color w:val="000000"/>
                <w:kern w:val="0"/>
                <w:sz w:val="24"/>
                <w:szCs w:val="21"/>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jc w:val="center"/>
              <w:rPr>
                <w:rFonts w:cs="Times New Roman"/>
                <w:sz w:val="24"/>
                <w:szCs w:val="21"/>
              </w:rPr>
            </w:pPr>
          </w:p>
        </w:tc>
        <w:tc>
          <w:tcPr>
            <w:tcW w:w="1986" w:type="dxa"/>
            <w:gridSpan w:val="2"/>
            <w:vAlign w:val="center"/>
          </w:tcPr>
          <w:p>
            <w:pPr>
              <w:jc w:val="center"/>
              <w:rPr>
                <w:rFonts w:hint="eastAsia" w:cs="Times New Roman"/>
                <w:sz w:val="24"/>
                <w:szCs w:val="21"/>
                <w:lang w:val="en-US" w:eastAsia="zh-CN"/>
              </w:rPr>
            </w:pPr>
            <w:r>
              <w:rPr>
                <w:rFonts w:hint="eastAsia" w:cs="Times New Roman"/>
                <w:sz w:val="24"/>
                <w:szCs w:val="21"/>
                <w:lang w:val="en-US" w:eastAsia="zh-CN"/>
              </w:rPr>
              <w:t>隔热剂及包装桶</w:t>
            </w:r>
          </w:p>
        </w:tc>
        <w:tc>
          <w:tcPr>
            <w:tcW w:w="1674"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w:t>
            </w:r>
          </w:p>
        </w:tc>
        <w:tc>
          <w:tcPr>
            <w:tcW w:w="13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0.2</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p>
        </w:tc>
        <w:tc>
          <w:tcPr>
            <w:tcW w:w="1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0.2</w:t>
            </w:r>
          </w:p>
        </w:tc>
        <w:tc>
          <w:tcPr>
            <w:tcW w:w="109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1"/>
                <w:u w:val="none"/>
                <w:lang w:val="en-US" w:eastAsia="zh-CN" w:bidi="ar"/>
              </w:rPr>
            </w:pPr>
            <w:r>
              <w:rPr>
                <w:rFonts w:hint="eastAsia" w:ascii="Times New Roman" w:hAnsi="Times New Roman" w:eastAsia="宋体" w:cs="Times New Roman"/>
                <w:i w:val="0"/>
                <w:iCs w:val="0"/>
                <w:color w:val="000000"/>
                <w:kern w:val="0"/>
                <w:sz w:val="24"/>
                <w:szCs w:val="21"/>
                <w:u w:val="none"/>
                <w:lang w:val="en-US" w:eastAsia="zh-CN" w:bidi="ar"/>
              </w:rPr>
              <w:t>+0.2</w:t>
            </w:r>
          </w:p>
        </w:tc>
      </w:tr>
    </w:tbl>
    <w:p>
      <w:pPr>
        <w:rPr>
          <w:rFonts w:ascii="宋体" w:hAnsi="宋体"/>
          <w:szCs w:val="21"/>
        </w:rPr>
      </w:pPr>
      <w:r>
        <w:rPr>
          <w:rFonts w:hint="eastAsia" w:ascii="宋体" w:hAnsi="宋体"/>
          <w:szCs w:val="21"/>
        </w:rPr>
        <w:t>注：⑥=①+③+④-⑤；⑦=⑥-①；</w:t>
      </w:r>
      <w:r>
        <w:rPr>
          <w:rFonts w:cs="Times New Roman"/>
          <w:szCs w:val="21"/>
        </w:rPr>
        <w:t>单位为</w:t>
      </w:r>
      <w:r>
        <w:rPr>
          <w:rFonts w:hint="eastAsia" w:cs="Times New Roman"/>
          <w:szCs w:val="21"/>
        </w:rPr>
        <w:t>吨</w:t>
      </w:r>
      <w:r>
        <w:rPr>
          <w:rFonts w:cs="Times New Roman"/>
          <w:szCs w:val="21"/>
        </w:rPr>
        <w:t>/年。</w:t>
      </w:r>
    </w:p>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 w:name="SimSun,Bold">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19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FEF4B"/>
    <w:multiLevelType w:val="multilevel"/>
    <w:tmpl w:val="917FEF4B"/>
    <w:lvl w:ilvl="0" w:tentative="0">
      <w:start w:val="1"/>
      <w:numFmt w:val="none"/>
      <w:suff w:val="space"/>
      <w:lvlText w:val="表1-1 "/>
      <w:lvlJc w:val="center"/>
      <w:pPr>
        <w:tabs>
          <w:tab w:val="left" w:pos="0"/>
        </w:tabs>
        <w:ind w:left="0" w:firstLine="0"/>
      </w:pPr>
      <w:rPr>
        <w:rFonts w:hint="default" w:ascii="Times New Roman" w:hAnsi="Times New Roman" w:eastAsia="宋体" w:cs="宋体"/>
        <w:b/>
        <w:bCs/>
        <w:i w:val="0"/>
        <w:sz w:val="21"/>
        <w:szCs w:val="21"/>
        <w:vertAlign w:val="baseline"/>
      </w:rPr>
    </w:lvl>
    <w:lvl w:ilvl="1" w:tentative="0">
      <w:start w:val="1"/>
      <w:numFmt w:val="lowerLetter"/>
      <w:lvlText w:val="%2)"/>
      <w:lvlJc w:val="left"/>
      <w:pPr>
        <w:ind w:left="840" w:hanging="420"/>
      </w:pPr>
    </w:lvl>
    <w:lvl w:ilvl="2" w:tentative="0">
      <w:start w:val="1"/>
      <w:numFmt w:val="decimal"/>
      <w:lvlText w:val="表2-%3"/>
      <w:lvlJc w:val="right"/>
      <w:pPr>
        <w:ind w:left="1260" w:hanging="420"/>
      </w:pPr>
      <w:rPr>
        <w:rFonts w:hint="default" w:ascii="宋体" w:hAnsi="宋体" w:eastAsia="宋体" w:cs="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EDB2DCA1"/>
    <w:multiLevelType w:val="multilevel"/>
    <w:tmpl w:val="EDB2DCA1"/>
    <w:lvl w:ilvl="0" w:tentative="0">
      <w:start w:val="1"/>
      <w:numFmt w:val="decimal"/>
      <w:pStyle w:val="97"/>
      <w:suff w:val="space"/>
      <w:lvlText w:val="表1-%1"/>
      <w:lvlJc w:val="center"/>
      <w:pPr>
        <w:tabs>
          <w:tab w:val="left" w:pos="0"/>
        </w:tabs>
        <w:ind w:left="0" w:firstLine="0"/>
      </w:pPr>
      <w:rPr>
        <w:rFonts w:hint="default" w:ascii="宋体" w:hAnsi="宋体" w:eastAsia="宋体" w:cs="宋体"/>
        <w:b/>
        <w:bCs/>
        <w:i w:val="0"/>
        <w:sz w:val="21"/>
        <w:szCs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6557BA0"/>
    <w:multiLevelType w:val="singleLevel"/>
    <w:tmpl w:val="46557BA0"/>
    <w:lvl w:ilvl="0" w:tentative="0">
      <w:start w:val="1"/>
      <w:numFmt w:val="decimal"/>
      <w:lvlText w:val="%1."/>
      <w:lvlJc w:val="left"/>
      <w:pPr>
        <w:ind w:left="425" w:hanging="425"/>
      </w:pPr>
      <w:rPr>
        <w:rFonts w:hint="default"/>
      </w:rPr>
    </w:lvl>
  </w:abstractNum>
  <w:abstractNum w:abstractNumId="3">
    <w:nsid w:val="654F871A"/>
    <w:multiLevelType w:val="singleLevel"/>
    <w:tmpl w:val="654F871A"/>
    <w:lvl w:ilvl="0" w:tentative="0">
      <w:start w:val="1"/>
      <w:numFmt w:val="decimal"/>
      <w:suff w:val="nothing"/>
      <w:lvlText w:val="%1、"/>
      <w:lvlJc w:val="left"/>
    </w:lvl>
  </w:abstractNum>
  <w:abstractNum w:abstractNumId="4">
    <w:nsid w:val="663708B3"/>
    <w:multiLevelType w:val="singleLevel"/>
    <w:tmpl w:val="663708B3"/>
    <w:lvl w:ilvl="0" w:tentative="0">
      <w:start w:val="1"/>
      <w:numFmt w:val="decimal"/>
      <w:lvlText w:val="%1."/>
      <w:lvlJc w:val="left"/>
      <w:pPr>
        <w:ind w:left="425" w:hanging="425"/>
      </w:pPr>
      <w:rPr>
        <w:rFonts w:hint="default"/>
      </w:rPr>
    </w:lvl>
  </w:abstractNum>
  <w:abstractNum w:abstractNumId="5">
    <w:nsid w:val="755E6AD6"/>
    <w:multiLevelType w:val="singleLevel"/>
    <w:tmpl w:val="755E6AD6"/>
    <w:lvl w:ilvl="0" w:tentative="0">
      <w:start w:val="1"/>
      <w:numFmt w:val="decimal"/>
      <w:lvlText w:val="%1."/>
      <w:lvlJc w:val="left"/>
      <w:pPr>
        <w:ind w:left="425" w:hanging="425"/>
      </w:pPr>
      <w:rPr>
        <w:rFonts w:hint="default"/>
      </w:rPr>
    </w:lvl>
  </w:abstractNum>
  <w:abstractNum w:abstractNumId="6">
    <w:nsid w:val="7BD73A66"/>
    <w:multiLevelType w:val="multilevel"/>
    <w:tmpl w:val="7BD73A66"/>
    <w:lvl w:ilvl="0" w:tentative="0">
      <w:start w:val="1"/>
      <w:numFmt w:val="decimal"/>
      <w:pStyle w:val="87"/>
      <w:suff w:val="space"/>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num w:numId="1">
    <w:abstractNumId w:val="6"/>
  </w:num>
  <w:num w:numId="2">
    <w:abstractNumId w:val="1"/>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1NDBlMTFmNzY0OGQ1OGMwMTI0NDE1OTJhNmVmZTUifQ=="/>
  </w:docVars>
  <w:rsids>
    <w:rsidRoot w:val="0077720A"/>
    <w:rsid w:val="00000075"/>
    <w:rsid w:val="000006E6"/>
    <w:rsid w:val="00000B5E"/>
    <w:rsid w:val="00000C0A"/>
    <w:rsid w:val="000014A6"/>
    <w:rsid w:val="00001EBA"/>
    <w:rsid w:val="00002A6D"/>
    <w:rsid w:val="00002A73"/>
    <w:rsid w:val="00003162"/>
    <w:rsid w:val="0000433F"/>
    <w:rsid w:val="000048B8"/>
    <w:rsid w:val="00005ED2"/>
    <w:rsid w:val="00006ACA"/>
    <w:rsid w:val="00006CC3"/>
    <w:rsid w:val="00006EDE"/>
    <w:rsid w:val="00006F6D"/>
    <w:rsid w:val="000078D2"/>
    <w:rsid w:val="00007A0D"/>
    <w:rsid w:val="000103CE"/>
    <w:rsid w:val="00010841"/>
    <w:rsid w:val="00010FDA"/>
    <w:rsid w:val="00011144"/>
    <w:rsid w:val="0001157F"/>
    <w:rsid w:val="00011912"/>
    <w:rsid w:val="000138CB"/>
    <w:rsid w:val="00013A3F"/>
    <w:rsid w:val="00013DEB"/>
    <w:rsid w:val="00014371"/>
    <w:rsid w:val="0001444C"/>
    <w:rsid w:val="00014B28"/>
    <w:rsid w:val="00014C0C"/>
    <w:rsid w:val="00014F13"/>
    <w:rsid w:val="00015043"/>
    <w:rsid w:val="0001552C"/>
    <w:rsid w:val="00016C99"/>
    <w:rsid w:val="00016D8D"/>
    <w:rsid w:val="00017226"/>
    <w:rsid w:val="00017D0D"/>
    <w:rsid w:val="000200E4"/>
    <w:rsid w:val="0002023F"/>
    <w:rsid w:val="000202A1"/>
    <w:rsid w:val="000207E9"/>
    <w:rsid w:val="0002097B"/>
    <w:rsid w:val="000211E1"/>
    <w:rsid w:val="000218AA"/>
    <w:rsid w:val="00021A91"/>
    <w:rsid w:val="000235FB"/>
    <w:rsid w:val="00024B9E"/>
    <w:rsid w:val="0002546F"/>
    <w:rsid w:val="00025610"/>
    <w:rsid w:val="00025C9E"/>
    <w:rsid w:val="00025DDA"/>
    <w:rsid w:val="00025EF3"/>
    <w:rsid w:val="0002610A"/>
    <w:rsid w:val="000273BA"/>
    <w:rsid w:val="000307AB"/>
    <w:rsid w:val="00031C2C"/>
    <w:rsid w:val="00031D72"/>
    <w:rsid w:val="0003462F"/>
    <w:rsid w:val="00034AD0"/>
    <w:rsid w:val="00034DCC"/>
    <w:rsid w:val="00034DDA"/>
    <w:rsid w:val="00035523"/>
    <w:rsid w:val="00035AC5"/>
    <w:rsid w:val="00035EB5"/>
    <w:rsid w:val="00036F07"/>
    <w:rsid w:val="0003716A"/>
    <w:rsid w:val="00037266"/>
    <w:rsid w:val="00037C5C"/>
    <w:rsid w:val="00040855"/>
    <w:rsid w:val="00040E19"/>
    <w:rsid w:val="0004147F"/>
    <w:rsid w:val="00041755"/>
    <w:rsid w:val="0004272B"/>
    <w:rsid w:val="00042738"/>
    <w:rsid w:val="00042D31"/>
    <w:rsid w:val="00043772"/>
    <w:rsid w:val="0004377D"/>
    <w:rsid w:val="000439DD"/>
    <w:rsid w:val="00043C3C"/>
    <w:rsid w:val="000447BD"/>
    <w:rsid w:val="00044D25"/>
    <w:rsid w:val="000452D7"/>
    <w:rsid w:val="00045304"/>
    <w:rsid w:val="0004668B"/>
    <w:rsid w:val="0004673D"/>
    <w:rsid w:val="00046783"/>
    <w:rsid w:val="00047357"/>
    <w:rsid w:val="00050120"/>
    <w:rsid w:val="0005042B"/>
    <w:rsid w:val="0005068E"/>
    <w:rsid w:val="00050B9A"/>
    <w:rsid w:val="00050F56"/>
    <w:rsid w:val="00050FCF"/>
    <w:rsid w:val="0005183D"/>
    <w:rsid w:val="00051989"/>
    <w:rsid w:val="00051C97"/>
    <w:rsid w:val="0005299A"/>
    <w:rsid w:val="00052E2C"/>
    <w:rsid w:val="00052FCC"/>
    <w:rsid w:val="00053455"/>
    <w:rsid w:val="00053EE1"/>
    <w:rsid w:val="0005474B"/>
    <w:rsid w:val="000554A6"/>
    <w:rsid w:val="00055766"/>
    <w:rsid w:val="00055905"/>
    <w:rsid w:val="0005632A"/>
    <w:rsid w:val="00056412"/>
    <w:rsid w:val="0005647E"/>
    <w:rsid w:val="0005723F"/>
    <w:rsid w:val="000573CB"/>
    <w:rsid w:val="0005747E"/>
    <w:rsid w:val="00057875"/>
    <w:rsid w:val="0006015E"/>
    <w:rsid w:val="00061654"/>
    <w:rsid w:val="00064B27"/>
    <w:rsid w:val="00065713"/>
    <w:rsid w:val="0006592A"/>
    <w:rsid w:val="000667C5"/>
    <w:rsid w:val="000668A4"/>
    <w:rsid w:val="00066A37"/>
    <w:rsid w:val="00066ADD"/>
    <w:rsid w:val="0006767B"/>
    <w:rsid w:val="00067A22"/>
    <w:rsid w:val="00067F57"/>
    <w:rsid w:val="00070A81"/>
    <w:rsid w:val="000711E4"/>
    <w:rsid w:val="00071368"/>
    <w:rsid w:val="00071779"/>
    <w:rsid w:val="0007183E"/>
    <w:rsid w:val="00072619"/>
    <w:rsid w:val="00073A4D"/>
    <w:rsid w:val="00073B2D"/>
    <w:rsid w:val="00074010"/>
    <w:rsid w:val="0007412D"/>
    <w:rsid w:val="00074317"/>
    <w:rsid w:val="00074D4F"/>
    <w:rsid w:val="000758A2"/>
    <w:rsid w:val="000758E5"/>
    <w:rsid w:val="000760E6"/>
    <w:rsid w:val="00077478"/>
    <w:rsid w:val="00077A0F"/>
    <w:rsid w:val="00077B46"/>
    <w:rsid w:val="000813EA"/>
    <w:rsid w:val="000821B2"/>
    <w:rsid w:val="000821CC"/>
    <w:rsid w:val="00082F8F"/>
    <w:rsid w:val="00083098"/>
    <w:rsid w:val="00083188"/>
    <w:rsid w:val="000847C7"/>
    <w:rsid w:val="000847F7"/>
    <w:rsid w:val="00084A07"/>
    <w:rsid w:val="00084D48"/>
    <w:rsid w:val="00084FD1"/>
    <w:rsid w:val="000858A9"/>
    <w:rsid w:val="00086637"/>
    <w:rsid w:val="0008678E"/>
    <w:rsid w:val="000877D1"/>
    <w:rsid w:val="000900A4"/>
    <w:rsid w:val="00091D11"/>
    <w:rsid w:val="00091E77"/>
    <w:rsid w:val="000929AC"/>
    <w:rsid w:val="000929DD"/>
    <w:rsid w:val="0009303C"/>
    <w:rsid w:val="00093154"/>
    <w:rsid w:val="00093367"/>
    <w:rsid w:val="0009339C"/>
    <w:rsid w:val="000934A7"/>
    <w:rsid w:val="00093FBF"/>
    <w:rsid w:val="0009484A"/>
    <w:rsid w:val="000958BB"/>
    <w:rsid w:val="0009642A"/>
    <w:rsid w:val="000964DC"/>
    <w:rsid w:val="00096636"/>
    <w:rsid w:val="00096A4D"/>
    <w:rsid w:val="00096F5A"/>
    <w:rsid w:val="00097116"/>
    <w:rsid w:val="000971F6"/>
    <w:rsid w:val="00097315"/>
    <w:rsid w:val="00097B64"/>
    <w:rsid w:val="000A02FB"/>
    <w:rsid w:val="000A0D5F"/>
    <w:rsid w:val="000A12C4"/>
    <w:rsid w:val="000A1CCE"/>
    <w:rsid w:val="000A1F30"/>
    <w:rsid w:val="000A208C"/>
    <w:rsid w:val="000A2382"/>
    <w:rsid w:val="000A24F4"/>
    <w:rsid w:val="000A2AF8"/>
    <w:rsid w:val="000A4136"/>
    <w:rsid w:val="000A425F"/>
    <w:rsid w:val="000A5070"/>
    <w:rsid w:val="000A5333"/>
    <w:rsid w:val="000A6411"/>
    <w:rsid w:val="000A712F"/>
    <w:rsid w:val="000A72C8"/>
    <w:rsid w:val="000B019A"/>
    <w:rsid w:val="000B0212"/>
    <w:rsid w:val="000B1357"/>
    <w:rsid w:val="000B1E0B"/>
    <w:rsid w:val="000B2352"/>
    <w:rsid w:val="000B23A4"/>
    <w:rsid w:val="000B27ED"/>
    <w:rsid w:val="000B47B9"/>
    <w:rsid w:val="000B4CD9"/>
    <w:rsid w:val="000B55FF"/>
    <w:rsid w:val="000B6244"/>
    <w:rsid w:val="000B6493"/>
    <w:rsid w:val="000B6672"/>
    <w:rsid w:val="000B6983"/>
    <w:rsid w:val="000B703E"/>
    <w:rsid w:val="000B79A0"/>
    <w:rsid w:val="000C032C"/>
    <w:rsid w:val="000C0DBD"/>
    <w:rsid w:val="000C134D"/>
    <w:rsid w:val="000C1C38"/>
    <w:rsid w:val="000C1CDA"/>
    <w:rsid w:val="000C23BE"/>
    <w:rsid w:val="000C247E"/>
    <w:rsid w:val="000C24F1"/>
    <w:rsid w:val="000C2E30"/>
    <w:rsid w:val="000C35EE"/>
    <w:rsid w:val="000C37EB"/>
    <w:rsid w:val="000C3DF0"/>
    <w:rsid w:val="000C5707"/>
    <w:rsid w:val="000C5B08"/>
    <w:rsid w:val="000C5F0A"/>
    <w:rsid w:val="000C5F52"/>
    <w:rsid w:val="000C6119"/>
    <w:rsid w:val="000C6D62"/>
    <w:rsid w:val="000C79F0"/>
    <w:rsid w:val="000C7FAC"/>
    <w:rsid w:val="000D021C"/>
    <w:rsid w:val="000D07FC"/>
    <w:rsid w:val="000D0ADB"/>
    <w:rsid w:val="000D0C13"/>
    <w:rsid w:val="000D10C7"/>
    <w:rsid w:val="000D14C0"/>
    <w:rsid w:val="000D1619"/>
    <w:rsid w:val="000D19D6"/>
    <w:rsid w:val="000D1C9F"/>
    <w:rsid w:val="000D2472"/>
    <w:rsid w:val="000D2AAA"/>
    <w:rsid w:val="000D318F"/>
    <w:rsid w:val="000D3928"/>
    <w:rsid w:val="000D4126"/>
    <w:rsid w:val="000D46E2"/>
    <w:rsid w:val="000D4B06"/>
    <w:rsid w:val="000D50C0"/>
    <w:rsid w:val="000D5606"/>
    <w:rsid w:val="000D5765"/>
    <w:rsid w:val="000D58C2"/>
    <w:rsid w:val="000D5C5F"/>
    <w:rsid w:val="000D5D22"/>
    <w:rsid w:val="000D6D6E"/>
    <w:rsid w:val="000D70D4"/>
    <w:rsid w:val="000D7B34"/>
    <w:rsid w:val="000E0004"/>
    <w:rsid w:val="000E0373"/>
    <w:rsid w:val="000E0CBE"/>
    <w:rsid w:val="000E123F"/>
    <w:rsid w:val="000E1741"/>
    <w:rsid w:val="000E1B22"/>
    <w:rsid w:val="000E1D09"/>
    <w:rsid w:val="000E24D9"/>
    <w:rsid w:val="000E2B9F"/>
    <w:rsid w:val="000E3593"/>
    <w:rsid w:val="000E3687"/>
    <w:rsid w:val="000E4316"/>
    <w:rsid w:val="000E46F4"/>
    <w:rsid w:val="000E6225"/>
    <w:rsid w:val="000E6C9F"/>
    <w:rsid w:val="000E7DAC"/>
    <w:rsid w:val="000F0104"/>
    <w:rsid w:val="000F01A4"/>
    <w:rsid w:val="000F09DF"/>
    <w:rsid w:val="000F19ED"/>
    <w:rsid w:val="000F2090"/>
    <w:rsid w:val="000F23FA"/>
    <w:rsid w:val="000F2AFB"/>
    <w:rsid w:val="000F2C6D"/>
    <w:rsid w:val="000F3CE6"/>
    <w:rsid w:val="000F4022"/>
    <w:rsid w:val="000F4311"/>
    <w:rsid w:val="000F4DC7"/>
    <w:rsid w:val="000F5DE7"/>
    <w:rsid w:val="000F639A"/>
    <w:rsid w:val="000F7CCB"/>
    <w:rsid w:val="00100590"/>
    <w:rsid w:val="00101C0A"/>
    <w:rsid w:val="00101D10"/>
    <w:rsid w:val="00101D45"/>
    <w:rsid w:val="00101FE7"/>
    <w:rsid w:val="00102225"/>
    <w:rsid w:val="00102388"/>
    <w:rsid w:val="0010246B"/>
    <w:rsid w:val="00103606"/>
    <w:rsid w:val="001039F8"/>
    <w:rsid w:val="00103BDF"/>
    <w:rsid w:val="0010402E"/>
    <w:rsid w:val="001054EA"/>
    <w:rsid w:val="00105AC5"/>
    <w:rsid w:val="0010624F"/>
    <w:rsid w:val="00106D98"/>
    <w:rsid w:val="00107266"/>
    <w:rsid w:val="00110499"/>
    <w:rsid w:val="00110740"/>
    <w:rsid w:val="00110ADB"/>
    <w:rsid w:val="00110FBF"/>
    <w:rsid w:val="00111FBC"/>
    <w:rsid w:val="00112CF4"/>
    <w:rsid w:val="0011342B"/>
    <w:rsid w:val="001137C1"/>
    <w:rsid w:val="00113F84"/>
    <w:rsid w:val="00114611"/>
    <w:rsid w:val="00114D2C"/>
    <w:rsid w:val="001154A8"/>
    <w:rsid w:val="00115880"/>
    <w:rsid w:val="00115FD8"/>
    <w:rsid w:val="001169C8"/>
    <w:rsid w:val="00116C46"/>
    <w:rsid w:val="0011706B"/>
    <w:rsid w:val="0011732D"/>
    <w:rsid w:val="001174CA"/>
    <w:rsid w:val="00117A17"/>
    <w:rsid w:val="0012069F"/>
    <w:rsid w:val="001207E6"/>
    <w:rsid w:val="0012090B"/>
    <w:rsid w:val="00120E1C"/>
    <w:rsid w:val="00120F59"/>
    <w:rsid w:val="001214ED"/>
    <w:rsid w:val="001215F4"/>
    <w:rsid w:val="001217E4"/>
    <w:rsid w:val="00122CB0"/>
    <w:rsid w:val="00122D3B"/>
    <w:rsid w:val="00122EF3"/>
    <w:rsid w:val="00124352"/>
    <w:rsid w:val="00124738"/>
    <w:rsid w:val="00125696"/>
    <w:rsid w:val="001259AA"/>
    <w:rsid w:val="00125D9F"/>
    <w:rsid w:val="00125E98"/>
    <w:rsid w:val="0012683C"/>
    <w:rsid w:val="00126942"/>
    <w:rsid w:val="001270EA"/>
    <w:rsid w:val="00127754"/>
    <w:rsid w:val="00127A8A"/>
    <w:rsid w:val="00127C82"/>
    <w:rsid w:val="00127E64"/>
    <w:rsid w:val="001303A7"/>
    <w:rsid w:val="00130AAF"/>
    <w:rsid w:val="00131A04"/>
    <w:rsid w:val="0013238B"/>
    <w:rsid w:val="00132439"/>
    <w:rsid w:val="00132584"/>
    <w:rsid w:val="0013265F"/>
    <w:rsid w:val="001327DB"/>
    <w:rsid w:val="001338AB"/>
    <w:rsid w:val="00134E7B"/>
    <w:rsid w:val="00135078"/>
    <w:rsid w:val="00135DBA"/>
    <w:rsid w:val="00135DC0"/>
    <w:rsid w:val="001365CF"/>
    <w:rsid w:val="001367D8"/>
    <w:rsid w:val="001378AA"/>
    <w:rsid w:val="001400B1"/>
    <w:rsid w:val="00140613"/>
    <w:rsid w:val="00141069"/>
    <w:rsid w:val="0014132C"/>
    <w:rsid w:val="001425FC"/>
    <w:rsid w:val="00142791"/>
    <w:rsid w:val="00143010"/>
    <w:rsid w:val="001433E0"/>
    <w:rsid w:val="001449EB"/>
    <w:rsid w:val="00145B98"/>
    <w:rsid w:val="0014630F"/>
    <w:rsid w:val="001470F9"/>
    <w:rsid w:val="0014739E"/>
    <w:rsid w:val="001473E9"/>
    <w:rsid w:val="001473EB"/>
    <w:rsid w:val="00147683"/>
    <w:rsid w:val="001476F1"/>
    <w:rsid w:val="0015026D"/>
    <w:rsid w:val="00151185"/>
    <w:rsid w:val="001515B7"/>
    <w:rsid w:val="00151E7A"/>
    <w:rsid w:val="0015204F"/>
    <w:rsid w:val="0015240B"/>
    <w:rsid w:val="001524BB"/>
    <w:rsid w:val="00152F00"/>
    <w:rsid w:val="0015377A"/>
    <w:rsid w:val="00155390"/>
    <w:rsid w:val="001556AA"/>
    <w:rsid w:val="001556F6"/>
    <w:rsid w:val="00156281"/>
    <w:rsid w:val="00157B75"/>
    <w:rsid w:val="0016016F"/>
    <w:rsid w:val="0016045F"/>
    <w:rsid w:val="00160B0B"/>
    <w:rsid w:val="00161A8B"/>
    <w:rsid w:val="00162B9A"/>
    <w:rsid w:val="00162C48"/>
    <w:rsid w:val="00162E0F"/>
    <w:rsid w:val="0016321C"/>
    <w:rsid w:val="001634F9"/>
    <w:rsid w:val="00163990"/>
    <w:rsid w:val="00164350"/>
    <w:rsid w:val="00164873"/>
    <w:rsid w:val="0016498B"/>
    <w:rsid w:val="00164B95"/>
    <w:rsid w:val="00165EBA"/>
    <w:rsid w:val="00166183"/>
    <w:rsid w:val="0016669A"/>
    <w:rsid w:val="00166B4C"/>
    <w:rsid w:val="00167113"/>
    <w:rsid w:val="00167852"/>
    <w:rsid w:val="00167FF0"/>
    <w:rsid w:val="0017160F"/>
    <w:rsid w:val="00172388"/>
    <w:rsid w:val="00172630"/>
    <w:rsid w:val="00172C84"/>
    <w:rsid w:val="0017303D"/>
    <w:rsid w:val="00173501"/>
    <w:rsid w:val="00174515"/>
    <w:rsid w:val="0017455C"/>
    <w:rsid w:val="00174BBE"/>
    <w:rsid w:val="0017583B"/>
    <w:rsid w:val="00175F98"/>
    <w:rsid w:val="001761FF"/>
    <w:rsid w:val="00176491"/>
    <w:rsid w:val="00176B17"/>
    <w:rsid w:val="00177391"/>
    <w:rsid w:val="0017764F"/>
    <w:rsid w:val="00177BFA"/>
    <w:rsid w:val="00177D64"/>
    <w:rsid w:val="00177FCC"/>
    <w:rsid w:val="001800A3"/>
    <w:rsid w:val="00180576"/>
    <w:rsid w:val="00180CFD"/>
    <w:rsid w:val="00180D80"/>
    <w:rsid w:val="00181BC4"/>
    <w:rsid w:val="00181FEA"/>
    <w:rsid w:val="00182CD4"/>
    <w:rsid w:val="0018403F"/>
    <w:rsid w:val="00185038"/>
    <w:rsid w:val="00185663"/>
    <w:rsid w:val="00190211"/>
    <w:rsid w:val="00190C01"/>
    <w:rsid w:val="00190D5F"/>
    <w:rsid w:val="001927AB"/>
    <w:rsid w:val="00192DE0"/>
    <w:rsid w:val="00192ECE"/>
    <w:rsid w:val="0019358B"/>
    <w:rsid w:val="00193D19"/>
    <w:rsid w:val="00194D46"/>
    <w:rsid w:val="00194EAA"/>
    <w:rsid w:val="00194FBD"/>
    <w:rsid w:val="001950E3"/>
    <w:rsid w:val="001961A6"/>
    <w:rsid w:val="001963F0"/>
    <w:rsid w:val="00196F8D"/>
    <w:rsid w:val="0019760B"/>
    <w:rsid w:val="00197F59"/>
    <w:rsid w:val="001A0E9F"/>
    <w:rsid w:val="001A0FF0"/>
    <w:rsid w:val="001A1620"/>
    <w:rsid w:val="001A1644"/>
    <w:rsid w:val="001A1F10"/>
    <w:rsid w:val="001A4240"/>
    <w:rsid w:val="001A4563"/>
    <w:rsid w:val="001A5316"/>
    <w:rsid w:val="001A6F59"/>
    <w:rsid w:val="001A74D9"/>
    <w:rsid w:val="001A7E03"/>
    <w:rsid w:val="001B0B30"/>
    <w:rsid w:val="001B12B2"/>
    <w:rsid w:val="001B13D5"/>
    <w:rsid w:val="001B15E1"/>
    <w:rsid w:val="001B1E5A"/>
    <w:rsid w:val="001B2565"/>
    <w:rsid w:val="001B2801"/>
    <w:rsid w:val="001B2B05"/>
    <w:rsid w:val="001B2D20"/>
    <w:rsid w:val="001B3265"/>
    <w:rsid w:val="001B3BDB"/>
    <w:rsid w:val="001B3D47"/>
    <w:rsid w:val="001B430F"/>
    <w:rsid w:val="001B4F4F"/>
    <w:rsid w:val="001B5A5B"/>
    <w:rsid w:val="001B5E2A"/>
    <w:rsid w:val="001B6F59"/>
    <w:rsid w:val="001B7258"/>
    <w:rsid w:val="001B75BE"/>
    <w:rsid w:val="001B7A91"/>
    <w:rsid w:val="001C12DF"/>
    <w:rsid w:val="001C12FF"/>
    <w:rsid w:val="001C1DB8"/>
    <w:rsid w:val="001C2365"/>
    <w:rsid w:val="001C30B0"/>
    <w:rsid w:val="001C3302"/>
    <w:rsid w:val="001C5180"/>
    <w:rsid w:val="001C5980"/>
    <w:rsid w:val="001C6021"/>
    <w:rsid w:val="001C606B"/>
    <w:rsid w:val="001C6610"/>
    <w:rsid w:val="001C6C59"/>
    <w:rsid w:val="001C7036"/>
    <w:rsid w:val="001C7A0E"/>
    <w:rsid w:val="001D04D4"/>
    <w:rsid w:val="001D0E57"/>
    <w:rsid w:val="001D16CC"/>
    <w:rsid w:val="001D1BC2"/>
    <w:rsid w:val="001D1F8C"/>
    <w:rsid w:val="001D2028"/>
    <w:rsid w:val="001D213A"/>
    <w:rsid w:val="001D24E7"/>
    <w:rsid w:val="001D260C"/>
    <w:rsid w:val="001D3597"/>
    <w:rsid w:val="001D43CE"/>
    <w:rsid w:val="001D515D"/>
    <w:rsid w:val="001D6BA0"/>
    <w:rsid w:val="001D7671"/>
    <w:rsid w:val="001D7E10"/>
    <w:rsid w:val="001E08E7"/>
    <w:rsid w:val="001E0ADF"/>
    <w:rsid w:val="001E10E1"/>
    <w:rsid w:val="001E1BDA"/>
    <w:rsid w:val="001E1EB8"/>
    <w:rsid w:val="001E2B35"/>
    <w:rsid w:val="001E2F0C"/>
    <w:rsid w:val="001E3F64"/>
    <w:rsid w:val="001E4B3B"/>
    <w:rsid w:val="001E5A40"/>
    <w:rsid w:val="001E5B0D"/>
    <w:rsid w:val="001E5E27"/>
    <w:rsid w:val="001E6B6C"/>
    <w:rsid w:val="001F0508"/>
    <w:rsid w:val="001F208F"/>
    <w:rsid w:val="001F237D"/>
    <w:rsid w:val="001F2AAA"/>
    <w:rsid w:val="001F4003"/>
    <w:rsid w:val="001F5082"/>
    <w:rsid w:val="001F6048"/>
    <w:rsid w:val="001F61BD"/>
    <w:rsid w:val="001F62A7"/>
    <w:rsid w:val="001F631B"/>
    <w:rsid w:val="00200439"/>
    <w:rsid w:val="00201028"/>
    <w:rsid w:val="00201289"/>
    <w:rsid w:val="00203CDC"/>
    <w:rsid w:val="00203E60"/>
    <w:rsid w:val="00204283"/>
    <w:rsid w:val="002043D6"/>
    <w:rsid w:val="00204AA1"/>
    <w:rsid w:val="00204D4C"/>
    <w:rsid w:val="00205511"/>
    <w:rsid w:val="002056DF"/>
    <w:rsid w:val="00206234"/>
    <w:rsid w:val="002063C4"/>
    <w:rsid w:val="00207D07"/>
    <w:rsid w:val="0021038B"/>
    <w:rsid w:val="0021090C"/>
    <w:rsid w:val="00210C39"/>
    <w:rsid w:val="00210E1B"/>
    <w:rsid w:val="00211066"/>
    <w:rsid w:val="00211164"/>
    <w:rsid w:val="00211387"/>
    <w:rsid w:val="00211574"/>
    <w:rsid w:val="00212532"/>
    <w:rsid w:val="00212A35"/>
    <w:rsid w:val="00212AE7"/>
    <w:rsid w:val="00212CF3"/>
    <w:rsid w:val="00213258"/>
    <w:rsid w:val="00213A11"/>
    <w:rsid w:val="00213B8B"/>
    <w:rsid w:val="00213D80"/>
    <w:rsid w:val="00214509"/>
    <w:rsid w:val="00214C78"/>
    <w:rsid w:val="00215FA3"/>
    <w:rsid w:val="00216405"/>
    <w:rsid w:val="002166A7"/>
    <w:rsid w:val="0021676F"/>
    <w:rsid w:val="00216D3A"/>
    <w:rsid w:val="00217984"/>
    <w:rsid w:val="00217D48"/>
    <w:rsid w:val="00220011"/>
    <w:rsid w:val="0022062E"/>
    <w:rsid w:val="002208B0"/>
    <w:rsid w:val="00220B98"/>
    <w:rsid w:val="00220E4E"/>
    <w:rsid w:val="0022135A"/>
    <w:rsid w:val="00221674"/>
    <w:rsid w:val="00221BE9"/>
    <w:rsid w:val="0022260A"/>
    <w:rsid w:val="00222C35"/>
    <w:rsid w:val="0022462F"/>
    <w:rsid w:val="002249D0"/>
    <w:rsid w:val="002254B8"/>
    <w:rsid w:val="0022656E"/>
    <w:rsid w:val="002266E1"/>
    <w:rsid w:val="00227D6D"/>
    <w:rsid w:val="00230307"/>
    <w:rsid w:val="00230E5D"/>
    <w:rsid w:val="002320C7"/>
    <w:rsid w:val="002329BE"/>
    <w:rsid w:val="00232C82"/>
    <w:rsid w:val="00232DD8"/>
    <w:rsid w:val="002330D6"/>
    <w:rsid w:val="002339F9"/>
    <w:rsid w:val="00233CDD"/>
    <w:rsid w:val="00234297"/>
    <w:rsid w:val="00234C23"/>
    <w:rsid w:val="00234DE9"/>
    <w:rsid w:val="00234F4B"/>
    <w:rsid w:val="002350BB"/>
    <w:rsid w:val="00235205"/>
    <w:rsid w:val="00235BF0"/>
    <w:rsid w:val="00235C35"/>
    <w:rsid w:val="00236693"/>
    <w:rsid w:val="002368C4"/>
    <w:rsid w:val="00236916"/>
    <w:rsid w:val="00236D7F"/>
    <w:rsid w:val="00236F89"/>
    <w:rsid w:val="00237828"/>
    <w:rsid w:val="00237B1F"/>
    <w:rsid w:val="002412AB"/>
    <w:rsid w:val="00241505"/>
    <w:rsid w:val="0024158A"/>
    <w:rsid w:val="00241EA8"/>
    <w:rsid w:val="002424FA"/>
    <w:rsid w:val="002429D3"/>
    <w:rsid w:val="00243462"/>
    <w:rsid w:val="002444D6"/>
    <w:rsid w:val="002445A1"/>
    <w:rsid w:val="00244AA7"/>
    <w:rsid w:val="00244AAD"/>
    <w:rsid w:val="00244C42"/>
    <w:rsid w:val="002453C9"/>
    <w:rsid w:val="0024551A"/>
    <w:rsid w:val="0024662B"/>
    <w:rsid w:val="00246D7E"/>
    <w:rsid w:val="00246FCC"/>
    <w:rsid w:val="00247311"/>
    <w:rsid w:val="00247AFD"/>
    <w:rsid w:val="00250999"/>
    <w:rsid w:val="00250C53"/>
    <w:rsid w:val="002517F6"/>
    <w:rsid w:val="00251B5F"/>
    <w:rsid w:val="00252432"/>
    <w:rsid w:val="002528B3"/>
    <w:rsid w:val="00252DED"/>
    <w:rsid w:val="002546FF"/>
    <w:rsid w:val="002551D2"/>
    <w:rsid w:val="0025626A"/>
    <w:rsid w:val="00256B20"/>
    <w:rsid w:val="00260192"/>
    <w:rsid w:val="002618E5"/>
    <w:rsid w:val="00261E4A"/>
    <w:rsid w:val="00262994"/>
    <w:rsid w:val="0026323D"/>
    <w:rsid w:val="00263D82"/>
    <w:rsid w:val="00264054"/>
    <w:rsid w:val="00264331"/>
    <w:rsid w:val="00264EEE"/>
    <w:rsid w:val="00265204"/>
    <w:rsid w:val="00265AFD"/>
    <w:rsid w:val="0026636F"/>
    <w:rsid w:val="00266B88"/>
    <w:rsid w:val="002722FF"/>
    <w:rsid w:val="0027236D"/>
    <w:rsid w:val="00272615"/>
    <w:rsid w:val="00272CF4"/>
    <w:rsid w:val="00272D3A"/>
    <w:rsid w:val="00272D47"/>
    <w:rsid w:val="002730EA"/>
    <w:rsid w:val="0027313B"/>
    <w:rsid w:val="00273AFB"/>
    <w:rsid w:val="002743E3"/>
    <w:rsid w:val="002747D7"/>
    <w:rsid w:val="00274A0C"/>
    <w:rsid w:val="00274C12"/>
    <w:rsid w:val="00274D0C"/>
    <w:rsid w:val="00274FC4"/>
    <w:rsid w:val="002751FA"/>
    <w:rsid w:val="002757CC"/>
    <w:rsid w:val="0027656B"/>
    <w:rsid w:val="00276686"/>
    <w:rsid w:val="00276A43"/>
    <w:rsid w:val="00276AE0"/>
    <w:rsid w:val="002770D7"/>
    <w:rsid w:val="002770F4"/>
    <w:rsid w:val="00280005"/>
    <w:rsid w:val="00280108"/>
    <w:rsid w:val="00280235"/>
    <w:rsid w:val="00280384"/>
    <w:rsid w:val="00280804"/>
    <w:rsid w:val="00280B47"/>
    <w:rsid w:val="00282BB1"/>
    <w:rsid w:val="00283592"/>
    <w:rsid w:val="0028399C"/>
    <w:rsid w:val="002841BD"/>
    <w:rsid w:val="00285B92"/>
    <w:rsid w:val="00285C13"/>
    <w:rsid w:val="00285C64"/>
    <w:rsid w:val="002866F1"/>
    <w:rsid w:val="00286C77"/>
    <w:rsid w:val="00287908"/>
    <w:rsid w:val="00287A36"/>
    <w:rsid w:val="00287AEC"/>
    <w:rsid w:val="002905DE"/>
    <w:rsid w:val="00290A60"/>
    <w:rsid w:val="00290BC4"/>
    <w:rsid w:val="00290C11"/>
    <w:rsid w:val="002915AC"/>
    <w:rsid w:val="0029160C"/>
    <w:rsid w:val="00292670"/>
    <w:rsid w:val="00292D49"/>
    <w:rsid w:val="00293586"/>
    <w:rsid w:val="00294482"/>
    <w:rsid w:val="0029457F"/>
    <w:rsid w:val="00294C29"/>
    <w:rsid w:val="00294FEA"/>
    <w:rsid w:val="00295382"/>
    <w:rsid w:val="00295469"/>
    <w:rsid w:val="002955ED"/>
    <w:rsid w:val="00295A67"/>
    <w:rsid w:val="002972BD"/>
    <w:rsid w:val="00297CBE"/>
    <w:rsid w:val="002A007A"/>
    <w:rsid w:val="002A0846"/>
    <w:rsid w:val="002A08E1"/>
    <w:rsid w:val="002A0E89"/>
    <w:rsid w:val="002A0ED9"/>
    <w:rsid w:val="002A133F"/>
    <w:rsid w:val="002A1403"/>
    <w:rsid w:val="002A18D5"/>
    <w:rsid w:val="002A251E"/>
    <w:rsid w:val="002A2680"/>
    <w:rsid w:val="002A2756"/>
    <w:rsid w:val="002A29B6"/>
    <w:rsid w:val="002A2A02"/>
    <w:rsid w:val="002A38D3"/>
    <w:rsid w:val="002A3AB3"/>
    <w:rsid w:val="002A4A0F"/>
    <w:rsid w:val="002A4F4B"/>
    <w:rsid w:val="002A5C84"/>
    <w:rsid w:val="002A6203"/>
    <w:rsid w:val="002A6528"/>
    <w:rsid w:val="002A6551"/>
    <w:rsid w:val="002B0DF9"/>
    <w:rsid w:val="002B0E76"/>
    <w:rsid w:val="002B1311"/>
    <w:rsid w:val="002B201A"/>
    <w:rsid w:val="002B24B6"/>
    <w:rsid w:val="002B2C50"/>
    <w:rsid w:val="002B3289"/>
    <w:rsid w:val="002B39A6"/>
    <w:rsid w:val="002B40B3"/>
    <w:rsid w:val="002B411C"/>
    <w:rsid w:val="002B4489"/>
    <w:rsid w:val="002B44EB"/>
    <w:rsid w:val="002B4C4F"/>
    <w:rsid w:val="002B65F6"/>
    <w:rsid w:val="002C0A06"/>
    <w:rsid w:val="002C0B3C"/>
    <w:rsid w:val="002C1988"/>
    <w:rsid w:val="002C2AC4"/>
    <w:rsid w:val="002C3456"/>
    <w:rsid w:val="002C3A74"/>
    <w:rsid w:val="002C3CE0"/>
    <w:rsid w:val="002C3F5E"/>
    <w:rsid w:val="002C415E"/>
    <w:rsid w:val="002C45DD"/>
    <w:rsid w:val="002C4B56"/>
    <w:rsid w:val="002C4E1E"/>
    <w:rsid w:val="002C4E39"/>
    <w:rsid w:val="002C4F8C"/>
    <w:rsid w:val="002C5BC6"/>
    <w:rsid w:val="002C5D05"/>
    <w:rsid w:val="002C7193"/>
    <w:rsid w:val="002D0013"/>
    <w:rsid w:val="002D0787"/>
    <w:rsid w:val="002D0FBE"/>
    <w:rsid w:val="002D172E"/>
    <w:rsid w:val="002D1B29"/>
    <w:rsid w:val="002D1BEA"/>
    <w:rsid w:val="002D2E53"/>
    <w:rsid w:val="002D2FBD"/>
    <w:rsid w:val="002D341A"/>
    <w:rsid w:val="002D4071"/>
    <w:rsid w:val="002D42E3"/>
    <w:rsid w:val="002D4951"/>
    <w:rsid w:val="002D4BC8"/>
    <w:rsid w:val="002D5304"/>
    <w:rsid w:val="002D5439"/>
    <w:rsid w:val="002D590C"/>
    <w:rsid w:val="002D70A5"/>
    <w:rsid w:val="002D79CD"/>
    <w:rsid w:val="002D7CF5"/>
    <w:rsid w:val="002D7D0A"/>
    <w:rsid w:val="002E012A"/>
    <w:rsid w:val="002E05E0"/>
    <w:rsid w:val="002E104D"/>
    <w:rsid w:val="002E16FF"/>
    <w:rsid w:val="002E2725"/>
    <w:rsid w:val="002E29AB"/>
    <w:rsid w:val="002E301A"/>
    <w:rsid w:val="002E3580"/>
    <w:rsid w:val="002E3595"/>
    <w:rsid w:val="002E3D54"/>
    <w:rsid w:val="002E3F36"/>
    <w:rsid w:val="002E4144"/>
    <w:rsid w:val="002E512B"/>
    <w:rsid w:val="002E51FB"/>
    <w:rsid w:val="002E5228"/>
    <w:rsid w:val="002E563E"/>
    <w:rsid w:val="002E607A"/>
    <w:rsid w:val="002E639E"/>
    <w:rsid w:val="002E70A6"/>
    <w:rsid w:val="002E70EB"/>
    <w:rsid w:val="002E75C1"/>
    <w:rsid w:val="002E77C1"/>
    <w:rsid w:val="002E7838"/>
    <w:rsid w:val="002F0A21"/>
    <w:rsid w:val="002F161E"/>
    <w:rsid w:val="002F1F9C"/>
    <w:rsid w:val="002F2214"/>
    <w:rsid w:val="002F23D3"/>
    <w:rsid w:val="002F269A"/>
    <w:rsid w:val="002F29A6"/>
    <w:rsid w:val="002F32C3"/>
    <w:rsid w:val="002F3611"/>
    <w:rsid w:val="002F3F58"/>
    <w:rsid w:val="002F4A96"/>
    <w:rsid w:val="002F5112"/>
    <w:rsid w:val="002F5A83"/>
    <w:rsid w:val="002F637F"/>
    <w:rsid w:val="002F6439"/>
    <w:rsid w:val="002F6DC8"/>
    <w:rsid w:val="002F6DD1"/>
    <w:rsid w:val="002F72C3"/>
    <w:rsid w:val="0030023F"/>
    <w:rsid w:val="003010D2"/>
    <w:rsid w:val="0030122C"/>
    <w:rsid w:val="003013EC"/>
    <w:rsid w:val="0030193C"/>
    <w:rsid w:val="00301B78"/>
    <w:rsid w:val="00302271"/>
    <w:rsid w:val="003027B9"/>
    <w:rsid w:val="0030293D"/>
    <w:rsid w:val="003029E6"/>
    <w:rsid w:val="003034DC"/>
    <w:rsid w:val="00303E15"/>
    <w:rsid w:val="0030554E"/>
    <w:rsid w:val="00305E48"/>
    <w:rsid w:val="0030600D"/>
    <w:rsid w:val="00306FAA"/>
    <w:rsid w:val="0030760F"/>
    <w:rsid w:val="0031020C"/>
    <w:rsid w:val="00310405"/>
    <w:rsid w:val="003124F8"/>
    <w:rsid w:val="003127BE"/>
    <w:rsid w:val="00312F22"/>
    <w:rsid w:val="003131A0"/>
    <w:rsid w:val="0031337C"/>
    <w:rsid w:val="00313B91"/>
    <w:rsid w:val="00313C40"/>
    <w:rsid w:val="00313D1A"/>
    <w:rsid w:val="00314144"/>
    <w:rsid w:val="00314395"/>
    <w:rsid w:val="00314BDA"/>
    <w:rsid w:val="00314FE5"/>
    <w:rsid w:val="0031630B"/>
    <w:rsid w:val="00316AC4"/>
    <w:rsid w:val="00316EBE"/>
    <w:rsid w:val="00316FCB"/>
    <w:rsid w:val="00317617"/>
    <w:rsid w:val="00317B4C"/>
    <w:rsid w:val="00320F8F"/>
    <w:rsid w:val="00321FB2"/>
    <w:rsid w:val="003221A7"/>
    <w:rsid w:val="003235DC"/>
    <w:rsid w:val="00323C50"/>
    <w:rsid w:val="003261BD"/>
    <w:rsid w:val="00330230"/>
    <w:rsid w:val="0033072E"/>
    <w:rsid w:val="00330C80"/>
    <w:rsid w:val="003311F2"/>
    <w:rsid w:val="00331682"/>
    <w:rsid w:val="003326E3"/>
    <w:rsid w:val="00332E63"/>
    <w:rsid w:val="003339E0"/>
    <w:rsid w:val="003340FA"/>
    <w:rsid w:val="003341ED"/>
    <w:rsid w:val="00334FC0"/>
    <w:rsid w:val="00335716"/>
    <w:rsid w:val="00335929"/>
    <w:rsid w:val="00335FCB"/>
    <w:rsid w:val="003367EB"/>
    <w:rsid w:val="00336939"/>
    <w:rsid w:val="00336A9A"/>
    <w:rsid w:val="0033779A"/>
    <w:rsid w:val="00337FD8"/>
    <w:rsid w:val="003406C6"/>
    <w:rsid w:val="00340A13"/>
    <w:rsid w:val="003419A8"/>
    <w:rsid w:val="00341AF7"/>
    <w:rsid w:val="00341FB6"/>
    <w:rsid w:val="003424E2"/>
    <w:rsid w:val="00342DB3"/>
    <w:rsid w:val="0034385A"/>
    <w:rsid w:val="00343B2C"/>
    <w:rsid w:val="00343D4D"/>
    <w:rsid w:val="00343D96"/>
    <w:rsid w:val="00343F97"/>
    <w:rsid w:val="00344193"/>
    <w:rsid w:val="003466D2"/>
    <w:rsid w:val="003468EC"/>
    <w:rsid w:val="00346A0C"/>
    <w:rsid w:val="00347460"/>
    <w:rsid w:val="00350258"/>
    <w:rsid w:val="00351729"/>
    <w:rsid w:val="003521DA"/>
    <w:rsid w:val="003522E6"/>
    <w:rsid w:val="0035279C"/>
    <w:rsid w:val="00352BE4"/>
    <w:rsid w:val="0035314D"/>
    <w:rsid w:val="003539C3"/>
    <w:rsid w:val="003551B8"/>
    <w:rsid w:val="00355E36"/>
    <w:rsid w:val="003561C3"/>
    <w:rsid w:val="00356B85"/>
    <w:rsid w:val="00356DF0"/>
    <w:rsid w:val="003571C6"/>
    <w:rsid w:val="003573B8"/>
    <w:rsid w:val="003602FB"/>
    <w:rsid w:val="003608CD"/>
    <w:rsid w:val="003618A2"/>
    <w:rsid w:val="003619EF"/>
    <w:rsid w:val="00361A05"/>
    <w:rsid w:val="00361AE0"/>
    <w:rsid w:val="00361CA0"/>
    <w:rsid w:val="00362EB9"/>
    <w:rsid w:val="00363B46"/>
    <w:rsid w:val="0036405D"/>
    <w:rsid w:val="00364E7A"/>
    <w:rsid w:val="0036523D"/>
    <w:rsid w:val="00365B74"/>
    <w:rsid w:val="003669E2"/>
    <w:rsid w:val="00366E0D"/>
    <w:rsid w:val="00366E22"/>
    <w:rsid w:val="00367189"/>
    <w:rsid w:val="00367216"/>
    <w:rsid w:val="003674D2"/>
    <w:rsid w:val="0036774A"/>
    <w:rsid w:val="003706A4"/>
    <w:rsid w:val="00370AE5"/>
    <w:rsid w:val="00370AEB"/>
    <w:rsid w:val="00370F30"/>
    <w:rsid w:val="0037127F"/>
    <w:rsid w:val="0037138C"/>
    <w:rsid w:val="00371BD9"/>
    <w:rsid w:val="00371F9C"/>
    <w:rsid w:val="00371FAC"/>
    <w:rsid w:val="00372534"/>
    <w:rsid w:val="00372C4F"/>
    <w:rsid w:val="00373511"/>
    <w:rsid w:val="00373CD3"/>
    <w:rsid w:val="00373D5B"/>
    <w:rsid w:val="003743D7"/>
    <w:rsid w:val="003745DF"/>
    <w:rsid w:val="00375980"/>
    <w:rsid w:val="003760F2"/>
    <w:rsid w:val="00376CFB"/>
    <w:rsid w:val="0037774A"/>
    <w:rsid w:val="00377C58"/>
    <w:rsid w:val="00377FB3"/>
    <w:rsid w:val="00380E8F"/>
    <w:rsid w:val="003818B6"/>
    <w:rsid w:val="00381994"/>
    <w:rsid w:val="00382C42"/>
    <w:rsid w:val="003833C7"/>
    <w:rsid w:val="0038380A"/>
    <w:rsid w:val="00383D77"/>
    <w:rsid w:val="00383E44"/>
    <w:rsid w:val="00383EB3"/>
    <w:rsid w:val="00384295"/>
    <w:rsid w:val="003843A0"/>
    <w:rsid w:val="003851A1"/>
    <w:rsid w:val="0038531A"/>
    <w:rsid w:val="00385471"/>
    <w:rsid w:val="003854E5"/>
    <w:rsid w:val="00386D44"/>
    <w:rsid w:val="00386D69"/>
    <w:rsid w:val="00386E2D"/>
    <w:rsid w:val="00386E75"/>
    <w:rsid w:val="00386F79"/>
    <w:rsid w:val="00387531"/>
    <w:rsid w:val="003875E9"/>
    <w:rsid w:val="0039009B"/>
    <w:rsid w:val="00391322"/>
    <w:rsid w:val="00391B85"/>
    <w:rsid w:val="00391C44"/>
    <w:rsid w:val="003928B1"/>
    <w:rsid w:val="003930BD"/>
    <w:rsid w:val="003935FE"/>
    <w:rsid w:val="003936F8"/>
    <w:rsid w:val="003941F3"/>
    <w:rsid w:val="00394615"/>
    <w:rsid w:val="0039468B"/>
    <w:rsid w:val="00394E7B"/>
    <w:rsid w:val="003950D0"/>
    <w:rsid w:val="00395477"/>
    <w:rsid w:val="00395626"/>
    <w:rsid w:val="00395F55"/>
    <w:rsid w:val="00396406"/>
    <w:rsid w:val="00397E89"/>
    <w:rsid w:val="003A1F67"/>
    <w:rsid w:val="003A2456"/>
    <w:rsid w:val="003A249D"/>
    <w:rsid w:val="003A3E1D"/>
    <w:rsid w:val="003A47EB"/>
    <w:rsid w:val="003A4B3B"/>
    <w:rsid w:val="003A5201"/>
    <w:rsid w:val="003A5305"/>
    <w:rsid w:val="003A59EF"/>
    <w:rsid w:val="003A7075"/>
    <w:rsid w:val="003A7449"/>
    <w:rsid w:val="003A783A"/>
    <w:rsid w:val="003B06C5"/>
    <w:rsid w:val="003B09E1"/>
    <w:rsid w:val="003B10DC"/>
    <w:rsid w:val="003B1C40"/>
    <w:rsid w:val="003B2158"/>
    <w:rsid w:val="003B2D28"/>
    <w:rsid w:val="003B3930"/>
    <w:rsid w:val="003B3CA5"/>
    <w:rsid w:val="003B3E7B"/>
    <w:rsid w:val="003B4310"/>
    <w:rsid w:val="003B4C70"/>
    <w:rsid w:val="003B52D3"/>
    <w:rsid w:val="003B608E"/>
    <w:rsid w:val="003B6C5C"/>
    <w:rsid w:val="003B7485"/>
    <w:rsid w:val="003B75F5"/>
    <w:rsid w:val="003C01AD"/>
    <w:rsid w:val="003C0827"/>
    <w:rsid w:val="003C0B3B"/>
    <w:rsid w:val="003C0CE1"/>
    <w:rsid w:val="003C29D9"/>
    <w:rsid w:val="003C2F6B"/>
    <w:rsid w:val="003C3813"/>
    <w:rsid w:val="003C3A3A"/>
    <w:rsid w:val="003C3FB0"/>
    <w:rsid w:val="003C528A"/>
    <w:rsid w:val="003C5732"/>
    <w:rsid w:val="003C5A0A"/>
    <w:rsid w:val="003C5C34"/>
    <w:rsid w:val="003C5DF8"/>
    <w:rsid w:val="003C7148"/>
    <w:rsid w:val="003C79E2"/>
    <w:rsid w:val="003C7E49"/>
    <w:rsid w:val="003C7F31"/>
    <w:rsid w:val="003D05B4"/>
    <w:rsid w:val="003D1281"/>
    <w:rsid w:val="003D137F"/>
    <w:rsid w:val="003D156A"/>
    <w:rsid w:val="003D1578"/>
    <w:rsid w:val="003D1DCD"/>
    <w:rsid w:val="003D26CB"/>
    <w:rsid w:val="003D27F0"/>
    <w:rsid w:val="003D2B5C"/>
    <w:rsid w:val="003D403F"/>
    <w:rsid w:val="003D470C"/>
    <w:rsid w:val="003D53BF"/>
    <w:rsid w:val="003D59C4"/>
    <w:rsid w:val="003D5AFA"/>
    <w:rsid w:val="003D6101"/>
    <w:rsid w:val="003D61D2"/>
    <w:rsid w:val="003D774E"/>
    <w:rsid w:val="003D7B50"/>
    <w:rsid w:val="003E043C"/>
    <w:rsid w:val="003E0CFC"/>
    <w:rsid w:val="003E0DEF"/>
    <w:rsid w:val="003E0FEE"/>
    <w:rsid w:val="003E1076"/>
    <w:rsid w:val="003E1502"/>
    <w:rsid w:val="003E24E3"/>
    <w:rsid w:val="003E31B6"/>
    <w:rsid w:val="003E36CD"/>
    <w:rsid w:val="003E3BE0"/>
    <w:rsid w:val="003E498C"/>
    <w:rsid w:val="003E4B8A"/>
    <w:rsid w:val="003E4BA9"/>
    <w:rsid w:val="003E538E"/>
    <w:rsid w:val="003E589B"/>
    <w:rsid w:val="003E592F"/>
    <w:rsid w:val="003E5A78"/>
    <w:rsid w:val="003E5DF5"/>
    <w:rsid w:val="003E5F2A"/>
    <w:rsid w:val="003E6CA1"/>
    <w:rsid w:val="003E771A"/>
    <w:rsid w:val="003F0853"/>
    <w:rsid w:val="003F0F5D"/>
    <w:rsid w:val="003F1058"/>
    <w:rsid w:val="003F13C2"/>
    <w:rsid w:val="003F22CD"/>
    <w:rsid w:val="003F22DA"/>
    <w:rsid w:val="003F29B3"/>
    <w:rsid w:val="003F3314"/>
    <w:rsid w:val="003F43EA"/>
    <w:rsid w:val="003F4CCE"/>
    <w:rsid w:val="003F6133"/>
    <w:rsid w:val="003F639F"/>
    <w:rsid w:val="003F6C2C"/>
    <w:rsid w:val="003F7072"/>
    <w:rsid w:val="003F73FD"/>
    <w:rsid w:val="00400046"/>
    <w:rsid w:val="004000AC"/>
    <w:rsid w:val="00400B49"/>
    <w:rsid w:val="00401036"/>
    <w:rsid w:val="00401876"/>
    <w:rsid w:val="00402497"/>
    <w:rsid w:val="00402885"/>
    <w:rsid w:val="00402913"/>
    <w:rsid w:val="00402FBF"/>
    <w:rsid w:val="00403062"/>
    <w:rsid w:val="00403478"/>
    <w:rsid w:val="0040377C"/>
    <w:rsid w:val="00403839"/>
    <w:rsid w:val="00403952"/>
    <w:rsid w:val="00404EA1"/>
    <w:rsid w:val="0040501C"/>
    <w:rsid w:val="004053FC"/>
    <w:rsid w:val="00407A6D"/>
    <w:rsid w:val="0041017A"/>
    <w:rsid w:val="0041018F"/>
    <w:rsid w:val="00410827"/>
    <w:rsid w:val="00410AB1"/>
    <w:rsid w:val="00412178"/>
    <w:rsid w:val="00412274"/>
    <w:rsid w:val="0041262E"/>
    <w:rsid w:val="004128F3"/>
    <w:rsid w:val="00412E95"/>
    <w:rsid w:val="00413187"/>
    <w:rsid w:val="004132DF"/>
    <w:rsid w:val="0041436A"/>
    <w:rsid w:val="004149EF"/>
    <w:rsid w:val="004155F0"/>
    <w:rsid w:val="00415606"/>
    <w:rsid w:val="004156B3"/>
    <w:rsid w:val="00415C33"/>
    <w:rsid w:val="00417169"/>
    <w:rsid w:val="00417D05"/>
    <w:rsid w:val="004202F6"/>
    <w:rsid w:val="00420354"/>
    <w:rsid w:val="00420465"/>
    <w:rsid w:val="00421E47"/>
    <w:rsid w:val="00421E57"/>
    <w:rsid w:val="004227BC"/>
    <w:rsid w:val="00422EAB"/>
    <w:rsid w:val="0042333C"/>
    <w:rsid w:val="00423779"/>
    <w:rsid w:val="00423C15"/>
    <w:rsid w:val="00423C5E"/>
    <w:rsid w:val="00423F72"/>
    <w:rsid w:val="004245BA"/>
    <w:rsid w:val="00424BF6"/>
    <w:rsid w:val="00424F5E"/>
    <w:rsid w:val="004250E1"/>
    <w:rsid w:val="00425235"/>
    <w:rsid w:val="00426D83"/>
    <w:rsid w:val="0042707A"/>
    <w:rsid w:val="004275E4"/>
    <w:rsid w:val="00427BFD"/>
    <w:rsid w:val="004303F5"/>
    <w:rsid w:val="0043057A"/>
    <w:rsid w:val="00431155"/>
    <w:rsid w:val="00431361"/>
    <w:rsid w:val="00431AB9"/>
    <w:rsid w:val="00432A00"/>
    <w:rsid w:val="00432DEE"/>
    <w:rsid w:val="00432EE3"/>
    <w:rsid w:val="00432FFC"/>
    <w:rsid w:val="0043420C"/>
    <w:rsid w:val="00434665"/>
    <w:rsid w:val="00434B50"/>
    <w:rsid w:val="0043615D"/>
    <w:rsid w:val="004362F1"/>
    <w:rsid w:val="004366BD"/>
    <w:rsid w:val="00436B45"/>
    <w:rsid w:val="004376FC"/>
    <w:rsid w:val="00441FA4"/>
    <w:rsid w:val="004422AF"/>
    <w:rsid w:val="00443374"/>
    <w:rsid w:val="00443BAE"/>
    <w:rsid w:val="00443C5C"/>
    <w:rsid w:val="00444D8F"/>
    <w:rsid w:val="004452D4"/>
    <w:rsid w:val="00445940"/>
    <w:rsid w:val="00445C3E"/>
    <w:rsid w:val="004468B2"/>
    <w:rsid w:val="00446AF6"/>
    <w:rsid w:val="00447692"/>
    <w:rsid w:val="004476DC"/>
    <w:rsid w:val="00447AAB"/>
    <w:rsid w:val="0045028F"/>
    <w:rsid w:val="00451499"/>
    <w:rsid w:val="00451C62"/>
    <w:rsid w:val="00452239"/>
    <w:rsid w:val="004525B4"/>
    <w:rsid w:val="00453B91"/>
    <w:rsid w:val="0045444A"/>
    <w:rsid w:val="00455EA3"/>
    <w:rsid w:val="004565C6"/>
    <w:rsid w:val="004601E9"/>
    <w:rsid w:val="004605BE"/>
    <w:rsid w:val="0046190F"/>
    <w:rsid w:val="00461DD5"/>
    <w:rsid w:val="00461E94"/>
    <w:rsid w:val="004639BC"/>
    <w:rsid w:val="00464211"/>
    <w:rsid w:val="0046523A"/>
    <w:rsid w:val="00465D23"/>
    <w:rsid w:val="00465D7D"/>
    <w:rsid w:val="00465F0C"/>
    <w:rsid w:val="004662DD"/>
    <w:rsid w:val="004665C5"/>
    <w:rsid w:val="004670E0"/>
    <w:rsid w:val="0046733F"/>
    <w:rsid w:val="004676FE"/>
    <w:rsid w:val="004706DE"/>
    <w:rsid w:val="004708B0"/>
    <w:rsid w:val="00470AC7"/>
    <w:rsid w:val="00470E31"/>
    <w:rsid w:val="0047101F"/>
    <w:rsid w:val="00471506"/>
    <w:rsid w:val="00471DB4"/>
    <w:rsid w:val="00471F4C"/>
    <w:rsid w:val="00472322"/>
    <w:rsid w:val="00472B0C"/>
    <w:rsid w:val="00472DC6"/>
    <w:rsid w:val="00473982"/>
    <w:rsid w:val="00473B53"/>
    <w:rsid w:val="00474A2C"/>
    <w:rsid w:val="00474EF9"/>
    <w:rsid w:val="004764F1"/>
    <w:rsid w:val="00476797"/>
    <w:rsid w:val="0047689F"/>
    <w:rsid w:val="00477BBE"/>
    <w:rsid w:val="0048084D"/>
    <w:rsid w:val="004810CA"/>
    <w:rsid w:val="00481647"/>
    <w:rsid w:val="00481736"/>
    <w:rsid w:val="00481C22"/>
    <w:rsid w:val="004822A8"/>
    <w:rsid w:val="00483018"/>
    <w:rsid w:val="00483320"/>
    <w:rsid w:val="0048339E"/>
    <w:rsid w:val="00483722"/>
    <w:rsid w:val="00483CDA"/>
    <w:rsid w:val="0048423B"/>
    <w:rsid w:val="00484254"/>
    <w:rsid w:val="0048489C"/>
    <w:rsid w:val="00487046"/>
    <w:rsid w:val="00487DC4"/>
    <w:rsid w:val="00487EB8"/>
    <w:rsid w:val="00490339"/>
    <w:rsid w:val="00490561"/>
    <w:rsid w:val="004910CB"/>
    <w:rsid w:val="00492FF7"/>
    <w:rsid w:val="00493A52"/>
    <w:rsid w:val="00494365"/>
    <w:rsid w:val="00494877"/>
    <w:rsid w:val="00494982"/>
    <w:rsid w:val="004950AC"/>
    <w:rsid w:val="004957F3"/>
    <w:rsid w:val="00495E58"/>
    <w:rsid w:val="004969E9"/>
    <w:rsid w:val="004A02CD"/>
    <w:rsid w:val="004A05A9"/>
    <w:rsid w:val="004A0782"/>
    <w:rsid w:val="004A0A90"/>
    <w:rsid w:val="004A0AD4"/>
    <w:rsid w:val="004A0E10"/>
    <w:rsid w:val="004A0F95"/>
    <w:rsid w:val="004A109D"/>
    <w:rsid w:val="004A1A08"/>
    <w:rsid w:val="004A1DC9"/>
    <w:rsid w:val="004A2181"/>
    <w:rsid w:val="004A315B"/>
    <w:rsid w:val="004A332C"/>
    <w:rsid w:val="004A35F2"/>
    <w:rsid w:val="004A3855"/>
    <w:rsid w:val="004A3A19"/>
    <w:rsid w:val="004A3BF8"/>
    <w:rsid w:val="004A3E21"/>
    <w:rsid w:val="004A3F66"/>
    <w:rsid w:val="004A4A7C"/>
    <w:rsid w:val="004A7534"/>
    <w:rsid w:val="004B00E2"/>
    <w:rsid w:val="004B0B3D"/>
    <w:rsid w:val="004B0EB9"/>
    <w:rsid w:val="004B0F9E"/>
    <w:rsid w:val="004B1705"/>
    <w:rsid w:val="004B21FB"/>
    <w:rsid w:val="004B226F"/>
    <w:rsid w:val="004B3641"/>
    <w:rsid w:val="004B4AE3"/>
    <w:rsid w:val="004B4FCE"/>
    <w:rsid w:val="004B526B"/>
    <w:rsid w:val="004B6126"/>
    <w:rsid w:val="004B6B00"/>
    <w:rsid w:val="004B6F78"/>
    <w:rsid w:val="004B7320"/>
    <w:rsid w:val="004B7327"/>
    <w:rsid w:val="004B77FE"/>
    <w:rsid w:val="004B7C9D"/>
    <w:rsid w:val="004C005E"/>
    <w:rsid w:val="004C00CA"/>
    <w:rsid w:val="004C0E34"/>
    <w:rsid w:val="004C11EA"/>
    <w:rsid w:val="004C1A51"/>
    <w:rsid w:val="004C1B8E"/>
    <w:rsid w:val="004C2B8B"/>
    <w:rsid w:val="004C340D"/>
    <w:rsid w:val="004C413B"/>
    <w:rsid w:val="004C4179"/>
    <w:rsid w:val="004C4624"/>
    <w:rsid w:val="004C4788"/>
    <w:rsid w:val="004C4FA7"/>
    <w:rsid w:val="004C5182"/>
    <w:rsid w:val="004C55F1"/>
    <w:rsid w:val="004C5745"/>
    <w:rsid w:val="004C5A98"/>
    <w:rsid w:val="004C5D3A"/>
    <w:rsid w:val="004C60A8"/>
    <w:rsid w:val="004C6507"/>
    <w:rsid w:val="004C6978"/>
    <w:rsid w:val="004C6AA2"/>
    <w:rsid w:val="004C6AB2"/>
    <w:rsid w:val="004C75C2"/>
    <w:rsid w:val="004C79C0"/>
    <w:rsid w:val="004C7C05"/>
    <w:rsid w:val="004C7D36"/>
    <w:rsid w:val="004C7D9C"/>
    <w:rsid w:val="004C7FCE"/>
    <w:rsid w:val="004D00B1"/>
    <w:rsid w:val="004D0245"/>
    <w:rsid w:val="004D03EE"/>
    <w:rsid w:val="004D09D0"/>
    <w:rsid w:val="004D0BA3"/>
    <w:rsid w:val="004D1190"/>
    <w:rsid w:val="004D138B"/>
    <w:rsid w:val="004D145D"/>
    <w:rsid w:val="004D211F"/>
    <w:rsid w:val="004D27AC"/>
    <w:rsid w:val="004D4103"/>
    <w:rsid w:val="004D4470"/>
    <w:rsid w:val="004D45EC"/>
    <w:rsid w:val="004D4FD5"/>
    <w:rsid w:val="004D5AA8"/>
    <w:rsid w:val="004D5C6B"/>
    <w:rsid w:val="004D5E21"/>
    <w:rsid w:val="004D6674"/>
    <w:rsid w:val="004D66B6"/>
    <w:rsid w:val="004D6940"/>
    <w:rsid w:val="004D72BF"/>
    <w:rsid w:val="004D7744"/>
    <w:rsid w:val="004D787C"/>
    <w:rsid w:val="004D791C"/>
    <w:rsid w:val="004D7F40"/>
    <w:rsid w:val="004E062B"/>
    <w:rsid w:val="004E0D32"/>
    <w:rsid w:val="004E143F"/>
    <w:rsid w:val="004E1519"/>
    <w:rsid w:val="004E1EEC"/>
    <w:rsid w:val="004E225F"/>
    <w:rsid w:val="004E2F0C"/>
    <w:rsid w:val="004E339F"/>
    <w:rsid w:val="004E33E7"/>
    <w:rsid w:val="004E3838"/>
    <w:rsid w:val="004E4831"/>
    <w:rsid w:val="004E50B9"/>
    <w:rsid w:val="004E5CA2"/>
    <w:rsid w:val="004E646F"/>
    <w:rsid w:val="004E6BE8"/>
    <w:rsid w:val="004E718B"/>
    <w:rsid w:val="004F0F28"/>
    <w:rsid w:val="004F148F"/>
    <w:rsid w:val="004F1DD2"/>
    <w:rsid w:val="004F1E5D"/>
    <w:rsid w:val="004F2483"/>
    <w:rsid w:val="004F2C44"/>
    <w:rsid w:val="004F2C49"/>
    <w:rsid w:val="004F315C"/>
    <w:rsid w:val="004F3699"/>
    <w:rsid w:val="004F3710"/>
    <w:rsid w:val="004F3C08"/>
    <w:rsid w:val="004F5C60"/>
    <w:rsid w:val="004F65E9"/>
    <w:rsid w:val="004F6957"/>
    <w:rsid w:val="004F6C0E"/>
    <w:rsid w:val="004F6FBF"/>
    <w:rsid w:val="005004C8"/>
    <w:rsid w:val="005009AE"/>
    <w:rsid w:val="0050222A"/>
    <w:rsid w:val="005027B8"/>
    <w:rsid w:val="00503A7F"/>
    <w:rsid w:val="00504437"/>
    <w:rsid w:val="0050489C"/>
    <w:rsid w:val="00505548"/>
    <w:rsid w:val="00505B3A"/>
    <w:rsid w:val="00505B84"/>
    <w:rsid w:val="00506033"/>
    <w:rsid w:val="00506439"/>
    <w:rsid w:val="0050730E"/>
    <w:rsid w:val="0051015A"/>
    <w:rsid w:val="005104F4"/>
    <w:rsid w:val="00510A92"/>
    <w:rsid w:val="00511408"/>
    <w:rsid w:val="0051179D"/>
    <w:rsid w:val="00512063"/>
    <w:rsid w:val="005130AD"/>
    <w:rsid w:val="005134CB"/>
    <w:rsid w:val="00513E68"/>
    <w:rsid w:val="005140F1"/>
    <w:rsid w:val="005142B9"/>
    <w:rsid w:val="0051470C"/>
    <w:rsid w:val="005148FA"/>
    <w:rsid w:val="00514E3A"/>
    <w:rsid w:val="00515543"/>
    <w:rsid w:val="00515634"/>
    <w:rsid w:val="005168E4"/>
    <w:rsid w:val="0051691A"/>
    <w:rsid w:val="00516F05"/>
    <w:rsid w:val="00516FA6"/>
    <w:rsid w:val="00517795"/>
    <w:rsid w:val="005179BA"/>
    <w:rsid w:val="00517BC6"/>
    <w:rsid w:val="00520EE7"/>
    <w:rsid w:val="00521550"/>
    <w:rsid w:val="005218F4"/>
    <w:rsid w:val="00521907"/>
    <w:rsid w:val="005226BD"/>
    <w:rsid w:val="00523A38"/>
    <w:rsid w:val="005244EB"/>
    <w:rsid w:val="00524C32"/>
    <w:rsid w:val="00524E29"/>
    <w:rsid w:val="0052503F"/>
    <w:rsid w:val="005254CE"/>
    <w:rsid w:val="00525C40"/>
    <w:rsid w:val="00526D7E"/>
    <w:rsid w:val="0052708C"/>
    <w:rsid w:val="005272E7"/>
    <w:rsid w:val="005276A7"/>
    <w:rsid w:val="00530411"/>
    <w:rsid w:val="00531E3C"/>
    <w:rsid w:val="0053224E"/>
    <w:rsid w:val="005325F9"/>
    <w:rsid w:val="005327F2"/>
    <w:rsid w:val="00532FE6"/>
    <w:rsid w:val="00533A6F"/>
    <w:rsid w:val="00533BDE"/>
    <w:rsid w:val="00533D6F"/>
    <w:rsid w:val="00534E98"/>
    <w:rsid w:val="00535222"/>
    <w:rsid w:val="00535B2F"/>
    <w:rsid w:val="00535E76"/>
    <w:rsid w:val="005363BC"/>
    <w:rsid w:val="0053680C"/>
    <w:rsid w:val="00536BA5"/>
    <w:rsid w:val="00537843"/>
    <w:rsid w:val="00540220"/>
    <w:rsid w:val="00540F25"/>
    <w:rsid w:val="00541060"/>
    <w:rsid w:val="00541EBE"/>
    <w:rsid w:val="005424F7"/>
    <w:rsid w:val="00542FC7"/>
    <w:rsid w:val="005433AF"/>
    <w:rsid w:val="00543EBD"/>
    <w:rsid w:val="005442E0"/>
    <w:rsid w:val="00544B6E"/>
    <w:rsid w:val="00544F82"/>
    <w:rsid w:val="005453C5"/>
    <w:rsid w:val="0054552C"/>
    <w:rsid w:val="005457CE"/>
    <w:rsid w:val="00546012"/>
    <w:rsid w:val="00546715"/>
    <w:rsid w:val="00547161"/>
    <w:rsid w:val="00547427"/>
    <w:rsid w:val="0054788C"/>
    <w:rsid w:val="005479C7"/>
    <w:rsid w:val="005479DF"/>
    <w:rsid w:val="00550217"/>
    <w:rsid w:val="005508E0"/>
    <w:rsid w:val="00550CF5"/>
    <w:rsid w:val="005517AA"/>
    <w:rsid w:val="00551E43"/>
    <w:rsid w:val="0055285D"/>
    <w:rsid w:val="005529B1"/>
    <w:rsid w:val="00552D94"/>
    <w:rsid w:val="00552F5C"/>
    <w:rsid w:val="00553024"/>
    <w:rsid w:val="00553EDB"/>
    <w:rsid w:val="00554762"/>
    <w:rsid w:val="005547BB"/>
    <w:rsid w:val="005548F7"/>
    <w:rsid w:val="00554A05"/>
    <w:rsid w:val="005554B4"/>
    <w:rsid w:val="005559F9"/>
    <w:rsid w:val="00555F5A"/>
    <w:rsid w:val="0055690B"/>
    <w:rsid w:val="00556BBD"/>
    <w:rsid w:val="00557FB1"/>
    <w:rsid w:val="005602CA"/>
    <w:rsid w:val="00560358"/>
    <w:rsid w:val="005609B4"/>
    <w:rsid w:val="00560DB9"/>
    <w:rsid w:val="0056182D"/>
    <w:rsid w:val="005619F0"/>
    <w:rsid w:val="005619FB"/>
    <w:rsid w:val="00562257"/>
    <w:rsid w:val="00562B46"/>
    <w:rsid w:val="00562BEA"/>
    <w:rsid w:val="00564299"/>
    <w:rsid w:val="00564560"/>
    <w:rsid w:val="00564628"/>
    <w:rsid w:val="00564B68"/>
    <w:rsid w:val="00564DAE"/>
    <w:rsid w:val="00566178"/>
    <w:rsid w:val="0056664A"/>
    <w:rsid w:val="00567475"/>
    <w:rsid w:val="00567CD8"/>
    <w:rsid w:val="00567DF2"/>
    <w:rsid w:val="005703DB"/>
    <w:rsid w:val="005709DF"/>
    <w:rsid w:val="005717C1"/>
    <w:rsid w:val="005717EE"/>
    <w:rsid w:val="00571E2D"/>
    <w:rsid w:val="00572A08"/>
    <w:rsid w:val="005735EF"/>
    <w:rsid w:val="0057363B"/>
    <w:rsid w:val="005739E1"/>
    <w:rsid w:val="00573CC5"/>
    <w:rsid w:val="005743A2"/>
    <w:rsid w:val="00574C59"/>
    <w:rsid w:val="00575255"/>
    <w:rsid w:val="005752A0"/>
    <w:rsid w:val="00575788"/>
    <w:rsid w:val="00576A54"/>
    <w:rsid w:val="00576C23"/>
    <w:rsid w:val="0057712B"/>
    <w:rsid w:val="0057775C"/>
    <w:rsid w:val="005777C7"/>
    <w:rsid w:val="00577DB9"/>
    <w:rsid w:val="00580FF4"/>
    <w:rsid w:val="0058104D"/>
    <w:rsid w:val="0058138E"/>
    <w:rsid w:val="00581559"/>
    <w:rsid w:val="00581FA6"/>
    <w:rsid w:val="00582107"/>
    <w:rsid w:val="00582E36"/>
    <w:rsid w:val="00584F49"/>
    <w:rsid w:val="005852E4"/>
    <w:rsid w:val="005852F6"/>
    <w:rsid w:val="005855E4"/>
    <w:rsid w:val="00585684"/>
    <w:rsid w:val="0058634D"/>
    <w:rsid w:val="00586578"/>
    <w:rsid w:val="0058695D"/>
    <w:rsid w:val="00586FC9"/>
    <w:rsid w:val="005870EC"/>
    <w:rsid w:val="00587CE2"/>
    <w:rsid w:val="00591B73"/>
    <w:rsid w:val="00592641"/>
    <w:rsid w:val="0059323E"/>
    <w:rsid w:val="00593691"/>
    <w:rsid w:val="0059395A"/>
    <w:rsid w:val="0059439F"/>
    <w:rsid w:val="005944C9"/>
    <w:rsid w:val="00594625"/>
    <w:rsid w:val="00594F0C"/>
    <w:rsid w:val="0059508B"/>
    <w:rsid w:val="00595CD2"/>
    <w:rsid w:val="00595FC8"/>
    <w:rsid w:val="00596333"/>
    <w:rsid w:val="00597583"/>
    <w:rsid w:val="005977FD"/>
    <w:rsid w:val="005978DA"/>
    <w:rsid w:val="005A025D"/>
    <w:rsid w:val="005A0BA1"/>
    <w:rsid w:val="005A144F"/>
    <w:rsid w:val="005A1AD4"/>
    <w:rsid w:val="005A1B14"/>
    <w:rsid w:val="005A1BA5"/>
    <w:rsid w:val="005A2555"/>
    <w:rsid w:val="005A25E7"/>
    <w:rsid w:val="005A2769"/>
    <w:rsid w:val="005A2E4D"/>
    <w:rsid w:val="005A2F28"/>
    <w:rsid w:val="005A3335"/>
    <w:rsid w:val="005A3E20"/>
    <w:rsid w:val="005A4B8C"/>
    <w:rsid w:val="005A6E1B"/>
    <w:rsid w:val="005A77DC"/>
    <w:rsid w:val="005B00D8"/>
    <w:rsid w:val="005B054E"/>
    <w:rsid w:val="005B2668"/>
    <w:rsid w:val="005B292D"/>
    <w:rsid w:val="005B3DA0"/>
    <w:rsid w:val="005B3E5D"/>
    <w:rsid w:val="005B470A"/>
    <w:rsid w:val="005B5290"/>
    <w:rsid w:val="005B6FFF"/>
    <w:rsid w:val="005B79FF"/>
    <w:rsid w:val="005C1599"/>
    <w:rsid w:val="005C166D"/>
    <w:rsid w:val="005C2622"/>
    <w:rsid w:val="005C303E"/>
    <w:rsid w:val="005C3655"/>
    <w:rsid w:val="005C397D"/>
    <w:rsid w:val="005C471A"/>
    <w:rsid w:val="005C4F49"/>
    <w:rsid w:val="005C528D"/>
    <w:rsid w:val="005C54CC"/>
    <w:rsid w:val="005C57BA"/>
    <w:rsid w:val="005C5E4F"/>
    <w:rsid w:val="005C6BDA"/>
    <w:rsid w:val="005C7C93"/>
    <w:rsid w:val="005D0906"/>
    <w:rsid w:val="005D0A2D"/>
    <w:rsid w:val="005D0D49"/>
    <w:rsid w:val="005D12D2"/>
    <w:rsid w:val="005D260A"/>
    <w:rsid w:val="005D2AD4"/>
    <w:rsid w:val="005D2AF4"/>
    <w:rsid w:val="005D2DD3"/>
    <w:rsid w:val="005D3104"/>
    <w:rsid w:val="005D3229"/>
    <w:rsid w:val="005D3B5F"/>
    <w:rsid w:val="005D6871"/>
    <w:rsid w:val="005D7B94"/>
    <w:rsid w:val="005E05DA"/>
    <w:rsid w:val="005E1180"/>
    <w:rsid w:val="005E1824"/>
    <w:rsid w:val="005E1826"/>
    <w:rsid w:val="005E29AB"/>
    <w:rsid w:val="005E2E89"/>
    <w:rsid w:val="005E36B0"/>
    <w:rsid w:val="005E3E58"/>
    <w:rsid w:val="005E406D"/>
    <w:rsid w:val="005E5056"/>
    <w:rsid w:val="005E5378"/>
    <w:rsid w:val="005E5434"/>
    <w:rsid w:val="005E598D"/>
    <w:rsid w:val="005E5CCE"/>
    <w:rsid w:val="005E64D5"/>
    <w:rsid w:val="005E6FBF"/>
    <w:rsid w:val="005E750D"/>
    <w:rsid w:val="005E75AF"/>
    <w:rsid w:val="005E7B8F"/>
    <w:rsid w:val="005E7CD6"/>
    <w:rsid w:val="005E7CF2"/>
    <w:rsid w:val="005F0576"/>
    <w:rsid w:val="005F123A"/>
    <w:rsid w:val="005F1679"/>
    <w:rsid w:val="005F17F5"/>
    <w:rsid w:val="005F23F2"/>
    <w:rsid w:val="005F24E5"/>
    <w:rsid w:val="005F3973"/>
    <w:rsid w:val="005F444C"/>
    <w:rsid w:val="005F45D7"/>
    <w:rsid w:val="005F4856"/>
    <w:rsid w:val="005F5292"/>
    <w:rsid w:val="005F6C82"/>
    <w:rsid w:val="005F7029"/>
    <w:rsid w:val="005F7785"/>
    <w:rsid w:val="005F77F7"/>
    <w:rsid w:val="005F7A05"/>
    <w:rsid w:val="005F7DEF"/>
    <w:rsid w:val="0060035F"/>
    <w:rsid w:val="006003BE"/>
    <w:rsid w:val="006008B9"/>
    <w:rsid w:val="00600EBC"/>
    <w:rsid w:val="006020D1"/>
    <w:rsid w:val="0060216D"/>
    <w:rsid w:val="0060252B"/>
    <w:rsid w:val="0060284B"/>
    <w:rsid w:val="006030A1"/>
    <w:rsid w:val="0060468A"/>
    <w:rsid w:val="00604A3C"/>
    <w:rsid w:val="00605625"/>
    <w:rsid w:val="00605673"/>
    <w:rsid w:val="00605700"/>
    <w:rsid w:val="00605C98"/>
    <w:rsid w:val="006064CC"/>
    <w:rsid w:val="006075B4"/>
    <w:rsid w:val="00607752"/>
    <w:rsid w:val="00607B00"/>
    <w:rsid w:val="00611796"/>
    <w:rsid w:val="00611A47"/>
    <w:rsid w:val="00612FD2"/>
    <w:rsid w:val="00614FB8"/>
    <w:rsid w:val="00614FE8"/>
    <w:rsid w:val="006152D2"/>
    <w:rsid w:val="0061620A"/>
    <w:rsid w:val="00616695"/>
    <w:rsid w:val="00616C0A"/>
    <w:rsid w:val="00616CF8"/>
    <w:rsid w:val="0061748F"/>
    <w:rsid w:val="0062084B"/>
    <w:rsid w:val="00620E5E"/>
    <w:rsid w:val="00620FBE"/>
    <w:rsid w:val="00621009"/>
    <w:rsid w:val="00621121"/>
    <w:rsid w:val="006212E6"/>
    <w:rsid w:val="00622027"/>
    <w:rsid w:val="00622389"/>
    <w:rsid w:val="006235EA"/>
    <w:rsid w:val="00623AC9"/>
    <w:rsid w:val="00623C4C"/>
    <w:rsid w:val="00624044"/>
    <w:rsid w:val="006242EA"/>
    <w:rsid w:val="006244F0"/>
    <w:rsid w:val="0062535B"/>
    <w:rsid w:val="00625432"/>
    <w:rsid w:val="006265B5"/>
    <w:rsid w:val="00626814"/>
    <w:rsid w:val="00626EA9"/>
    <w:rsid w:val="0063036F"/>
    <w:rsid w:val="00630C61"/>
    <w:rsid w:val="006312A9"/>
    <w:rsid w:val="006314EA"/>
    <w:rsid w:val="00632391"/>
    <w:rsid w:val="0063251F"/>
    <w:rsid w:val="006328C7"/>
    <w:rsid w:val="00633C6C"/>
    <w:rsid w:val="00634526"/>
    <w:rsid w:val="00634726"/>
    <w:rsid w:val="00635D10"/>
    <w:rsid w:val="00636534"/>
    <w:rsid w:val="00637142"/>
    <w:rsid w:val="006402DC"/>
    <w:rsid w:val="00640F96"/>
    <w:rsid w:val="0064104D"/>
    <w:rsid w:val="0064121B"/>
    <w:rsid w:val="00641897"/>
    <w:rsid w:val="0064209F"/>
    <w:rsid w:val="006421E9"/>
    <w:rsid w:val="006438F1"/>
    <w:rsid w:val="00643ABB"/>
    <w:rsid w:val="006444D8"/>
    <w:rsid w:val="00644CD5"/>
    <w:rsid w:val="006450A9"/>
    <w:rsid w:val="006452C7"/>
    <w:rsid w:val="00645418"/>
    <w:rsid w:val="006454A2"/>
    <w:rsid w:val="006463D1"/>
    <w:rsid w:val="00646CB9"/>
    <w:rsid w:val="0064769B"/>
    <w:rsid w:val="00650144"/>
    <w:rsid w:val="0065020E"/>
    <w:rsid w:val="006506DD"/>
    <w:rsid w:val="006510E3"/>
    <w:rsid w:val="0065175C"/>
    <w:rsid w:val="006518FC"/>
    <w:rsid w:val="00651C42"/>
    <w:rsid w:val="00651E1B"/>
    <w:rsid w:val="00651E3F"/>
    <w:rsid w:val="00653025"/>
    <w:rsid w:val="006537FA"/>
    <w:rsid w:val="006541A6"/>
    <w:rsid w:val="00654F98"/>
    <w:rsid w:val="0065513D"/>
    <w:rsid w:val="006554D5"/>
    <w:rsid w:val="00656169"/>
    <w:rsid w:val="0065718F"/>
    <w:rsid w:val="00657309"/>
    <w:rsid w:val="00657B17"/>
    <w:rsid w:val="00657DE6"/>
    <w:rsid w:val="006604AB"/>
    <w:rsid w:val="0066220C"/>
    <w:rsid w:val="006622A1"/>
    <w:rsid w:val="006625FA"/>
    <w:rsid w:val="00663279"/>
    <w:rsid w:val="0066368B"/>
    <w:rsid w:val="00663798"/>
    <w:rsid w:val="00663B75"/>
    <w:rsid w:val="00663D3F"/>
    <w:rsid w:val="00663D81"/>
    <w:rsid w:val="006654A5"/>
    <w:rsid w:val="00665594"/>
    <w:rsid w:val="006663AE"/>
    <w:rsid w:val="00666BC4"/>
    <w:rsid w:val="00666F66"/>
    <w:rsid w:val="0066798E"/>
    <w:rsid w:val="006712DA"/>
    <w:rsid w:val="00671ED3"/>
    <w:rsid w:val="006720C9"/>
    <w:rsid w:val="00672523"/>
    <w:rsid w:val="0067259E"/>
    <w:rsid w:val="006725D8"/>
    <w:rsid w:val="006739C8"/>
    <w:rsid w:val="00673A58"/>
    <w:rsid w:val="00673B2E"/>
    <w:rsid w:val="00673C29"/>
    <w:rsid w:val="00674728"/>
    <w:rsid w:val="00674D55"/>
    <w:rsid w:val="00675EC0"/>
    <w:rsid w:val="00675EEB"/>
    <w:rsid w:val="006761DB"/>
    <w:rsid w:val="00676500"/>
    <w:rsid w:val="00676706"/>
    <w:rsid w:val="0067695E"/>
    <w:rsid w:val="00676C6D"/>
    <w:rsid w:val="006801E8"/>
    <w:rsid w:val="006803AD"/>
    <w:rsid w:val="006818AE"/>
    <w:rsid w:val="00681D65"/>
    <w:rsid w:val="00681E44"/>
    <w:rsid w:val="00683AC2"/>
    <w:rsid w:val="00683D99"/>
    <w:rsid w:val="00683E8A"/>
    <w:rsid w:val="0068433C"/>
    <w:rsid w:val="0068496F"/>
    <w:rsid w:val="00685166"/>
    <w:rsid w:val="00685430"/>
    <w:rsid w:val="0068646C"/>
    <w:rsid w:val="006864E0"/>
    <w:rsid w:val="006864EF"/>
    <w:rsid w:val="00687084"/>
    <w:rsid w:val="0068709D"/>
    <w:rsid w:val="0068714E"/>
    <w:rsid w:val="0068775F"/>
    <w:rsid w:val="00687A5D"/>
    <w:rsid w:val="00690397"/>
    <w:rsid w:val="006904CC"/>
    <w:rsid w:val="00690851"/>
    <w:rsid w:val="00690CDC"/>
    <w:rsid w:val="006914B3"/>
    <w:rsid w:val="0069169D"/>
    <w:rsid w:val="00691FDF"/>
    <w:rsid w:val="00692378"/>
    <w:rsid w:val="00692977"/>
    <w:rsid w:val="006929DF"/>
    <w:rsid w:val="006942E3"/>
    <w:rsid w:val="006944C8"/>
    <w:rsid w:val="00695493"/>
    <w:rsid w:val="00695F04"/>
    <w:rsid w:val="0069608F"/>
    <w:rsid w:val="00696195"/>
    <w:rsid w:val="006963F8"/>
    <w:rsid w:val="0069699F"/>
    <w:rsid w:val="0069714B"/>
    <w:rsid w:val="0069735E"/>
    <w:rsid w:val="00697E30"/>
    <w:rsid w:val="006A0265"/>
    <w:rsid w:val="006A0C8B"/>
    <w:rsid w:val="006A1FFB"/>
    <w:rsid w:val="006A29EA"/>
    <w:rsid w:val="006A437D"/>
    <w:rsid w:val="006A449A"/>
    <w:rsid w:val="006A51D2"/>
    <w:rsid w:val="006A53B7"/>
    <w:rsid w:val="006A5852"/>
    <w:rsid w:val="006A5E6B"/>
    <w:rsid w:val="006A6053"/>
    <w:rsid w:val="006A700E"/>
    <w:rsid w:val="006A7295"/>
    <w:rsid w:val="006A7592"/>
    <w:rsid w:val="006A7CB3"/>
    <w:rsid w:val="006B07D5"/>
    <w:rsid w:val="006B0BAA"/>
    <w:rsid w:val="006B0C58"/>
    <w:rsid w:val="006B0DC3"/>
    <w:rsid w:val="006B167C"/>
    <w:rsid w:val="006B195D"/>
    <w:rsid w:val="006B1C9C"/>
    <w:rsid w:val="006B257F"/>
    <w:rsid w:val="006B262A"/>
    <w:rsid w:val="006B264D"/>
    <w:rsid w:val="006B3A40"/>
    <w:rsid w:val="006B4D3C"/>
    <w:rsid w:val="006B4EF7"/>
    <w:rsid w:val="006B5035"/>
    <w:rsid w:val="006B593D"/>
    <w:rsid w:val="006B5EFF"/>
    <w:rsid w:val="006B6C59"/>
    <w:rsid w:val="006B6D07"/>
    <w:rsid w:val="006B7499"/>
    <w:rsid w:val="006B7C28"/>
    <w:rsid w:val="006C1344"/>
    <w:rsid w:val="006C18CC"/>
    <w:rsid w:val="006C18F8"/>
    <w:rsid w:val="006C32AB"/>
    <w:rsid w:val="006C3821"/>
    <w:rsid w:val="006C3DDB"/>
    <w:rsid w:val="006C5593"/>
    <w:rsid w:val="006C58A0"/>
    <w:rsid w:val="006C5F7A"/>
    <w:rsid w:val="006C66EF"/>
    <w:rsid w:val="006C68FE"/>
    <w:rsid w:val="006C6915"/>
    <w:rsid w:val="006C700C"/>
    <w:rsid w:val="006C7A25"/>
    <w:rsid w:val="006C7EAE"/>
    <w:rsid w:val="006D0232"/>
    <w:rsid w:val="006D0B6B"/>
    <w:rsid w:val="006D10D1"/>
    <w:rsid w:val="006D12AC"/>
    <w:rsid w:val="006D18E7"/>
    <w:rsid w:val="006D269E"/>
    <w:rsid w:val="006D2756"/>
    <w:rsid w:val="006D2FC2"/>
    <w:rsid w:val="006D3083"/>
    <w:rsid w:val="006D34C0"/>
    <w:rsid w:val="006D368F"/>
    <w:rsid w:val="006D3A41"/>
    <w:rsid w:val="006D4166"/>
    <w:rsid w:val="006D523A"/>
    <w:rsid w:val="006D5624"/>
    <w:rsid w:val="006D5D0B"/>
    <w:rsid w:val="006D6E76"/>
    <w:rsid w:val="006D741C"/>
    <w:rsid w:val="006D75E2"/>
    <w:rsid w:val="006D775A"/>
    <w:rsid w:val="006D7773"/>
    <w:rsid w:val="006E0EF3"/>
    <w:rsid w:val="006E0F01"/>
    <w:rsid w:val="006E1B95"/>
    <w:rsid w:val="006E34CE"/>
    <w:rsid w:val="006E3BAA"/>
    <w:rsid w:val="006E4641"/>
    <w:rsid w:val="006E4A3E"/>
    <w:rsid w:val="006E53AA"/>
    <w:rsid w:val="006E5926"/>
    <w:rsid w:val="006E5EC9"/>
    <w:rsid w:val="006E6FAC"/>
    <w:rsid w:val="006E7758"/>
    <w:rsid w:val="006E7797"/>
    <w:rsid w:val="006F03D3"/>
    <w:rsid w:val="006F1474"/>
    <w:rsid w:val="006F1D6D"/>
    <w:rsid w:val="006F1FA0"/>
    <w:rsid w:val="006F2FF5"/>
    <w:rsid w:val="006F388B"/>
    <w:rsid w:val="006F3E5F"/>
    <w:rsid w:val="006F40B4"/>
    <w:rsid w:val="006F495F"/>
    <w:rsid w:val="006F52B1"/>
    <w:rsid w:val="006F5698"/>
    <w:rsid w:val="006F569A"/>
    <w:rsid w:val="006F5B7A"/>
    <w:rsid w:val="006F64D4"/>
    <w:rsid w:val="006F6BCC"/>
    <w:rsid w:val="006F6D8F"/>
    <w:rsid w:val="006F6E79"/>
    <w:rsid w:val="006F74BD"/>
    <w:rsid w:val="006F757E"/>
    <w:rsid w:val="006F79BA"/>
    <w:rsid w:val="00701B08"/>
    <w:rsid w:val="0070229F"/>
    <w:rsid w:val="007028B1"/>
    <w:rsid w:val="00702BC9"/>
    <w:rsid w:val="00702F3F"/>
    <w:rsid w:val="00703662"/>
    <w:rsid w:val="0070387B"/>
    <w:rsid w:val="00703B22"/>
    <w:rsid w:val="0070431A"/>
    <w:rsid w:val="00704865"/>
    <w:rsid w:val="00704B22"/>
    <w:rsid w:val="00705536"/>
    <w:rsid w:val="00705544"/>
    <w:rsid w:val="007056C7"/>
    <w:rsid w:val="00706126"/>
    <w:rsid w:val="00707706"/>
    <w:rsid w:val="0071198F"/>
    <w:rsid w:val="00711BFE"/>
    <w:rsid w:val="00711CFF"/>
    <w:rsid w:val="00712718"/>
    <w:rsid w:val="007128BF"/>
    <w:rsid w:val="00712A09"/>
    <w:rsid w:val="00712ADA"/>
    <w:rsid w:val="0071382F"/>
    <w:rsid w:val="00714B64"/>
    <w:rsid w:val="00714C2E"/>
    <w:rsid w:val="00715040"/>
    <w:rsid w:val="00715D54"/>
    <w:rsid w:val="0071768D"/>
    <w:rsid w:val="00720184"/>
    <w:rsid w:val="00720423"/>
    <w:rsid w:val="007204F8"/>
    <w:rsid w:val="0072091A"/>
    <w:rsid w:val="0072195A"/>
    <w:rsid w:val="00722356"/>
    <w:rsid w:val="00722416"/>
    <w:rsid w:val="007227DD"/>
    <w:rsid w:val="00723D19"/>
    <w:rsid w:val="007246C1"/>
    <w:rsid w:val="00724918"/>
    <w:rsid w:val="00725381"/>
    <w:rsid w:val="00725E51"/>
    <w:rsid w:val="00726145"/>
    <w:rsid w:val="00726466"/>
    <w:rsid w:val="007271C4"/>
    <w:rsid w:val="007306D1"/>
    <w:rsid w:val="00730A7C"/>
    <w:rsid w:val="00730FC5"/>
    <w:rsid w:val="00731B84"/>
    <w:rsid w:val="00732E4D"/>
    <w:rsid w:val="00733236"/>
    <w:rsid w:val="00733436"/>
    <w:rsid w:val="00733E6A"/>
    <w:rsid w:val="00734079"/>
    <w:rsid w:val="007342EF"/>
    <w:rsid w:val="00735565"/>
    <w:rsid w:val="007355EC"/>
    <w:rsid w:val="007355F0"/>
    <w:rsid w:val="00735644"/>
    <w:rsid w:val="00735747"/>
    <w:rsid w:val="0073595E"/>
    <w:rsid w:val="00735E08"/>
    <w:rsid w:val="0073680F"/>
    <w:rsid w:val="00736A3E"/>
    <w:rsid w:val="00736D9D"/>
    <w:rsid w:val="00736F53"/>
    <w:rsid w:val="00737968"/>
    <w:rsid w:val="0073798B"/>
    <w:rsid w:val="007379D1"/>
    <w:rsid w:val="00740279"/>
    <w:rsid w:val="00740954"/>
    <w:rsid w:val="00741276"/>
    <w:rsid w:val="007421CB"/>
    <w:rsid w:val="00742E03"/>
    <w:rsid w:val="007441BE"/>
    <w:rsid w:val="007447A7"/>
    <w:rsid w:val="00744CAE"/>
    <w:rsid w:val="00744D82"/>
    <w:rsid w:val="00744DF5"/>
    <w:rsid w:val="00744F63"/>
    <w:rsid w:val="007451C5"/>
    <w:rsid w:val="0074699B"/>
    <w:rsid w:val="00746BE3"/>
    <w:rsid w:val="00747945"/>
    <w:rsid w:val="00747CC5"/>
    <w:rsid w:val="00750158"/>
    <w:rsid w:val="007514DC"/>
    <w:rsid w:val="00751844"/>
    <w:rsid w:val="007519C5"/>
    <w:rsid w:val="007521DD"/>
    <w:rsid w:val="00752CF5"/>
    <w:rsid w:val="00753190"/>
    <w:rsid w:val="007539D1"/>
    <w:rsid w:val="007539D2"/>
    <w:rsid w:val="00754885"/>
    <w:rsid w:val="00755824"/>
    <w:rsid w:val="0075615A"/>
    <w:rsid w:val="00756A5F"/>
    <w:rsid w:val="00757A0C"/>
    <w:rsid w:val="00760752"/>
    <w:rsid w:val="0076147D"/>
    <w:rsid w:val="007621B8"/>
    <w:rsid w:val="007624A9"/>
    <w:rsid w:val="007628BA"/>
    <w:rsid w:val="00762BE7"/>
    <w:rsid w:val="00763FC6"/>
    <w:rsid w:val="00764756"/>
    <w:rsid w:val="0076584C"/>
    <w:rsid w:val="00766C4E"/>
    <w:rsid w:val="00767079"/>
    <w:rsid w:val="0076721B"/>
    <w:rsid w:val="007675DB"/>
    <w:rsid w:val="00770BA1"/>
    <w:rsid w:val="007712D4"/>
    <w:rsid w:val="007716ED"/>
    <w:rsid w:val="007723A8"/>
    <w:rsid w:val="00772842"/>
    <w:rsid w:val="00772B8A"/>
    <w:rsid w:val="00772CEC"/>
    <w:rsid w:val="00772FC6"/>
    <w:rsid w:val="00773707"/>
    <w:rsid w:val="00773ABB"/>
    <w:rsid w:val="00774142"/>
    <w:rsid w:val="00774A3E"/>
    <w:rsid w:val="00774B7D"/>
    <w:rsid w:val="0077500B"/>
    <w:rsid w:val="00775024"/>
    <w:rsid w:val="00775173"/>
    <w:rsid w:val="007751BF"/>
    <w:rsid w:val="007752E7"/>
    <w:rsid w:val="00775812"/>
    <w:rsid w:val="00775C25"/>
    <w:rsid w:val="00775EE4"/>
    <w:rsid w:val="007763CA"/>
    <w:rsid w:val="0077670C"/>
    <w:rsid w:val="00776BE7"/>
    <w:rsid w:val="00776F11"/>
    <w:rsid w:val="0077720A"/>
    <w:rsid w:val="00777D1B"/>
    <w:rsid w:val="00782911"/>
    <w:rsid w:val="007830F3"/>
    <w:rsid w:val="007835DD"/>
    <w:rsid w:val="00783821"/>
    <w:rsid w:val="00783E57"/>
    <w:rsid w:val="00783ECB"/>
    <w:rsid w:val="00783F0C"/>
    <w:rsid w:val="00784706"/>
    <w:rsid w:val="00785A9C"/>
    <w:rsid w:val="007866BC"/>
    <w:rsid w:val="00786772"/>
    <w:rsid w:val="00787790"/>
    <w:rsid w:val="00787B4B"/>
    <w:rsid w:val="00787BAB"/>
    <w:rsid w:val="00790759"/>
    <w:rsid w:val="00790E3F"/>
    <w:rsid w:val="0079104D"/>
    <w:rsid w:val="00791B94"/>
    <w:rsid w:val="00791BFD"/>
    <w:rsid w:val="00791F29"/>
    <w:rsid w:val="00793073"/>
    <w:rsid w:val="00793147"/>
    <w:rsid w:val="00793208"/>
    <w:rsid w:val="007934F3"/>
    <w:rsid w:val="00793AF7"/>
    <w:rsid w:val="00793E2A"/>
    <w:rsid w:val="007955E1"/>
    <w:rsid w:val="007958D4"/>
    <w:rsid w:val="007959D6"/>
    <w:rsid w:val="00796562"/>
    <w:rsid w:val="007969FE"/>
    <w:rsid w:val="007A039B"/>
    <w:rsid w:val="007A0628"/>
    <w:rsid w:val="007A06DF"/>
    <w:rsid w:val="007A0994"/>
    <w:rsid w:val="007A10E8"/>
    <w:rsid w:val="007A351F"/>
    <w:rsid w:val="007A3E90"/>
    <w:rsid w:val="007A40A5"/>
    <w:rsid w:val="007A46F2"/>
    <w:rsid w:val="007A4DDC"/>
    <w:rsid w:val="007A5B70"/>
    <w:rsid w:val="007A6F59"/>
    <w:rsid w:val="007A79A9"/>
    <w:rsid w:val="007A7B1A"/>
    <w:rsid w:val="007A7DFC"/>
    <w:rsid w:val="007A7E5D"/>
    <w:rsid w:val="007A7F9A"/>
    <w:rsid w:val="007B0116"/>
    <w:rsid w:val="007B01B4"/>
    <w:rsid w:val="007B01DD"/>
    <w:rsid w:val="007B193D"/>
    <w:rsid w:val="007B1CA5"/>
    <w:rsid w:val="007B1DDC"/>
    <w:rsid w:val="007B205A"/>
    <w:rsid w:val="007B238A"/>
    <w:rsid w:val="007B2AFD"/>
    <w:rsid w:val="007B3534"/>
    <w:rsid w:val="007B3CB4"/>
    <w:rsid w:val="007B4BC4"/>
    <w:rsid w:val="007B53C2"/>
    <w:rsid w:val="007B695D"/>
    <w:rsid w:val="007B6B1B"/>
    <w:rsid w:val="007B7209"/>
    <w:rsid w:val="007B7323"/>
    <w:rsid w:val="007B755A"/>
    <w:rsid w:val="007B7858"/>
    <w:rsid w:val="007B7C0D"/>
    <w:rsid w:val="007C07C5"/>
    <w:rsid w:val="007C0D69"/>
    <w:rsid w:val="007C1B85"/>
    <w:rsid w:val="007C3C27"/>
    <w:rsid w:val="007C52BF"/>
    <w:rsid w:val="007C5820"/>
    <w:rsid w:val="007C5A54"/>
    <w:rsid w:val="007C70D1"/>
    <w:rsid w:val="007C71F2"/>
    <w:rsid w:val="007C743D"/>
    <w:rsid w:val="007C77D4"/>
    <w:rsid w:val="007D01FA"/>
    <w:rsid w:val="007D079B"/>
    <w:rsid w:val="007D07D5"/>
    <w:rsid w:val="007D080A"/>
    <w:rsid w:val="007D1011"/>
    <w:rsid w:val="007D10EA"/>
    <w:rsid w:val="007D1673"/>
    <w:rsid w:val="007D19FB"/>
    <w:rsid w:val="007D30DE"/>
    <w:rsid w:val="007D4B91"/>
    <w:rsid w:val="007D4C3C"/>
    <w:rsid w:val="007D5528"/>
    <w:rsid w:val="007D6211"/>
    <w:rsid w:val="007D6EC0"/>
    <w:rsid w:val="007D7497"/>
    <w:rsid w:val="007E0496"/>
    <w:rsid w:val="007E04C6"/>
    <w:rsid w:val="007E0677"/>
    <w:rsid w:val="007E0D2C"/>
    <w:rsid w:val="007E1DA7"/>
    <w:rsid w:val="007E2A5C"/>
    <w:rsid w:val="007E43AC"/>
    <w:rsid w:val="007E452E"/>
    <w:rsid w:val="007E462F"/>
    <w:rsid w:val="007E4BAA"/>
    <w:rsid w:val="007E4F94"/>
    <w:rsid w:val="007E58D0"/>
    <w:rsid w:val="007E5D09"/>
    <w:rsid w:val="007E664A"/>
    <w:rsid w:val="007E6E36"/>
    <w:rsid w:val="007E7343"/>
    <w:rsid w:val="007E76E5"/>
    <w:rsid w:val="007E7ED8"/>
    <w:rsid w:val="007F02D1"/>
    <w:rsid w:val="007F068A"/>
    <w:rsid w:val="007F1692"/>
    <w:rsid w:val="007F1D6E"/>
    <w:rsid w:val="007F2655"/>
    <w:rsid w:val="007F2E32"/>
    <w:rsid w:val="007F45A9"/>
    <w:rsid w:val="007F4DEE"/>
    <w:rsid w:val="007F52D0"/>
    <w:rsid w:val="007F56FA"/>
    <w:rsid w:val="007F582E"/>
    <w:rsid w:val="007F5FF0"/>
    <w:rsid w:val="007F6059"/>
    <w:rsid w:val="007F6670"/>
    <w:rsid w:val="007F67B6"/>
    <w:rsid w:val="007F706D"/>
    <w:rsid w:val="007F7835"/>
    <w:rsid w:val="007F7DC3"/>
    <w:rsid w:val="007F7E0F"/>
    <w:rsid w:val="00800D41"/>
    <w:rsid w:val="00800F41"/>
    <w:rsid w:val="0080188C"/>
    <w:rsid w:val="00801D89"/>
    <w:rsid w:val="00802127"/>
    <w:rsid w:val="00802BB8"/>
    <w:rsid w:val="00802EF9"/>
    <w:rsid w:val="00803374"/>
    <w:rsid w:val="00804DE5"/>
    <w:rsid w:val="00805D86"/>
    <w:rsid w:val="00805EFE"/>
    <w:rsid w:val="00806127"/>
    <w:rsid w:val="00806801"/>
    <w:rsid w:val="00806C6F"/>
    <w:rsid w:val="00806D11"/>
    <w:rsid w:val="00806DD5"/>
    <w:rsid w:val="00806E96"/>
    <w:rsid w:val="00807395"/>
    <w:rsid w:val="00807745"/>
    <w:rsid w:val="0080792F"/>
    <w:rsid w:val="008079D8"/>
    <w:rsid w:val="0081083F"/>
    <w:rsid w:val="00810960"/>
    <w:rsid w:val="00810D4C"/>
    <w:rsid w:val="008110D9"/>
    <w:rsid w:val="00811E55"/>
    <w:rsid w:val="00811E8F"/>
    <w:rsid w:val="0081206E"/>
    <w:rsid w:val="0081229B"/>
    <w:rsid w:val="00812361"/>
    <w:rsid w:val="00812F8E"/>
    <w:rsid w:val="008149D1"/>
    <w:rsid w:val="00814FBA"/>
    <w:rsid w:val="0081518B"/>
    <w:rsid w:val="0081587B"/>
    <w:rsid w:val="00816CF2"/>
    <w:rsid w:val="00816E6D"/>
    <w:rsid w:val="00816EBE"/>
    <w:rsid w:val="008171B9"/>
    <w:rsid w:val="00820382"/>
    <w:rsid w:val="00820633"/>
    <w:rsid w:val="00820B85"/>
    <w:rsid w:val="00820BFE"/>
    <w:rsid w:val="00821B69"/>
    <w:rsid w:val="00821F4E"/>
    <w:rsid w:val="008222B2"/>
    <w:rsid w:val="00822AFF"/>
    <w:rsid w:val="00822C87"/>
    <w:rsid w:val="00822E92"/>
    <w:rsid w:val="00823E69"/>
    <w:rsid w:val="00824405"/>
    <w:rsid w:val="0082441E"/>
    <w:rsid w:val="00825586"/>
    <w:rsid w:val="0082583B"/>
    <w:rsid w:val="00825E8C"/>
    <w:rsid w:val="00826446"/>
    <w:rsid w:val="008266F1"/>
    <w:rsid w:val="00826B90"/>
    <w:rsid w:val="00831233"/>
    <w:rsid w:val="00832129"/>
    <w:rsid w:val="008327E0"/>
    <w:rsid w:val="00832ACE"/>
    <w:rsid w:val="00832DA4"/>
    <w:rsid w:val="0083319C"/>
    <w:rsid w:val="0083366D"/>
    <w:rsid w:val="0083397A"/>
    <w:rsid w:val="00835ECA"/>
    <w:rsid w:val="0083607C"/>
    <w:rsid w:val="0083636E"/>
    <w:rsid w:val="00836489"/>
    <w:rsid w:val="00836716"/>
    <w:rsid w:val="0083700F"/>
    <w:rsid w:val="008377F5"/>
    <w:rsid w:val="0084120F"/>
    <w:rsid w:val="008415DC"/>
    <w:rsid w:val="00841989"/>
    <w:rsid w:val="00841AD1"/>
    <w:rsid w:val="00841EBE"/>
    <w:rsid w:val="0084447B"/>
    <w:rsid w:val="0084495B"/>
    <w:rsid w:val="008452A1"/>
    <w:rsid w:val="008452CE"/>
    <w:rsid w:val="00846581"/>
    <w:rsid w:val="008468A7"/>
    <w:rsid w:val="008468C7"/>
    <w:rsid w:val="008468C8"/>
    <w:rsid w:val="00846AAA"/>
    <w:rsid w:val="00847609"/>
    <w:rsid w:val="008479E8"/>
    <w:rsid w:val="00847E5D"/>
    <w:rsid w:val="00850119"/>
    <w:rsid w:val="00851BAB"/>
    <w:rsid w:val="008520B0"/>
    <w:rsid w:val="00853B3C"/>
    <w:rsid w:val="00854018"/>
    <w:rsid w:val="00854099"/>
    <w:rsid w:val="00854FF8"/>
    <w:rsid w:val="00855646"/>
    <w:rsid w:val="00855B30"/>
    <w:rsid w:val="008567AE"/>
    <w:rsid w:val="00856989"/>
    <w:rsid w:val="008578C3"/>
    <w:rsid w:val="008602F0"/>
    <w:rsid w:val="00860F22"/>
    <w:rsid w:val="00862414"/>
    <w:rsid w:val="00862A6E"/>
    <w:rsid w:val="008635A6"/>
    <w:rsid w:val="0086387E"/>
    <w:rsid w:val="008645B8"/>
    <w:rsid w:val="00864D47"/>
    <w:rsid w:val="0086535D"/>
    <w:rsid w:val="00867024"/>
    <w:rsid w:val="0086790C"/>
    <w:rsid w:val="0086794B"/>
    <w:rsid w:val="00867FE5"/>
    <w:rsid w:val="00870281"/>
    <w:rsid w:val="008704FB"/>
    <w:rsid w:val="008707EF"/>
    <w:rsid w:val="00871ADE"/>
    <w:rsid w:val="00871B4A"/>
    <w:rsid w:val="00871E93"/>
    <w:rsid w:val="00872BE4"/>
    <w:rsid w:val="00873927"/>
    <w:rsid w:val="00874409"/>
    <w:rsid w:val="00874B6E"/>
    <w:rsid w:val="00874B82"/>
    <w:rsid w:val="008755DC"/>
    <w:rsid w:val="0087751B"/>
    <w:rsid w:val="00877B4B"/>
    <w:rsid w:val="00877E22"/>
    <w:rsid w:val="00877F2D"/>
    <w:rsid w:val="00880B57"/>
    <w:rsid w:val="00880D3F"/>
    <w:rsid w:val="00880ECE"/>
    <w:rsid w:val="00881702"/>
    <w:rsid w:val="00881910"/>
    <w:rsid w:val="00881D2A"/>
    <w:rsid w:val="00882C21"/>
    <w:rsid w:val="008831B9"/>
    <w:rsid w:val="0088422C"/>
    <w:rsid w:val="00884A54"/>
    <w:rsid w:val="00885020"/>
    <w:rsid w:val="00885352"/>
    <w:rsid w:val="00885A38"/>
    <w:rsid w:val="00885F33"/>
    <w:rsid w:val="008864C8"/>
    <w:rsid w:val="0088698D"/>
    <w:rsid w:val="00886B90"/>
    <w:rsid w:val="00887DBC"/>
    <w:rsid w:val="00890168"/>
    <w:rsid w:val="00890270"/>
    <w:rsid w:val="008914BC"/>
    <w:rsid w:val="00891EC4"/>
    <w:rsid w:val="008922F5"/>
    <w:rsid w:val="008933AF"/>
    <w:rsid w:val="00893991"/>
    <w:rsid w:val="00894087"/>
    <w:rsid w:val="008943C3"/>
    <w:rsid w:val="00894939"/>
    <w:rsid w:val="00895D2A"/>
    <w:rsid w:val="00895F36"/>
    <w:rsid w:val="00897B89"/>
    <w:rsid w:val="00897D19"/>
    <w:rsid w:val="00897E23"/>
    <w:rsid w:val="00897E39"/>
    <w:rsid w:val="00897FB3"/>
    <w:rsid w:val="008A0A87"/>
    <w:rsid w:val="008A0D6F"/>
    <w:rsid w:val="008A1ED8"/>
    <w:rsid w:val="008A3197"/>
    <w:rsid w:val="008A3F09"/>
    <w:rsid w:val="008A4D07"/>
    <w:rsid w:val="008A501A"/>
    <w:rsid w:val="008A5145"/>
    <w:rsid w:val="008A51A8"/>
    <w:rsid w:val="008A54CE"/>
    <w:rsid w:val="008A5571"/>
    <w:rsid w:val="008A5A1E"/>
    <w:rsid w:val="008A5DE1"/>
    <w:rsid w:val="008A5F83"/>
    <w:rsid w:val="008A6622"/>
    <w:rsid w:val="008A6A8B"/>
    <w:rsid w:val="008A7EE0"/>
    <w:rsid w:val="008B0024"/>
    <w:rsid w:val="008B0979"/>
    <w:rsid w:val="008B1029"/>
    <w:rsid w:val="008B15EA"/>
    <w:rsid w:val="008B16AD"/>
    <w:rsid w:val="008B2B90"/>
    <w:rsid w:val="008B3379"/>
    <w:rsid w:val="008B34EA"/>
    <w:rsid w:val="008B3A71"/>
    <w:rsid w:val="008B4AB8"/>
    <w:rsid w:val="008B4ADF"/>
    <w:rsid w:val="008B51A4"/>
    <w:rsid w:val="008B583F"/>
    <w:rsid w:val="008B5D7B"/>
    <w:rsid w:val="008B6597"/>
    <w:rsid w:val="008B69A3"/>
    <w:rsid w:val="008B69CD"/>
    <w:rsid w:val="008B6FC3"/>
    <w:rsid w:val="008B7670"/>
    <w:rsid w:val="008B768C"/>
    <w:rsid w:val="008B793F"/>
    <w:rsid w:val="008B7B0F"/>
    <w:rsid w:val="008B7B14"/>
    <w:rsid w:val="008C1646"/>
    <w:rsid w:val="008C2DC7"/>
    <w:rsid w:val="008C2EA8"/>
    <w:rsid w:val="008C2FAA"/>
    <w:rsid w:val="008C3741"/>
    <w:rsid w:val="008C40B0"/>
    <w:rsid w:val="008C4FE1"/>
    <w:rsid w:val="008C5275"/>
    <w:rsid w:val="008C5287"/>
    <w:rsid w:val="008C67E6"/>
    <w:rsid w:val="008C6C97"/>
    <w:rsid w:val="008C6DC3"/>
    <w:rsid w:val="008C7031"/>
    <w:rsid w:val="008C7721"/>
    <w:rsid w:val="008C79DE"/>
    <w:rsid w:val="008C7D04"/>
    <w:rsid w:val="008D0657"/>
    <w:rsid w:val="008D0C12"/>
    <w:rsid w:val="008D0C54"/>
    <w:rsid w:val="008D1826"/>
    <w:rsid w:val="008D1970"/>
    <w:rsid w:val="008D1FF7"/>
    <w:rsid w:val="008D2671"/>
    <w:rsid w:val="008D2EDE"/>
    <w:rsid w:val="008D43A8"/>
    <w:rsid w:val="008D4660"/>
    <w:rsid w:val="008D4C79"/>
    <w:rsid w:val="008D4E11"/>
    <w:rsid w:val="008D574C"/>
    <w:rsid w:val="008D591A"/>
    <w:rsid w:val="008D5A9B"/>
    <w:rsid w:val="008D5D02"/>
    <w:rsid w:val="008D676D"/>
    <w:rsid w:val="008D6C31"/>
    <w:rsid w:val="008D7936"/>
    <w:rsid w:val="008E0002"/>
    <w:rsid w:val="008E0A70"/>
    <w:rsid w:val="008E1368"/>
    <w:rsid w:val="008E1502"/>
    <w:rsid w:val="008E16A7"/>
    <w:rsid w:val="008E2AD9"/>
    <w:rsid w:val="008E2EF7"/>
    <w:rsid w:val="008E4390"/>
    <w:rsid w:val="008E4C70"/>
    <w:rsid w:val="008E6DCA"/>
    <w:rsid w:val="008E70B6"/>
    <w:rsid w:val="008E72FE"/>
    <w:rsid w:val="008E7D79"/>
    <w:rsid w:val="008F0040"/>
    <w:rsid w:val="008F0707"/>
    <w:rsid w:val="008F0708"/>
    <w:rsid w:val="008F0E22"/>
    <w:rsid w:val="008F1A64"/>
    <w:rsid w:val="008F2070"/>
    <w:rsid w:val="008F3B0E"/>
    <w:rsid w:val="008F4229"/>
    <w:rsid w:val="008F433E"/>
    <w:rsid w:val="008F49A9"/>
    <w:rsid w:val="008F4B79"/>
    <w:rsid w:val="008F5302"/>
    <w:rsid w:val="008F5481"/>
    <w:rsid w:val="008F57F4"/>
    <w:rsid w:val="008F5815"/>
    <w:rsid w:val="008F5CA6"/>
    <w:rsid w:val="008F5CE1"/>
    <w:rsid w:val="008F6011"/>
    <w:rsid w:val="008F65B5"/>
    <w:rsid w:val="008F6B2E"/>
    <w:rsid w:val="008F702D"/>
    <w:rsid w:val="008F7430"/>
    <w:rsid w:val="008F7BF5"/>
    <w:rsid w:val="008F7C87"/>
    <w:rsid w:val="008F7F1A"/>
    <w:rsid w:val="00900085"/>
    <w:rsid w:val="00902476"/>
    <w:rsid w:val="00902D38"/>
    <w:rsid w:val="00904751"/>
    <w:rsid w:val="00904D4D"/>
    <w:rsid w:val="009052C9"/>
    <w:rsid w:val="0090628A"/>
    <w:rsid w:val="00906D75"/>
    <w:rsid w:val="0090761F"/>
    <w:rsid w:val="00907EE0"/>
    <w:rsid w:val="00910131"/>
    <w:rsid w:val="00910F7A"/>
    <w:rsid w:val="00911142"/>
    <w:rsid w:val="0091151C"/>
    <w:rsid w:val="0091187D"/>
    <w:rsid w:val="00912319"/>
    <w:rsid w:val="009130B6"/>
    <w:rsid w:val="0091328A"/>
    <w:rsid w:val="009137F0"/>
    <w:rsid w:val="00913A18"/>
    <w:rsid w:val="0091408D"/>
    <w:rsid w:val="00914204"/>
    <w:rsid w:val="0091477C"/>
    <w:rsid w:val="00914DDF"/>
    <w:rsid w:val="00915FFD"/>
    <w:rsid w:val="00916ADB"/>
    <w:rsid w:val="0091717D"/>
    <w:rsid w:val="00917501"/>
    <w:rsid w:val="00917980"/>
    <w:rsid w:val="00917ACA"/>
    <w:rsid w:val="00917DBB"/>
    <w:rsid w:val="00917FD0"/>
    <w:rsid w:val="00920191"/>
    <w:rsid w:val="009205DA"/>
    <w:rsid w:val="00920616"/>
    <w:rsid w:val="009215AF"/>
    <w:rsid w:val="009221EC"/>
    <w:rsid w:val="00923636"/>
    <w:rsid w:val="0092446A"/>
    <w:rsid w:val="00925345"/>
    <w:rsid w:val="009259CB"/>
    <w:rsid w:val="00925D48"/>
    <w:rsid w:val="00925EC7"/>
    <w:rsid w:val="00926587"/>
    <w:rsid w:val="00926706"/>
    <w:rsid w:val="00927128"/>
    <w:rsid w:val="009273B4"/>
    <w:rsid w:val="00930014"/>
    <w:rsid w:val="00930184"/>
    <w:rsid w:val="00930221"/>
    <w:rsid w:val="009305F6"/>
    <w:rsid w:val="0093077D"/>
    <w:rsid w:val="00931200"/>
    <w:rsid w:val="009312CB"/>
    <w:rsid w:val="00932A56"/>
    <w:rsid w:val="009339EB"/>
    <w:rsid w:val="00934700"/>
    <w:rsid w:val="00936C78"/>
    <w:rsid w:val="009370FF"/>
    <w:rsid w:val="00940557"/>
    <w:rsid w:val="0094074C"/>
    <w:rsid w:val="009410C0"/>
    <w:rsid w:val="00941B22"/>
    <w:rsid w:val="009423C3"/>
    <w:rsid w:val="009427AC"/>
    <w:rsid w:val="00942E85"/>
    <w:rsid w:val="00942FA1"/>
    <w:rsid w:val="00943A94"/>
    <w:rsid w:val="0094554D"/>
    <w:rsid w:val="00945B5D"/>
    <w:rsid w:val="00945C90"/>
    <w:rsid w:val="00945D6A"/>
    <w:rsid w:val="00946805"/>
    <w:rsid w:val="00946A68"/>
    <w:rsid w:val="00947738"/>
    <w:rsid w:val="00947F42"/>
    <w:rsid w:val="0095003B"/>
    <w:rsid w:val="00950412"/>
    <w:rsid w:val="00950E36"/>
    <w:rsid w:val="009513D3"/>
    <w:rsid w:val="00951805"/>
    <w:rsid w:val="009521D6"/>
    <w:rsid w:val="009529D6"/>
    <w:rsid w:val="00952DC5"/>
    <w:rsid w:val="00952E22"/>
    <w:rsid w:val="00952FB4"/>
    <w:rsid w:val="00953474"/>
    <w:rsid w:val="00953A1B"/>
    <w:rsid w:val="00953C55"/>
    <w:rsid w:val="00953EDA"/>
    <w:rsid w:val="00954277"/>
    <w:rsid w:val="00954908"/>
    <w:rsid w:val="009559DD"/>
    <w:rsid w:val="00956397"/>
    <w:rsid w:val="009567CF"/>
    <w:rsid w:val="0095748D"/>
    <w:rsid w:val="00957ED6"/>
    <w:rsid w:val="00957F21"/>
    <w:rsid w:val="0096070B"/>
    <w:rsid w:val="00960774"/>
    <w:rsid w:val="009607BD"/>
    <w:rsid w:val="00961A06"/>
    <w:rsid w:val="009628E6"/>
    <w:rsid w:val="00962BF7"/>
    <w:rsid w:val="00962E7C"/>
    <w:rsid w:val="00962F00"/>
    <w:rsid w:val="00963A40"/>
    <w:rsid w:val="00963A99"/>
    <w:rsid w:val="00963F4D"/>
    <w:rsid w:val="0096458A"/>
    <w:rsid w:val="0096478C"/>
    <w:rsid w:val="00964EA9"/>
    <w:rsid w:val="009657B2"/>
    <w:rsid w:val="00965A5F"/>
    <w:rsid w:val="00965C6B"/>
    <w:rsid w:val="009662D2"/>
    <w:rsid w:val="00970750"/>
    <w:rsid w:val="009707C8"/>
    <w:rsid w:val="00971283"/>
    <w:rsid w:val="00971AB6"/>
    <w:rsid w:val="009727FF"/>
    <w:rsid w:val="00973014"/>
    <w:rsid w:val="009735A5"/>
    <w:rsid w:val="00973DFD"/>
    <w:rsid w:val="00974272"/>
    <w:rsid w:val="0097480E"/>
    <w:rsid w:val="00974BCA"/>
    <w:rsid w:val="00976185"/>
    <w:rsid w:val="00977925"/>
    <w:rsid w:val="00980112"/>
    <w:rsid w:val="0098132B"/>
    <w:rsid w:val="0098190A"/>
    <w:rsid w:val="00981B1F"/>
    <w:rsid w:val="00982295"/>
    <w:rsid w:val="0098385F"/>
    <w:rsid w:val="00983F63"/>
    <w:rsid w:val="00984816"/>
    <w:rsid w:val="009854B1"/>
    <w:rsid w:val="009855E3"/>
    <w:rsid w:val="009860E8"/>
    <w:rsid w:val="009863CA"/>
    <w:rsid w:val="009868B1"/>
    <w:rsid w:val="00987803"/>
    <w:rsid w:val="00987B2F"/>
    <w:rsid w:val="00990032"/>
    <w:rsid w:val="00991055"/>
    <w:rsid w:val="00991ACC"/>
    <w:rsid w:val="00991B63"/>
    <w:rsid w:val="00992743"/>
    <w:rsid w:val="009932B5"/>
    <w:rsid w:val="00993A4E"/>
    <w:rsid w:val="009941E4"/>
    <w:rsid w:val="00994A90"/>
    <w:rsid w:val="009961AC"/>
    <w:rsid w:val="0099659C"/>
    <w:rsid w:val="00996677"/>
    <w:rsid w:val="00996729"/>
    <w:rsid w:val="009967C9"/>
    <w:rsid w:val="00996FD7"/>
    <w:rsid w:val="009970A8"/>
    <w:rsid w:val="009976C0"/>
    <w:rsid w:val="00997A54"/>
    <w:rsid w:val="00997D82"/>
    <w:rsid w:val="009A1339"/>
    <w:rsid w:val="009A17B9"/>
    <w:rsid w:val="009A1A6B"/>
    <w:rsid w:val="009A207C"/>
    <w:rsid w:val="009A38EA"/>
    <w:rsid w:val="009A4905"/>
    <w:rsid w:val="009A4954"/>
    <w:rsid w:val="009A4B15"/>
    <w:rsid w:val="009A5063"/>
    <w:rsid w:val="009A605D"/>
    <w:rsid w:val="009A6FD5"/>
    <w:rsid w:val="009A7041"/>
    <w:rsid w:val="009A7A3E"/>
    <w:rsid w:val="009B0475"/>
    <w:rsid w:val="009B1276"/>
    <w:rsid w:val="009B12E5"/>
    <w:rsid w:val="009B1CEE"/>
    <w:rsid w:val="009B25A1"/>
    <w:rsid w:val="009B26F0"/>
    <w:rsid w:val="009B2726"/>
    <w:rsid w:val="009B2B27"/>
    <w:rsid w:val="009B3A55"/>
    <w:rsid w:val="009B3D52"/>
    <w:rsid w:val="009B4555"/>
    <w:rsid w:val="009B4C14"/>
    <w:rsid w:val="009B5477"/>
    <w:rsid w:val="009B5738"/>
    <w:rsid w:val="009B5E0E"/>
    <w:rsid w:val="009B6CB6"/>
    <w:rsid w:val="009B7881"/>
    <w:rsid w:val="009B7AB8"/>
    <w:rsid w:val="009C0529"/>
    <w:rsid w:val="009C075E"/>
    <w:rsid w:val="009C084B"/>
    <w:rsid w:val="009C0A29"/>
    <w:rsid w:val="009C0C5E"/>
    <w:rsid w:val="009C123B"/>
    <w:rsid w:val="009C1614"/>
    <w:rsid w:val="009C1BD3"/>
    <w:rsid w:val="009C1D03"/>
    <w:rsid w:val="009C1DA7"/>
    <w:rsid w:val="009C218C"/>
    <w:rsid w:val="009C2A5E"/>
    <w:rsid w:val="009C4480"/>
    <w:rsid w:val="009C44A1"/>
    <w:rsid w:val="009C44CA"/>
    <w:rsid w:val="009C4522"/>
    <w:rsid w:val="009C4693"/>
    <w:rsid w:val="009C4CEA"/>
    <w:rsid w:val="009C57D4"/>
    <w:rsid w:val="009C6AA1"/>
    <w:rsid w:val="009C7EA1"/>
    <w:rsid w:val="009D06D2"/>
    <w:rsid w:val="009D06DF"/>
    <w:rsid w:val="009D1761"/>
    <w:rsid w:val="009D1CAA"/>
    <w:rsid w:val="009D201A"/>
    <w:rsid w:val="009D34C3"/>
    <w:rsid w:val="009D35CB"/>
    <w:rsid w:val="009D3928"/>
    <w:rsid w:val="009D3981"/>
    <w:rsid w:val="009D41A5"/>
    <w:rsid w:val="009D4F4D"/>
    <w:rsid w:val="009D51E3"/>
    <w:rsid w:val="009D56BF"/>
    <w:rsid w:val="009D600A"/>
    <w:rsid w:val="009D6152"/>
    <w:rsid w:val="009D689B"/>
    <w:rsid w:val="009D7116"/>
    <w:rsid w:val="009D7400"/>
    <w:rsid w:val="009D7F90"/>
    <w:rsid w:val="009E0E3A"/>
    <w:rsid w:val="009E1764"/>
    <w:rsid w:val="009E17E2"/>
    <w:rsid w:val="009E2C67"/>
    <w:rsid w:val="009E3DA2"/>
    <w:rsid w:val="009E43C7"/>
    <w:rsid w:val="009E4575"/>
    <w:rsid w:val="009E5960"/>
    <w:rsid w:val="009E6F48"/>
    <w:rsid w:val="009E7E43"/>
    <w:rsid w:val="009E7F1C"/>
    <w:rsid w:val="009F0087"/>
    <w:rsid w:val="009F0329"/>
    <w:rsid w:val="009F03A7"/>
    <w:rsid w:val="009F1838"/>
    <w:rsid w:val="009F1ED0"/>
    <w:rsid w:val="009F279C"/>
    <w:rsid w:val="009F3034"/>
    <w:rsid w:val="009F3EE1"/>
    <w:rsid w:val="009F410E"/>
    <w:rsid w:val="009F44B8"/>
    <w:rsid w:val="009F45B4"/>
    <w:rsid w:val="009F4FCE"/>
    <w:rsid w:val="009F76C1"/>
    <w:rsid w:val="009F79C8"/>
    <w:rsid w:val="009F7FC2"/>
    <w:rsid w:val="00A0069F"/>
    <w:rsid w:val="00A00DB4"/>
    <w:rsid w:val="00A014C3"/>
    <w:rsid w:val="00A01BFD"/>
    <w:rsid w:val="00A01FA8"/>
    <w:rsid w:val="00A0214A"/>
    <w:rsid w:val="00A03045"/>
    <w:rsid w:val="00A03B0A"/>
    <w:rsid w:val="00A0417B"/>
    <w:rsid w:val="00A05058"/>
    <w:rsid w:val="00A0527D"/>
    <w:rsid w:val="00A05320"/>
    <w:rsid w:val="00A055B7"/>
    <w:rsid w:val="00A056E8"/>
    <w:rsid w:val="00A05A8F"/>
    <w:rsid w:val="00A05BCB"/>
    <w:rsid w:val="00A07713"/>
    <w:rsid w:val="00A07A39"/>
    <w:rsid w:val="00A07E98"/>
    <w:rsid w:val="00A11AE6"/>
    <w:rsid w:val="00A1275F"/>
    <w:rsid w:val="00A12805"/>
    <w:rsid w:val="00A12E8E"/>
    <w:rsid w:val="00A1329A"/>
    <w:rsid w:val="00A133BD"/>
    <w:rsid w:val="00A136A9"/>
    <w:rsid w:val="00A13A46"/>
    <w:rsid w:val="00A14830"/>
    <w:rsid w:val="00A14D3A"/>
    <w:rsid w:val="00A1508A"/>
    <w:rsid w:val="00A15790"/>
    <w:rsid w:val="00A15922"/>
    <w:rsid w:val="00A16178"/>
    <w:rsid w:val="00A1690B"/>
    <w:rsid w:val="00A172FF"/>
    <w:rsid w:val="00A17C22"/>
    <w:rsid w:val="00A20318"/>
    <w:rsid w:val="00A20618"/>
    <w:rsid w:val="00A21736"/>
    <w:rsid w:val="00A2214C"/>
    <w:rsid w:val="00A22280"/>
    <w:rsid w:val="00A225BC"/>
    <w:rsid w:val="00A235E2"/>
    <w:rsid w:val="00A24F01"/>
    <w:rsid w:val="00A25A4A"/>
    <w:rsid w:val="00A25C23"/>
    <w:rsid w:val="00A25EE8"/>
    <w:rsid w:val="00A260FB"/>
    <w:rsid w:val="00A26230"/>
    <w:rsid w:val="00A271C7"/>
    <w:rsid w:val="00A27432"/>
    <w:rsid w:val="00A30DC4"/>
    <w:rsid w:val="00A31DA6"/>
    <w:rsid w:val="00A3258B"/>
    <w:rsid w:val="00A331D9"/>
    <w:rsid w:val="00A34618"/>
    <w:rsid w:val="00A350E1"/>
    <w:rsid w:val="00A35194"/>
    <w:rsid w:val="00A35AB1"/>
    <w:rsid w:val="00A35E50"/>
    <w:rsid w:val="00A3632F"/>
    <w:rsid w:val="00A369E9"/>
    <w:rsid w:val="00A374DD"/>
    <w:rsid w:val="00A37598"/>
    <w:rsid w:val="00A37793"/>
    <w:rsid w:val="00A378B6"/>
    <w:rsid w:val="00A40913"/>
    <w:rsid w:val="00A4092E"/>
    <w:rsid w:val="00A41741"/>
    <w:rsid w:val="00A4189E"/>
    <w:rsid w:val="00A456F2"/>
    <w:rsid w:val="00A462B2"/>
    <w:rsid w:val="00A47357"/>
    <w:rsid w:val="00A47986"/>
    <w:rsid w:val="00A47DC5"/>
    <w:rsid w:val="00A50602"/>
    <w:rsid w:val="00A50635"/>
    <w:rsid w:val="00A50F26"/>
    <w:rsid w:val="00A518BC"/>
    <w:rsid w:val="00A51C72"/>
    <w:rsid w:val="00A523F0"/>
    <w:rsid w:val="00A52409"/>
    <w:rsid w:val="00A52943"/>
    <w:rsid w:val="00A52FAD"/>
    <w:rsid w:val="00A53758"/>
    <w:rsid w:val="00A53A7B"/>
    <w:rsid w:val="00A53F7B"/>
    <w:rsid w:val="00A5436B"/>
    <w:rsid w:val="00A5449E"/>
    <w:rsid w:val="00A54935"/>
    <w:rsid w:val="00A54C0E"/>
    <w:rsid w:val="00A55295"/>
    <w:rsid w:val="00A55BBF"/>
    <w:rsid w:val="00A560D1"/>
    <w:rsid w:val="00A565EA"/>
    <w:rsid w:val="00A56ADB"/>
    <w:rsid w:val="00A575D1"/>
    <w:rsid w:val="00A5779C"/>
    <w:rsid w:val="00A57C9C"/>
    <w:rsid w:val="00A61BBF"/>
    <w:rsid w:val="00A6201E"/>
    <w:rsid w:val="00A62971"/>
    <w:rsid w:val="00A65229"/>
    <w:rsid w:val="00A65FC2"/>
    <w:rsid w:val="00A660AC"/>
    <w:rsid w:val="00A66AA0"/>
    <w:rsid w:val="00A66EA2"/>
    <w:rsid w:val="00A67CFB"/>
    <w:rsid w:val="00A67FD5"/>
    <w:rsid w:val="00A70047"/>
    <w:rsid w:val="00A704DB"/>
    <w:rsid w:val="00A716CC"/>
    <w:rsid w:val="00A71FA3"/>
    <w:rsid w:val="00A72243"/>
    <w:rsid w:val="00A729E4"/>
    <w:rsid w:val="00A72A99"/>
    <w:rsid w:val="00A72FA2"/>
    <w:rsid w:val="00A7305E"/>
    <w:rsid w:val="00A73FC7"/>
    <w:rsid w:val="00A74C18"/>
    <w:rsid w:val="00A7518E"/>
    <w:rsid w:val="00A76386"/>
    <w:rsid w:val="00A764CC"/>
    <w:rsid w:val="00A76B77"/>
    <w:rsid w:val="00A76C52"/>
    <w:rsid w:val="00A76DA4"/>
    <w:rsid w:val="00A77A3C"/>
    <w:rsid w:val="00A77D8B"/>
    <w:rsid w:val="00A77F17"/>
    <w:rsid w:val="00A80095"/>
    <w:rsid w:val="00A8131B"/>
    <w:rsid w:val="00A813AE"/>
    <w:rsid w:val="00A816A5"/>
    <w:rsid w:val="00A819C3"/>
    <w:rsid w:val="00A81A0E"/>
    <w:rsid w:val="00A81AD2"/>
    <w:rsid w:val="00A82356"/>
    <w:rsid w:val="00A8249F"/>
    <w:rsid w:val="00A82681"/>
    <w:rsid w:val="00A82872"/>
    <w:rsid w:val="00A82904"/>
    <w:rsid w:val="00A83108"/>
    <w:rsid w:val="00A8366C"/>
    <w:rsid w:val="00A853F8"/>
    <w:rsid w:val="00A85658"/>
    <w:rsid w:val="00A857CF"/>
    <w:rsid w:val="00A86B3F"/>
    <w:rsid w:val="00A872E8"/>
    <w:rsid w:val="00A87363"/>
    <w:rsid w:val="00A9051A"/>
    <w:rsid w:val="00A92666"/>
    <w:rsid w:val="00A926CC"/>
    <w:rsid w:val="00A9280C"/>
    <w:rsid w:val="00A936A1"/>
    <w:rsid w:val="00A9399B"/>
    <w:rsid w:val="00A93B1A"/>
    <w:rsid w:val="00A93C66"/>
    <w:rsid w:val="00A94075"/>
    <w:rsid w:val="00A94525"/>
    <w:rsid w:val="00A950FB"/>
    <w:rsid w:val="00A957AB"/>
    <w:rsid w:val="00A95B29"/>
    <w:rsid w:val="00A964AC"/>
    <w:rsid w:val="00A96609"/>
    <w:rsid w:val="00A971BF"/>
    <w:rsid w:val="00A978C9"/>
    <w:rsid w:val="00A978F3"/>
    <w:rsid w:val="00A979D7"/>
    <w:rsid w:val="00AA035A"/>
    <w:rsid w:val="00AA09F8"/>
    <w:rsid w:val="00AA12C4"/>
    <w:rsid w:val="00AA132A"/>
    <w:rsid w:val="00AA18FE"/>
    <w:rsid w:val="00AA1BB8"/>
    <w:rsid w:val="00AA2479"/>
    <w:rsid w:val="00AA2A9F"/>
    <w:rsid w:val="00AA2F4B"/>
    <w:rsid w:val="00AA3AF9"/>
    <w:rsid w:val="00AA3D56"/>
    <w:rsid w:val="00AA4398"/>
    <w:rsid w:val="00AA4547"/>
    <w:rsid w:val="00AA64CF"/>
    <w:rsid w:val="00AA64F3"/>
    <w:rsid w:val="00AA67F2"/>
    <w:rsid w:val="00AA6BFD"/>
    <w:rsid w:val="00AB01C4"/>
    <w:rsid w:val="00AB062D"/>
    <w:rsid w:val="00AB0DFF"/>
    <w:rsid w:val="00AB109C"/>
    <w:rsid w:val="00AB115B"/>
    <w:rsid w:val="00AB1216"/>
    <w:rsid w:val="00AB131B"/>
    <w:rsid w:val="00AB19FC"/>
    <w:rsid w:val="00AB229A"/>
    <w:rsid w:val="00AB23EA"/>
    <w:rsid w:val="00AB2930"/>
    <w:rsid w:val="00AB2A96"/>
    <w:rsid w:val="00AB30CB"/>
    <w:rsid w:val="00AB36C1"/>
    <w:rsid w:val="00AB38AB"/>
    <w:rsid w:val="00AB3E7F"/>
    <w:rsid w:val="00AB3F62"/>
    <w:rsid w:val="00AB41D6"/>
    <w:rsid w:val="00AB49D0"/>
    <w:rsid w:val="00AB575B"/>
    <w:rsid w:val="00AB5A0D"/>
    <w:rsid w:val="00AB610A"/>
    <w:rsid w:val="00AB66A7"/>
    <w:rsid w:val="00AB67ED"/>
    <w:rsid w:val="00AB729D"/>
    <w:rsid w:val="00AB7A33"/>
    <w:rsid w:val="00AC0AE4"/>
    <w:rsid w:val="00AC0DF7"/>
    <w:rsid w:val="00AC100C"/>
    <w:rsid w:val="00AC1341"/>
    <w:rsid w:val="00AC2754"/>
    <w:rsid w:val="00AC2894"/>
    <w:rsid w:val="00AC395A"/>
    <w:rsid w:val="00AC4BD3"/>
    <w:rsid w:val="00AC4C14"/>
    <w:rsid w:val="00AC5170"/>
    <w:rsid w:val="00AC5A27"/>
    <w:rsid w:val="00AC5DC0"/>
    <w:rsid w:val="00AC6500"/>
    <w:rsid w:val="00AC66A9"/>
    <w:rsid w:val="00AC6F5A"/>
    <w:rsid w:val="00AC76D2"/>
    <w:rsid w:val="00AC78BF"/>
    <w:rsid w:val="00AD0A71"/>
    <w:rsid w:val="00AD0ABA"/>
    <w:rsid w:val="00AD1B99"/>
    <w:rsid w:val="00AD324B"/>
    <w:rsid w:val="00AD3881"/>
    <w:rsid w:val="00AD48BF"/>
    <w:rsid w:val="00AD4AD3"/>
    <w:rsid w:val="00AD4D1A"/>
    <w:rsid w:val="00AD5660"/>
    <w:rsid w:val="00AD585A"/>
    <w:rsid w:val="00AD60A4"/>
    <w:rsid w:val="00AD63F0"/>
    <w:rsid w:val="00AD6894"/>
    <w:rsid w:val="00AD695B"/>
    <w:rsid w:val="00AD6D37"/>
    <w:rsid w:val="00AD6EA7"/>
    <w:rsid w:val="00AD7347"/>
    <w:rsid w:val="00AD7412"/>
    <w:rsid w:val="00AE0061"/>
    <w:rsid w:val="00AE0065"/>
    <w:rsid w:val="00AE063A"/>
    <w:rsid w:val="00AE18FE"/>
    <w:rsid w:val="00AE1D5C"/>
    <w:rsid w:val="00AE1D64"/>
    <w:rsid w:val="00AE3FA4"/>
    <w:rsid w:val="00AE4CD1"/>
    <w:rsid w:val="00AE6350"/>
    <w:rsid w:val="00AE768D"/>
    <w:rsid w:val="00AF1127"/>
    <w:rsid w:val="00AF14FD"/>
    <w:rsid w:val="00AF15E4"/>
    <w:rsid w:val="00AF1853"/>
    <w:rsid w:val="00AF2A5F"/>
    <w:rsid w:val="00AF3457"/>
    <w:rsid w:val="00AF3CFD"/>
    <w:rsid w:val="00AF3E62"/>
    <w:rsid w:val="00AF4555"/>
    <w:rsid w:val="00AF45FE"/>
    <w:rsid w:val="00AF47BA"/>
    <w:rsid w:val="00AF4AAE"/>
    <w:rsid w:val="00AF4BA7"/>
    <w:rsid w:val="00AF5408"/>
    <w:rsid w:val="00AF55AC"/>
    <w:rsid w:val="00AF6526"/>
    <w:rsid w:val="00AF7DF6"/>
    <w:rsid w:val="00B003ED"/>
    <w:rsid w:val="00B0073C"/>
    <w:rsid w:val="00B0087C"/>
    <w:rsid w:val="00B00A81"/>
    <w:rsid w:val="00B011D7"/>
    <w:rsid w:val="00B012AB"/>
    <w:rsid w:val="00B01507"/>
    <w:rsid w:val="00B017E7"/>
    <w:rsid w:val="00B019D3"/>
    <w:rsid w:val="00B01EEE"/>
    <w:rsid w:val="00B01F31"/>
    <w:rsid w:val="00B02162"/>
    <w:rsid w:val="00B03581"/>
    <w:rsid w:val="00B045C2"/>
    <w:rsid w:val="00B04765"/>
    <w:rsid w:val="00B06088"/>
    <w:rsid w:val="00B06605"/>
    <w:rsid w:val="00B06DE3"/>
    <w:rsid w:val="00B0756C"/>
    <w:rsid w:val="00B107A8"/>
    <w:rsid w:val="00B107FA"/>
    <w:rsid w:val="00B112CF"/>
    <w:rsid w:val="00B11422"/>
    <w:rsid w:val="00B11E37"/>
    <w:rsid w:val="00B133A8"/>
    <w:rsid w:val="00B137AD"/>
    <w:rsid w:val="00B13A2B"/>
    <w:rsid w:val="00B13CB2"/>
    <w:rsid w:val="00B1406F"/>
    <w:rsid w:val="00B15768"/>
    <w:rsid w:val="00B15E6C"/>
    <w:rsid w:val="00B1660F"/>
    <w:rsid w:val="00B1668E"/>
    <w:rsid w:val="00B17845"/>
    <w:rsid w:val="00B20117"/>
    <w:rsid w:val="00B20725"/>
    <w:rsid w:val="00B21540"/>
    <w:rsid w:val="00B21626"/>
    <w:rsid w:val="00B220F1"/>
    <w:rsid w:val="00B22B02"/>
    <w:rsid w:val="00B22CBB"/>
    <w:rsid w:val="00B23330"/>
    <w:rsid w:val="00B236D2"/>
    <w:rsid w:val="00B23872"/>
    <w:rsid w:val="00B23E8B"/>
    <w:rsid w:val="00B25509"/>
    <w:rsid w:val="00B259BC"/>
    <w:rsid w:val="00B27384"/>
    <w:rsid w:val="00B2740C"/>
    <w:rsid w:val="00B276BD"/>
    <w:rsid w:val="00B27731"/>
    <w:rsid w:val="00B27767"/>
    <w:rsid w:val="00B279A7"/>
    <w:rsid w:val="00B27DC2"/>
    <w:rsid w:val="00B302C1"/>
    <w:rsid w:val="00B30543"/>
    <w:rsid w:val="00B305F8"/>
    <w:rsid w:val="00B30AAE"/>
    <w:rsid w:val="00B30ACB"/>
    <w:rsid w:val="00B30DC5"/>
    <w:rsid w:val="00B31556"/>
    <w:rsid w:val="00B31BE5"/>
    <w:rsid w:val="00B32012"/>
    <w:rsid w:val="00B32108"/>
    <w:rsid w:val="00B321AD"/>
    <w:rsid w:val="00B32244"/>
    <w:rsid w:val="00B324D0"/>
    <w:rsid w:val="00B329E9"/>
    <w:rsid w:val="00B32D44"/>
    <w:rsid w:val="00B33128"/>
    <w:rsid w:val="00B33520"/>
    <w:rsid w:val="00B335D0"/>
    <w:rsid w:val="00B342FC"/>
    <w:rsid w:val="00B351CB"/>
    <w:rsid w:val="00B35467"/>
    <w:rsid w:val="00B35803"/>
    <w:rsid w:val="00B37FA6"/>
    <w:rsid w:val="00B40086"/>
    <w:rsid w:val="00B40399"/>
    <w:rsid w:val="00B406E7"/>
    <w:rsid w:val="00B413EC"/>
    <w:rsid w:val="00B4158F"/>
    <w:rsid w:val="00B41D9B"/>
    <w:rsid w:val="00B41F7F"/>
    <w:rsid w:val="00B42129"/>
    <w:rsid w:val="00B428E2"/>
    <w:rsid w:val="00B43610"/>
    <w:rsid w:val="00B4590C"/>
    <w:rsid w:val="00B4667F"/>
    <w:rsid w:val="00B46A81"/>
    <w:rsid w:val="00B46FB9"/>
    <w:rsid w:val="00B47A20"/>
    <w:rsid w:val="00B47B77"/>
    <w:rsid w:val="00B47D49"/>
    <w:rsid w:val="00B501D6"/>
    <w:rsid w:val="00B504F2"/>
    <w:rsid w:val="00B506F7"/>
    <w:rsid w:val="00B507F6"/>
    <w:rsid w:val="00B50E1A"/>
    <w:rsid w:val="00B5133E"/>
    <w:rsid w:val="00B51FE8"/>
    <w:rsid w:val="00B5206D"/>
    <w:rsid w:val="00B52090"/>
    <w:rsid w:val="00B5237B"/>
    <w:rsid w:val="00B5245F"/>
    <w:rsid w:val="00B52986"/>
    <w:rsid w:val="00B5389F"/>
    <w:rsid w:val="00B5400F"/>
    <w:rsid w:val="00B540F7"/>
    <w:rsid w:val="00B54D64"/>
    <w:rsid w:val="00B55BEA"/>
    <w:rsid w:val="00B56292"/>
    <w:rsid w:val="00B56990"/>
    <w:rsid w:val="00B56F91"/>
    <w:rsid w:val="00B57515"/>
    <w:rsid w:val="00B604F0"/>
    <w:rsid w:val="00B6050E"/>
    <w:rsid w:val="00B61D5C"/>
    <w:rsid w:val="00B62231"/>
    <w:rsid w:val="00B6234E"/>
    <w:rsid w:val="00B63544"/>
    <w:rsid w:val="00B6494B"/>
    <w:rsid w:val="00B6590F"/>
    <w:rsid w:val="00B6628C"/>
    <w:rsid w:val="00B66A0A"/>
    <w:rsid w:val="00B670B9"/>
    <w:rsid w:val="00B67918"/>
    <w:rsid w:val="00B679A6"/>
    <w:rsid w:val="00B67B69"/>
    <w:rsid w:val="00B701B4"/>
    <w:rsid w:val="00B701C4"/>
    <w:rsid w:val="00B70308"/>
    <w:rsid w:val="00B7291E"/>
    <w:rsid w:val="00B731FC"/>
    <w:rsid w:val="00B734D2"/>
    <w:rsid w:val="00B7436B"/>
    <w:rsid w:val="00B75019"/>
    <w:rsid w:val="00B7563C"/>
    <w:rsid w:val="00B762A4"/>
    <w:rsid w:val="00B766D1"/>
    <w:rsid w:val="00B769FA"/>
    <w:rsid w:val="00B7751F"/>
    <w:rsid w:val="00B80100"/>
    <w:rsid w:val="00B804BB"/>
    <w:rsid w:val="00B80609"/>
    <w:rsid w:val="00B80685"/>
    <w:rsid w:val="00B81860"/>
    <w:rsid w:val="00B82466"/>
    <w:rsid w:val="00B838DA"/>
    <w:rsid w:val="00B83AF6"/>
    <w:rsid w:val="00B84061"/>
    <w:rsid w:val="00B842F4"/>
    <w:rsid w:val="00B8432E"/>
    <w:rsid w:val="00B852B9"/>
    <w:rsid w:val="00B861DE"/>
    <w:rsid w:val="00B867A8"/>
    <w:rsid w:val="00B86825"/>
    <w:rsid w:val="00B86BB6"/>
    <w:rsid w:val="00B86DD7"/>
    <w:rsid w:val="00B87744"/>
    <w:rsid w:val="00B87A7C"/>
    <w:rsid w:val="00B87AB3"/>
    <w:rsid w:val="00B87D91"/>
    <w:rsid w:val="00B900AB"/>
    <w:rsid w:val="00B92CB0"/>
    <w:rsid w:val="00B9311B"/>
    <w:rsid w:val="00B932C5"/>
    <w:rsid w:val="00B935A6"/>
    <w:rsid w:val="00B9366D"/>
    <w:rsid w:val="00B963AD"/>
    <w:rsid w:val="00B97132"/>
    <w:rsid w:val="00B97248"/>
    <w:rsid w:val="00B97265"/>
    <w:rsid w:val="00BA0682"/>
    <w:rsid w:val="00BA0E06"/>
    <w:rsid w:val="00BA0E25"/>
    <w:rsid w:val="00BA0EBA"/>
    <w:rsid w:val="00BA123F"/>
    <w:rsid w:val="00BA1657"/>
    <w:rsid w:val="00BA1DAD"/>
    <w:rsid w:val="00BA2077"/>
    <w:rsid w:val="00BA2337"/>
    <w:rsid w:val="00BA240E"/>
    <w:rsid w:val="00BA249C"/>
    <w:rsid w:val="00BA2F25"/>
    <w:rsid w:val="00BA3580"/>
    <w:rsid w:val="00BA368D"/>
    <w:rsid w:val="00BA395E"/>
    <w:rsid w:val="00BA3B3C"/>
    <w:rsid w:val="00BA4464"/>
    <w:rsid w:val="00BA45E1"/>
    <w:rsid w:val="00BA523B"/>
    <w:rsid w:val="00BA5341"/>
    <w:rsid w:val="00BA555B"/>
    <w:rsid w:val="00BA58ED"/>
    <w:rsid w:val="00BA62C0"/>
    <w:rsid w:val="00BA71AF"/>
    <w:rsid w:val="00BA7238"/>
    <w:rsid w:val="00BA74D0"/>
    <w:rsid w:val="00BA7D20"/>
    <w:rsid w:val="00BB0C97"/>
    <w:rsid w:val="00BB18A5"/>
    <w:rsid w:val="00BB21A0"/>
    <w:rsid w:val="00BB25A3"/>
    <w:rsid w:val="00BB3369"/>
    <w:rsid w:val="00BB3A1B"/>
    <w:rsid w:val="00BB3BB6"/>
    <w:rsid w:val="00BB4ED9"/>
    <w:rsid w:val="00BB4F21"/>
    <w:rsid w:val="00BB5DD5"/>
    <w:rsid w:val="00BB65C2"/>
    <w:rsid w:val="00BB6767"/>
    <w:rsid w:val="00BB67C4"/>
    <w:rsid w:val="00BB7048"/>
    <w:rsid w:val="00BC00D3"/>
    <w:rsid w:val="00BC07D6"/>
    <w:rsid w:val="00BC2DF3"/>
    <w:rsid w:val="00BC37F2"/>
    <w:rsid w:val="00BC3C28"/>
    <w:rsid w:val="00BC40AC"/>
    <w:rsid w:val="00BC4173"/>
    <w:rsid w:val="00BC4676"/>
    <w:rsid w:val="00BC55AC"/>
    <w:rsid w:val="00BC55C4"/>
    <w:rsid w:val="00BC60C9"/>
    <w:rsid w:val="00BC66D2"/>
    <w:rsid w:val="00BC6FF0"/>
    <w:rsid w:val="00BC720F"/>
    <w:rsid w:val="00BC73BF"/>
    <w:rsid w:val="00BC7D19"/>
    <w:rsid w:val="00BD02A6"/>
    <w:rsid w:val="00BD07C3"/>
    <w:rsid w:val="00BD0D5E"/>
    <w:rsid w:val="00BD0DFE"/>
    <w:rsid w:val="00BD12C9"/>
    <w:rsid w:val="00BD1FA5"/>
    <w:rsid w:val="00BD36D8"/>
    <w:rsid w:val="00BD43B5"/>
    <w:rsid w:val="00BD43DC"/>
    <w:rsid w:val="00BD5BA1"/>
    <w:rsid w:val="00BD5D82"/>
    <w:rsid w:val="00BD66A8"/>
    <w:rsid w:val="00BE0733"/>
    <w:rsid w:val="00BE08E5"/>
    <w:rsid w:val="00BE0A1F"/>
    <w:rsid w:val="00BE15A1"/>
    <w:rsid w:val="00BE1EB0"/>
    <w:rsid w:val="00BE2914"/>
    <w:rsid w:val="00BE3095"/>
    <w:rsid w:val="00BE3272"/>
    <w:rsid w:val="00BE4583"/>
    <w:rsid w:val="00BE4A84"/>
    <w:rsid w:val="00BE529F"/>
    <w:rsid w:val="00BE57C7"/>
    <w:rsid w:val="00BE600D"/>
    <w:rsid w:val="00BE6177"/>
    <w:rsid w:val="00BF0541"/>
    <w:rsid w:val="00BF1C08"/>
    <w:rsid w:val="00BF1CEA"/>
    <w:rsid w:val="00BF31F5"/>
    <w:rsid w:val="00BF474E"/>
    <w:rsid w:val="00BF5101"/>
    <w:rsid w:val="00BF5269"/>
    <w:rsid w:val="00BF5405"/>
    <w:rsid w:val="00BF5FAB"/>
    <w:rsid w:val="00BF6A60"/>
    <w:rsid w:val="00BF7450"/>
    <w:rsid w:val="00C006CD"/>
    <w:rsid w:val="00C00990"/>
    <w:rsid w:val="00C00A66"/>
    <w:rsid w:val="00C016F5"/>
    <w:rsid w:val="00C0178B"/>
    <w:rsid w:val="00C01C91"/>
    <w:rsid w:val="00C01F86"/>
    <w:rsid w:val="00C02488"/>
    <w:rsid w:val="00C0252D"/>
    <w:rsid w:val="00C02902"/>
    <w:rsid w:val="00C02CA8"/>
    <w:rsid w:val="00C038DF"/>
    <w:rsid w:val="00C03ACD"/>
    <w:rsid w:val="00C042DE"/>
    <w:rsid w:val="00C046E2"/>
    <w:rsid w:val="00C04F8B"/>
    <w:rsid w:val="00C05105"/>
    <w:rsid w:val="00C05667"/>
    <w:rsid w:val="00C068F2"/>
    <w:rsid w:val="00C06B24"/>
    <w:rsid w:val="00C06CCB"/>
    <w:rsid w:val="00C06F66"/>
    <w:rsid w:val="00C07BE8"/>
    <w:rsid w:val="00C105EC"/>
    <w:rsid w:val="00C10EF8"/>
    <w:rsid w:val="00C10F88"/>
    <w:rsid w:val="00C11D75"/>
    <w:rsid w:val="00C11D9B"/>
    <w:rsid w:val="00C12037"/>
    <w:rsid w:val="00C13587"/>
    <w:rsid w:val="00C135FA"/>
    <w:rsid w:val="00C147AC"/>
    <w:rsid w:val="00C14E20"/>
    <w:rsid w:val="00C1526A"/>
    <w:rsid w:val="00C155BF"/>
    <w:rsid w:val="00C15F13"/>
    <w:rsid w:val="00C16060"/>
    <w:rsid w:val="00C167E2"/>
    <w:rsid w:val="00C16ABA"/>
    <w:rsid w:val="00C17F37"/>
    <w:rsid w:val="00C215D2"/>
    <w:rsid w:val="00C21B19"/>
    <w:rsid w:val="00C21C55"/>
    <w:rsid w:val="00C21E79"/>
    <w:rsid w:val="00C22145"/>
    <w:rsid w:val="00C22A29"/>
    <w:rsid w:val="00C22F1A"/>
    <w:rsid w:val="00C235CE"/>
    <w:rsid w:val="00C23676"/>
    <w:rsid w:val="00C23E55"/>
    <w:rsid w:val="00C23EE6"/>
    <w:rsid w:val="00C24CC2"/>
    <w:rsid w:val="00C24E18"/>
    <w:rsid w:val="00C25189"/>
    <w:rsid w:val="00C251FE"/>
    <w:rsid w:val="00C265C2"/>
    <w:rsid w:val="00C26802"/>
    <w:rsid w:val="00C27C1F"/>
    <w:rsid w:val="00C3035E"/>
    <w:rsid w:val="00C31A5E"/>
    <w:rsid w:val="00C32201"/>
    <w:rsid w:val="00C324FB"/>
    <w:rsid w:val="00C3284F"/>
    <w:rsid w:val="00C32A77"/>
    <w:rsid w:val="00C33FD4"/>
    <w:rsid w:val="00C34582"/>
    <w:rsid w:val="00C35348"/>
    <w:rsid w:val="00C360DD"/>
    <w:rsid w:val="00C36350"/>
    <w:rsid w:val="00C367D0"/>
    <w:rsid w:val="00C36BC7"/>
    <w:rsid w:val="00C3717D"/>
    <w:rsid w:val="00C37C54"/>
    <w:rsid w:val="00C37D6D"/>
    <w:rsid w:val="00C40012"/>
    <w:rsid w:val="00C401EE"/>
    <w:rsid w:val="00C4098F"/>
    <w:rsid w:val="00C415D7"/>
    <w:rsid w:val="00C418B9"/>
    <w:rsid w:val="00C419C2"/>
    <w:rsid w:val="00C41A0F"/>
    <w:rsid w:val="00C41D5A"/>
    <w:rsid w:val="00C41E58"/>
    <w:rsid w:val="00C433F5"/>
    <w:rsid w:val="00C440D7"/>
    <w:rsid w:val="00C44147"/>
    <w:rsid w:val="00C44451"/>
    <w:rsid w:val="00C4465B"/>
    <w:rsid w:val="00C44C61"/>
    <w:rsid w:val="00C44FAD"/>
    <w:rsid w:val="00C451B7"/>
    <w:rsid w:val="00C468DA"/>
    <w:rsid w:val="00C46ED0"/>
    <w:rsid w:val="00C50872"/>
    <w:rsid w:val="00C508F9"/>
    <w:rsid w:val="00C509A4"/>
    <w:rsid w:val="00C51990"/>
    <w:rsid w:val="00C5199A"/>
    <w:rsid w:val="00C51BFC"/>
    <w:rsid w:val="00C51E39"/>
    <w:rsid w:val="00C5207E"/>
    <w:rsid w:val="00C52604"/>
    <w:rsid w:val="00C528C1"/>
    <w:rsid w:val="00C52F3B"/>
    <w:rsid w:val="00C53432"/>
    <w:rsid w:val="00C53A96"/>
    <w:rsid w:val="00C55A96"/>
    <w:rsid w:val="00C55AF4"/>
    <w:rsid w:val="00C55C45"/>
    <w:rsid w:val="00C5675B"/>
    <w:rsid w:val="00C56CAF"/>
    <w:rsid w:val="00C56CD4"/>
    <w:rsid w:val="00C575F8"/>
    <w:rsid w:val="00C5791D"/>
    <w:rsid w:val="00C60183"/>
    <w:rsid w:val="00C60369"/>
    <w:rsid w:val="00C6090C"/>
    <w:rsid w:val="00C609DF"/>
    <w:rsid w:val="00C60A0E"/>
    <w:rsid w:val="00C60D72"/>
    <w:rsid w:val="00C6163D"/>
    <w:rsid w:val="00C6242E"/>
    <w:rsid w:val="00C625EB"/>
    <w:rsid w:val="00C63DF0"/>
    <w:rsid w:val="00C63E8F"/>
    <w:rsid w:val="00C6441D"/>
    <w:rsid w:val="00C65219"/>
    <w:rsid w:val="00C66614"/>
    <w:rsid w:val="00C667D8"/>
    <w:rsid w:val="00C66E47"/>
    <w:rsid w:val="00C679D3"/>
    <w:rsid w:val="00C67A3B"/>
    <w:rsid w:val="00C70E69"/>
    <w:rsid w:val="00C7202C"/>
    <w:rsid w:val="00C722FA"/>
    <w:rsid w:val="00C72D5E"/>
    <w:rsid w:val="00C74699"/>
    <w:rsid w:val="00C74923"/>
    <w:rsid w:val="00C74B03"/>
    <w:rsid w:val="00C74B89"/>
    <w:rsid w:val="00C74D80"/>
    <w:rsid w:val="00C74FF0"/>
    <w:rsid w:val="00C7674E"/>
    <w:rsid w:val="00C767C3"/>
    <w:rsid w:val="00C772B2"/>
    <w:rsid w:val="00C778ED"/>
    <w:rsid w:val="00C77EEB"/>
    <w:rsid w:val="00C80A03"/>
    <w:rsid w:val="00C8182F"/>
    <w:rsid w:val="00C81ECD"/>
    <w:rsid w:val="00C8204C"/>
    <w:rsid w:val="00C83101"/>
    <w:rsid w:val="00C834CD"/>
    <w:rsid w:val="00C83B95"/>
    <w:rsid w:val="00C845DC"/>
    <w:rsid w:val="00C852BD"/>
    <w:rsid w:val="00C859AC"/>
    <w:rsid w:val="00C86093"/>
    <w:rsid w:val="00C864FF"/>
    <w:rsid w:val="00C867A0"/>
    <w:rsid w:val="00C86C0F"/>
    <w:rsid w:val="00C86EB5"/>
    <w:rsid w:val="00C87243"/>
    <w:rsid w:val="00C8769D"/>
    <w:rsid w:val="00C90118"/>
    <w:rsid w:val="00C91290"/>
    <w:rsid w:val="00C916AE"/>
    <w:rsid w:val="00C91E8B"/>
    <w:rsid w:val="00C91EF9"/>
    <w:rsid w:val="00C9227C"/>
    <w:rsid w:val="00C924D3"/>
    <w:rsid w:val="00C92699"/>
    <w:rsid w:val="00C93F55"/>
    <w:rsid w:val="00C93F96"/>
    <w:rsid w:val="00C94500"/>
    <w:rsid w:val="00C97838"/>
    <w:rsid w:val="00C97CAE"/>
    <w:rsid w:val="00CA0BD1"/>
    <w:rsid w:val="00CA0EE7"/>
    <w:rsid w:val="00CA0F53"/>
    <w:rsid w:val="00CA208E"/>
    <w:rsid w:val="00CA27A0"/>
    <w:rsid w:val="00CA285D"/>
    <w:rsid w:val="00CA2C35"/>
    <w:rsid w:val="00CA350B"/>
    <w:rsid w:val="00CA39C1"/>
    <w:rsid w:val="00CA3A32"/>
    <w:rsid w:val="00CA3C4A"/>
    <w:rsid w:val="00CA448F"/>
    <w:rsid w:val="00CA507E"/>
    <w:rsid w:val="00CA727F"/>
    <w:rsid w:val="00CA7BD7"/>
    <w:rsid w:val="00CB037C"/>
    <w:rsid w:val="00CB0697"/>
    <w:rsid w:val="00CB0887"/>
    <w:rsid w:val="00CB1ED4"/>
    <w:rsid w:val="00CB20B5"/>
    <w:rsid w:val="00CB2498"/>
    <w:rsid w:val="00CB24FC"/>
    <w:rsid w:val="00CB4DD9"/>
    <w:rsid w:val="00CB58C0"/>
    <w:rsid w:val="00CB6B91"/>
    <w:rsid w:val="00CB78CD"/>
    <w:rsid w:val="00CB79A1"/>
    <w:rsid w:val="00CC007A"/>
    <w:rsid w:val="00CC02B9"/>
    <w:rsid w:val="00CC066D"/>
    <w:rsid w:val="00CC15CF"/>
    <w:rsid w:val="00CC1BA6"/>
    <w:rsid w:val="00CC291D"/>
    <w:rsid w:val="00CC300D"/>
    <w:rsid w:val="00CC4A8F"/>
    <w:rsid w:val="00CC4F8C"/>
    <w:rsid w:val="00CC5FA2"/>
    <w:rsid w:val="00CC5FBE"/>
    <w:rsid w:val="00CC5FF0"/>
    <w:rsid w:val="00CC6847"/>
    <w:rsid w:val="00CC6EB0"/>
    <w:rsid w:val="00CC73F5"/>
    <w:rsid w:val="00CC7A57"/>
    <w:rsid w:val="00CD0062"/>
    <w:rsid w:val="00CD05C9"/>
    <w:rsid w:val="00CD0E35"/>
    <w:rsid w:val="00CD11A8"/>
    <w:rsid w:val="00CD186B"/>
    <w:rsid w:val="00CD1C68"/>
    <w:rsid w:val="00CD1C9E"/>
    <w:rsid w:val="00CD272A"/>
    <w:rsid w:val="00CD3147"/>
    <w:rsid w:val="00CD3CC9"/>
    <w:rsid w:val="00CD4671"/>
    <w:rsid w:val="00CD5104"/>
    <w:rsid w:val="00CD66E3"/>
    <w:rsid w:val="00CD6857"/>
    <w:rsid w:val="00CD68DD"/>
    <w:rsid w:val="00CD6985"/>
    <w:rsid w:val="00CD710C"/>
    <w:rsid w:val="00CD71C2"/>
    <w:rsid w:val="00CE0405"/>
    <w:rsid w:val="00CE04E3"/>
    <w:rsid w:val="00CE0CDC"/>
    <w:rsid w:val="00CE13B6"/>
    <w:rsid w:val="00CE1BFA"/>
    <w:rsid w:val="00CE1F63"/>
    <w:rsid w:val="00CE2591"/>
    <w:rsid w:val="00CE2804"/>
    <w:rsid w:val="00CE2EA9"/>
    <w:rsid w:val="00CE32AC"/>
    <w:rsid w:val="00CE33AD"/>
    <w:rsid w:val="00CE3AB5"/>
    <w:rsid w:val="00CE41F3"/>
    <w:rsid w:val="00CE4C4B"/>
    <w:rsid w:val="00CE4E80"/>
    <w:rsid w:val="00CE51B5"/>
    <w:rsid w:val="00CE5BD6"/>
    <w:rsid w:val="00CE5CA2"/>
    <w:rsid w:val="00CE6201"/>
    <w:rsid w:val="00CE691E"/>
    <w:rsid w:val="00CE7183"/>
    <w:rsid w:val="00CE77FE"/>
    <w:rsid w:val="00CE7BCD"/>
    <w:rsid w:val="00CF0175"/>
    <w:rsid w:val="00CF02D7"/>
    <w:rsid w:val="00CF0F26"/>
    <w:rsid w:val="00CF15FD"/>
    <w:rsid w:val="00CF1DB2"/>
    <w:rsid w:val="00CF391F"/>
    <w:rsid w:val="00CF482E"/>
    <w:rsid w:val="00CF4B0D"/>
    <w:rsid w:val="00CF4CF8"/>
    <w:rsid w:val="00CF55FF"/>
    <w:rsid w:val="00CF5826"/>
    <w:rsid w:val="00CF5A6B"/>
    <w:rsid w:val="00CF5D8E"/>
    <w:rsid w:val="00CF5DB3"/>
    <w:rsid w:val="00CF6181"/>
    <w:rsid w:val="00CF6669"/>
    <w:rsid w:val="00CF6B4B"/>
    <w:rsid w:val="00CF6C3B"/>
    <w:rsid w:val="00CF6EF5"/>
    <w:rsid w:val="00CF767C"/>
    <w:rsid w:val="00CF793F"/>
    <w:rsid w:val="00CF79E3"/>
    <w:rsid w:val="00CF7DE8"/>
    <w:rsid w:val="00D014D7"/>
    <w:rsid w:val="00D01942"/>
    <w:rsid w:val="00D01962"/>
    <w:rsid w:val="00D01CCC"/>
    <w:rsid w:val="00D02370"/>
    <w:rsid w:val="00D023A4"/>
    <w:rsid w:val="00D02989"/>
    <w:rsid w:val="00D035E3"/>
    <w:rsid w:val="00D04564"/>
    <w:rsid w:val="00D04DB9"/>
    <w:rsid w:val="00D05B69"/>
    <w:rsid w:val="00D06651"/>
    <w:rsid w:val="00D06D96"/>
    <w:rsid w:val="00D0711E"/>
    <w:rsid w:val="00D073FE"/>
    <w:rsid w:val="00D07676"/>
    <w:rsid w:val="00D07AD3"/>
    <w:rsid w:val="00D07C1B"/>
    <w:rsid w:val="00D07D36"/>
    <w:rsid w:val="00D10723"/>
    <w:rsid w:val="00D10C16"/>
    <w:rsid w:val="00D10C5C"/>
    <w:rsid w:val="00D10F45"/>
    <w:rsid w:val="00D11088"/>
    <w:rsid w:val="00D11294"/>
    <w:rsid w:val="00D11888"/>
    <w:rsid w:val="00D11C3A"/>
    <w:rsid w:val="00D1213E"/>
    <w:rsid w:val="00D12311"/>
    <w:rsid w:val="00D12857"/>
    <w:rsid w:val="00D128A4"/>
    <w:rsid w:val="00D12C0D"/>
    <w:rsid w:val="00D1364C"/>
    <w:rsid w:val="00D138BA"/>
    <w:rsid w:val="00D13DC2"/>
    <w:rsid w:val="00D146DA"/>
    <w:rsid w:val="00D15EDC"/>
    <w:rsid w:val="00D1647B"/>
    <w:rsid w:val="00D16E2E"/>
    <w:rsid w:val="00D2069D"/>
    <w:rsid w:val="00D208CA"/>
    <w:rsid w:val="00D2186A"/>
    <w:rsid w:val="00D223E9"/>
    <w:rsid w:val="00D2266E"/>
    <w:rsid w:val="00D22CBB"/>
    <w:rsid w:val="00D230B3"/>
    <w:rsid w:val="00D23EA4"/>
    <w:rsid w:val="00D23FAA"/>
    <w:rsid w:val="00D2471D"/>
    <w:rsid w:val="00D24DA5"/>
    <w:rsid w:val="00D25029"/>
    <w:rsid w:val="00D25965"/>
    <w:rsid w:val="00D25C45"/>
    <w:rsid w:val="00D25D01"/>
    <w:rsid w:val="00D26379"/>
    <w:rsid w:val="00D269B4"/>
    <w:rsid w:val="00D26E56"/>
    <w:rsid w:val="00D26E57"/>
    <w:rsid w:val="00D275AD"/>
    <w:rsid w:val="00D27B4E"/>
    <w:rsid w:val="00D27BB5"/>
    <w:rsid w:val="00D30B03"/>
    <w:rsid w:val="00D31003"/>
    <w:rsid w:val="00D31296"/>
    <w:rsid w:val="00D3143C"/>
    <w:rsid w:val="00D32088"/>
    <w:rsid w:val="00D32157"/>
    <w:rsid w:val="00D3240F"/>
    <w:rsid w:val="00D32720"/>
    <w:rsid w:val="00D32AFA"/>
    <w:rsid w:val="00D33253"/>
    <w:rsid w:val="00D33294"/>
    <w:rsid w:val="00D33785"/>
    <w:rsid w:val="00D34555"/>
    <w:rsid w:val="00D34623"/>
    <w:rsid w:val="00D351CE"/>
    <w:rsid w:val="00D357B6"/>
    <w:rsid w:val="00D35D91"/>
    <w:rsid w:val="00D378B8"/>
    <w:rsid w:val="00D37A75"/>
    <w:rsid w:val="00D40219"/>
    <w:rsid w:val="00D40500"/>
    <w:rsid w:val="00D4158B"/>
    <w:rsid w:val="00D4195D"/>
    <w:rsid w:val="00D41DB2"/>
    <w:rsid w:val="00D422D2"/>
    <w:rsid w:val="00D423C1"/>
    <w:rsid w:val="00D42662"/>
    <w:rsid w:val="00D4267A"/>
    <w:rsid w:val="00D42AD0"/>
    <w:rsid w:val="00D42D1D"/>
    <w:rsid w:val="00D42E8F"/>
    <w:rsid w:val="00D43B14"/>
    <w:rsid w:val="00D44263"/>
    <w:rsid w:val="00D444C4"/>
    <w:rsid w:val="00D44613"/>
    <w:rsid w:val="00D44719"/>
    <w:rsid w:val="00D454BF"/>
    <w:rsid w:val="00D456C7"/>
    <w:rsid w:val="00D45AFC"/>
    <w:rsid w:val="00D45B35"/>
    <w:rsid w:val="00D4641C"/>
    <w:rsid w:val="00D46A58"/>
    <w:rsid w:val="00D46CC8"/>
    <w:rsid w:val="00D477EB"/>
    <w:rsid w:val="00D47E7C"/>
    <w:rsid w:val="00D47FAB"/>
    <w:rsid w:val="00D501AF"/>
    <w:rsid w:val="00D504EF"/>
    <w:rsid w:val="00D509FF"/>
    <w:rsid w:val="00D50D2B"/>
    <w:rsid w:val="00D50EA8"/>
    <w:rsid w:val="00D51163"/>
    <w:rsid w:val="00D52274"/>
    <w:rsid w:val="00D526BC"/>
    <w:rsid w:val="00D52D29"/>
    <w:rsid w:val="00D533D4"/>
    <w:rsid w:val="00D5367F"/>
    <w:rsid w:val="00D53C9F"/>
    <w:rsid w:val="00D54E93"/>
    <w:rsid w:val="00D551F0"/>
    <w:rsid w:val="00D558D1"/>
    <w:rsid w:val="00D5724C"/>
    <w:rsid w:val="00D57E94"/>
    <w:rsid w:val="00D610DF"/>
    <w:rsid w:val="00D61381"/>
    <w:rsid w:val="00D62564"/>
    <w:rsid w:val="00D631EE"/>
    <w:rsid w:val="00D63792"/>
    <w:rsid w:val="00D63C45"/>
    <w:rsid w:val="00D66CC2"/>
    <w:rsid w:val="00D7000D"/>
    <w:rsid w:val="00D702AF"/>
    <w:rsid w:val="00D729C0"/>
    <w:rsid w:val="00D73CCE"/>
    <w:rsid w:val="00D741FA"/>
    <w:rsid w:val="00D7438D"/>
    <w:rsid w:val="00D743FC"/>
    <w:rsid w:val="00D75C82"/>
    <w:rsid w:val="00D75F81"/>
    <w:rsid w:val="00D76B2B"/>
    <w:rsid w:val="00D76E52"/>
    <w:rsid w:val="00D76E8E"/>
    <w:rsid w:val="00D77243"/>
    <w:rsid w:val="00D777E7"/>
    <w:rsid w:val="00D77BB2"/>
    <w:rsid w:val="00D77CAD"/>
    <w:rsid w:val="00D8017F"/>
    <w:rsid w:val="00D80F58"/>
    <w:rsid w:val="00D8146A"/>
    <w:rsid w:val="00D81B91"/>
    <w:rsid w:val="00D81BFE"/>
    <w:rsid w:val="00D82184"/>
    <w:rsid w:val="00D8304A"/>
    <w:rsid w:val="00D836FA"/>
    <w:rsid w:val="00D83758"/>
    <w:rsid w:val="00D83A5B"/>
    <w:rsid w:val="00D83BF4"/>
    <w:rsid w:val="00D83F9F"/>
    <w:rsid w:val="00D84A80"/>
    <w:rsid w:val="00D856BA"/>
    <w:rsid w:val="00D861CA"/>
    <w:rsid w:val="00D8665C"/>
    <w:rsid w:val="00D866B5"/>
    <w:rsid w:val="00D86D23"/>
    <w:rsid w:val="00D87CF4"/>
    <w:rsid w:val="00D90304"/>
    <w:rsid w:val="00D907BC"/>
    <w:rsid w:val="00D90879"/>
    <w:rsid w:val="00D90CA5"/>
    <w:rsid w:val="00D91DC3"/>
    <w:rsid w:val="00D91E52"/>
    <w:rsid w:val="00D91F38"/>
    <w:rsid w:val="00D92A51"/>
    <w:rsid w:val="00D92D8E"/>
    <w:rsid w:val="00D936CA"/>
    <w:rsid w:val="00D93B7A"/>
    <w:rsid w:val="00D93D01"/>
    <w:rsid w:val="00D947D0"/>
    <w:rsid w:val="00D9583F"/>
    <w:rsid w:val="00D9598E"/>
    <w:rsid w:val="00D96944"/>
    <w:rsid w:val="00D97D66"/>
    <w:rsid w:val="00DA04BF"/>
    <w:rsid w:val="00DA161C"/>
    <w:rsid w:val="00DA1A0A"/>
    <w:rsid w:val="00DA230B"/>
    <w:rsid w:val="00DA2498"/>
    <w:rsid w:val="00DA2701"/>
    <w:rsid w:val="00DA2934"/>
    <w:rsid w:val="00DA389B"/>
    <w:rsid w:val="00DA3CF4"/>
    <w:rsid w:val="00DA3CF6"/>
    <w:rsid w:val="00DA4320"/>
    <w:rsid w:val="00DA437D"/>
    <w:rsid w:val="00DA43E3"/>
    <w:rsid w:val="00DA4506"/>
    <w:rsid w:val="00DA477F"/>
    <w:rsid w:val="00DA48C3"/>
    <w:rsid w:val="00DA4B24"/>
    <w:rsid w:val="00DA4D36"/>
    <w:rsid w:val="00DA4EAD"/>
    <w:rsid w:val="00DA528E"/>
    <w:rsid w:val="00DA58C4"/>
    <w:rsid w:val="00DA5B7A"/>
    <w:rsid w:val="00DA687D"/>
    <w:rsid w:val="00DA7C04"/>
    <w:rsid w:val="00DA7F1B"/>
    <w:rsid w:val="00DB063D"/>
    <w:rsid w:val="00DB0D71"/>
    <w:rsid w:val="00DB1E45"/>
    <w:rsid w:val="00DB302C"/>
    <w:rsid w:val="00DB3D12"/>
    <w:rsid w:val="00DB3E04"/>
    <w:rsid w:val="00DB48F0"/>
    <w:rsid w:val="00DB54F5"/>
    <w:rsid w:val="00DB59DF"/>
    <w:rsid w:val="00DB679F"/>
    <w:rsid w:val="00DB6A22"/>
    <w:rsid w:val="00DB7073"/>
    <w:rsid w:val="00DB794D"/>
    <w:rsid w:val="00DC1A05"/>
    <w:rsid w:val="00DC1D04"/>
    <w:rsid w:val="00DC3014"/>
    <w:rsid w:val="00DC3EA2"/>
    <w:rsid w:val="00DC4332"/>
    <w:rsid w:val="00DC5B9F"/>
    <w:rsid w:val="00DC61EF"/>
    <w:rsid w:val="00DC63FF"/>
    <w:rsid w:val="00DC6C5C"/>
    <w:rsid w:val="00DC6DFA"/>
    <w:rsid w:val="00DC6F03"/>
    <w:rsid w:val="00DC7A75"/>
    <w:rsid w:val="00DC7FBF"/>
    <w:rsid w:val="00DD0A83"/>
    <w:rsid w:val="00DD10A5"/>
    <w:rsid w:val="00DD1518"/>
    <w:rsid w:val="00DD1C39"/>
    <w:rsid w:val="00DD2C28"/>
    <w:rsid w:val="00DD2D93"/>
    <w:rsid w:val="00DD2F60"/>
    <w:rsid w:val="00DD3574"/>
    <w:rsid w:val="00DD3666"/>
    <w:rsid w:val="00DD37DE"/>
    <w:rsid w:val="00DD38F4"/>
    <w:rsid w:val="00DD3CB9"/>
    <w:rsid w:val="00DD422C"/>
    <w:rsid w:val="00DD427E"/>
    <w:rsid w:val="00DD4EE4"/>
    <w:rsid w:val="00DD5739"/>
    <w:rsid w:val="00DD6988"/>
    <w:rsid w:val="00DD6A14"/>
    <w:rsid w:val="00DD7E12"/>
    <w:rsid w:val="00DE00FD"/>
    <w:rsid w:val="00DE078C"/>
    <w:rsid w:val="00DE07EE"/>
    <w:rsid w:val="00DE0B39"/>
    <w:rsid w:val="00DE0E5D"/>
    <w:rsid w:val="00DE0F78"/>
    <w:rsid w:val="00DE22AF"/>
    <w:rsid w:val="00DE2910"/>
    <w:rsid w:val="00DE3850"/>
    <w:rsid w:val="00DE3AAD"/>
    <w:rsid w:val="00DE3B35"/>
    <w:rsid w:val="00DE4DA9"/>
    <w:rsid w:val="00DE4F01"/>
    <w:rsid w:val="00DE50D7"/>
    <w:rsid w:val="00DE560C"/>
    <w:rsid w:val="00DE58C6"/>
    <w:rsid w:val="00DE6412"/>
    <w:rsid w:val="00DE65B0"/>
    <w:rsid w:val="00DE66EB"/>
    <w:rsid w:val="00DE682A"/>
    <w:rsid w:val="00DF0CC1"/>
    <w:rsid w:val="00DF1171"/>
    <w:rsid w:val="00DF158F"/>
    <w:rsid w:val="00DF1ADA"/>
    <w:rsid w:val="00DF1C6F"/>
    <w:rsid w:val="00DF4186"/>
    <w:rsid w:val="00DF4235"/>
    <w:rsid w:val="00DF5037"/>
    <w:rsid w:val="00DF5C12"/>
    <w:rsid w:val="00DF5C2F"/>
    <w:rsid w:val="00DF6B2B"/>
    <w:rsid w:val="00E016FD"/>
    <w:rsid w:val="00E01864"/>
    <w:rsid w:val="00E01AB5"/>
    <w:rsid w:val="00E01DD0"/>
    <w:rsid w:val="00E02318"/>
    <w:rsid w:val="00E02933"/>
    <w:rsid w:val="00E02A4E"/>
    <w:rsid w:val="00E04131"/>
    <w:rsid w:val="00E0414F"/>
    <w:rsid w:val="00E041CB"/>
    <w:rsid w:val="00E049B0"/>
    <w:rsid w:val="00E05573"/>
    <w:rsid w:val="00E05E1B"/>
    <w:rsid w:val="00E0606D"/>
    <w:rsid w:val="00E0630B"/>
    <w:rsid w:val="00E0794D"/>
    <w:rsid w:val="00E07B80"/>
    <w:rsid w:val="00E10BB1"/>
    <w:rsid w:val="00E10D0C"/>
    <w:rsid w:val="00E112FF"/>
    <w:rsid w:val="00E11FB5"/>
    <w:rsid w:val="00E1221A"/>
    <w:rsid w:val="00E131A4"/>
    <w:rsid w:val="00E13515"/>
    <w:rsid w:val="00E14662"/>
    <w:rsid w:val="00E14FBF"/>
    <w:rsid w:val="00E15002"/>
    <w:rsid w:val="00E1573D"/>
    <w:rsid w:val="00E164CB"/>
    <w:rsid w:val="00E16C06"/>
    <w:rsid w:val="00E16EF3"/>
    <w:rsid w:val="00E17455"/>
    <w:rsid w:val="00E17A1C"/>
    <w:rsid w:val="00E200FE"/>
    <w:rsid w:val="00E201CF"/>
    <w:rsid w:val="00E202BC"/>
    <w:rsid w:val="00E204E2"/>
    <w:rsid w:val="00E205CB"/>
    <w:rsid w:val="00E2090D"/>
    <w:rsid w:val="00E20B49"/>
    <w:rsid w:val="00E21D50"/>
    <w:rsid w:val="00E22611"/>
    <w:rsid w:val="00E22B5F"/>
    <w:rsid w:val="00E22D23"/>
    <w:rsid w:val="00E23C90"/>
    <w:rsid w:val="00E24559"/>
    <w:rsid w:val="00E2570C"/>
    <w:rsid w:val="00E26A71"/>
    <w:rsid w:val="00E276CE"/>
    <w:rsid w:val="00E27FA7"/>
    <w:rsid w:val="00E30076"/>
    <w:rsid w:val="00E30EA6"/>
    <w:rsid w:val="00E314D0"/>
    <w:rsid w:val="00E323C4"/>
    <w:rsid w:val="00E32B63"/>
    <w:rsid w:val="00E332E0"/>
    <w:rsid w:val="00E33486"/>
    <w:rsid w:val="00E334CA"/>
    <w:rsid w:val="00E338A9"/>
    <w:rsid w:val="00E338E4"/>
    <w:rsid w:val="00E33E15"/>
    <w:rsid w:val="00E340B1"/>
    <w:rsid w:val="00E34214"/>
    <w:rsid w:val="00E34904"/>
    <w:rsid w:val="00E34B42"/>
    <w:rsid w:val="00E353E3"/>
    <w:rsid w:val="00E355D4"/>
    <w:rsid w:val="00E35ABD"/>
    <w:rsid w:val="00E35B46"/>
    <w:rsid w:val="00E360DC"/>
    <w:rsid w:val="00E36D23"/>
    <w:rsid w:val="00E373AF"/>
    <w:rsid w:val="00E37B8B"/>
    <w:rsid w:val="00E4025A"/>
    <w:rsid w:val="00E40666"/>
    <w:rsid w:val="00E40FDF"/>
    <w:rsid w:val="00E4144D"/>
    <w:rsid w:val="00E4154C"/>
    <w:rsid w:val="00E41664"/>
    <w:rsid w:val="00E41843"/>
    <w:rsid w:val="00E41F81"/>
    <w:rsid w:val="00E421E1"/>
    <w:rsid w:val="00E42B5F"/>
    <w:rsid w:val="00E42E16"/>
    <w:rsid w:val="00E4406A"/>
    <w:rsid w:val="00E44138"/>
    <w:rsid w:val="00E44644"/>
    <w:rsid w:val="00E44EA1"/>
    <w:rsid w:val="00E465B0"/>
    <w:rsid w:val="00E46CF0"/>
    <w:rsid w:val="00E471E4"/>
    <w:rsid w:val="00E474A5"/>
    <w:rsid w:val="00E47544"/>
    <w:rsid w:val="00E47B7E"/>
    <w:rsid w:val="00E50753"/>
    <w:rsid w:val="00E5091E"/>
    <w:rsid w:val="00E5129B"/>
    <w:rsid w:val="00E525FC"/>
    <w:rsid w:val="00E53030"/>
    <w:rsid w:val="00E53069"/>
    <w:rsid w:val="00E54936"/>
    <w:rsid w:val="00E55164"/>
    <w:rsid w:val="00E5698B"/>
    <w:rsid w:val="00E56ED3"/>
    <w:rsid w:val="00E61B9D"/>
    <w:rsid w:val="00E61C5E"/>
    <w:rsid w:val="00E61EC2"/>
    <w:rsid w:val="00E6214F"/>
    <w:rsid w:val="00E6240D"/>
    <w:rsid w:val="00E626D8"/>
    <w:rsid w:val="00E63D18"/>
    <w:rsid w:val="00E63D6F"/>
    <w:rsid w:val="00E643D2"/>
    <w:rsid w:val="00E648A2"/>
    <w:rsid w:val="00E6504E"/>
    <w:rsid w:val="00E67DFE"/>
    <w:rsid w:val="00E706E2"/>
    <w:rsid w:val="00E707B2"/>
    <w:rsid w:val="00E7099D"/>
    <w:rsid w:val="00E70A39"/>
    <w:rsid w:val="00E70D50"/>
    <w:rsid w:val="00E717E2"/>
    <w:rsid w:val="00E72906"/>
    <w:rsid w:val="00E72ECF"/>
    <w:rsid w:val="00E72F8B"/>
    <w:rsid w:val="00E73DC8"/>
    <w:rsid w:val="00E74999"/>
    <w:rsid w:val="00E768B2"/>
    <w:rsid w:val="00E76ACE"/>
    <w:rsid w:val="00E77683"/>
    <w:rsid w:val="00E77C8B"/>
    <w:rsid w:val="00E80145"/>
    <w:rsid w:val="00E80E96"/>
    <w:rsid w:val="00E81147"/>
    <w:rsid w:val="00E8151F"/>
    <w:rsid w:val="00E81DDD"/>
    <w:rsid w:val="00E81FA2"/>
    <w:rsid w:val="00E825D2"/>
    <w:rsid w:val="00E8276F"/>
    <w:rsid w:val="00E828D2"/>
    <w:rsid w:val="00E83282"/>
    <w:rsid w:val="00E832A3"/>
    <w:rsid w:val="00E8335E"/>
    <w:rsid w:val="00E8355E"/>
    <w:rsid w:val="00E839A8"/>
    <w:rsid w:val="00E83AE8"/>
    <w:rsid w:val="00E83D8C"/>
    <w:rsid w:val="00E8519D"/>
    <w:rsid w:val="00E85790"/>
    <w:rsid w:val="00E862C4"/>
    <w:rsid w:val="00E8677C"/>
    <w:rsid w:val="00E878BD"/>
    <w:rsid w:val="00E90101"/>
    <w:rsid w:val="00E90563"/>
    <w:rsid w:val="00E91145"/>
    <w:rsid w:val="00E9181B"/>
    <w:rsid w:val="00E91D20"/>
    <w:rsid w:val="00E9288A"/>
    <w:rsid w:val="00E92AF1"/>
    <w:rsid w:val="00E93147"/>
    <w:rsid w:val="00E93CA4"/>
    <w:rsid w:val="00E94E22"/>
    <w:rsid w:val="00E95634"/>
    <w:rsid w:val="00E9668D"/>
    <w:rsid w:val="00E96DC1"/>
    <w:rsid w:val="00E971D5"/>
    <w:rsid w:val="00E971E9"/>
    <w:rsid w:val="00E97713"/>
    <w:rsid w:val="00E97AEA"/>
    <w:rsid w:val="00E97B67"/>
    <w:rsid w:val="00E97E84"/>
    <w:rsid w:val="00EA0147"/>
    <w:rsid w:val="00EA0E42"/>
    <w:rsid w:val="00EA0ED8"/>
    <w:rsid w:val="00EA155D"/>
    <w:rsid w:val="00EA1B66"/>
    <w:rsid w:val="00EA1F9E"/>
    <w:rsid w:val="00EA2465"/>
    <w:rsid w:val="00EA2687"/>
    <w:rsid w:val="00EA2C2D"/>
    <w:rsid w:val="00EA2CAA"/>
    <w:rsid w:val="00EA2D5A"/>
    <w:rsid w:val="00EA3A13"/>
    <w:rsid w:val="00EA40AA"/>
    <w:rsid w:val="00EA4800"/>
    <w:rsid w:val="00EA6560"/>
    <w:rsid w:val="00EB0710"/>
    <w:rsid w:val="00EB0A24"/>
    <w:rsid w:val="00EB1462"/>
    <w:rsid w:val="00EB180C"/>
    <w:rsid w:val="00EB2085"/>
    <w:rsid w:val="00EB2184"/>
    <w:rsid w:val="00EB3671"/>
    <w:rsid w:val="00EB460E"/>
    <w:rsid w:val="00EB4B09"/>
    <w:rsid w:val="00EB55B5"/>
    <w:rsid w:val="00EB5685"/>
    <w:rsid w:val="00EB6603"/>
    <w:rsid w:val="00EB6688"/>
    <w:rsid w:val="00EB6A21"/>
    <w:rsid w:val="00EB6DE2"/>
    <w:rsid w:val="00EB6EF8"/>
    <w:rsid w:val="00EB73EA"/>
    <w:rsid w:val="00EB74AE"/>
    <w:rsid w:val="00EB7710"/>
    <w:rsid w:val="00EC0476"/>
    <w:rsid w:val="00EC1353"/>
    <w:rsid w:val="00EC29C1"/>
    <w:rsid w:val="00EC2B13"/>
    <w:rsid w:val="00EC2B88"/>
    <w:rsid w:val="00EC3BD3"/>
    <w:rsid w:val="00EC3E2D"/>
    <w:rsid w:val="00EC3F37"/>
    <w:rsid w:val="00EC48A4"/>
    <w:rsid w:val="00EC4B4C"/>
    <w:rsid w:val="00EC4F8F"/>
    <w:rsid w:val="00EC5404"/>
    <w:rsid w:val="00EC5599"/>
    <w:rsid w:val="00EC6689"/>
    <w:rsid w:val="00EC7D92"/>
    <w:rsid w:val="00ED0146"/>
    <w:rsid w:val="00ED03E2"/>
    <w:rsid w:val="00ED04DF"/>
    <w:rsid w:val="00ED0FA3"/>
    <w:rsid w:val="00ED13AF"/>
    <w:rsid w:val="00ED1826"/>
    <w:rsid w:val="00ED2EF5"/>
    <w:rsid w:val="00ED364C"/>
    <w:rsid w:val="00ED3B8D"/>
    <w:rsid w:val="00ED3FC4"/>
    <w:rsid w:val="00ED406D"/>
    <w:rsid w:val="00ED4CD7"/>
    <w:rsid w:val="00ED4ECE"/>
    <w:rsid w:val="00ED5908"/>
    <w:rsid w:val="00ED6A72"/>
    <w:rsid w:val="00ED6F2C"/>
    <w:rsid w:val="00EE05D3"/>
    <w:rsid w:val="00EE2684"/>
    <w:rsid w:val="00EE2B67"/>
    <w:rsid w:val="00EE3A3C"/>
    <w:rsid w:val="00EE3B90"/>
    <w:rsid w:val="00EE3C2A"/>
    <w:rsid w:val="00EE459D"/>
    <w:rsid w:val="00EE4DC3"/>
    <w:rsid w:val="00EE51E5"/>
    <w:rsid w:val="00EE5479"/>
    <w:rsid w:val="00EE5BB8"/>
    <w:rsid w:val="00EE5D60"/>
    <w:rsid w:val="00EE60D3"/>
    <w:rsid w:val="00EE6C9B"/>
    <w:rsid w:val="00EE7789"/>
    <w:rsid w:val="00EF11EB"/>
    <w:rsid w:val="00EF1D20"/>
    <w:rsid w:val="00EF221A"/>
    <w:rsid w:val="00EF25F2"/>
    <w:rsid w:val="00EF2778"/>
    <w:rsid w:val="00EF2DB0"/>
    <w:rsid w:val="00EF32B8"/>
    <w:rsid w:val="00EF442A"/>
    <w:rsid w:val="00EF5B3B"/>
    <w:rsid w:val="00EF5C17"/>
    <w:rsid w:val="00EF6385"/>
    <w:rsid w:val="00EF64AB"/>
    <w:rsid w:val="00EF6C02"/>
    <w:rsid w:val="00EF6CAA"/>
    <w:rsid w:val="00EF79DD"/>
    <w:rsid w:val="00EF7BCE"/>
    <w:rsid w:val="00F00086"/>
    <w:rsid w:val="00F01269"/>
    <w:rsid w:val="00F01542"/>
    <w:rsid w:val="00F0185C"/>
    <w:rsid w:val="00F0192C"/>
    <w:rsid w:val="00F02304"/>
    <w:rsid w:val="00F024AD"/>
    <w:rsid w:val="00F02572"/>
    <w:rsid w:val="00F028C4"/>
    <w:rsid w:val="00F02B36"/>
    <w:rsid w:val="00F03585"/>
    <w:rsid w:val="00F03D33"/>
    <w:rsid w:val="00F05207"/>
    <w:rsid w:val="00F0547D"/>
    <w:rsid w:val="00F0597E"/>
    <w:rsid w:val="00F071FF"/>
    <w:rsid w:val="00F07A24"/>
    <w:rsid w:val="00F100CA"/>
    <w:rsid w:val="00F101C4"/>
    <w:rsid w:val="00F1073A"/>
    <w:rsid w:val="00F109ED"/>
    <w:rsid w:val="00F10E86"/>
    <w:rsid w:val="00F11D4E"/>
    <w:rsid w:val="00F12BF7"/>
    <w:rsid w:val="00F14082"/>
    <w:rsid w:val="00F141D2"/>
    <w:rsid w:val="00F14592"/>
    <w:rsid w:val="00F146C3"/>
    <w:rsid w:val="00F1480B"/>
    <w:rsid w:val="00F15E3B"/>
    <w:rsid w:val="00F16026"/>
    <w:rsid w:val="00F16216"/>
    <w:rsid w:val="00F167CB"/>
    <w:rsid w:val="00F16F5E"/>
    <w:rsid w:val="00F16FC5"/>
    <w:rsid w:val="00F17F36"/>
    <w:rsid w:val="00F2071B"/>
    <w:rsid w:val="00F21331"/>
    <w:rsid w:val="00F22668"/>
    <w:rsid w:val="00F22C56"/>
    <w:rsid w:val="00F22E5A"/>
    <w:rsid w:val="00F23225"/>
    <w:rsid w:val="00F23226"/>
    <w:rsid w:val="00F23B32"/>
    <w:rsid w:val="00F23BC5"/>
    <w:rsid w:val="00F2513A"/>
    <w:rsid w:val="00F251E9"/>
    <w:rsid w:val="00F25582"/>
    <w:rsid w:val="00F25AEF"/>
    <w:rsid w:val="00F25D63"/>
    <w:rsid w:val="00F26F89"/>
    <w:rsid w:val="00F275A2"/>
    <w:rsid w:val="00F2786C"/>
    <w:rsid w:val="00F278ED"/>
    <w:rsid w:val="00F30151"/>
    <w:rsid w:val="00F30532"/>
    <w:rsid w:val="00F30828"/>
    <w:rsid w:val="00F309F2"/>
    <w:rsid w:val="00F315FE"/>
    <w:rsid w:val="00F317B3"/>
    <w:rsid w:val="00F321C2"/>
    <w:rsid w:val="00F32AF0"/>
    <w:rsid w:val="00F3305B"/>
    <w:rsid w:val="00F3331E"/>
    <w:rsid w:val="00F33B43"/>
    <w:rsid w:val="00F33CCA"/>
    <w:rsid w:val="00F33E45"/>
    <w:rsid w:val="00F343E4"/>
    <w:rsid w:val="00F35BDA"/>
    <w:rsid w:val="00F36953"/>
    <w:rsid w:val="00F36B70"/>
    <w:rsid w:val="00F370B4"/>
    <w:rsid w:val="00F37419"/>
    <w:rsid w:val="00F379F9"/>
    <w:rsid w:val="00F37D02"/>
    <w:rsid w:val="00F37D6A"/>
    <w:rsid w:val="00F37DD8"/>
    <w:rsid w:val="00F40454"/>
    <w:rsid w:val="00F404AE"/>
    <w:rsid w:val="00F40A4E"/>
    <w:rsid w:val="00F40ADF"/>
    <w:rsid w:val="00F41761"/>
    <w:rsid w:val="00F41F95"/>
    <w:rsid w:val="00F41FAA"/>
    <w:rsid w:val="00F426FE"/>
    <w:rsid w:val="00F42CCA"/>
    <w:rsid w:val="00F43D05"/>
    <w:rsid w:val="00F449FB"/>
    <w:rsid w:val="00F44AE7"/>
    <w:rsid w:val="00F44CE1"/>
    <w:rsid w:val="00F45739"/>
    <w:rsid w:val="00F47643"/>
    <w:rsid w:val="00F47B2E"/>
    <w:rsid w:val="00F47C5B"/>
    <w:rsid w:val="00F50031"/>
    <w:rsid w:val="00F5027B"/>
    <w:rsid w:val="00F51028"/>
    <w:rsid w:val="00F51ABF"/>
    <w:rsid w:val="00F51AC2"/>
    <w:rsid w:val="00F51B45"/>
    <w:rsid w:val="00F51F5D"/>
    <w:rsid w:val="00F52777"/>
    <w:rsid w:val="00F5287D"/>
    <w:rsid w:val="00F528D7"/>
    <w:rsid w:val="00F53324"/>
    <w:rsid w:val="00F53C1C"/>
    <w:rsid w:val="00F55320"/>
    <w:rsid w:val="00F5556A"/>
    <w:rsid w:val="00F55629"/>
    <w:rsid w:val="00F5644E"/>
    <w:rsid w:val="00F56B99"/>
    <w:rsid w:val="00F57419"/>
    <w:rsid w:val="00F57DE5"/>
    <w:rsid w:val="00F6008B"/>
    <w:rsid w:val="00F60352"/>
    <w:rsid w:val="00F610F4"/>
    <w:rsid w:val="00F61B3F"/>
    <w:rsid w:val="00F622BE"/>
    <w:rsid w:val="00F62745"/>
    <w:rsid w:val="00F63D25"/>
    <w:rsid w:val="00F640EF"/>
    <w:rsid w:val="00F64582"/>
    <w:rsid w:val="00F6505F"/>
    <w:rsid w:val="00F65822"/>
    <w:rsid w:val="00F65B26"/>
    <w:rsid w:val="00F6610F"/>
    <w:rsid w:val="00F66807"/>
    <w:rsid w:val="00F66EF9"/>
    <w:rsid w:val="00F66EFE"/>
    <w:rsid w:val="00F67021"/>
    <w:rsid w:val="00F67A67"/>
    <w:rsid w:val="00F704A8"/>
    <w:rsid w:val="00F70522"/>
    <w:rsid w:val="00F70AA3"/>
    <w:rsid w:val="00F71340"/>
    <w:rsid w:val="00F718FF"/>
    <w:rsid w:val="00F72186"/>
    <w:rsid w:val="00F72200"/>
    <w:rsid w:val="00F731C2"/>
    <w:rsid w:val="00F73B17"/>
    <w:rsid w:val="00F74B5D"/>
    <w:rsid w:val="00F74F0B"/>
    <w:rsid w:val="00F74FC4"/>
    <w:rsid w:val="00F76A15"/>
    <w:rsid w:val="00F77115"/>
    <w:rsid w:val="00F778E2"/>
    <w:rsid w:val="00F77DE3"/>
    <w:rsid w:val="00F8004F"/>
    <w:rsid w:val="00F80363"/>
    <w:rsid w:val="00F80FCC"/>
    <w:rsid w:val="00F81061"/>
    <w:rsid w:val="00F8145F"/>
    <w:rsid w:val="00F8160A"/>
    <w:rsid w:val="00F827B6"/>
    <w:rsid w:val="00F84033"/>
    <w:rsid w:val="00F8464A"/>
    <w:rsid w:val="00F86A4B"/>
    <w:rsid w:val="00F86A66"/>
    <w:rsid w:val="00F86B66"/>
    <w:rsid w:val="00F871E7"/>
    <w:rsid w:val="00F900D7"/>
    <w:rsid w:val="00F902AC"/>
    <w:rsid w:val="00F903E6"/>
    <w:rsid w:val="00F91157"/>
    <w:rsid w:val="00F911C7"/>
    <w:rsid w:val="00F91AD9"/>
    <w:rsid w:val="00F91C71"/>
    <w:rsid w:val="00F92931"/>
    <w:rsid w:val="00F92C6B"/>
    <w:rsid w:val="00F94217"/>
    <w:rsid w:val="00F943DB"/>
    <w:rsid w:val="00F94662"/>
    <w:rsid w:val="00F94B7E"/>
    <w:rsid w:val="00F94FFE"/>
    <w:rsid w:val="00F95073"/>
    <w:rsid w:val="00F961F5"/>
    <w:rsid w:val="00F962D9"/>
    <w:rsid w:val="00F96547"/>
    <w:rsid w:val="00F97A19"/>
    <w:rsid w:val="00F97AFD"/>
    <w:rsid w:val="00F97B6C"/>
    <w:rsid w:val="00F97E56"/>
    <w:rsid w:val="00FA0563"/>
    <w:rsid w:val="00FA07F0"/>
    <w:rsid w:val="00FA1EC0"/>
    <w:rsid w:val="00FA1FBC"/>
    <w:rsid w:val="00FA23D2"/>
    <w:rsid w:val="00FA274E"/>
    <w:rsid w:val="00FA2A17"/>
    <w:rsid w:val="00FA2FF4"/>
    <w:rsid w:val="00FA328A"/>
    <w:rsid w:val="00FA35A5"/>
    <w:rsid w:val="00FA3899"/>
    <w:rsid w:val="00FA4206"/>
    <w:rsid w:val="00FA424B"/>
    <w:rsid w:val="00FA44DA"/>
    <w:rsid w:val="00FA4836"/>
    <w:rsid w:val="00FA4BBC"/>
    <w:rsid w:val="00FA4E76"/>
    <w:rsid w:val="00FA50A3"/>
    <w:rsid w:val="00FA6957"/>
    <w:rsid w:val="00FA6DDB"/>
    <w:rsid w:val="00FA70FD"/>
    <w:rsid w:val="00FA734C"/>
    <w:rsid w:val="00FA780A"/>
    <w:rsid w:val="00FA7A22"/>
    <w:rsid w:val="00FA7C56"/>
    <w:rsid w:val="00FB06AB"/>
    <w:rsid w:val="00FB0B4D"/>
    <w:rsid w:val="00FB20FA"/>
    <w:rsid w:val="00FB2CAB"/>
    <w:rsid w:val="00FB2F40"/>
    <w:rsid w:val="00FB4430"/>
    <w:rsid w:val="00FB4BBF"/>
    <w:rsid w:val="00FB56D9"/>
    <w:rsid w:val="00FB591F"/>
    <w:rsid w:val="00FB59B6"/>
    <w:rsid w:val="00FB6910"/>
    <w:rsid w:val="00FB6D3C"/>
    <w:rsid w:val="00FB6DBB"/>
    <w:rsid w:val="00FB7226"/>
    <w:rsid w:val="00FB74D7"/>
    <w:rsid w:val="00FB7740"/>
    <w:rsid w:val="00FB7B1E"/>
    <w:rsid w:val="00FB7F5D"/>
    <w:rsid w:val="00FC0316"/>
    <w:rsid w:val="00FC05C6"/>
    <w:rsid w:val="00FC0636"/>
    <w:rsid w:val="00FC07DB"/>
    <w:rsid w:val="00FC134D"/>
    <w:rsid w:val="00FC1C6D"/>
    <w:rsid w:val="00FC2120"/>
    <w:rsid w:val="00FC239F"/>
    <w:rsid w:val="00FC2E3D"/>
    <w:rsid w:val="00FC3280"/>
    <w:rsid w:val="00FC35E8"/>
    <w:rsid w:val="00FC3C88"/>
    <w:rsid w:val="00FC3D7E"/>
    <w:rsid w:val="00FC3F26"/>
    <w:rsid w:val="00FC4574"/>
    <w:rsid w:val="00FC463B"/>
    <w:rsid w:val="00FC4D60"/>
    <w:rsid w:val="00FC5737"/>
    <w:rsid w:val="00FC58DA"/>
    <w:rsid w:val="00FC5A7E"/>
    <w:rsid w:val="00FC633A"/>
    <w:rsid w:val="00FC663B"/>
    <w:rsid w:val="00FC6C25"/>
    <w:rsid w:val="00FC6CB6"/>
    <w:rsid w:val="00FC6F0D"/>
    <w:rsid w:val="00FC7CC0"/>
    <w:rsid w:val="00FD02C1"/>
    <w:rsid w:val="00FD0746"/>
    <w:rsid w:val="00FD0BED"/>
    <w:rsid w:val="00FD221A"/>
    <w:rsid w:val="00FD2727"/>
    <w:rsid w:val="00FD290A"/>
    <w:rsid w:val="00FD2EA8"/>
    <w:rsid w:val="00FD3756"/>
    <w:rsid w:val="00FD3E1B"/>
    <w:rsid w:val="00FD47FB"/>
    <w:rsid w:val="00FD58DF"/>
    <w:rsid w:val="00FD658F"/>
    <w:rsid w:val="00FD677B"/>
    <w:rsid w:val="00FD698D"/>
    <w:rsid w:val="00FD6F23"/>
    <w:rsid w:val="00FD71B0"/>
    <w:rsid w:val="00FD75CF"/>
    <w:rsid w:val="00FD7AF2"/>
    <w:rsid w:val="00FE029B"/>
    <w:rsid w:val="00FE03C8"/>
    <w:rsid w:val="00FE1917"/>
    <w:rsid w:val="00FE1D7E"/>
    <w:rsid w:val="00FE25C4"/>
    <w:rsid w:val="00FE2D96"/>
    <w:rsid w:val="00FE38F0"/>
    <w:rsid w:val="00FE42DB"/>
    <w:rsid w:val="00FE6077"/>
    <w:rsid w:val="00FE696D"/>
    <w:rsid w:val="00FE6C74"/>
    <w:rsid w:val="00FE7175"/>
    <w:rsid w:val="00FE7625"/>
    <w:rsid w:val="00FE782E"/>
    <w:rsid w:val="00FE7D6A"/>
    <w:rsid w:val="00FF0101"/>
    <w:rsid w:val="00FF0919"/>
    <w:rsid w:val="00FF097F"/>
    <w:rsid w:val="00FF1181"/>
    <w:rsid w:val="00FF1D54"/>
    <w:rsid w:val="00FF3AB1"/>
    <w:rsid w:val="00FF43D4"/>
    <w:rsid w:val="00FF45BD"/>
    <w:rsid w:val="00FF5670"/>
    <w:rsid w:val="00FF6070"/>
    <w:rsid w:val="00FF6128"/>
    <w:rsid w:val="00FF62BC"/>
    <w:rsid w:val="00FF66C3"/>
    <w:rsid w:val="00FF67B0"/>
    <w:rsid w:val="00FF680E"/>
    <w:rsid w:val="00FF6B55"/>
    <w:rsid w:val="00FF6F60"/>
    <w:rsid w:val="01683FB5"/>
    <w:rsid w:val="02EA185A"/>
    <w:rsid w:val="03E57D58"/>
    <w:rsid w:val="03FC7F6B"/>
    <w:rsid w:val="046E73C9"/>
    <w:rsid w:val="04B119F5"/>
    <w:rsid w:val="04C414DF"/>
    <w:rsid w:val="05841C8F"/>
    <w:rsid w:val="05842A94"/>
    <w:rsid w:val="0665469B"/>
    <w:rsid w:val="07754928"/>
    <w:rsid w:val="080765CD"/>
    <w:rsid w:val="08161CD1"/>
    <w:rsid w:val="091E5BA4"/>
    <w:rsid w:val="0AEE6D1A"/>
    <w:rsid w:val="0B9B0C67"/>
    <w:rsid w:val="0CC95D31"/>
    <w:rsid w:val="0DF32D0F"/>
    <w:rsid w:val="0EC51ACA"/>
    <w:rsid w:val="0F4C14D0"/>
    <w:rsid w:val="0FCF743D"/>
    <w:rsid w:val="10DF342B"/>
    <w:rsid w:val="111E0AE2"/>
    <w:rsid w:val="11C0052E"/>
    <w:rsid w:val="12047B5C"/>
    <w:rsid w:val="1329019E"/>
    <w:rsid w:val="13CA1B57"/>
    <w:rsid w:val="13CD1366"/>
    <w:rsid w:val="14826921"/>
    <w:rsid w:val="15B34F99"/>
    <w:rsid w:val="15C90318"/>
    <w:rsid w:val="15D86ECE"/>
    <w:rsid w:val="15EC5D4A"/>
    <w:rsid w:val="16054816"/>
    <w:rsid w:val="16D52CD6"/>
    <w:rsid w:val="16E22C50"/>
    <w:rsid w:val="17757429"/>
    <w:rsid w:val="17E34202"/>
    <w:rsid w:val="17F36159"/>
    <w:rsid w:val="18664452"/>
    <w:rsid w:val="191E62CB"/>
    <w:rsid w:val="19EA1966"/>
    <w:rsid w:val="1B106C98"/>
    <w:rsid w:val="1CDB69E8"/>
    <w:rsid w:val="1D11156C"/>
    <w:rsid w:val="1DAE29EF"/>
    <w:rsid w:val="1DF43887"/>
    <w:rsid w:val="1E073ABB"/>
    <w:rsid w:val="1E137F08"/>
    <w:rsid w:val="1E1C1FB6"/>
    <w:rsid w:val="1EF03708"/>
    <w:rsid w:val="1F1C3FB9"/>
    <w:rsid w:val="1F6C3B25"/>
    <w:rsid w:val="1F856DAB"/>
    <w:rsid w:val="1F960B5B"/>
    <w:rsid w:val="1FA879E3"/>
    <w:rsid w:val="232A14C6"/>
    <w:rsid w:val="23FB0F42"/>
    <w:rsid w:val="24476184"/>
    <w:rsid w:val="24943814"/>
    <w:rsid w:val="25FC37D3"/>
    <w:rsid w:val="26285A65"/>
    <w:rsid w:val="26F82438"/>
    <w:rsid w:val="26FA57EC"/>
    <w:rsid w:val="2A296371"/>
    <w:rsid w:val="2A621433"/>
    <w:rsid w:val="2ADC5832"/>
    <w:rsid w:val="2CE32E61"/>
    <w:rsid w:val="2DBA7D8A"/>
    <w:rsid w:val="2F126410"/>
    <w:rsid w:val="2F1B5927"/>
    <w:rsid w:val="2F8B24E4"/>
    <w:rsid w:val="316E6365"/>
    <w:rsid w:val="3284589B"/>
    <w:rsid w:val="32E04869"/>
    <w:rsid w:val="338D48CD"/>
    <w:rsid w:val="3408424E"/>
    <w:rsid w:val="3484554F"/>
    <w:rsid w:val="34D015FB"/>
    <w:rsid w:val="3607649B"/>
    <w:rsid w:val="3656104E"/>
    <w:rsid w:val="36E87D80"/>
    <w:rsid w:val="36F7615A"/>
    <w:rsid w:val="376C68FE"/>
    <w:rsid w:val="37BF16BF"/>
    <w:rsid w:val="3894687E"/>
    <w:rsid w:val="389B749B"/>
    <w:rsid w:val="38CA1CD6"/>
    <w:rsid w:val="3A474E7D"/>
    <w:rsid w:val="3C221EA1"/>
    <w:rsid w:val="3C5F6C10"/>
    <w:rsid w:val="3C9855C4"/>
    <w:rsid w:val="3CC70708"/>
    <w:rsid w:val="3D3C2016"/>
    <w:rsid w:val="3DD00AD4"/>
    <w:rsid w:val="3E0930F8"/>
    <w:rsid w:val="3F503942"/>
    <w:rsid w:val="409C4CC1"/>
    <w:rsid w:val="40DC310B"/>
    <w:rsid w:val="41856D3E"/>
    <w:rsid w:val="41FB003F"/>
    <w:rsid w:val="42180C61"/>
    <w:rsid w:val="42BC4BDD"/>
    <w:rsid w:val="430238AD"/>
    <w:rsid w:val="4313354A"/>
    <w:rsid w:val="43246B98"/>
    <w:rsid w:val="434C12B5"/>
    <w:rsid w:val="438570C3"/>
    <w:rsid w:val="44807BEC"/>
    <w:rsid w:val="45101210"/>
    <w:rsid w:val="461118E8"/>
    <w:rsid w:val="464276F6"/>
    <w:rsid w:val="469F2897"/>
    <w:rsid w:val="46BF2FE3"/>
    <w:rsid w:val="483348CE"/>
    <w:rsid w:val="499B532F"/>
    <w:rsid w:val="499F20D8"/>
    <w:rsid w:val="4A2C791A"/>
    <w:rsid w:val="4AF938A5"/>
    <w:rsid w:val="4B1B5319"/>
    <w:rsid w:val="4C226976"/>
    <w:rsid w:val="4CA5082E"/>
    <w:rsid w:val="4DE14F5C"/>
    <w:rsid w:val="4E2D26EB"/>
    <w:rsid w:val="4E475512"/>
    <w:rsid w:val="4E6974F8"/>
    <w:rsid w:val="504B27F5"/>
    <w:rsid w:val="508B1549"/>
    <w:rsid w:val="51293641"/>
    <w:rsid w:val="5133186F"/>
    <w:rsid w:val="51C34E0F"/>
    <w:rsid w:val="51FA3DD5"/>
    <w:rsid w:val="53BC6136"/>
    <w:rsid w:val="54F6233F"/>
    <w:rsid w:val="55434ADF"/>
    <w:rsid w:val="56321BBE"/>
    <w:rsid w:val="56E41B9E"/>
    <w:rsid w:val="57521214"/>
    <w:rsid w:val="580C35D5"/>
    <w:rsid w:val="59290FC1"/>
    <w:rsid w:val="59FE5684"/>
    <w:rsid w:val="5AC25BCA"/>
    <w:rsid w:val="5B2529FF"/>
    <w:rsid w:val="5B515363"/>
    <w:rsid w:val="5D1C479E"/>
    <w:rsid w:val="5E3B36E1"/>
    <w:rsid w:val="5F3913F3"/>
    <w:rsid w:val="5F881C77"/>
    <w:rsid w:val="5FB73E9F"/>
    <w:rsid w:val="5FFB48A1"/>
    <w:rsid w:val="616B3D91"/>
    <w:rsid w:val="631B7DDF"/>
    <w:rsid w:val="63C84A5C"/>
    <w:rsid w:val="63FD14C1"/>
    <w:rsid w:val="641B2A13"/>
    <w:rsid w:val="64C1516E"/>
    <w:rsid w:val="66124AFD"/>
    <w:rsid w:val="67247827"/>
    <w:rsid w:val="674958FD"/>
    <w:rsid w:val="67C57AA3"/>
    <w:rsid w:val="682F47C8"/>
    <w:rsid w:val="699163D0"/>
    <w:rsid w:val="69FD403B"/>
    <w:rsid w:val="6A661D3B"/>
    <w:rsid w:val="6B5862AA"/>
    <w:rsid w:val="6B5D055A"/>
    <w:rsid w:val="6B6D07AE"/>
    <w:rsid w:val="6C890F9B"/>
    <w:rsid w:val="6C9854C4"/>
    <w:rsid w:val="6CFE4272"/>
    <w:rsid w:val="6D060BAC"/>
    <w:rsid w:val="6D893721"/>
    <w:rsid w:val="6DA034A9"/>
    <w:rsid w:val="6DAE00FF"/>
    <w:rsid w:val="6E005828"/>
    <w:rsid w:val="6EEC40C6"/>
    <w:rsid w:val="6F663C72"/>
    <w:rsid w:val="705D0CA3"/>
    <w:rsid w:val="7092674D"/>
    <w:rsid w:val="709D1F2D"/>
    <w:rsid w:val="70B51325"/>
    <w:rsid w:val="70F6726C"/>
    <w:rsid w:val="71AD3F09"/>
    <w:rsid w:val="71D55996"/>
    <w:rsid w:val="71DE66A3"/>
    <w:rsid w:val="72A65935"/>
    <w:rsid w:val="72F870AB"/>
    <w:rsid w:val="75C630A2"/>
    <w:rsid w:val="76032C88"/>
    <w:rsid w:val="76DE1D7D"/>
    <w:rsid w:val="77944E4C"/>
    <w:rsid w:val="782C1207"/>
    <w:rsid w:val="793A011E"/>
    <w:rsid w:val="7CB83558"/>
    <w:rsid w:val="7D676F18"/>
    <w:rsid w:val="7E713047"/>
    <w:rsid w:val="7F4A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99" w:semiHidden="0" w:name="Message Header"/>
    <w:lsdException w:qFormat="1" w:unhideWhenUsed="0" w:uiPriority="11" w:semiHidden="0" w:name="Subtitle"/>
    <w:lsdException w:qFormat="1" w:uiPriority="0" w:semiHidden="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黑体"/>
      <w:kern w:val="2"/>
      <w:sz w:val="21"/>
      <w:szCs w:val="22"/>
      <w:lang w:val="en-US" w:eastAsia="zh-CN" w:bidi="ar-SA"/>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adjustRightInd w:val="0"/>
      <w:spacing w:before="280" w:after="290" w:line="376" w:lineRule="atLeast"/>
      <w:jc w:val="left"/>
      <w:textAlignment w:val="baseline"/>
      <w:outlineLvl w:val="3"/>
    </w:pPr>
    <w:rPr>
      <w:rFonts w:ascii="Arial" w:hAnsi="Arial" w:eastAsia="黑体"/>
      <w:b/>
      <w:kern w:val="0"/>
      <w:sz w:val="28"/>
      <w:szCs w:val="20"/>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next w:val="1"/>
    <w:autoRedefine/>
    <w:qFormat/>
    <w:uiPriority w:val="0"/>
    <w:pPr>
      <w:spacing w:after="120" w:line="480" w:lineRule="auto"/>
      <w:ind w:left="420" w:leftChars="200"/>
    </w:pPr>
  </w:style>
  <w:style w:type="paragraph" w:styleId="6">
    <w:name w:val="Normal Indent"/>
    <w:basedOn w:val="1"/>
    <w:next w:val="1"/>
    <w:link w:val="64"/>
    <w:autoRedefine/>
    <w:qFormat/>
    <w:uiPriority w:val="0"/>
    <w:pPr>
      <w:adjustRightInd w:val="0"/>
      <w:spacing w:line="312" w:lineRule="atLeast"/>
      <w:ind w:firstLine="420" w:firstLineChars="200"/>
      <w:textAlignment w:val="baseline"/>
    </w:pPr>
    <w:rPr>
      <w:rFonts w:cs="Times New Roman"/>
      <w:kern w:val="0"/>
      <w:sz w:val="20"/>
      <w:szCs w:val="20"/>
    </w:rPr>
  </w:style>
  <w:style w:type="paragraph" w:styleId="7">
    <w:name w:val="caption"/>
    <w:basedOn w:val="1"/>
    <w:next w:val="1"/>
    <w:link w:val="86"/>
    <w:autoRedefine/>
    <w:unhideWhenUsed/>
    <w:qFormat/>
    <w:uiPriority w:val="0"/>
    <w:pPr>
      <w:spacing w:line="360" w:lineRule="auto"/>
    </w:pPr>
    <w:rPr>
      <w:rFonts w:ascii="等线 Light" w:hAnsi="等线 Light" w:eastAsia="黑体" w:cs="Times New Roman"/>
      <w:sz w:val="20"/>
      <w:szCs w:val="20"/>
    </w:rPr>
  </w:style>
  <w:style w:type="paragraph" w:styleId="8">
    <w:name w:val="Document Map"/>
    <w:basedOn w:val="1"/>
    <w:link w:val="33"/>
    <w:autoRedefine/>
    <w:unhideWhenUsed/>
    <w:qFormat/>
    <w:uiPriority w:val="99"/>
    <w:rPr>
      <w:rFonts w:ascii="宋体"/>
      <w:sz w:val="18"/>
      <w:szCs w:val="18"/>
    </w:rPr>
  </w:style>
  <w:style w:type="paragraph" w:styleId="9">
    <w:name w:val="annotation text"/>
    <w:basedOn w:val="1"/>
    <w:link w:val="31"/>
    <w:autoRedefine/>
    <w:unhideWhenUsed/>
    <w:qFormat/>
    <w:uiPriority w:val="99"/>
    <w:pPr>
      <w:jc w:val="left"/>
    </w:pPr>
  </w:style>
  <w:style w:type="paragraph" w:styleId="10">
    <w:name w:val="Salutation"/>
    <w:basedOn w:val="1"/>
    <w:next w:val="1"/>
    <w:autoRedefine/>
    <w:unhideWhenUsed/>
    <w:qFormat/>
    <w:uiPriority w:val="0"/>
    <w:pPr>
      <w:widowControl/>
      <w:spacing w:line="360" w:lineRule="auto"/>
      <w:jc w:val="left"/>
    </w:pPr>
    <w:rPr>
      <w:szCs w:val="20"/>
    </w:rPr>
  </w:style>
  <w:style w:type="paragraph" w:styleId="11">
    <w:name w:val="Body Text"/>
    <w:basedOn w:val="1"/>
    <w:next w:val="1"/>
    <w:link w:val="34"/>
    <w:autoRedefine/>
    <w:qFormat/>
    <w:uiPriority w:val="0"/>
    <w:pPr>
      <w:spacing w:after="120"/>
    </w:pPr>
    <w:rPr>
      <w:rFonts w:cs="Times New Roman"/>
      <w:kern w:val="0"/>
      <w:sz w:val="20"/>
      <w:szCs w:val="24"/>
    </w:rPr>
  </w:style>
  <w:style w:type="paragraph" w:styleId="12">
    <w:name w:val="Body Text Indent"/>
    <w:basedOn w:val="1"/>
    <w:next w:val="1"/>
    <w:link w:val="35"/>
    <w:autoRedefine/>
    <w:unhideWhenUsed/>
    <w:qFormat/>
    <w:uiPriority w:val="99"/>
    <w:pPr>
      <w:spacing w:after="120"/>
      <w:ind w:left="420" w:leftChars="200"/>
    </w:pPr>
  </w:style>
  <w:style w:type="paragraph" w:styleId="13">
    <w:name w:val="Block Text"/>
    <w:basedOn w:val="1"/>
    <w:autoRedefine/>
    <w:qFormat/>
    <w:uiPriority w:val="99"/>
    <w:pPr>
      <w:spacing w:line="440" w:lineRule="exact"/>
      <w:ind w:left="140" w:right="118" w:firstLine="482"/>
    </w:pPr>
    <w:rPr>
      <w:sz w:val="24"/>
    </w:rPr>
  </w:style>
  <w:style w:type="paragraph" w:styleId="14">
    <w:name w:val="Plain Text"/>
    <w:basedOn w:val="1"/>
    <w:link w:val="49"/>
    <w:autoRedefine/>
    <w:semiHidden/>
    <w:unhideWhenUsed/>
    <w:qFormat/>
    <w:uiPriority w:val="99"/>
    <w:rPr>
      <w:rFonts w:ascii="宋体" w:hAnsi="Courier New" w:cs="Courier New"/>
      <w:szCs w:val="21"/>
    </w:rPr>
  </w:style>
  <w:style w:type="paragraph" w:styleId="15">
    <w:name w:val="Balloon Text"/>
    <w:basedOn w:val="1"/>
    <w:link w:val="36"/>
    <w:autoRedefine/>
    <w:unhideWhenUsed/>
    <w:qFormat/>
    <w:uiPriority w:val="99"/>
    <w:rPr>
      <w:sz w:val="18"/>
      <w:szCs w:val="18"/>
    </w:rPr>
  </w:style>
  <w:style w:type="paragraph" w:styleId="16">
    <w:name w:val="footer"/>
    <w:basedOn w:val="1"/>
    <w:link w:val="37"/>
    <w:autoRedefine/>
    <w:unhideWhenUsed/>
    <w:qFormat/>
    <w:uiPriority w:val="99"/>
    <w:pPr>
      <w:tabs>
        <w:tab w:val="center" w:pos="4153"/>
        <w:tab w:val="right" w:pos="8306"/>
      </w:tabs>
      <w:snapToGrid w:val="0"/>
      <w:jc w:val="left"/>
    </w:pPr>
    <w:rPr>
      <w:sz w:val="18"/>
      <w:szCs w:val="18"/>
    </w:rPr>
  </w:style>
  <w:style w:type="paragraph" w:styleId="17">
    <w:name w:val="header"/>
    <w:basedOn w:val="1"/>
    <w:next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style>
  <w:style w:type="paragraph" w:styleId="19">
    <w:name w:val="Body Text Indent 3"/>
    <w:basedOn w:val="1"/>
    <w:link w:val="55"/>
    <w:autoRedefine/>
    <w:unhideWhenUsed/>
    <w:qFormat/>
    <w:uiPriority w:val="0"/>
    <w:pPr>
      <w:spacing w:after="120"/>
      <w:ind w:left="420" w:leftChars="200"/>
    </w:pPr>
    <w:rPr>
      <w:rFonts w:cs="Times New Roman"/>
      <w:sz w:val="16"/>
      <w:szCs w:val="16"/>
      <w:lang w:val="zh-CN"/>
    </w:rPr>
  </w:style>
  <w:style w:type="paragraph" w:styleId="20">
    <w:name w:val="toc 2"/>
    <w:basedOn w:val="1"/>
    <w:next w:val="1"/>
    <w:autoRedefine/>
    <w:unhideWhenUsed/>
    <w:qFormat/>
    <w:uiPriority w:val="39"/>
    <w:pPr>
      <w:ind w:left="420" w:leftChars="200"/>
    </w:pPr>
    <w:rPr>
      <w:rFonts w:cstheme="minorBidi"/>
    </w:rPr>
  </w:style>
  <w:style w:type="paragraph" w:styleId="21">
    <w:name w:val="Message Header"/>
    <w:basedOn w:val="1"/>
    <w:autoRedefine/>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rPr>
  </w:style>
  <w:style w:type="paragraph" w:styleId="22">
    <w:name w:val="annotation subject"/>
    <w:basedOn w:val="9"/>
    <w:next w:val="9"/>
    <w:link w:val="32"/>
    <w:autoRedefine/>
    <w:unhideWhenUsed/>
    <w:qFormat/>
    <w:uiPriority w:val="99"/>
    <w:rPr>
      <w:b/>
      <w:bCs/>
    </w:rPr>
  </w:style>
  <w:style w:type="paragraph" w:styleId="23">
    <w:name w:val="Body Text First Indent 2"/>
    <w:basedOn w:val="12"/>
    <w:next w:val="1"/>
    <w:autoRedefine/>
    <w:qFormat/>
    <w:uiPriority w:val="0"/>
    <w:pPr>
      <w:ind w:firstLine="420"/>
    </w:pPr>
  </w:style>
  <w:style w:type="table" w:styleId="25">
    <w:name w:val="Table Grid"/>
    <w:basedOn w:val="24"/>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unhideWhenUsed/>
    <w:qFormat/>
    <w:uiPriority w:val="99"/>
    <w:rPr>
      <w:color w:val="0000FF" w:themeColor="hyperlink"/>
      <w:u w:val="single"/>
      <w14:textFill>
        <w14:solidFill>
          <w14:schemeClr w14:val="hlink"/>
        </w14:solidFill>
      </w14:textFill>
    </w:rPr>
  </w:style>
  <w:style w:type="character" w:styleId="28">
    <w:name w:val="annotation reference"/>
    <w:autoRedefine/>
    <w:unhideWhenUsed/>
    <w:qFormat/>
    <w:uiPriority w:val="99"/>
    <w:rPr>
      <w:sz w:val="21"/>
      <w:szCs w:val="21"/>
    </w:rPr>
  </w:style>
  <w:style w:type="paragraph" w:customStyle="1" w:styleId="29">
    <w:name w:val="简单回函地址"/>
    <w:basedOn w:val="1"/>
    <w:next w:val="30"/>
    <w:autoRedefine/>
    <w:qFormat/>
    <w:uiPriority w:val="0"/>
    <w:pPr>
      <w:widowControl/>
      <w:spacing w:line="360" w:lineRule="auto"/>
      <w:jc w:val="left"/>
    </w:pPr>
    <w:rPr>
      <w:szCs w:val="20"/>
    </w:rPr>
  </w:style>
  <w:style w:type="paragraph" w:customStyle="1" w:styleId="30">
    <w:name w:val="正文2"/>
    <w:basedOn w:val="1"/>
    <w:next w:val="1"/>
    <w:autoRedefine/>
    <w:qFormat/>
    <w:uiPriority w:val="0"/>
    <w:pPr>
      <w:widowControl/>
      <w:snapToGrid w:val="0"/>
      <w:spacing w:before="240" w:after="240" w:line="500" w:lineRule="exact"/>
      <w:ind w:firstLine="200" w:firstLineChars="200"/>
      <w:jc w:val="left"/>
    </w:pPr>
    <w:rPr>
      <w:rFonts w:eastAsia="黑体"/>
      <w:b/>
      <w:kern w:val="0"/>
      <w:sz w:val="28"/>
      <w:szCs w:val="28"/>
    </w:rPr>
  </w:style>
  <w:style w:type="character" w:customStyle="1" w:styleId="31">
    <w:name w:val="批注文字 字符"/>
    <w:basedOn w:val="26"/>
    <w:link w:val="9"/>
    <w:autoRedefine/>
    <w:qFormat/>
    <w:uiPriority w:val="99"/>
  </w:style>
  <w:style w:type="character" w:customStyle="1" w:styleId="32">
    <w:name w:val="批注主题 字符"/>
    <w:link w:val="22"/>
    <w:autoRedefine/>
    <w:qFormat/>
    <w:uiPriority w:val="99"/>
    <w:rPr>
      <w:b/>
      <w:bCs/>
    </w:rPr>
  </w:style>
  <w:style w:type="character" w:customStyle="1" w:styleId="33">
    <w:name w:val="文档结构图 字符"/>
    <w:link w:val="8"/>
    <w:autoRedefine/>
    <w:qFormat/>
    <w:uiPriority w:val="99"/>
    <w:rPr>
      <w:rFonts w:ascii="宋体" w:eastAsia="宋体"/>
      <w:sz w:val="18"/>
      <w:szCs w:val="18"/>
    </w:rPr>
  </w:style>
  <w:style w:type="character" w:customStyle="1" w:styleId="34">
    <w:name w:val="正文文本 字符"/>
    <w:link w:val="11"/>
    <w:autoRedefine/>
    <w:qFormat/>
    <w:uiPriority w:val="0"/>
    <w:rPr>
      <w:szCs w:val="24"/>
    </w:rPr>
  </w:style>
  <w:style w:type="character" w:customStyle="1" w:styleId="35">
    <w:name w:val="正文文本缩进 字符"/>
    <w:basedOn w:val="26"/>
    <w:link w:val="12"/>
    <w:autoRedefine/>
    <w:qFormat/>
    <w:uiPriority w:val="99"/>
  </w:style>
  <w:style w:type="character" w:customStyle="1" w:styleId="36">
    <w:name w:val="批注框文本 字符"/>
    <w:link w:val="15"/>
    <w:autoRedefine/>
    <w:qFormat/>
    <w:uiPriority w:val="99"/>
    <w:rPr>
      <w:sz w:val="18"/>
      <w:szCs w:val="18"/>
    </w:rPr>
  </w:style>
  <w:style w:type="character" w:customStyle="1" w:styleId="37">
    <w:name w:val="页脚 字符"/>
    <w:link w:val="16"/>
    <w:autoRedefine/>
    <w:qFormat/>
    <w:uiPriority w:val="99"/>
    <w:rPr>
      <w:sz w:val="18"/>
      <w:szCs w:val="18"/>
    </w:rPr>
  </w:style>
  <w:style w:type="character" w:customStyle="1" w:styleId="38">
    <w:name w:val="页眉 字符"/>
    <w:link w:val="17"/>
    <w:autoRedefine/>
    <w:qFormat/>
    <w:uiPriority w:val="99"/>
    <w:rPr>
      <w:sz w:val="18"/>
      <w:szCs w:val="18"/>
    </w:rPr>
  </w:style>
  <w:style w:type="paragraph" w:customStyle="1" w:styleId="39">
    <w:name w:val="表格文字2"/>
    <w:basedOn w:val="1"/>
    <w:autoRedefine/>
    <w:qFormat/>
    <w:uiPriority w:val="0"/>
    <w:pPr>
      <w:adjustRightInd w:val="0"/>
      <w:spacing w:before="60"/>
      <w:jc w:val="center"/>
      <w:textAlignment w:val="baseline"/>
    </w:pPr>
    <w:rPr>
      <w:rFonts w:ascii="宋体" w:cs="Times New Roman"/>
      <w:kern w:val="0"/>
      <w:sz w:val="24"/>
      <w:szCs w:val="20"/>
    </w:rPr>
  </w:style>
  <w:style w:type="paragraph" w:customStyle="1" w:styleId="40">
    <w:name w:val="表"/>
    <w:basedOn w:val="1"/>
    <w:link w:val="89"/>
    <w:autoRedefine/>
    <w:qFormat/>
    <w:uiPriority w:val="0"/>
    <w:pPr>
      <w:spacing w:line="240" w:lineRule="exact"/>
    </w:pPr>
    <w:rPr>
      <w:rFonts w:ascii="仿宋_GB2312" w:hAnsi="宋体" w:eastAsia="仿宋_GB2312" w:cs="Times New Roman"/>
      <w:sz w:val="18"/>
      <w:szCs w:val="20"/>
    </w:rPr>
  </w:style>
  <w:style w:type="paragraph" w:customStyle="1" w:styleId="41">
    <w:name w:val="表格内容"/>
    <w:basedOn w:val="1"/>
    <w:link w:val="42"/>
    <w:autoRedefine/>
    <w:qFormat/>
    <w:uiPriority w:val="0"/>
    <w:pPr>
      <w:jc w:val="center"/>
    </w:pPr>
    <w:rPr>
      <w:rFonts w:eastAsia="Times New Roman" w:cs="Times New Roman"/>
      <w:kern w:val="0"/>
      <w:szCs w:val="21"/>
    </w:rPr>
  </w:style>
  <w:style w:type="character" w:customStyle="1" w:styleId="42">
    <w:name w:val="表格内容 Char"/>
    <w:link w:val="41"/>
    <w:autoRedefine/>
    <w:qFormat/>
    <w:uiPriority w:val="0"/>
    <w:rPr>
      <w:rFonts w:eastAsia="Times New Roman"/>
      <w:sz w:val="21"/>
      <w:szCs w:val="21"/>
    </w:rPr>
  </w:style>
  <w:style w:type="paragraph" w:customStyle="1" w:styleId="43">
    <w:name w:val="表格首行"/>
    <w:basedOn w:val="1"/>
    <w:next w:val="1"/>
    <w:autoRedefine/>
    <w:qFormat/>
    <w:uiPriority w:val="0"/>
    <w:pPr>
      <w:jc w:val="center"/>
    </w:pPr>
    <w:rPr>
      <w:rFonts w:cs="宋体"/>
      <w:b/>
      <w:szCs w:val="20"/>
    </w:rPr>
  </w:style>
  <w:style w:type="paragraph" w:customStyle="1" w:styleId="44">
    <w:name w:val="正文-欣欣"/>
    <w:basedOn w:val="1"/>
    <w:autoRedefine/>
    <w:qFormat/>
    <w:uiPriority w:val="0"/>
    <w:pPr>
      <w:adjustRightInd w:val="0"/>
      <w:spacing w:line="360" w:lineRule="auto"/>
      <w:ind w:firstLine="200" w:firstLineChars="200"/>
    </w:pPr>
    <w:rPr>
      <w:rFonts w:cs="Times New Roman"/>
      <w:sz w:val="24"/>
      <w:szCs w:val="30"/>
    </w:rPr>
  </w:style>
  <w:style w:type="character" w:customStyle="1" w:styleId="45">
    <w:name w:val="正文文本 Char1"/>
    <w:basedOn w:val="26"/>
    <w:autoRedefine/>
    <w:semiHidden/>
    <w:qFormat/>
    <w:uiPriority w:val="99"/>
  </w:style>
  <w:style w:type="character" w:customStyle="1" w:styleId="46">
    <w:name w:val="占位符文本1"/>
    <w:autoRedefine/>
    <w:semiHidden/>
    <w:qFormat/>
    <w:uiPriority w:val="99"/>
    <w:rPr>
      <w:color w:val="808080"/>
    </w:rPr>
  </w:style>
  <w:style w:type="table" w:customStyle="1" w:styleId="47">
    <w:name w:val="网格型1"/>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2"/>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纯文本 字符"/>
    <w:link w:val="14"/>
    <w:autoRedefine/>
    <w:semiHidden/>
    <w:qFormat/>
    <w:uiPriority w:val="99"/>
    <w:rPr>
      <w:rFonts w:ascii="宋体" w:hAnsi="Courier New" w:cs="Courier New"/>
      <w:kern w:val="2"/>
      <w:sz w:val="21"/>
      <w:szCs w:val="21"/>
    </w:rPr>
  </w:style>
  <w:style w:type="paragraph" w:customStyle="1" w:styleId="50">
    <w:name w:val="章节目录"/>
    <w:basedOn w:val="1"/>
    <w:link w:val="51"/>
    <w:autoRedefine/>
    <w:qFormat/>
    <w:uiPriority w:val="0"/>
    <w:pPr>
      <w:spacing w:line="360" w:lineRule="auto"/>
      <w:outlineLvl w:val="0"/>
    </w:pPr>
    <w:rPr>
      <w:b/>
      <w:sz w:val="28"/>
      <w:szCs w:val="28"/>
    </w:rPr>
  </w:style>
  <w:style w:type="character" w:customStyle="1" w:styleId="51">
    <w:name w:val="章节目录 Char"/>
    <w:link w:val="50"/>
    <w:autoRedefine/>
    <w:qFormat/>
    <w:uiPriority w:val="0"/>
    <w:rPr>
      <w:rFonts w:cs="黑体"/>
      <w:b/>
      <w:kern w:val="2"/>
      <w:sz w:val="28"/>
      <w:szCs w:val="28"/>
    </w:rPr>
  </w:style>
  <w:style w:type="paragraph" w:customStyle="1" w:styleId="52">
    <w:name w:val="Char4 Char Char 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53">
    <w:name w:val="表头"/>
    <w:basedOn w:val="1"/>
    <w:link w:val="54"/>
    <w:autoRedefine/>
    <w:qFormat/>
    <w:uiPriority w:val="0"/>
    <w:pPr>
      <w:jc w:val="center"/>
    </w:pPr>
    <w:rPr>
      <w:rFonts w:cs="Times New Roman"/>
      <w:b/>
      <w:szCs w:val="21"/>
    </w:rPr>
  </w:style>
  <w:style w:type="character" w:customStyle="1" w:styleId="54">
    <w:name w:val="表头 Char"/>
    <w:link w:val="53"/>
    <w:autoRedefine/>
    <w:qFormat/>
    <w:uiPriority w:val="0"/>
    <w:rPr>
      <w:b/>
      <w:kern w:val="2"/>
      <w:sz w:val="21"/>
      <w:szCs w:val="21"/>
    </w:rPr>
  </w:style>
  <w:style w:type="character" w:customStyle="1" w:styleId="55">
    <w:name w:val="正文文本缩进 3 字符"/>
    <w:link w:val="19"/>
    <w:autoRedefine/>
    <w:qFormat/>
    <w:uiPriority w:val="0"/>
    <w:rPr>
      <w:kern w:val="2"/>
      <w:sz w:val="16"/>
      <w:szCs w:val="16"/>
      <w:lang w:val="zh-CN" w:eastAsia="zh-CN"/>
    </w:rPr>
  </w:style>
  <w:style w:type="paragraph" w:customStyle="1" w:styleId="56">
    <w:name w:val="四级标题"/>
    <w:basedOn w:val="1"/>
    <w:link w:val="57"/>
    <w:autoRedefine/>
    <w:qFormat/>
    <w:uiPriority w:val="0"/>
    <w:pPr>
      <w:spacing w:line="360" w:lineRule="auto"/>
      <w:ind w:firstLine="200" w:firstLineChars="200"/>
      <w:outlineLvl w:val="3"/>
    </w:pPr>
    <w:rPr>
      <w:rFonts w:cs="Times New Roman"/>
      <w:b/>
      <w:sz w:val="24"/>
      <w:szCs w:val="24"/>
    </w:rPr>
  </w:style>
  <w:style w:type="character" w:customStyle="1" w:styleId="57">
    <w:name w:val="四级标题 Char"/>
    <w:link w:val="56"/>
    <w:autoRedefine/>
    <w:qFormat/>
    <w:uiPriority w:val="0"/>
    <w:rPr>
      <w:b/>
      <w:kern w:val="2"/>
      <w:sz w:val="24"/>
      <w:szCs w:val="24"/>
    </w:rPr>
  </w:style>
  <w:style w:type="paragraph" w:customStyle="1" w:styleId="58">
    <w:name w:val="报告表格"/>
    <w:basedOn w:val="1"/>
    <w:link w:val="59"/>
    <w:autoRedefine/>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59">
    <w:name w:val="报告表格 Char"/>
    <w:link w:val="58"/>
    <w:autoRedefine/>
    <w:qFormat/>
    <w:uiPriority w:val="0"/>
    <w:rPr>
      <w:sz w:val="21"/>
    </w:rPr>
  </w:style>
  <w:style w:type="paragraph" w:customStyle="1" w:styleId="60">
    <w:name w:val="Default"/>
    <w:basedOn w:val="6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1">
    <w:name w:val="标题 段落4级"/>
    <w:autoRedefine/>
    <w:qFormat/>
    <w:uiPriority w:val="0"/>
    <w:pPr>
      <w:spacing w:line="500" w:lineRule="exact"/>
      <w:outlineLvl w:val="3"/>
    </w:pPr>
    <w:rPr>
      <w:rFonts w:ascii="Times New Roman" w:hAnsi="Times New Roman" w:eastAsia="仿宋_GB2312" w:cs="Times New Roman"/>
      <w:b/>
      <w:kern w:val="2"/>
      <w:sz w:val="28"/>
      <w:szCs w:val="24"/>
      <w:lang w:val="en-US" w:eastAsia="zh-CN" w:bidi="ar-SA"/>
    </w:rPr>
  </w:style>
  <w:style w:type="paragraph" w:customStyle="1" w:styleId="62">
    <w:name w:val="纯文本1"/>
    <w:basedOn w:val="1"/>
    <w:autoRedefine/>
    <w:qFormat/>
    <w:uiPriority w:val="0"/>
    <w:pPr>
      <w:adjustRightInd w:val="0"/>
      <w:textAlignment w:val="baseline"/>
    </w:pPr>
    <w:rPr>
      <w:rFonts w:ascii="宋体" w:hAnsi="Courier New"/>
      <w:sz w:val="21"/>
      <w:szCs w:val="20"/>
    </w:rPr>
  </w:style>
  <w:style w:type="paragraph" w:styleId="63">
    <w:name w:val="List Paragraph"/>
    <w:basedOn w:val="1"/>
    <w:autoRedefine/>
    <w:qFormat/>
    <w:uiPriority w:val="99"/>
    <w:pPr>
      <w:ind w:firstLine="420" w:firstLineChars="200"/>
    </w:pPr>
  </w:style>
  <w:style w:type="character" w:customStyle="1" w:styleId="64">
    <w:name w:val="正文缩进 字符"/>
    <w:basedOn w:val="26"/>
    <w:link w:val="6"/>
    <w:autoRedefine/>
    <w:qFormat/>
    <w:uiPriority w:val="0"/>
  </w:style>
  <w:style w:type="paragraph" w:customStyle="1" w:styleId="65">
    <w:name w:val="二级标题"/>
    <w:basedOn w:val="1"/>
    <w:link w:val="66"/>
    <w:autoRedefine/>
    <w:qFormat/>
    <w:uiPriority w:val="99"/>
    <w:pPr>
      <w:outlineLvl w:val="1"/>
    </w:pPr>
    <w:rPr>
      <w:rFonts w:eastAsia="黑体" w:asciiTheme="minorHAnsi" w:hAnsiTheme="minorHAnsi" w:cstheme="minorBidi"/>
      <w:sz w:val="30"/>
    </w:rPr>
  </w:style>
  <w:style w:type="character" w:customStyle="1" w:styleId="66">
    <w:name w:val="二级标题 Char"/>
    <w:basedOn w:val="26"/>
    <w:link w:val="65"/>
    <w:autoRedefine/>
    <w:qFormat/>
    <w:uiPriority w:val="99"/>
    <w:rPr>
      <w:rFonts w:eastAsia="黑体" w:asciiTheme="minorHAnsi" w:hAnsiTheme="minorHAnsi" w:cstheme="minorBidi"/>
      <w:kern w:val="2"/>
      <w:sz w:val="30"/>
      <w:szCs w:val="22"/>
    </w:rPr>
  </w:style>
  <w:style w:type="paragraph" w:customStyle="1" w:styleId="67">
    <w:name w:val="图表标题"/>
    <w:basedOn w:val="1"/>
    <w:link w:val="68"/>
    <w:autoRedefine/>
    <w:qFormat/>
    <w:uiPriority w:val="0"/>
    <w:pPr>
      <w:jc w:val="center"/>
    </w:pPr>
    <w:rPr>
      <w:rFonts w:cs="Times New Roman"/>
      <w:b/>
      <w:szCs w:val="21"/>
    </w:rPr>
  </w:style>
  <w:style w:type="character" w:customStyle="1" w:styleId="68">
    <w:name w:val="图表标题 Char"/>
    <w:basedOn w:val="26"/>
    <w:link w:val="67"/>
    <w:autoRedefine/>
    <w:qFormat/>
    <w:uiPriority w:val="0"/>
    <w:rPr>
      <w:b/>
      <w:kern w:val="2"/>
      <w:sz w:val="21"/>
      <w:szCs w:val="21"/>
    </w:rPr>
  </w:style>
  <w:style w:type="paragraph" w:customStyle="1" w:styleId="69">
    <w:name w:val="样式 正文文本 + 首行缩进:  2 字符"/>
    <w:basedOn w:val="1"/>
    <w:autoRedefine/>
    <w:qFormat/>
    <w:uiPriority w:val="0"/>
    <w:pPr>
      <w:widowControl/>
      <w:spacing w:before="100" w:beforeAutospacing="1" w:after="200" w:line="480" w:lineRule="exact"/>
      <w:ind w:firstLine="480" w:firstLineChars="200"/>
      <w:jc w:val="left"/>
    </w:pPr>
    <w:rPr>
      <w:rFonts w:eastAsia="微软雅黑" w:cs="Times New Roman"/>
      <w:kern w:val="0"/>
      <w:sz w:val="24"/>
      <w:szCs w:val="24"/>
    </w:rPr>
  </w:style>
  <w:style w:type="paragraph" w:customStyle="1" w:styleId="70">
    <w:name w:val="正文标题"/>
    <w:basedOn w:val="1"/>
    <w:link w:val="71"/>
    <w:autoRedefine/>
    <w:qFormat/>
    <w:uiPriority w:val="0"/>
    <w:pPr>
      <w:spacing w:line="360" w:lineRule="auto"/>
      <w:ind w:firstLine="200" w:firstLineChars="200"/>
      <w:outlineLvl w:val="4"/>
    </w:pPr>
    <w:rPr>
      <w:rFonts w:cs="Times New Roman" w:eastAsiaTheme="minorEastAsia"/>
      <w:b/>
      <w:sz w:val="24"/>
      <w:szCs w:val="24"/>
    </w:rPr>
  </w:style>
  <w:style w:type="character" w:customStyle="1" w:styleId="71">
    <w:name w:val="正文标题 Char"/>
    <w:link w:val="70"/>
    <w:autoRedefine/>
    <w:qFormat/>
    <w:uiPriority w:val="0"/>
    <w:rPr>
      <w:rFonts w:eastAsiaTheme="minorEastAsia"/>
      <w:b/>
      <w:kern w:val="2"/>
      <w:sz w:val="24"/>
      <w:szCs w:val="24"/>
    </w:rPr>
  </w:style>
  <w:style w:type="paragraph" w:customStyle="1" w:styleId="72">
    <w:name w:val="一级标题"/>
    <w:basedOn w:val="1"/>
    <w:link w:val="73"/>
    <w:autoRedefine/>
    <w:qFormat/>
    <w:uiPriority w:val="0"/>
    <w:pPr>
      <w:spacing w:line="360" w:lineRule="auto"/>
      <w:ind w:left="425" w:hanging="425"/>
      <w:outlineLvl w:val="0"/>
    </w:pPr>
    <w:rPr>
      <w:rFonts w:eastAsia="黑体" w:cstheme="minorBidi"/>
      <w:sz w:val="32"/>
      <w:szCs w:val="24"/>
    </w:rPr>
  </w:style>
  <w:style w:type="character" w:customStyle="1" w:styleId="73">
    <w:name w:val="一级标题 Char"/>
    <w:basedOn w:val="26"/>
    <w:link w:val="72"/>
    <w:autoRedefine/>
    <w:qFormat/>
    <w:uiPriority w:val="0"/>
    <w:rPr>
      <w:rFonts w:eastAsia="黑体" w:cstheme="minorBidi"/>
      <w:kern w:val="2"/>
      <w:sz w:val="32"/>
      <w:szCs w:val="24"/>
    </w:rPr>
  </w:style>
  <w:style w:type="paragraph" w:customStyle="1" w:styleId="74">
    <w:name w:val="三级标题"/>
    <w:basedOn w:val="1"/>
    <w:link w:val="75"/>
    <w:autoRedefine/>
    <w:qFormat/>
    <w:uiPriority w:val="0"/>
    <w:pPr>
      <w:spacing w:line="360" w:lineRule="auto"/>
      <w:ind w:left="425" w:hanging="425"/>
      <w:outlineLvl w:val="2"/>
    </w:pPr>
    <w:rPr>
      <w:rFonts w:eastAsia="黑体" w:cstheme="minorBidi"/>
      <w:sz w:val="28"/>
      <w:szCs w:val="24"/>
    </w:rPr>
  </w:style>
  <w:style w:type="character" w:customStyle="1" w:styleId="75">
    <w:name w:val="三级标题 Char"/>
    <w:basedOn w:val="26"/>
    <w:link w:val="74"/>
    <w:autoRedefine/>
    <w:qFormat/>
    <w:uiPriority w:val="0"/>
    <w:rPr>
      <w:rFonts w:eastAsia="黑体" w:cstheme="minorBidi"/>
      <w:kern w:val="2"/>
      <w:sz w:val="28"/>
      <w:szCs w:val="24"/>
    </w:rPr>
  </w:style>
  <w:style w:type="paragraph" w:customStyle="1" w:styleId="76">
    <w:name w:val="表格"/>
    <w:basedOn w:val="1"/>
    <w:next w:val="1"/>
    <w:link w:val="77"/>
    <w:autoRedefine/>
    <w:qFormat/>
    <w:uiPriority w:val="0"/>
    <w:pPr>
      <w:jc w:val="center"/>
    </w:pPr>
    <w:rPr>
      <w:rFonts w:cstheme="minorHAnsi"/>
      <w:b/>
      <w:szCs w:val="21"/>
    </w:rPr>
  </w:style>
  <w:style w:type="character" w:customStyle="1" w:styleId="77">
    <w:name w:val="表格 Char"/>
    <w:basedOn w:val="26"/>
    <w:link w:val="76"/>
    <w:autoRedefine/>
    <w:qFormat/>
    <w:uiPriority w:val="0"/>
    <w:rPr>
      <w:rFonts w:cstheme="minorHAnsi"/>
      <w:b/>
      <w:kern w:val="2"/>
      <w:sz w:val="21"/>
      <w:szCs w:val="21"/>
    </w:rPr>
  </w:style>
  <w:style w:type="paragraph" w:customStyle="1" w:styleId="78">
    <w:name w:val="Other|1"/>
    <w:basedOn w:val="1"/>
    <w:autoRedefine/>
    <w:qFormat/>
    <w:uiPriority w:val="0"/>
    <w:pPr>
      <w:spacing w:line="259" w:lineRule="exact"/>
      <w:jc w:val="center"/>
    </w:pPr>
    <w:rPr>
      <w:rFonts w:ascii="宋体" w:hAnsi="宋体" w:cs="宋体"/>
      <w:sz w:val="19"/>
      <w:szCs w:val="19"/>
      <w:lang w:val="zh-TW" w:eastAsia="zh-TW" w:bidi="zh-TW"/>
    </w:rPr>
  </w:style>
  <w:style w:type="paragraph" w:customStyle="1" w:styleId="79">
    <w:name w:val="Char Char Char Char"/>
    <w:basedOn w:val="1"/>
    <w:autoRedefine/>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80">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1">
    <w:name w:val="报告正文"/>
    <w:basedOn w:val="1"/>
    <w:link w:val="82"/>
    <w:autoRedefine/>
    <w:qFormat/>
    <w:uiPriority w:val="0"/>
    <w:pPr>
      <w:adjustRightInd w:val="0"/>
      <w:snapToGrid w:val="0"/>
      <w:spacing w:line="360" w:lineRule="auto"/>
      <w:ind w:firstLine="200" w:firstLineChars="200"/>
    </w:pPr>
    <w:rPr>
      <w:rFonts w:cs="Times New Roman"/>
      <w:snapToGrid w:val="0"/>
      <w:sz w:val="24"/>
      <w:szCs w:val="24"/>
    </w:rPr>
  </w:style>
  <w:style w:type="character" w:customStyle="1" w:styleId="82">
    <w:name w:val="报告正文 字符"/>
    <w:link w:val="81"/>
    <w:autoRedefine/>
    <w:qFormat/>
    <w:uiPriority w:val="0"/>
    <w:rPr>
      <w:snapToGrid w:val="0"/>
      <w:kern w:val="2"/>
      <w:sz w:val="24"/>
      <w:szCs w:val="24"/>
    </w:rPr>
  </w:style>
  <w:style w:type="paragraph" w:customStyle="1" w:styleId="83">
    <w:name w:val="表文字"/>
    <w:autoRedefine/>
    <w:qFormat/>
    <w:uiPriority w:val="0"/>
    <w:pPr>
      <w:topLinePunct/>
      <w:adjustRightInd w:val="0"/>
      <w:jc w:val="both"/>
    </w:pPr>
    <w:rPr>
      <w:rFonts w:ascii="Times New Roman" w:hAnsi="Times New Roman" w:eastAsia="宋体" w:cs="Times New Roman"/>
      <w:kern w:val="18"/>
      <w:sz w:val="21"/>
      <w:lang w:val="en-US" w:eastAsia="zh-CN" w:bidi="ar-SA"/>
    </w:rPr>
  </w:style>
  <w:style w:type="paragraph" w:customStyle="1" w:styleId="84">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85">
    <w:name w:val="10"/>
    <w:autoRedefine/>
    <w:qFormat/>
    <w:uiPriority w:val="0"/>
    <w:rPr>
      <w:rFonts w:hint="default" w:ascii="Calibri" w:hAnsi="Calibri" w:cs="Calibri"/>
      <w:sz w:val="24"/>
      <w:szCs w:val="24"/>
    </w:rPr>
  </w:style>
  <w:style w:type="character" w:customStyle="1" w:styleId="86">
    <w:name w:val="题注 字符"/>
    <w:link w:val="7"/>
    <w:autoRedefine/>
    <w:qFormat/>
    <w:uiPriority w:val="0"/>
    <w:rPr>
      <w:rFonts w:ascii="等线 Light" w:hAnsi="等线 Light" w:eastAsia="黑体"/>
      <w:kern w:val="2"/>
    </w:rPr>
  </w:style>
  <w:style w:type="paragraph" w:customStyle="1" w:styleId="87">
    <w:name w:val="1、"/>
    <w:basedOn w:val="81"/>
    <w:link w:val="88"/>
    <w:autoRedefine/>
    <w:qFormat/>
    <w:uiPriority w:val="0"/>
    <w:pPr>
      <w:numPr>
        <w:ilvl w:val="0"/>
        <w:numId w:val="1"/>
      </w:numPr>
      <w:ind w:left="0" w:firstLine="482"/>
    </w:pPr>
    <w:rPr>
      <w:b/>
      <w:bCs/>
    </w:rPr>
  </w:style>
  <w:style w:type="character" w:customStyle="1" w:styleId="88">
    <w:name w:val="1、 字符"/>
    <w:basedOn w:val="82"/>
    <w:link w:val="87"/>
    <w:autoRedefine/>
    <w:qFormat/>
    <w:uiPriority w:val="0"/>
    <w:rPr>
      <w:b/>
      <w:bCs/>
      <w:snapToGrid w:val="0"/>
      <w:kern w:val="2"/>
      <w:sz w:val="24"/>
      <w:szCs w:val="24"/>
    </w:rPr>
  </w:style>
  <w:style w:type="character" w:customStyle="1" w:styleId="89">
    <w:name w:val="表 字符"/>
    <w:basedOn w:val="26"/>
    <w:link w:val="40"/>
    <w:autoRedefine/>
    <w:qFormat/>
    <w:uiPriority w:val="0"/>
    <w:rPr>
      <w:rFonts w:ascii="仿宋_GB2312" w:hAnsi="宋体" w:eastAsia="仿宋_GB2312"/>
      <w:kern w:val="2"/>
      <w:sz w:val="18"/>
    </w:rPr>
  </w:style>
  <w:style w:type="paragraph" w:customStyle="1" w:styleId="90">
    <w:name w:val="报告表正文"/>
    <w:basedOn w:val="1"/>
    <w:link w:val="91"/>
    <w:autoRedefine/>
    <w:qFormat/>
    <w:uiPriority w:val="0"/>
    <w:pPr>
      <w:spacing w:line="360" w:lineRule="auto"/>
      <w:ind w:firstLine="420" w:firstLineChars="200"/>
    </w:pPr>
    <w:rPr>
      <w:rFonts w:cs="Times New Roman"/>
      <w:szCs w:val="20"/>
    </w:rPr>
  </w:style>
  <w:style w:type="character" w:customStyle="1" w:styleId="91">
    <w:name w:val="报告表正文 Char"/>
    <w:link w:val="90"/>
    <w:autoRedefine/>
    <w:qFormat/>
    <w:uiPriority w:val="0"/>
    <w:rPr>
      <w:kern w:val="2"/>
      <w:sz w:val="21"/>
    </w:rPr>
  </w:style>
  <w:style w:type="paragraph" w:customStyle="1" w:styleId="92">
    <w:name w:val="Table Paragraph"/>
    <w:basedOn w:val="1"/>
    <w:autoRedefine/>
    <w:qFormat/>
    <w:uiPriority w:val="1"/>
    <w:rPr>
      <w:rFonts w:ascii="宋体" w:hAnsi="宋体" w:eastAsia="宋体" w:cs="宋体"/>
    </w:rPr>
  </w:style>
  <w:style w:type="character" w:customStyle="1" w:styleId="93">
    <w:name w:val="正文文本 (2) + 10 pt"/>
    <w:autoRedefine/>
    <w:qFormat/>
    <w:uiPriority w:val="0"/>
    <w:rPr>
      <w:rFonts w:ascii="宋体" w:hAnsi="宋体" w:eastAsia="宋体"/>
      <w:color w:val="000000"/>
      <w:spacing w:val="0"/>
      <w:w w:val="100"/>
      <w:position w:val="0"/>
      <w:sz w:val="20"/>
      <w:shd w:val="clear" w:color="auto" w:fill="FFFFFF"/>
      <w:lang w:val="zh-TW" w:eastAsia="zh-TW"/>
    </w:rPr>
  </w:style>
  <w:style w:type="paragraph" w:customStyle="1" w:styleId="94">
    <w:name w:val="正文表格"/>
    <w:basedOn w:val="1"/>
    <w:autoRedefine/>
    <w:qFormat/>
    <w:uiPriority w:val="0"/>
    <w:pPr>
      <w:adjustRightInd w:val="0"/>
      <w:snapToGrid w:val="0"/>
      <w:jc w:val="center"/>
      <w:textAlignment w:val="baseline"/>
    </w:pPr>
    <w:rPr>
      <w:snapToGrid w:val="0"/>
      <w:kern w:val="0"/>
      <w:szCs w:val="21"/>
    </w:rPr>
  </w:style>
  <w:style w:type="paragraph" w:customStyle="1" w:styleId="95">
    <w:name w:val="Normal Indent"/>
    <w:basedOn w:val="1"/>
    <w:autoRedefine/>
    <w:qFormat/>
    <w:uiPriority w:val="0"/>
    <w:pPr>
      <w:ind w:firstLine="420"/>
    </w:pPr>
    <w:rPr>
      <w:rFonts w:hint="default" w:ascii="Times New Roman"/>
      <w:kern w:val="2"/>
      <w:sz w:val="21"/>
    </w:rPr>
  </w:style>
  <w:style w:type="paragraph" w:customStyle="1" w:styleId="96">
    <w:name w:val="正文样式"/>
    <w:basedOn w:val="1"/>
    <w:autoRedefine/>
    <w:qFormat/>
    <w:uiPriority w:val="0"/>
    <w:pPr>
      <w:widowControl/>
      <w:spacing w:line="360" w:lineRule="auto"/>
      <w:ind w:firstLine="480" w:firstLineChars="200"/>
      <w:jc w:val="left"/>
    </w:pPr>
    <w:rPr>
      <w:rFonts w:ascii="宋体" w:hAnsi="宋体"/>
      <w:color w:val="000000"/>
      <w:kern w:val="0"/>
      <w:sz w:val="24"/>
    </w:rPr>
  </w:style>
  <w:style w:type="paragraph" w:customStyle="1" w:styleId="97">
    <w:name w:val="表3-X"/>
    <w:basedOn w:val="1"/>
    <w:autoRedefine/>
    <w:qFormat/>
    <w:uiPriority w:val="0"/>
    <w:pPr>
      <w:numPr>
        <w:ilvl w:val="0"/>
        <w:numId w:val="2"/>
      </w:numPr>
    </w:pPr>
  </w:style>
  <w:style w:type="character" w:customStyle="1" w:styleId="98">
    <w:name w:val="font61"/>
    <w:basedOn w:val="26"/>
    <w:autoRedefine/>
    <w:qFormat/>
    <w:uiPriority w:val="0"/>
    <w:rPr>
      <w:rFonts w:hint="default" w:ascii="Times New Roman" w:hAnsi="Times New Roman" w:cs="Times New Roman"/>
      <w:color w:val="000000"/>
      <w:sz w:val="18"/>
      <w:szCs w:val="18"/>
      <w:u w:val="none"/>
    </w:rPr>
  </w:style>
  <w:style w:type="character" w:customStyle="1" w:styleId="99">
    <w:name w:val="font71"/>
    <w:basedOn w:val="26"/>
    <w:autoRedefine/>
    <w:qFormat/>
    <w:uiPriority w:val="0"/>
    <w:rPr>
      <w:rFonts w:hint="eastAsia" w:ascii="宋体" w:hAnsi="宋体" w:eastAsia="宋体" w:cs="宋体"/>
      <w:color w:val="000000"/>
      <w:sz w:val="18"/>
      <w:szCs w:val="18"/>
      <w:u w:val="none"/>
    </w:rPr>
  </w:style>
  <w:style w:type="paragraph" w:customStyle="1" w:styleId="100">
    <w:name w:val="1表格标题"/>
    <w:autoRedefine/>
    <w:qFormat/>
    <w:uiPriority w:val="0"/>
    <w:pPr>
      <w:adjustRightInd w:val="0"/>
      <w:snapToGrid w:val="0"/>
      <w:spacing w:before="50" w:beforeLines="50"/>
      <w:jc w:val="center"/>
    </w:pPr>
    <w:rPr>
      <w:rFonts w:ascii="Times New Roman" w:hAnsi="Times New Roman" w:eastAsia="仿宋" w:cs="Times New Roman"/>
      <w:b/>
      <w:bCs/>
      <w:snapToGrid w:val="0"/>
      <w:sz w:val="21"/>
      <w:szCs w:val="21"/>
      <w:lang w:val="en-US" w:eastAsia="zh-CN" w:bidi="ar-SA"/>
    </w:rPr>
  </w:style>
  <w:style w:type="paragraph" w:customStyle="1" w:styleId="101">
    <w:name w:val="环评表头"/>
    <w:basedOn w:val="102"/>
    <w:next w:val="102"/>
    <w:autoRedefine/>
    <w:qFormat/>
    <w:uiPriority w:val="0"/>
    <w:rPr>
      <w:rFonts w:hAnsi="黑体"/>
      <w:b/>
      <w:kern w:val="0"/>
      <w:sz w:val="24"/>
      <w:szCs w:val="20"/>
    </w:rPr>
  </w:style>
  <w:style w:type="paragraph" w:customStyle="1" w:styleId="102">
    <w:name w:val="【正文】"/>
    <w:basedOn w:val="1"/>
    <w:autoRedefine/>
    <w:qFormat/>
    <w:uiPriority w:val="0"/>
    <w:pPr>
      <w:spacing w:line="440" w:lineRule="exact"/>
      <w:ind w:firstLine="544" w:firstLineChars="200"/>
    </w:pPr>
    <w:rPr>
      <w:sz w:val="24"/>
      <w:szCs w:val="20"/>
    </w:rPr>
  </w:style>
  <w:style w:type="paragraph" w:customStyle="1" w:styleId="103">
    <w:name w:val="列出段落1"/>
    <w:basedOn w:val="1"/>
    <w:autoRedefine/>
    <w:qFormat/>
    <w:uiPriority w:val="0"/>
    <w:pPr>
      <w:ind w:firstLine="420" w:firstLineChars="200"/>
    </w:pPr>
  </w:style>
  <w:style w:type="paragraph" w:customStyle="1" w:styleId="104">
    <w:name w:val="环评正文"/>
    <w:basedOn w:val="1"/>
    <w:autoRedefine/>
    <w:qFormat/>
    <w:uiPriority w:val="0"/>
    <w:pPr>
      <w:adjustRightInd w:val="0"/>
      <w:snapToGrid w:val="0"/>
      <w:spacing w:line="420" w:lineRule="auto"/>
      <w:ind w:firstLine="720" w:firstLineChars="200"/>
      <w:jc w:val="left"/>
    </w:pPr>
    <w:rPr>
      <w:rFonts w:hint="eastAsia" w:ascii="宋体" w:hAnsi="宋体" w:eastAsia="宋体" w:cs="宋体"/>
      <w:szCs w:val="21"/>
    </w:rPr>
  </w:style>
  <w:style w:type="paragraph" w:customStyle="1" w:styleId="105">
    <w:name w:val="报告"/>
    <w:basedOn w:val="1"/>
    <w:next w:val="1"/>
    <w:autoRedefine/>
    <w:qFormat/>
    <w:uiPriority w:val="0"/>
    <w:pPr>
      <w:adjustRightInd w:val="0"/>
      <w:spacing w:line="360" w:lineRule="auto"/>
      <w:ind w:firstLine="505"/>
      <w:jc w:val="left"/>
      <w:textAlignment w:val="baseline"/>
    </w:pPr>
    <w:rPr>
      <w:kern w:val="0"/>
      <w:sz w:val="24"/>
      <w:szCs w:val="20"/>
    </w:rPr>
  </w:style>
  <w:style w:type="table" w:customStyle="1" w:styleId="106">
    <w:name w:val="Table Normal"/>
    <w:autoRedefine/>
    <w:unhideWhenUsed/>
    <w:qFormat/>
    <w:uiPriority w:val="0"/>
    <w:tblPr>
      <w:tblCellMar>
        <w:top w:w="0" w:type="dxa"/>
        <w:left w:w="0" w:type="dxa"/>
        <w:bottom w:w="0" w:type="dxa"/>
        <w:right w:w="0" w:type="dxa"/>
      </w:tblCellMar>
    </w:tblPr>
  </w:style>
  <w:style w:type="paragraph" w:customStyle="1" w:styleId="107">
    <w:name w:val="无间隔3"/>
    <w:autoRedefine/>
    <w:qFormat/>
    <w:uiPriority w:val="1"/>
    <w:pPr>
      <w:adjustRightInd w:val="0"/>
      <w:snapToGrid w:val="0"/>
      <w:jc w:val="center"/>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5.wmf"/><Relationship Id="rId27" Type="http://schemas.openxmlformats.org/officeDocument/2006/relationships/oleObject" Target="embeddings/oleObject9.bin"/><Relationship Id="rId26" Type="http://schemas.openxmlformats.org/officeDocument/2006/relationships/image" Target="media/image14.wmf"/><Relationship Id="rId25" Type="http://schemas.openxmlformats.org/officeDocument/2006/relationships/oleObject" Target="embeddings/oleObject8.bin"/><Relationship Id="rId24" Type="http://schemas.openxmlformats.org/officeDocument/2006/relationships/image" Target="media/image13.wmf"/><Relationship Id="rId23" Type="http://schemas.openxmlformats.org/officeDocument/2006/relationships/oleObject" Target="embeddings/oleObject7.bin"/><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5.bin"/><Relationship Id="rId17" Type="http://schemas.openxmlformats.org/officeDocument/2006/relationships/image" Target="media/image9.emf"/><Relationship Id="rId16" Type="http://schemas.openxmlformats.org/officeDocument/2006/relationships/oleObject" Target="embeddings/oleObject4.bin"/><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6C1387-8EBC-49C8-9A41-9D50D3F6C36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49656</Words>
  <Characters>55966</Characters>
  <Lines>313</Lines>
  <Paragraphs>88</Paragraphs>
  <TotalTime>179</TotalTime>
  <ScaleCrop>false</ScaleCrop>
  <LinksUpToDate>false</LinksUpToDate>
  <CharactersWithSpaces>56368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2023-04-17T01:08:00Z</dcterms:created>
  <dc:creator>Yc.</dc:creator>
  <cp:lastModifiedBy>chica</cp:lastModifiedBy>
  <cp:lastPrinted>2023-04-03T02:19:00Z</cp:lastPrinted>
  <dcterms:modified xsi:type="dcterms:W3CDTF">2024-01-22T06:33:22Z</dcterms:modified>
  <dc:title>建设项目环境影响报告表</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38DC21AEBCD6440B90974020CDA8D0F7_13</vt:lpwstr>
  </property>
</Properties>
</file>